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header4.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33F" w:rsidRDefault="000D733F">
      <w:pPr>
        <w:spacing w:after="200" w:line="276" w:lineRule="auto"/>
      </w:pPr>
      <w:bookmarkStart w:id="0" w:name="_GoBack"/>
      <w:bookmarkEnd w:id="0"/>
    </w:p>
    <w:p w:rsidR="000D733F" w:rsidRDefault="000D733F" w:rsidP="009E79EC"/>
    <w:p w:rsidR="000D733F" w:rsidRDefault="000D733F">
      <w:pPr>
        <w:spacing w:after="200" w:line="276" w:lineRule="auto"/>
      </w:pPr>
    </w:p>
    <w:p w:rsidR="000D733F" w:rsidRDefault="000D733F">
      <w:pPr>
        <w:spacing w:after="200" w:line="276" w:lineRule="auto"/>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1227C3" w:rsidRDefault="001227C3" w:rsidP="000D733F">
      <w:pPr>
        <w:pStyle w:val="Title"/>
        <w:ind w:left="2694" w:right="-624"/>
        <w:rPr>
          <w:noProof/>
          <w:color w:val="FFFFFF"/>
          <w:spacing w:val="0"/>
          <w:sz w:val="50"/>
          <w:szCs w:val="50"/>
          <w:lang w:val="en-US" w:eastAsia="en-US"/>
        </w:rPr>
      </w:pPr>
    </w:p>
    <w:p w:rsidR="000D733F" w:rsidRPr="001227C3" w:rsidRDefault="000D733F" w:rsidP="000D733F">
      <w:pPr>
        <w:pStyle w:val="Title"/>
        <w:ind w:left="2694" w:right="-624"/>
        <w:rPr>
          <w:noProof/>
          <w:color w:val="FFFFFF"/>
          <w:spacing w:val="0"/>
          <w:sz w:val="50"/>
          <w:szCs w:val="50"/>
          <w:lang w:val="en-US" w:eastAsia="en-US"/>
        </w:rPr>
      </w:pPr>
      <w:r w:rsidRPr="001227C3">
        <w:rPr>
          <w:noProof/>
          <w:color w:val="FFFFFF"/>
          <w:spacing w:val="0"/>
          <w:sz w:val="50"/>
          <w:szCs w:val="50"/>
          <w:lang w:val="en-US" w:eastAsia="en-US"/>
        </w:rPr>
        <w:t xml:space="preserve">Aid Program Performance Report 2013-14 </w:t>
      </w:r>
      <w:r w:rsidRPr="001227C3">
        <w:rPr>
          <w:noProof/>
          <w:color w:val="FFFFFF"/>
          <w:spacing w:val="0"/>
          <w:sz w:val="50"/>
          <w:szCs w:val="50"/>
        </w:rPr>
        <w:drawing>
          <wp:anchor distT="0" distB="0" distL="114300" distR="114300" simplePos="0" relativeHeight="251662336" behindDoc="1" locked="1" layoutInCell="1" allowOverlap="1" wp14:anchorId="3666E894" wp14:editId="24F542F2">
            <wp:simplePos x="0" y="0"/>
            <wp:positionH relativeFrom="page">
              <wp:posOffset>-133350</wp:posOffset>
            </wp:positionH>
            <wp:positionV relativeFrom="page">
              <wp:posOffset>-114300</wp:posOffset>
            </wp:positionV>
            <wp:extent cx="7558405" cy="10691495"/>
            <wp:effectExtent l="0" t="0" r="4445" b="0"/>
            <wp:wrapNone/>
            <wp:docPr id="11" name="Picture 11" descr="DFAT templa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558405" cy="106914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733F" w:rsidRPr="001227C3" w:rsidRDefault="002D087B" w:rsidP="000D733F">
      <w:pPr>
        <w:pStyle w:val="Subtitle"/>
        <w:ind w:left="2694" w:right="-624"/>
        <w:rPr>
          <w:noProof/>
          <w:color w:val="FFFFFF"/>
          <w:spacing w:val="0"/>
          <w:sz w:val="32"/>
          <w:szCs w:val="32"/>
          <w:lang w:val="en-US" w:eastAsia="en-US"/>
        </w:rPr>
      </w:pPr>
      <w:r>
        <w:rPr>
          <w:noProof/>
          <w:color w:val="FFFFFF"/>
          <w:spacing w:val="0"/>
          <w:sz w:val="32"/>
          <w:szCs w:val="32"/>
          <w:lang w:val="en-US" w:eastAsia="en-US"/>
        </w:rPr>
        <w:t>Timor-Leste</w:t>
      </w:r>
      <w:r w:rsidR="000D733F" w:rsidRPr="001227C3">
        <w:rPr>
          <w:noProof/>
          <w:color w:val="FFFFFF"/>
          <w:spacing w:val="0"/>
          <w:sz w:val="32"/>
          <w:szCs w:val="32"/>
          <w:lang w:val="en-US" w:eastAsia="en-US"/>
        </w:rPr>
        <w:t xml:space="preserve"> </w:t>
      </w:r>
    </w:p>
    <w:p w:rsidR="000D733F" w:rsidRDefault="000D733F" w:rsidP="001227C3">
      <w:pPr>
        <w:pStyle w:val="Date"/>
        <w:spacing w:before="200" w:after="600" w:line="380" w:lineRule="atLeast"/>
        <w:ind w:left="2694" w:right="-624"/>
        <w:rPr>
          <w:rFonts w:ascii="Helvetica" w:eastAsia="Times New Roman" w:hAnsi="Helvetica"/>
          <w:noProof/>
          <w:color w:val="FFFFFF"/>
          <w:kern w:val="28"/>
          <w:sz w:val="24"/>
          <w:lang w:val="en-US" w:eastAsia="en-US"/>
        </w:rPr>
      </w:pPr>
      <w:r w:rsidRPr="001227C3">
        <w:rPr>
          <w:rFonts w:ascii="Helvetica" w:eastAsia="Times New Roman" w:hAnsi="Helvetica"/>
          <w:noProof/>
          <w:color w:val="FFFFFF"/>
          <w:kern w:val="28"/>
          <w:sz w:val="24"/>
          <w:lang w:val="en-US" w:eastAsia="en-US"/>
        </w:rPr>
        <w:t>September 2014</w:t>
      </w:r>
    </w:p>
    <w:p w:rsidR="001D6059" w:rsidRDefault="001D6059" w:rsidP="00CD061B">
      <w:pPr>
        <w:rPr>
          <w:lang w:val="en-US" w:eastAsia="en-US"/>
        </w:rPr>
      </w:pPr>
    </w:p>
    <w:p w:rsidR="005B42EE" w:rsidRPr="00CD061B" w:rsidRDefault="00AC6F49" w:rsidP="00BD0A15">
      <w:pPr>
        <w:spacing w:after="200" w:line="276" w:lineRule="auto"/>
        <w:rPr>
          <w:lang w:val="en-US" w:eastAsia="en-US"/>
        </w:rPr>
        <w:sectPr w:rsidR="005B42EE" w:rsidRPr="00CD061B" w:rsidSect="00871C2C">
          <w:headerReference w:type="even" r:id="rId10"/>
          <w:headerReference w:type="default" r:id="rId11"/>
          <w:footerReference w:type="even" r:id="rId12"/>
          <w:footerReference w:type="default" r:id="rId13"/>
          <w:headerReference w:type="first" r:id="rId14"/>
          <w:footerReference w:type="first" r:id="rId15"/>
          <w:pgSz w:w="11907" w:h="16840" w:code="9"/>
          <w:pgMar w:top="2268" w:right="1871" w:bottom="907" w:left="1871" w:header="851" w:footer="454" w:gutter="0"/>
          <w:cols w:space="720"/>
          <w:docGrid w:linePitch="272"/>
        </w:sectPr>
      </w:pPr>
      <w:r>
        <w:rPr>
          <w:lang w:val="en-US" w:eastAsia="en-US"/>
        </w:rPr>
        <w:br w:type="page"/>
      </w:r>
    </w:p>
    <w:p w:rsidR="000D733F" w:rsidRPr="00B43B60" w:rsidRDefault="000D733F" w:rsidP="000D733F">
      <w:pPr>
        <w:pStyle w:val="Heading2"/>
        <w:rPr>
          <w:rStyle w:val="BodyTextChar"/>
          <w:color w:val="auto"/>
        </w:rPr>
      </w:pPr>
      <w:bookmarkStart w:id="1" w:name="_Toc373853205"/>
      <w:r w:rsidRPr="009E38C1">
        <w:rPr>
          <w:sz w:val="28"/>
        </w:rPr>
        <w:lastRenderedPageBreak/>
        <w:t>Key Messages</w:t>
      </w:r>
      <w:bookmarkEnd w:id="1"/>
      <w:r w:rsidRPr="009E38C1">
        <w:rPr>
          <w:sz w:val="28"/>
        </w:rPr>
        <w:tab/>
      </w:r>
      <w:r w:rsidRPr="009E38C1">
        <w:rPr>
          <w:sz w:val="28"/>
        </w:rPr>
        <w:tab/>
      </w:r>
      <w:r>
        <w:rPr>
          <w:sz w:val="32"/>
          <w:szCs w:val="32"/>
        </w:rPr>
        <w:tab/>
      </w:r>
      <w:r>
        <w:rPr>
          <w:sz w:val="32"/>
          <w:szCs w:val="32"/>
        </w:rPr>
        <w:tab/>
      </w:r>
      <w:r>
        <w:rPr>
          <w:sz w:val="32"/>
          <w:szCs w:val="32"/>
        </w:rPr>
        <w:tab/>
      </w:r>
      <w:r>
        <w:rPr>
          <w:sz w:val="32"/>
          <w:szCs w:val="32"/>
        </w:rPr>
        <w:tab/>
      </w:r>
    </w:p>
    <w:p w:rsidR="000D733F" w:rsidRDefault="00BD0A15" w:rsidP="00402414">
      <w:pPr>
        <w:pStyle w:val="ListBullet"/>
        <w:numPr>
          <w:ilvl w:val="0"/>
          <w:numId w:val="0"/>
        </w:numPr>
        <w:tabs>
          <w:tab w:val="clear" w:pos="284"/>
        </w:tabs>
      </w:pPr>
      <w:r>
        <w:t xml:space="preserve">This report summarises the progress of the Australian Government’s aid program in Timor-Leste from July 2013 to June 2014. The aid program is implemented in accordance with the </w:t>
      </w:r>
      <w:r w:rsidRPr="00BD0A15">
        <w:rPr>
          <w:i/>
        </w:rPr>
        <w:t>Australia – Timor-Leste Country Strategy 2009-14</w:t>
      </w:r>
      <w:r>
        <w:t xml:space="preserve"> and the</w:t>
      </w:r>
      <w:r w:rsidR="006C4F1D">
        <w:t xml:space="preserve"> priorities jointly agreed by the Governments of Timor-Leste and Australia in the </w:t>
      </w:r>
      <w:r w:rsidRPr="00BD0A15">
        <w:rPr>
          <w:i/>
        </w:rPr>
        <w:t>Strategic Planning Agreement for Development</w:t>
      </w:r>
      <w:r w:rsidR="000D733F" w:rsidRPr="00610DC4">
        <w:t>.</w:t>
      </w:r>
    </w:p>
    <w:p w:rsidR="00402414" w:rsidRDefault="00130BE6" w:rsidP="00A0256D">
      <w:pPr>
        <w:pStyle w:val="ListBullet"/>
        <w:numPr>
          <w:ilvl w:val="0"/>
          <w:numId w:val="0"/>
        </w:numPr>
        <w:tabs>
          <w:tab w:val="clear" w:pos="284"/>
        </w:tabs>
        <w:spacing w:after="0"/>
      </w:pPr>
      <w:r>
        <w:t xml:space="preserve">The report finds that the program has seen </w:t>
      </w:r>
      <w:r w:rsidR="006C4F1D">
        <w:t>solid</w:t>
      </w:r>
      <w:r>
        <w:t xml:space="preserve"> progress</w:t>
      </w:r>
      <w:r w:rsidR="00402414">
        <w:t>, with particular success in</w:t>
      </w:r>
      <w:r>
        <w:t xml:space="preserve"> </w:t>
      </w:r>
    </w:p>
    <w:p w:rsidR="00402414" w:rsidRDefault="00C55862" w:rsidP="00BF0796">
      <w:pPr>
        <w:pStyle w:val="ListBullet"/>
        <w:numPr>
          <w:ilvl w:val="0"/>
          <w:numId w:val="26"/>
        </w:numPr>
        <w:tabs>
          <w:tab w:val="clear" w:pos="284"/>
        </w:tabs>
        <w:spacing w:after="0"/>
      </w:pPr>
      <w:r>
        <w:t>ramp</w:t>
      </w:r>
      <w:r w:rsidR="00CC4A83">
        <w:t>ing up</w:t>
      </w:r>
      <w:r>
        <w:t xml:space="preserve"> our </w:t>
      </w:r>
      <w:r w:rsidR="00321891">
        <w:t xml:space="preserve">support for </w:t>
      </w:r>
      <w:r w:rsidR="00506174">
        <w:t>the Government of Timor-Leste (GoTL)</w:t>
      </w:r>
      <w:r w:rsidR="009E15BB">
        <w:t>’s flagship program for community development</w:t>
      </w:r>
    </w:p>
    <w:p w:rsidR="00402414" w:rsidRDefault="00402414" w:rsidP="00BF0796">
      <w:pPr>
        <w:pStyle w:val="ListBullet"/>
        <w:numPr>
          <w:ilvl w:val="0"/>
          <w:numId w:val="26"/>
        </w:numPr>
        <w:tabs>
          <w:tab w:val="clear" w:pos="284"/>
        </w:tabs>
        <w:spacing w:after="0"/>
      </w:pPr>
      <w:r w:rsidRPr="00402414">
        <w:t xml:space="preserve">signing a </w:t>
      </w:r>
      <w:r w:rsidR="00506174">
        <w:t>d</w:t>
      </w:r>
      <w:r w:rsidRPr="00402414">
        <w:t xml:space="preserve">irect </w:t>
      </w:r>
      <w:r w:rsidR="00506174">
        <w:t>b</w:t>
      </w:r>
      <w:r w:rsidRPr="00402414">
        <w:t xml:space="preserve">udget </w:t>
      </w:r>
      <w:r w:rsidR="00506174">
        <w:t>s</w:t>
      </w:r>
      <w:r w:rsidRPr="00402414">
        <w:t>upport agreement with the Ministry of Finance</w:t>
      </w:r>
      <w:r w:rsidR="001B4EE2">
        <w:t xml:space="preserve"> (MoF)</w:t>
      </w:r>
      <w:r w:rsidRPr="00402414">
        <w:t>, part of an increased focus on governance support and a change in the way we work</w:t>
      </w:r>
    </w:p>
    <w:p w:rsidR="00402414" w:rsidRDefault="00FB15F7" w:rsidP="00BF0796">
      <w:pPr>
        <w:pStyle w:val="ListBullet"/>
        <w:numPr>
          <w:ilvl w:val="0"/>
          <w:numId w:val="26"/>
        </w:numPr>
        <w:tabs>
          <w:tab w:val="clear" w:pos="284"/>
        </w:tabs>
        <w:spacing w:after="0"/>
      </w:pPr>
      <w:r w:rsidRPr="00402414">
        <w:t>increasing</w:t>
      </w:r>
      <w:r w:rsidR="00380347" w:rsidRPr="00402414">
        <w:t xml:space="preserve"> ownership </w:t>
      </w:r>
      <w:r w:rsidR="00402414" w:rsidRPr="00402414">
        <w:t xml:space="preserve">of the </w:t>
      </w:r>
      <w:r w:rsidR="00E5064F">
        <w:t>GoTL</w:t>
      </w:r>
      <w:r w:rsidR="00402414" w:rsidRPr="00402414">
        <w:t xml:space="preserve"> over the </w:t>
      </w:r>
      <w:r w:rsidR="00380347" w:rsidRPr="00402414">
        <w:t>development agenda</w:t>
      </w:r>
      <w:r w:rsidR="00947645" w:rsidRPr="00402414">
        <w:t xml:space="preserve"> and growing capacity</w:t>
      </w:r>
      <w:r w:rsidR="00213C2A">
        <w:t xml:space="preserve"> within the government</w:t>
      </w:r>
    </w:p>
    <w:p w:rsidR="008833E7" w:rsidRDefault="008833E7" w:rsidP="00BF0796">
      <w:pPr>
        <w:pStyle w:val="ListBullet"/>
        <w:numPr>
          <w:ilvl w:val="0"/>
          <w:numId w:val="26"/>
        </w:numPr>
        <w:tabs>
          <w:tab w:val="clear" w:pos="284"/>
        </w:tabs>
        <w:spacing w:after="0"/>
      </w:pPr>
      <w:r w:rsidRPr="00D82F2A">
        <w:t xml:space="preserve">supporting </w:t>
      </w:r>
      <w:r w:rsidR="009E7801">
        <w:t xml:space="preserve">the institutional foundations of </w:t>
      </w:r>
      <w:r w:rsidRPr="00D82F2A">
        <w:t>an effective and accountable national police</w:t>
      </w:r>
      <w:r>
        <w:t xml:space="preserve"> force</w:t>
      </w:r>
      <w:r w:rsidR="004C0324">
        <w:t xml:space="preserve"> through </w:t>
      </w:r>
      <w:r w:rsidR="00CC4A83">
        <w:t xml:space="preserve">the </w:t>
      </w:r>
      <w:r w:rsidR="004C0324">
        <w:t xml:space="preserve">Australian Federal Police (AFP) </w:t>
      </w:r>
    </w:p>
    <w:p w:rsidR="008833E7" w:rsidRPr="00402414" w:rsidRDefault="00CC4A83" w:rsidP="008D2E38">
      <w:pPr>
        <w:pStyle w:val="ListBullet"/>
        <w:numPr>
          <w:ilvl w:val="0"/>
          <w:numId w:val="26"/>
        </w:numPr>
        <w:tabs>
          <w:tab w:val="clear" w:pos="284"/>
        </w:tabs>
        <w:ind w:left="714" w:hanging="357"/>
      </w:pPr>
      <w:r>
        <w:t xml:space="preserve">achieving </w:t>
      </w:r>
      <w:r w:rsidR="00402414" w:rsidRPr="00402414">
        <w:t xml:space="preserve">progress in meaningful integration of gender equality through </w:t>
      </w:r>
      <w:r w:rsidR="00213C2A">
        <w:t>implementation of a g</w:t>
      </w:r>
      <w:r w:rsidR="00402414" w:rsidRPr="00402414">
        <w:t xml:space="preserve">ender </w:t>
      </w:r>
      <w:r w:rsidR="00213C2A">
        <w:t>a</w:t>
      </w:r>
      <w:r w:rsidR="00402414" w:rsidRPr="00402414">
        <w:t xml:space="preserve">ction </w:t>
      </w:r>
      <w:r w:rsidR="00213C2A">
        <w:t>p</w:t>
      </w:r>
      <w:r w:rsidR="00402414" w:rsidRPr="00402414">
        <w:t xml:space="preserve">lan and </w:t>
      </w:r>
      <w:r w:rsidR="009E15BB">
        <w:t>starting</w:t>
      </w:r>
      <w:r w:rsidR="00402414" w:rsidRPr="00402414">
        <w:t xml:space="preserve"> </w:t>
      </w:r>
      <w:r w:rsidR="00321891">
        <w:t>a</w:t>
      </w:r>
      <w:r w:rsidR="00321891" w:rsidRPr="00402414">
        <w:t xml:space="preserve"> </w:t>
      </w:r>
      <w:r w:rsidR="00402414" w:rsidRPr="00402414">
        <w:t>new Ending Violence Against Women program.</w:t>
      </w:r>
    </w:p>
    <w:p w:rsidR="00380347" w:rsidRPr="00402414" w:rsidRDefault="00402414" w:rsidP="00402414">
      <w:pPr>
        <w:pStyle w:val="ListBullet"/>
        <w:numPr>
          <w:ilvl w:val="0"/>
          <w:numId w:val="0"/>
        </w:numPr>
        <w:tabs>
          <w:tab w:val="clear" w:pos="284"/>
        </w:tabs>
      </w:pPr>
      <w:r w:rsidRPr="00402414">
        <w:t>The</w:t>
      </w:r>
      <w:r w:rsidR="00A0256D">
        <w:t xml:space="preserve"> reporting</w:t>
      </w:r>
      <w:r w:rsidRPr="00402414">
        <w:t xml:space="preserve"> period saw </w:t>
      </w:r>
      <w:r w:rsidR="00FB15F7" w:rsidRPr="00402414">
        <w:t>continued consolidation</w:t>
      </w:r>
      <w:r w:rsidRPr="00402414">
        <w:t xml:space="preserve"> in the program</w:t>
      </w:r>
      <w:r w:rsidR="00321891">
        <w:t xml:space="preserve"> and</w:t>
      </w:r>
      <w:r w:rsidR="00321891" w:rsidRPr="00402414">
        <w:t xml:space="preserve"> </w:t>
      </w:r>
      <w:r w:rsidR="00251E02" w:rsidRPr="00402414">
        <w:t xml:space="preserve">the redesign of </w:t>
      </w:r>
      <w:r w:rsidR="00506174">
        <w:t>key</w:t>
      </w:r>
      <w:r w:rsidRPr="00402414">
        <w:t xml:space="preserve"> programs</w:t>
      </w:r>
      <w:r w:rsidR="00506174">
        <w:t xml:space="preserve"> such as health,</w:t>
      </w:r>
      <w:r w:rsidR="00A0256D">
        <w:t xml:space="preserve"> </w:t>
      </w:r>
      <w:r w:rsidRPr="00402414">
        <w:t>to make them</w:t>
      </w:r>
      <w:r w:rsidR="00FB15F7" w:rsidRPr="00402414">
        <w:t xml:space="preserve"> more flexible and responsive to </w:t>
      </w:r>
      <w:r w:rsidR="00E5064F">
        <w:t>GoTL</w:t>
      </w:r>
      <w:r w:rsidR="00E5064F" w:rsidRPr="00402414">
        <w:t xml:space="preserve"> </w:t>
      </w:r>
      <w:r w:rsidR="00FB15F7" w:rsidRPr="00402414">
        <w:t>priorities</w:t>
      </w:r>
      <w:r w:rsidRPr="00402414">
        <w:t>.</w:t>
      </w:r>
      <w:r w:rsidR="0006767E">
        <w:t xml:space="preserve"> </w:t>
      </w:r>
      <w:r w:rsidRPr="00402414">
        <w:t xml:space="preserve">Mixed progress in some sectors, such as education, stressed the importance of responsiveness </w:t>
      </w:r>
      <w:r w:rsidR="00506174">
        <w:t>to</w:t>
      </w:r>
      <w:r w:rsidR="00506174" w:rsidRPr="00402414">
        <w:t xml:space="preserve"> </w:t>
      </w:r>
      <w:r w:rsidRPr="00402414">
        <w:t>partner Ministries</w:t>
      </w:r>
      <w:r w:rsidR="004361C3">
        <w:t>, both in terms of securing</w:t>
      </w:r>
      <w:r w:rsidR="00923F4A">
        <w:t xml:space="preserve"> resources</w:t>
      </w:r>
      <w:r w:rsidR="0006767E">
        <w:t xml:space="preserve">, </w:t>
      </w:r>
      <w:r w:rsidR="00923F4A">
        <w:t>implementing agreed actions</w:t>
      </w:r>
      <w:r w:rsidR="0006767E">
        <w:t xml:space="preserve"> and coordinating with other relevant ministries</w:t>
      </w:r>
      <w:r w:rsidR="00923F4A">
        <w:t xml:space="preserve">. Generating strong </w:t>
      </w:r>
      <w:r w:rsidRPr="00402414">
        <w:t>and mutually accountable</w:t>
      </w:r>
      <w:r w:rsidR="00923F4A">
        <w:t xml:space="preserve"> relationships will remain a pillar of our implementation approach.</w:t>
      </w:r>
    </w:p>
    <w:p w:rsidR="000D733F" w:rsidRPr="00B43B60" w:rsidRDefault="00A467F5" w:rsidP="000D733F">
      <w:pPr>
        <w:pStyle w:val="Heading2"/>
        <w:rPr>
          <w:rStyle w:val="BodyTextChar"/>
          <w:color w:val="auto"/>
        </w:rPr>
      </w:pPr>
      <w:r>
        <w:rPr>
          <w:sz w:val="28"/>
        </w:rPr>
        <w:t>Context</w:t>
      </w:r>
      <w:r w:rsidR="000D733F" w:rsidRPr="009E38C1">
        <w:rPr>
          <w:sz w:val="28"/>
        </w:rPr>
        <w:tab/>
      </w:r>
      <w:r w:rsidR="000D733F">
        <w:rPr>
          <w:sz w:val="32"/>
          <w:szCs w:val="32"/>
        </w:rPr>
        <w:tab/>
      </w:r>
      <w:r w:rsidR="000D733F">
        <w:rPr>
          <w:rStyle w:val="BodyTextChar"/>
        </w:rPr>
        <w:tab/>
      </w:r>
      <w:r w:rsidR="000D733F">
        <w:rPr>
          <w:rStyle w:val="BodyTextChar"/>
        </w:rPr>
        <w:tab/>
      </w:r>
      <w:r w:rsidR="000D733F">
        <w:rPr>
          <w:rStyle w:val="BodyTextChar"/>
        </w:rPr>
        <w:tab/>
      </w:r>
      <w:r w:rsidR="000D733F">
        <w:rPr>
          <w:rStyle w:val="BodyTextChar"/>
        </w:rPr>
        <w:tab/>
      </w:r>
      <w:r w:rsidR="000D733F">
        <w:rPr>
          <w:rStyle w:val="BodyTextChar"/>
        </w:rPr>
        <w:tab/>
      </w:r>
    </w:p>
    <w:p w:rsidR="00DB6048" w:rsidRDefault="0070037F" w:rsidP="00883ADF">
      <w:pPr>
        <w:pStyle w:val="ListBullet"/>
        <w:numPr>
          <w:ilvl w:val="0"/>
          <w:numId w:val="0"/>
        </w:numPr>
        <w:tabs>
          <w:tab w:val="clear" w:pos="284"/>
        </w:tabs>
      </w:pPr>
      <w:r w:rsidRPr="009F261F">
        <w:t>For a post-conflict state, Timor-Leste has made considerable progress in the past twelve years.</w:t>
      </w:r>
      <w:r w:rsidRPr="002B420F">
        <w:t xml:space="preserve"> </w:t>
      </w:r>
      <w:r w:rsidR="0089504F" w:rsidRPr="00EB5C04">
        <w:t xml:space="preserve">Timor-Leste has recently enjoyed a fast growing economy and </w:t>
      </w:r>
      <w:r>
        <w:t>its longest period of stability since independence</w:t>
      </w:r>
      <w:r w:rsidRPr="002B420F">
        <w:t xml:space="preserve">. </w:t>
      </w:r>
      <w:r w:rsidR="0089504F">
        <w:t>Human</w:t>
      </w:r>
      <w:r w:rsidR="0089504F" w:rsidRPr="00EB5C04">
        <w:t xml:space="preserve"> development indicators </w:t>
      </w:r>
      <w:r w:rsidR="0089504F">
        <w:t>continue to improve</w:t>
      </w:r>
      <w:r w:rsidR="0000379A">
        <w:t>, albeit</w:t>
      </w:r>
      <w:r w:rsidR="0089504F">
        <w:t xml:space="preserve"> from a very low base. </w:t>
      </w:r>
      <w:r w:rsidRPr="002B420F">
        <w:t xml:space="preserve">The </w:t>
      </w:r>
      <w:r w:rsidR="00954FB1">
        <w:t>GoTL</w:t>
      </w:r>
      <w:r w:rsidRPr="002B420F">
        <w:t xml:space="preserve"> has establish</w:t>
      </w:r>
      <w:r>
        <w:t>ed</w:t>
      </w:r>
      <w:r w:rsidRPr="002B420F">
        <w:t xml:space="preserve"> </w:t>
      </w:r>
      <w:r>
        <w:t>a</w:t>
      </w:r>
      <w:r w:rsidRPr="002B420F">
        <w:t xml:space="preserve"> national sovereign wealth fund, </w:t>
      </w:r>
      <w:r>
        <w:t xml:space="preserve">called </w:t>
      </w:r>
      <w:r w:rsidRPr="002B420F">
        <w:t xml:space="preserve">the Petroleum Fund, </w:t>
      </w:r>
      <w:r>
        <w:t>which holds $16.6 billion (as at 30 June 2014) in oil and gas revenues</w:t>
      </w:r>
      <w:r w:rsidRPr="002B420F">
        <w:t xml:space="preserve">. The World Bank estimates that post-conflict countries take, on average, forty years to achieve and consolidate stability. </w:t>
      </w:r>
      <w:r>
        <w:t xml:space="preserve">When viewed in this context, the security, economic and poverty reduction </w:t>
      </w:r>
      <w:r w:rsidRPr="008B7D02">
        <w:t xml:space="preserve">gains </w:t>
      </w:r>
      <w:r>
        <w:t>achieved by</w:t>
      </w:r>
      <w:r w:rsidRPr="008B7D02">
        <w:t xml:space="preserve"> </w:t>
      </w:r>
      <w:r>
        <w:t>Timor-Leste</w:t>
      </w:r>
      <w:r w:rsidRPr="008B7D02">
        <w:t xml:space="preserve"> </w:t>
      </w:r>
      <w:r w:rsidR="00895E08">
        <w:t>to date</w:t>
      </w:r>
      <w:r>
        <w:t xml:space="preserve"> are remarkable.</w:t>
      </w:r>
      <w:r w:rsidRPr="002B420F">
        <w:t xml:space="preserve"> </w:t>
      </w:r>
    </w:p>
    <w:p w:rsidR="007D587A" w:rsidRPr="00837FE2" w:rsidRDefault="00DB6048" w:rsidP="0070037F">
      <w:pPr>
        <w:pStyle w:val="ListBullet"/>
        <w:numPr>
          <w:ilvl w:val="0"/>
          <w:numId w:val="0"/>
        </w:numPr>
      </w:pPr>
      <w:r w:rsidRPr="00E5064F">
        <w:t xml:space="preserve">As government institutions mature, Timor-Leste </w:t>
      </w:r>
      <w:r w:rsidR="00E5064F">
        <w:t xml:space="preserve">is taking increasing </w:t>
      </w:r>
      <w:r w:rsidRPr="00E5064F">
        <w:t xml:space="preserve">ownership </w:t>
      </w:r>
      <w:r w:rsidR="00914F25" w:rsidRPr="00E5064F">
        <w:t>of its development agenda</w:t>
      </w:r>
      <w:r w:rsidRPr="00E5064F">
        <w:t xml:space="preserve">. </w:t>
      </w:r>
      <w:r w:rsidR="000E746D">
        <w:t xml:space="preserve">The </w:t>
      </w:r>
      <w:r w:rsidR="000E746D" w:rsidRPr="00E5064F">
        <w:rPr>
          <w:i/>
        </w:rPr>
        <w:t xml:space="preserve">Strategic Development Plan 2011–2030 (SDP) </w:t>
      </w:r>
      <w:r w:rsidR="000E746D" w:rsidRPr="000E746D">
        <w:t xml:space="preserve">outlines </w:t>
      </w:r>
      <w:r w:rsidR="00816DDA">
        <w:t xml:space="preserve">the GoTL’s </w:t>
      </w:r>
      <w:r>
        <w:t xml:space="preserve">vision for </w:t>
      </w:r>
      <w:r w:rsidRPr="00DF7F55">
        <w:t xml:space="preserve">using </w:t>
      </w:r>
      <w:r>
        <w:t xml:space="preserve">its </w:t>
      </w:r>
      <w:r w:rsidR="000E746D">
        <w:t xml:space="preserve">petroleum </w:t>
      </w:r>
      <w:r w:rsidRPr="00DF7F55">
        <w:t>wealth to develop the economy and alleviate poverty</w:t>
      </w:r>
      <w:r w:rsidR="000E746D">
        <w:t xml:space="preserve">. Australia’s commitment to aligning our assistance behind the SDP is articulated in the </w:t>
      </w:r>
      <w:r w:rsidR="000E746D" w:rsidRPr="00E5064F">
        <w:rPr>
          <w:i/>
        </w:rPr>
        <w:t>Strategic Planning Agreement for Development</w:t>
      </w:r>
      <w:r w:rsidR="000E746D">
        <w:t xml:space="preserve">, signed by both countries in 2011 and updated in 2013. </w:t>
      </w:r>
      <w:r w:rsidR="00E56B16">
        <w:t xml:space="preserve">In its role as chair of the g7+ grouping of fragile and conflict affected states (from 2010 until May 2014), Timor-Leste has championed the importance of national ownership and </w:t>
      </w:r>
      <w:r w:rsidR="007D587A">
        <w:t xml:space="preserve">tailoring development assistance to </w:t>
      </w:r>
      <w:r w:rsidR="00E56B16">
        <w:t>context</w:t>
      </w:r>
      <w:r w:rsidR="006745E6">
        <w:t xml:space="preserve">. Timor-Leste played a key role in developing </w:t>
      </w:r>
      <w:r w:rsidR="000E746D">
        <w:t xml:space="preserve">the </w:t>
      </w:r>
      <w:r w:rsidR="000E746D" w:rsidRPr="00816DDA">
        <w:rPr>
          <w:i/>
        </w:rPr>
        <w:t xml:space="preserve">New Deal for Engagement in </w:t>
      </w:r>
      <w:r w:rsidR="00914F25" w:rsidRPr="00816DDA">
        <w:rPr>
          <w:i/>
        </w:rPr>
        <w:t>Fragile and Conflict-affected States</w:t>
      </w:r>
      <w:r w:rsidR="00914F25" w:rsidRPr="00837FE2">
        <w:t>, an approach based on mutual accountability for development outcomes</w:t>
      </w:r>
      <w:r w:rsidR="006745E6" w:rsidRPr="00837FE2">
        <w:t xml:space="preserve">. </w:t>
      </w:r>
      <w:r w:rsidR="00837FE2" w:rsidRPr="00837FE2">
        <w:t>Timor-Leste is one of seven countries globally which is piloting implementation of the New Deal, with Australia as the lead donor partner.</w:t>
      </w:r>
    </w:p>
    <w:p w:rsidR="006B05EE" w:rsidRDefault="006B05EE" w:rsidP="0070037F">
      <w:pPr>
        <w:pStyle w:val="ListBullet"/>
        <w:numPr>
          <w:ilvl w:val="0"/>
          <w:numId w:val="0"/>
        </w:numPr>
      </w:pPr>
      <w:r>
        <w:t>Timor-Leste’s econom</w:t>
      </w:r>
      <w:r w:rsidR="003E1569">
        <w:t>ic</w:t>
      </w:r>
      <w:r>
        <w:t xml:space="preserve"> grow</w:t>
      </w:r>
      <w:r w:rsidR="003E1569">
        <w:t>th has been</w:t>
      </w:r>
      <w:r>
        <w:t xml:space="preserve"> driven by public spending. </w:t>
      </w:r>
      <w:r w:rsidR="003E1569">
        <w:t>Since</w:t>
      </w:r>
      <w:r w:rsidRPr="00EB5C04">
        <w:t xml:space="preserve"> 2007, </w:t>
      </w:r>
      <w:r w:rsidR="0000379A">
        <w:t>GoTL</w:t>
      </w:r>
      <w:r w:rsidRPr="00EB5C04">
        <w:t xml:space="preserve"> </w:t>
      </w:r>
      <w:r>
        <w:t xml:space="preserve">has </w:t>
      </w:r>
      <w:r w:rsidRPr="00EB5C04">
        <w:t xml:space="preserve">used its oil wealth to </w:t>
      </w:r>
      <w:r>
        <w:t xml:space="preserve">bolster the public service and </w:t>
      </w:r>
      <w:r w:rsidRPr="00EB5C04">
        <w:t xml:space="preserve">accelerate investment in infrastructure. This front-loaded development model contributed to rapid economic growth, </w:t>
      </w:r>
      <w:r>
        <w:t>as well as</w:t>
      </w:r>
      <w:r w:rsidRPr="00EB5C04">
        <w:t xml:space="preserve"> high inflation. But with the pace </w:t>
      </w:r>
      <w:r w:rsidRPr="00EB5C04">
        <w:lastRenderedPageBreak/>
        <w:t xml:space="preserve">of public spending slowing from 2012, the economy may be moving to a more sustainable path. </w:t>
      </w:r>
      <w:r>
        <w:t xml:space="preserve">Despite gains from this strategy – such as increased reach of electricity and roads – the benefits of economic growth </w:t>
      </w:r>
      <w:r w:rsidR="00180133">
        <w:t>have</w:t>
      </w:r>
      <w:r w:rsidR="006C4F1D">
        <w:t xml:space="preserve"> </w:t>
      </w:r>
      <w:r>
        <w:t xml:space="preserve">not been felt evenly. </w:t>
      </w:r>
      <w:r w:rsidR="00BF0796">
        <w:t xml:space="preserve">Over </w:t>
      </w:r>
      <w:r w:rsidR="00BF0796" w:rsidRPr="002B420F">
        <w:t>two thirds of Timorese still live below US$2 a day</w:t>
      </w:r>
      <w:r w:rsidR="00BF0796">
        <w:t xml:space="preserve">. </w:t>
      </w:r>
      <w:r>
        <w:t>T</w:t>
      </w:r>
      <w:r w:rsidRPr="00EB5C04">
        <w:t>he private sector remains weak. The country’s mainly subsistence-based agriculture sector struggles with low productivity</w:t>
      </w:r>
      <w:r>
        <w:t xml:space="preserve"> and limited access to markets</w:t>
      </w:r>
      <w:r w:rsidRPr="00EB5C04">
        <w:t>. Businesses face considerable obstacles, including difficulties accessing finance, a low-skilled workforce and poor infrastructure. In this context, there is a risk the economy will not create enough jobs for the fast growing populatio</w:t>
      </w:r>
      <w:r>
        <w:t>n.</w:t>
      </w:r>
    </w:p>
    <w:p w:rsidR="0070037F" w:rsidRPr="00EB5C04" w:rsidRDefault="00EC2CB5" w:rsidP="0070037F">
      <w:pPr>
        <w:pStyle w:val="ListBullet"/>
        <w:numPr>
          <w:ilvl w:val="0"/>
          <w:numId w:val="0"/>
        </w:numPr>
      </w:pPr>
      <w:r w:rsidRPr="00EB5C04">
        <w:t>Timor-Leste has made progress in improving the living standards of its people, but challenges remain</w:t>
      </w:r>
      <w:r>
        <w:t xml:space="preserve">. </w:t>
      </w:r>
      <w:r w:rsidR="00213C2A">
        <w:t xml:space="preserve">Timor-Leste is currently </w:t>
      </w:r>
      <w:r w:rsidR="00213C2A" w:rsidRPr="00EB5C04">
        <w:t xml:space="preserve">ranked 128th in the 2013 Human Development </w:t>
      </w:r>
      <w:r w:rsidR="00213C2A">
        <w:t xml:space="preserve">Index, up five places from 2008. </w:t>
      </w:r>
      <w:r w:rsidR="008064EF">
        <w:t>Despit</w:t>
      </w:r>
      <w:r w:rsidR="0000195D">
        <w:t>e progress, Timor-Leste is not yet ‘on-track’ for</w:t>
      </w:r>
      <w:r w:rsidR="008064EF">
        <w:t xml:space="preserve"> a number of MDGs</w:t>
      </w:r>
      <w:r w:rsidR="00A633E6">
        <w:t xml:space="preserve">, including </w:t>
      </w:r>
      <w:r w:rsidR="0070037F">
        <w:t>eradicating extreme poverty and hunger</w:t>
      </w:r>
      <w:r w:rsidR="00C557B1">
        <w:t>, improving maternal health and universal primary education</w:t>
      </w:r>
      <w:r w:rsidR="00A0256D">
        <w:t>.</w:t>
      </w:r>
      <w:r w:rsidR="0070037F">
        <w:t xml:space="preserve"> </w:t>
      </w:r>
      <w:r w:rsidR="0000379A">
        <w:t>N</w:t>
      </w:r>
      <w:r w:rsidR="0000379A" w:rsidRPr="00EB5C04">
        <w:t xml:space="preserve">utrition </w:t>
      </w:r>
      <w:r w:rsidR="007016EA">
        <w:t>is</w:t>
      </w:r>
      <w:r w:rsidR="0000379A" w:rsidRPr="00EB5C04">
        <w:t xml:space="preserve"> a major concern: 50 per cent of childre</w:t>
      </w:r>
      <w:r w:rsidR="0000379A">
        <w:t>n under five have stunted growth</w:t>
      </w:r>
      <w:r w:rsidR="0000379A" w:rsidRPr="00EB5C04">
        <w:t xml:space="preserve"> – an improvement on 58 per cent in 2009-10, but still one of</w:t>
      </w:r>
      <w:r w:rsidR="0000379A">
        <w:t xml:space="preserve"> the highest rates in the world</w:t>
      </w:r>
      <w:r w:rsidR="0000379A" w:rsidRPr="00EB5C04">
        <w:t>.</w:t>
      </w:r>
      <w:r w:rsidR="0000379A">
        <w:t xml:space="preserve"> </w:t>
      </w:r>
      <w:r w:rsidR="00B13A06" w:rsidRPr="00EB5C04">
        <w:t>The maternal mortality r</w:t>
      </w:r>
      <w:r w:rsidR="00D13402">
        <w:t>ate is the highest in the region at 557</w:t>
      </w:r>
      <w:r w:rsidR="00B13A06" w:rsidRPr="00EB5C04">
        <w:t xml:space="preserve"> deaths per 100,000 liv</w:t>
      </w:r>
      <w:r w:rsidR="00B13A06">
        <w:t>e births</w:t>
      </w:r>
      <w:r w:rsidR="00B13A06" w:rsidRPr="00EB5C04">
        <w:t xml:space="preserve">. School enrolment has improved, but the quality of education remains poor. </w:t>
      </w:r>
      <w:r w:rsidR="00D13402">
        <w:t>W</w:t>
      </w:r>
      <w:r w:rsidR="0070037F">
        <w:t>omen face significant barriers in accessing education and employment</w:t>
      </w:r>
      <w:r w:rsidR="0000379A">
        <w:t>,</w:t>
      </w:r>
      <w:r w:rsidR="00D13402">
        <w:t xml:space="preserve"> and </w:t>
      </w:r>
      <w:r w:rsidR="0000379A">
        <w:t xml:space="preserve">there are </w:t>
      </w:r>
      <w:r w:rsidR="00D13402">
        <w:t>high rates of violence</w:t>
      </w:r>
      <w:r w:rsidR="00816DDA">
        <w:t xml:space="preserve"> against women</w:t>
      </w:r>
      <w:r w:rsidR="0070037F">
        <w:t>.</w:t>
      </w:r>
      <w:r w:rsidR="00B13A06" w:rsidRPr="00EB5C04">
        <w:t xml:space="preserve"> </w:t>
      </w:r>
    </w:p>
    <w:p w:rsidR="0070037F" w:rsidRDefault="0070037F" w:rsidP="0070037F">
      <w:pPr>
        <w:pStyle w:val="ListBullet"/>
        <w:numPr>
          <w:ilvl w:val="0"/>
          <w:numId w:val="0"/>
        </w:numPr>
      </w:pPr>
      <w:r>
        <w:t xml:space="preserve">Australia is the largest development partner, accounting for </w:t>
      </w:r>
      <w:r w:rsidRPr="0070037F">
        <w:t>39 percent</w:t>
      </w:r>
      <w:r w:rsidRPr="00C13E58">
        <w:rPr>
          <w:b/>
          <w:i/>
        </w:rPr>
        <w:t xml:space="preserve"> </w:t>
      </w:r>
      <w:r w:rsidRPr="00C13E58">
        <w:t xml:space="preserve">of </w:t>
      </w:r>
      <w:r>
        <w:t>total aid</w:t>
      </w:r>
      <w:r w:rsidR="00CC4A83">
        <w:t xml:space="preserve"> to Timor-Leste</w:t>
      </w:r>
      <w:r w:rsidR="0090527C">
        <w:t xml:space="preserve"> in </w:t>
      </w:r>
      <w:r w:rsidR="00CC4A83">
        <w:t>2013</w:t>
      </w:r>
      <w:r>
        <w:t xml:space="preserve">. </w:t>
      </w:r>
      <w:r w:rsidRPr="00564B83">
        <w:t xml:space="preserve">Australia provides over three times more ODA than each of the next largest donors - US, EU, Portugal and Japan. Loans to </w:t>
      </w:r>
      <w:r w:rsidR="00CC4A83">
        <w:t xml:space="preserve">GoTL </w:t>
      </w:r>
      <w:r w:rsidRPr="00564B83">
        <w:t xml:space="preserve">by the multilateral development banks are increasing. </w:t>
      </w:r>
      <w:r w:rsidR="009E15BB">
        <w:t>However aid is becoming relatively less important to Timor-Leste - i</w:t>
      </w:r>
      <w:r w:rsidRPr="00564B83">
        <w:t>n 2002, ODA accounted for 75 per cent of Timor-Leste’s budget, but it now represents less than 6 per cent</w:t>
      </w:r>
      <w:r w:rsidR="00B13A06">
        <w:t>.</w:t>
      </w:r>
    </w:p>
    <w:p w:rsidR="0070037F" w:rsidRDefault="007D587A" w:rsidP="0070037F">
      <w:pPr>
        <w:pStyle w:val="ListBullet"/>
        <w:numPr>
          <w:ilvl w:val="0"/>
          <w:numId w:val="0"/>
        </w:numPr>
      </w:pPr>
      <w:r>
        <w:t xml:space="preserve">Australia’s </w:t>
      </w:r>
      <w:r w:rsidR="0070037F">
        <w:t xml:space="preserve">aid program </w:t>
      </w:r>
      <w:r w:rsidR="00180133">
        <w:t>has</w:t>
      </w:r>
      <w:r w:rsidR="0070037F">
        <w:t xml:space="preserve"> been designed to factor in the changing political and economic context in Timor-Leste. DFAT carries out regular political economy analysis, ensuring responsiveness to </w:t>
      </w:r>
      <w:r w:rsidR="00707DD1">
        <w:t>GoTL’s</w:t>
      </w:r>
      <w:r w:rsidR="0070037F">
        <w:t xml:space="preserve"> increasing ownership </w:t>
      </w:r>
      <w:r w:rsidR="00707DD1">
        <w:t xml:space="preserve">of its </w:t>
      </w:r>
      <w:r w:rsidR="00DC46EF">
        <w:t>development agenda</w:t>
      </w:r>
      <w:r w:rsidR="0070037F">
        <w:t>. Within this context, DFAT’s program i</w:t>
      </w:r>
      <w:r w:rsidR="00837FE2">
        <w:t xml:space="preserve">s designed to work iteratively, </w:t>
      </w:r>
      <w:r w:rsidR="0070037F">
        <w:t>with an emphasis on partnership</w:t>
      </w:r>
      <w:r w:rsidR="00DD5C03">
        <w:t>, flexibility</w:t>
      </w:r>
      <w:r w:rsidR="0070037F">
        <w:t xml:space="preserve"> and mutual accountability. </w:t>
      </w:r>
      <w:r w:rsidR="00DD5C03">
        <w:t>This approach is particularly important in a post-conflict environment.</w:t>
      </w:r>
    </w:p>
    <w:p w:rsidR="0070037F" w:rsidRDefault="00F24A28" w:rsidP="0070037F">
      <w:pPr>
        <w:pStyle w:val="ListBullet"/>
        <w:numPr>
          <w:ilvl w:val="0"/>
          <w:numId w:val="0"/>
        </w:numPr>
      </w:pPr>
      <w:r>
        <w:t xml:space="preserve">Australian assistance is aligned with </w:t>
      </w:r>
      <w:r w:rsidR="00CC4A83">
        <w:t>the</w:t>
      </w:r>
      <w:r>
        <w:t xml:space="preserve"> priorities outlined in </w:t>
      </w:r>
      <w:r w:rsidR="00CC4A83">
        <w:t>Timor-Leste’s</w:t>
      </w:r>
      <w:r>
        <w:t xml:space="preserve"> SDP. </w:t>
      </w:r>
      <w:r w:rsidR="0070037F">
        <w:t>In 2013-14</w:t>
      </w:r>
      <w:r w:rsidR="00CC4A83">
        <w:t>,</w:t>
      </w:r>
      <w:r w:rsidR="0070037F">
        <w:t xml:space="preserve"> the program focused on sectors which Australia and Timor-Leste agreed were priorities with significant capacity constraints. These were rural development, including increased agricultural productivity and improved infrastructure such as rural roads and water and sanitation systems; better access to and quality of </w:t>
      </w:r>
      <w:r w:rsidR="00863BA9">
        <w:t xml:space="preserve">health and </w:t>
      </w:r>
      <w:r w:rsidR="0070037F">
        <w:t>education; strengthened public sector administration and governance to ensure the public sector had the capacity to provide quality service</w:t>
      </w:r>
      <w:r w:rsidR="00180133">
        <w:t>s</w:t>
      </w:r>
      <w:r w:rsidR="0070037F">
        <w:t xml:space="preserve"> to the Timorese people; and security, in the form of police training. </w:t>
      </w:r>
    </w:p>
    <w:p w:rsidR="0000195D" w:rsidRDefault="0000195D">
      <w:pPr>
        <w:spacing w:after="200" w:line="276" w:lineRule="auto"/>
        <w:rPr>
          <w:rFonts w:ascii="Helvetica" w:eastAsia="Times New Roman" w:hAnsi="Helvetica" w:cs="Arial"/>
          <w:color w:val="007FAD"/>
          <w:kern w:val="28"/>
          <w:sz w:val="28"/>
          <w:szCs w:val="28"/>
        </w:rPr>
      </w:pPr>
      <w:r>
        <w:rPr>
          <w:sz w:val="28"/>
        </w:rPr>
        <w:br w:type="page"/>
      </w:r>
    </w:p>
    <w:p w:rsidR="000D733F" w:rsidRPr="009E38C1" w:rsidRDefault="000D733F" w:rsidP="000D733F">
      <w:pPr>
        <w:pStyle w:val="Heading2"/>
        <w:rPr>
          <w:sz w:val="28"/>
        </w:rPr>
      </w:pPr>
      <w:r w:rsidRPr="009E38C1">
        <w:rPr>
          <w:sz w:val="28"/>
        </w:rPr>
        <w:lastRenderedPageBreak/>
        <w:t>Expenditure</w:t>
      </w:r>
    </w:p>
    <w:p w:rsidR="006B6703" w:rsidRPr="0005017A" w:rsidRDefault="00E56BED" w:rsidP="006B6703">
      <w:pPr>
        <w:pStyle w:val="Caption"/>
      </w:pPr>
      <w:r>
        <w:t>Table 1</w:t>
      </w:r>
      <w:r w:rsidR="006B6703" w:rsidRPr="0005017A">
        <w:t xml:space="preserve">: </w:t>
      </w:r>
      <w:r>
        <w:t>E</w:t>
      </w:r>
      <w:r w:rsidR="00260CDC">
        <w:t>xpenditure in 2013–14</w:t>
      </w:r>
    </w:p>
    <w:tbl>
      <w:tblPr>
        <w:tblStyle w:val="APPR"/>
        <w:tblW w:w="5000" w:type="pct"/>
        <w:tblLook w:val="0000" w:firstRow="0" w:lastRow="0" w:firstColumn="0" w:lastColumn="0" w:noHBand="0" w:noVBand="0"/>
      </w:tblPr>
      <w:tblGrid>
        <w:gridCol w:w="6796"/>
        <w:gridCol w:w="857"/>
        <w:gridCol w:w="1646"/>
      </w:tblGrid>
      <w:tr w:rsidR="006632DD" w:rsidRPr="001159CC" w:rsidTr="008D2E38">
        <w:trPr>
          <w:cnfStyle w:val="000000010000" w:firstRow="0" w:lastRow="0" w:firstColumn="0" w:lastColumn="0" w:oddVBand="0" w:evenVBand="0" w:oddHBand="0" w:evenHBand="1" w:firstRowFirstColumn="0" w:firstRowLastColumn="0" w:lastRowFirstColumn="0" w:lastRowLastColumn="0"/>
        </w:trPr>
        <w:tc>
          <w:tcPr>
            <w:tcW w:w="0" w:type="auto"/>
          </w:tcPr>
          <w:p w:rsidR="006B6703" w:rsidRPr="00991FE6" w:rsidRDefault="006B6703" w:rsidP="00402782">
            <w:pPr>
              <w:pStyle w:val="TableHeading1"/>
              <w:rPr>
                <w:b w:val="0"/>
              </w:rPr>
            </w:pPr>
            <w:r w:rsidRPr="00991FE6">
              <w:t>Objective</w:t>
            </w:r>
          </w:p>
        </w:tc>
        <w:tc>
          <w:tcPr>
            <w:tcW w:w="0" w:type="auto"/>
          </w:tcPr>
          <w:p w:rsidR="006B6703" w:rsidRPr="00991FE6" w:rsidRDefault="006B6703" w:rsidP="008D2E38">
            <w:pPr>
              <w:pStyle w:val="TableHeading1"/>
              <w:jc w:val="right"/>
              <w:rPr>
                <w:b w:val="0"/>
              </w:rPr>
            </w:pPr>
            <w:r w:rsidRPr="00991FE6">
              <w:t>$ million</w:t>
            </w:r>
          </w:p>
        </w:tc>
        <w:tc>
          <w:tcPr>
            <w:tcW w:w="0" w:type="auto"/>
          </w:tcPr>
          <w:p w:rsidR="006B6703" w:rsidRPr="00991FE6" w:rsidRDefault="006B6703" w:rsidP="008D2E38">
            <w:pPr>
              <w:pStyle w:val="TableHeading1"/>
              <w:jc w:val="right"/>
              <w:rPr>
                <w:b w:val="0"/>
              </w:rPr>
            </w:pPr>
            <w:r w:rsidRPr="00991FE6">
              <w:t xml:space="preserve"> % bilateral program</w:t>
            </w:r>
          </w:p>
        </w:tc>
      </w:tr>
      <w:tr w:rsidR="006632DD" w:rsidRPr="001159CC" w:rsidTr="00402782">
        <w:trPr>
          <w:cnfStyle w:val="000000010000" w:firstRow="0" w:lastRow="0" w:firstColumn="0" w:lastColumn="0" w:oddVBand="0" w:evenVBand="0" w:oddHBand="0" w:evenHBand="1" w:firstRowFirstColumn="0" w:firstRowLastColumn="0" w:lastRowFirstColumn="0" w:lastRowLastColumn="0"/>
        </w:trPr>
        <w:tc>
          <w:tcPr>
            <w:tcW w:w="0" w:type="auto"/>
          </w:tcPr>
          <w:p w:rsidR="006B6703" w:rsidRPr="001B4EE2" w:rsidRDefault="006B6703" w:rsidP="001B4EE2">
            <w:pPr>
              <w:pStyle w:val="TableTextEntries"/>
              <w:rPr>
                <w:rFonts w:eastAsia="SimSun"/>
              </w:rPr>
            </w:pPr>
            <w:r w:rsidRPr="001B4EE2">
              <w:rPr>
                <w:rFonts w:eastAsia="SimSun"/>
              </w:rPr>
              <w:t xml:space="preserve">STRATEGIC DEVELOPMENT PLAN PILLAR: INFRASTRUCTURE </w:t>
            </w:r>
          </w:p>
        </w:tc>
        <w:tc>
          <w:tcPr>
            <w:tcW w:w="0" w:type="auto"/>
          </w:tcPr>
          <w:p w:rsidR="006B6703" w:rsidRPr="001B4EE2" w:rsidRDefault="006B6703" w:rsidP="001B4EE2">
            <w:pPr>
              <w:pStyle w:val="TableTextEntries"/>
              <w:rPr>
                <w:rFonts w:eastAsia="SimSun"/>
              </w:rPr>
            </w:pPr>
          </w:p>
        </w:tc>
        <w:tc>
          <w:tcPr>
            <w:tcW w:w="0" w:type="auto"/>
          </w:tcPr>
          <w:p w:rsidR="006B6703" w:rsidRPr="001B4EE2" w:rsidRDefault="006B6703" w:rsidP="001B4EE2">
            <w:pPr>
              <w:pStyle w:val="TableTextEntries"/>
              <w:rPr>
                <w:rFonts w:eastAsia="SimSun"/>
              </w:rPr>
            </w:pPr>
          </w:p>
        </w:tc>
      </w:tr>
      <w:tr w:rsidR="006632DD" w:rsidRPr="001159CC" w:rsidTr="008D2E38">
        <w:trPr>
          <w:cnfStyle w:val="000000010000" w:firstRow="0" w:lastRow="0" w:firstColumn="0" w:lastColumn="0" w:oddVBand="0" w:evenVBand="0" w:oddHBand="0" w:evenHBand="1" w:firstRowFirstColumn="0" w:firstRowLastColumn="0" w:lastRowFirstColumn="0" w:lastRowLastColumn="0"/>
        </w:trPr>
        <w:tc>
          <w:tcPr>
            <w:tcW w:w="0" w:type="auto"/>
          </w:tcPr>
          <w:p w:rsidR="006B6703" w:rsidRPr="001B4EE2" w:rsidRDefault="006B6703" w:rsidP="001B4EE2">
            <w:pPr>
              <w:pStyle w:val="TableTextEntries"/>
              <w:rPr>
                <w:rFonts w:eastAsia="SimSun"/>
              </w:rPr>
            </w:pPr>
            <w:r w:rsidRPr="001B4EE2">
              <w:rPr>
                <w:rFonts w:eastAsia="SimSun"/>
              </w:rPr>
              <w:t>Objective 1: Water, sanitation and hygiene</w:t>
            </w:r>
          </w:p>
        </w:tc>
        <w:tc>
          <w:tcPr>
            <w:tcW w:w="0" w:type="auto"/>
          </w:tcPr>
          <w:p w:rsidR="006B6703" w:rsidRPr="001B4EE2" w:rsidRDefault="00E56BED" w:rsidP="001B4EE2">
            <w:pPr>
              <w:pStyle w:val="TableTextEntries"/>
              <w:jc w:val="right"/>
              <w:rPr>
                <w:rFonts w:eastAsia="SimSun"/>
              </w:rPr>
            </w:pPr>
            <w:r w:rsidRPr="001B4EE2">
              <w:rPr>
                <w:rFonts w:eastAsia="SimSun"/>
              </w:rPr>
              <w:t>9.13</w:t>
            </w:r>
          </w:p>
        </w:tc>
        <w:tc>
          <w:tcPr>
            <w:tcW w:w="0" w:type="auto"/>
          </w:tcPr>
          <w:p w:rsidR="006B6703" w:rsidRPr="001B4EE2" w:rsidRDefault="006632DD" w:rsidP="001B4EE2">
            <w:pPr>
              <w:pStyle w:val="TableTextEntries"/>
              <w:jc w:val="right"/>
              <w:rPr>
                <w:rFonts w:eastAsia="SimSun"/>
              </w:rPr>
            </w:pPr>
            <w:r w:rsidRPr="001B4EE2">
              <w:rPr>
                <w:rFonts w:eastAsia="SimSun"/>
              </w:rPr>
              <w:t>9</w:t>
            </w:r>
          </w:p>
        </w:tc>
      </w:tr>
      <w:tr w:rsidR="006632DD" w:rsidRPr="001159CC" w:rsidTr="008D2E38">
        <w:trPr>
          <w:cnfStyle w:val="000000010000" w:firstRow="0" w:lastRow="0" w:firstColumn="0" w:lastColumn="0" w:oddVBand="0" w:evenVBand="0" w:oddHBand="0" w:evenHBand="1" w:firstRowFirstColumn="0" w:firstRowLastColumn="0" w:lastRowFirstColumn="0" w:lastRowLastColumn="0"/>
        </w:trPr>
        <w:tc>
          <w:tcPr>
            <w:tcW w:w="0" w:type="auto"/>
          </w:tcPr>
          <w:p w:rsidR="006B6703" w:rsidRPr="001B4EE2" w:rsidRDefault="006B6703" w:rsidP="001B4EE2">
            <w:pPr>
              <w:pStyle w:val="TableTextEntries"/>
              <w:rPr>
                <w:rFonts w:eastAsia="SimSun"/>
              </w:rPr>
            </w:pPr>
            <w:r w:rsidRPr="001B4EE2">
              <w:rPr>
                <w:rFonts w:eastAsia="SimSun"/>
              </w:rPr>
              <w:t>Objective 2: Rural roads</w:t>
            </w:r>
          </w:p>
        </w:tc>
        <w:tc>
          <w:tcPr>
            <w:tcW w:w="0" w:type="auto"/>
          </w:tcPr>
          <w:p w:rsidR="006B6703" w:rsidRPr="001B4EE2" w:rsidRDefault="00E56BED" w:rsidP="001B4EE2">
            <w:pPr>
              <w:pStyle w:val="TableTextEntries"/>
              <w:jc w:val="right"/>
              <w:rPr>
                <w:rFonts w:eastAsia="SimSun"/>
              </w:rPr>
            </w:pPr>
            <w:r w:rsidRPr="001B4EE2">
              <w:rPr>
                <w:rFonts w:eastAsia="SimSun"/>
              </w:rPr>
              <w:t>6.1</w:t>
            </w:r>
            <w:r w:rsidR="0065243C" w:rsidRPr="001B4EE2">
              <w:rPr>
                <w:rFonts w:eastAsia="SimSun"/>
              </w:rPr>
              <w:t>5</w:t>
            </w:r>
          </w:p>
        </w:tc>
        <w:tc>
          <w:tcPr>
            <w:tcW w:w="0" w:type="auto"/>
          </w:tcPr>
          <w:p w:rsidR="006B6703" w:rsidRPr="001B4EE2" w:rsidRDefault="006632DD" w:rsidP="001B4EE2">
            <w:pPr>
              <w:pStyle w:val="TableTextEntries"/>
              <w:jc w:val="right"/>
              <w:rPr>
                <w:rFonts w:eastAsia="SimSun"/>
              </w:rPr>
            </w:pPr>
            <w:r w:rsidRPr="001B4EE2">
              <w:rPr>
                <w:rFonts w:eastAsia="SimSun"/>
              </w:rPr>
              <w:t>6</w:t>
            </w:r>
          </w:p>
        </w:tc>
      </w:tr>
      <w:tr w:rsidR="006632DD" w:rsidRPr="001159CC" w:rsidTr="008D2E38">
        <w:trPr>
          <w:cnfStyle w:val="000000010000" w:firstRow="0" w:lastRow="0" w:firstColumn="0" w:lastColumn="0" w:oddVBand="0" w:evenVBand="0" w:oddHBand="0" w:evenHBand="1" w:firstRowFirstColumn="0" w:firstRowLastColumn="0" w:lastRowFirstColumn="0" w:lastRowLastColumn="0"/>
        </w:trPr>
        <w:tc>
          <w:tcPr>
            <w:tcW w:w="0" w:type="auto"/>
          </w:tcPr>
          <w:p w:rsidR="006B6703" w:rsidRPr="001B4EE2" w:rsidRDefault="006B6703" w:rsidP="001B4EE2">
            <w:pPr>
              <w:pStyle w:val="TableTextEntries"/>
              <w:rPr>
                <w:rFonts w:eastAsia="SimSun"/>
              </w:rPr>
            </w:pPr>
            <w:r w:rsidRPr="001B4EE2">
              <w:rPr>
                <w:rFonts w:eastAsia="SimSun"/>
              </w:rPr>
              <w:t>STRATEGIC DEVELOPMENT PLAN PILLAR: ECONOMIC DEVELOPMENT</w:t>
            </w:r>
          </w:p>
        </w:tc>
        <w:tc>
          <w:tcPr>
            <w:tcW w:w="0" w:type="auto"/>
          </w:tcPr>
          <w:p w:rsidR="006B6703" w:rsidRPr="001B4EE2" w:rsidRDefault="006B6703" w:rsidP="001B4EE2">
            <w:pPr>
              <w:pStyle w:val="TableTextEntries"/>
              <w:jc w:val="right"/>
              <w:rPr>
                <w:rFonts w:eastAsia="SimSun"/>
              </w:rPr>
            </w:pPr>
          </w:p>
        </w:tc>
        <w:tc>
          <w:tcPr>
            <w:tcW w:w="0" w:type="auto"/>
          </w:tcPr>
          <w:p w:rsidR="006B6703" w:rsidRPr="001B4EE2" w:rsidRDefault="006B6703" w:rsidP="001B4EE2">
            <w:pPr>
              <w:pStyle w:val="TableTextEntries"/>
              <w:jc w:val="right"/>
              <w:rPr>
                <w:rFonts w:eastAsia="SimSun"/>
              </w:rPr>
            </w:pPr>
          </w:p>
        </w:tc>
      </w:tr>
      <w:tr w:rsidR="006632DD" w:rsidRPr="001159CC" w:rsidTr="008D2E38">
        <w:trPr>
          <w:cnfStyle w:val="000000010000" w:firstRow="0" w:lastRow="0" w:firstColumn="0" w:lastColumn="0" w:oddVBand="0" w:evenVBand="0" w:oddHBand="0" w:evenHBand="1" w:firstRowFirstColumn="0" w:firstRowLastColumn="0" w:lastRowFirstColumn="0" w:lastRowLastColumn="0"/>
        </w:trPr>
        <w:tc>
          <w:tcPr>
            <w:tcW w:w="0" w:type="auto"/>
          </w:tcPr>
          <w:p w:rsidR="006B6703" w:rsidRPr="001B4EE2" w:rsidRDefault="006B6703" w:rsidP="001B4EE2">
            <w:pPr>
              <w:pStyle w:val="TableTextEntries"/>
              <w:rPr>
                <w:rFonts w:eastAsia="SimSun"/>
              </w:rPr>
            </w:pPr>
            <w:r w:rsidRPr="001B4EE2">
              <w:rPr>
                <w:rFonts w:eastAsia="SimSun"/>
              </w:rPr>
              <w:t>Objective 3: Agriculture</w:t>
            </w:r>
          </w:p>
        </w:tc>
        <w:tc>
          <w:tcPr>
            <w:tcW w:w="0" w:type="auto"/>
          </w:tcPr>
          <w:p w:rsidR="006B6703" w:rsidRPr="001B4EE2" w:rsidRDefault="00E56BED" w:rsidP="001B4EE2">
            <w:pPr>
              <w:pStyle w:val="TableTextEntries"/>
              <w:jc w:val="right"/>
              <w:rPr>
                <w:rFonts w:eastAsia="SimSun"/>
              </w:rPr>
            </w:pPr>
            <w:r w:rsidRPr="001B4EE2">
              <w:rPr>
                <w:rFonts w:eastAsia="SimSun"/>
              </w:rPr>
              <w:t>4.41</w:t>
            </w:r>
          </w:p>
        </w:tc>
        <w:tc>
          <w:tcPr>
            <w:tcW w:w="0" w:type="auto"/>
          </w:tcPr>
          <w:p w:rsidR="006B6703" w:rsidRPr="001B4EE2" w:rsidRDefault="00260CDC" w:rsidP="001B4EE2">
            <w:pPr>
              <w:pStyle w:val="TableTextEntries"/>
              <w:jc w:val="right"/>
              <w:rPr>
                <w:rFonts w:eastAsia="SimSun"/>
              </w:rPr>
            </w:pPr>
            <w:r w:rsidRPr="001B4EE2">
              <w:rPr>
                <w:rFonts w:eastAsia="SimSun"/>
              </w:rPr>
              <w:t>4</w:t>
            </w:r>
          </w:p>
        </w:tc>
      </w:tr>
      <w:tr w:rsidR="006632DD" w:rsidRPr="001159CC" w:rsidTr="008D2E38">
        <w:trPr>
          <w:cnfStyle w:val="000000010000" w:firstRow="0" w:lastRow="0" w:firstColumn="0" w:lastColumn="0" w:oddVBand="0" w:evenVBand="0" w:oddHBand="0" w:evenHBand="1" w:firstRowFirstColumn="0" w:firstRowLastColumn="0" w:lastRowFirstColumn="0" w:lastRowLastColumn="0"/>
        </w:trPr>
        <w:tc>
          <w:tcPr>
            <w:tcW w:w="0" w:type="auto"/>
          </w:tcPr>
          <w:p w:rsidR="006B6703" w:rsidRPr="001B4EE2" w:rsidRDefault="006B6703" w:rsidP="001B4EE2">
            <w:pPr>
              <w:pStyle w:val="TableTextEntries"/>
              <w:rPr>
                <w:rFonts w:eastAsia="SimSun"/>
              </w:rPr>
            </w:pPr>
            <w:r w:rsidRPr="001B4EE2">
              <w:rPr>
                <w:rFonts w:eastAsia="SimSun"/>
              </w:rPr>
              <w:t>STRATEGIC DEVELOPMENT PLAN PILLAR: SOCIAL CAPITAL</w:t>
            </w:r>
          </w:p>
        </w:tc>
        <w:tc>
          <w:tcPr>
            <w:tcW w:w="0" w:type="auto"/>
          </w:tcPr>
          <w:p w:rsidR="006B6703" w:rsidRPr="001B4EE2" w:rsidRDefault="006B6703" w:rsidP="001B4EE2">
            <w:pPr>
              <w:pStyle w:val="TableTextEntries"/>
              <w:jc w:val="right"/>
              <w:rPr>
                <w:rFonts w:eastAsia="SimSun"/>
              </w:rPr>
            </w:pPr>
          </w:p>
        </w:tc>
        <w:tc>
          <w:tcPr>
            <w:tcW w:w="0" w:type="auto"/>
          </w:tcPr>
          <w:p w:rsidR="006B6703" w:rsidRPr="001B4EE2" w:rsidRDefault="006B6703" w:rsidP="001B4EE2">
            <w:pPr>
              <w:pStyle w:val="TableTextEntries"/>
              <w:jc w:val="right"/>
              <w:rPr>
                <w:rFonts w:eastAsia="SimSun"/>
              </w:rPr>
            </w:pPr>
          </w:p>
        </w:tc>
      </w:tr>
      <w:tr w:rsidR="006632DD" w:rsidRPr="001159CC" w:rsidTr="008D2E38">
        <w:trPr>
          <w:cnfStyle w:val="000000010000" w:firstRow="0" w:lastRow="0" w:firstColumn="0" w:lastColumn="0" w:oddVBand="0" w:evenVBand="0" w:oddHBand="0" w:evenHBand="1" w:firstRowFirstColumn="0" w:firstRowLastColumn="0" w:lastRowFirstColumn="0" w:lastRowLastColumn="0"/>
        </w:trPr>
        <w:tc>
          <w:tcPr>
            <w:tcW w:w="0" w:type="auto"/>
          </w:tcPr>
          <w:p w:rsidR="006B6703" w:rsidRPr="001B4EE2" w:rsidRDefault="006B6703" w:rsidP="001B4EE2">
            <w:pPr>
              <w:pStyle w:val="TableTextEntries"/>
              <w:rPr>
                <w:rFonts w:eastAsia="SimSun"/>
              </w:rPr>
            </w:pPr>
            <w:r w:rsidRPr="001B4EE2">
              <w:rPr>
                <w:rFonts w:eastAsia="SimSun"/>
              </w:rPr>
              <w:t>Objective 4: Education</w:t>
            </w:r>
            <w:r w:rsidR="00BF3214" w:rsidRPr="001B4EE2">
              <w:rPr>
                <w:rFonts w:eastAsia="SimSun"/>
              </w:rPr>
              <w:t xml:space="preserve"> (including Scholarships)</w:t>
            </w:r>
          </w:p>
        </w:tc>
        <w:tc>
          <w:tcPr>
            <w:tcW w:w="0" w:type="auto"/>
          </w:tcPr>
          <w:p w:rsidR="006B6703" w:rsidRPr="001B4EE2" w:rsidRDefault="001961A8" w:rsidP="001B4EE2">
            <w:pPr>
              <w:pStyle w:val="TableTextEntries"/>
              <w:jc w:val="right"/>
              <w:rPr>
                <w:rFonts w:eastAsia="SimSun"/>
              </w:rPr>
            </w:pPr>
            <w:r w:rsidRPr="001B4EE2">
              <w:rPr>
                <w:rFonts w:eastAsia="SimSun"/>
              </w:rPr>
              <w:t>15.15</w:t>
            </w:r>
          </w:p>
        </w:tc>
        <w:tc>
          <w:tcPr>
            <w:tcW w:w="0" w:type="auto"/>
          </w:tcPr>
          <w:p w:rsidR="006B6703" w:rsidRPr="001B4EE2" w:rsidRDefault="006632DD" w:rsidP="001B4EE2">
            <w:pPr>
              <w:pStyle w:val="TableTextEntries"/>
              <w:jc w:val="right"/>
              <w:rPr>
                <w:rFonts w:eastAsia="SimSun"/>
              </w:rPr>
            </w:pPr>
            <w:r w:rsidRPr="001B4EE2">
              <w:rPr>
                <w:rFonts w:eastAsia="SimSun"/>
              </w:rPr>
              <w:t>1</w:t>
            </w:r>
            <w:r w:rsidR="001961A8" w:rsidRPr="001B4EE2">
              <w:rPr>
                <w:rFonts w:eastAsia="SimSun"/>
              </w:rPr>
              <w:t>5</w:t>
            </w:r>
          </w:p>
        </w:tc>
      </w:tr>
      <w:tr w:rsidR="006632DD" w:rsidRPr="001159CC" w:rsidTr="008D2E38">
        <w:trPr>
          <w:cnfStyle w:val="000000010000" w:firstRow="0" w:lastRow="0" w:firstColumn="0" w:lastColumn="0" w:oddVBand="0" w:evenVBand="0" w:oddHBand="0" w:evenHBand="1" w:firstRowFirstColumn="0" w:firstRowLastColumn="0" w:lastRowFirstColumn="0" w:lastRowLastColumn="0"/>
        </w:trPr>
        <w:tc>
          <w:tcPr>
            <w:tcW w:w="0" w:type="auto"/>
          </w:tcPr>
          <w:p w:rsidR="006B6703" w:rsidRPr="001B4EE2" w:rsidRDefault="006B6703" w:rsidP="001B4EE2">
            <w:pPr>
              <w:pStyle w:val="TableTextEntries"/>
              <w:rPr>
                <w:rFonts w:eastAsia="SimSun"/>
              </w:rPr>
            </w:pPr>
            <w:r w:rsidRPr="001B4EE2">
              <w:rPr>
                <w:rFonts w:eastAsia="SimSun"/>
              </w:rPr>
              <w:t>Objective 5: Health</w:t>
            </w:r>
          </w:p>
        </w:tc>
        <w:tc>
          <w:tcPr>
            <w:tcW w:w="0" w:type="auto"/>
          </w:tcPr>
          <w:p w:rsidR="006B6703" w:rsidRPr="001B4EE2" w:rsidRDefault="00E56BED" w:rsidP="001B4EE2">
            <w:pPr>
              <w:pStyle w:val="TableTextEntries"/>
              <w:jc w:val="right"/>
              <w:rPr>
                <w:rFonts w:eastAsia="SimSun"/>
              </w:rPr>
            </w:pPr>
            <w:r w:rsidRPr="001B4EE2">
              <w:rPr>
                <w:rFonts w:eastAsia="SimSun"/>
              </w:rPr>
              <w:t>6.</w:t>
            </w:r>
            <w:r w:rsidR="006632DD" w:rsidRPr="001B4EE2">
              <w:rPr>
                <w:rFonts w:eastAsia="SimSun"/>
              </w:rPr>
              <w:t>76</w:t>
            </w:r>
          </w:p>
        </w:tc>
        <w:tc>
          <w:tcPr>
            <w:tcW w:w="0" w:type="auto"/>
          </w:tcPr>
          <w:p w:rsidR="006B6703" w:rsidRPr="001B4EE2" w:rsidRDefault="00260CDC" w:rsidP="001B4EE2">
            <w:pPr>
              <w:pStyle w:val="TableTextEntries"/>
              <w:jc w:val="right"/>
              <w:rPr>
                <w:rFonts w:eastAsia="SimSun"/>
              </w:rPr>
            </w:pPr>
            <w:r w:rsidRPr="001B4EE2">
              <w:rPr>
                <w:rFonts w:eastAsia="SimSun"/>
              </w:rPr>
              <w:t>6</w:t>
            </w:r>
          </w:p>
        </w:tc>
      </w:tr>
      <w:tr w:rsidR="006632DD" w:rsidRPr="001159CC" w:rsidTr="008D2E38">
        <w:trPr>
          <w:cnfStyle w:val="000000010000" w:firstRow="0" w:lastRow="0" w:firstColumn="0" w:lastColumn="0" w:oddVBand="0" w:evenVBand="0" w:oddHBand="0" w:evenHBand="1" w:firstRowFirstColumn="0" w:firstRowLastColumn="0" w:lastRowFirstColumn="0" w:lastRowLastColumn="0"/>
        </w:trPr>
        <w:tc>
          <w:tcPr>
            <w:tcW w:w="0" w:type="auto"/>
          </w:tcPr>
          <w:p w:rsidR="006B6703" w:rsidRPr="001B4EE2" w:rsidRDefault="006B6703" w:rsidP="001B4EE2">
            <w:pPr>
              <w:pStyle w:val="TableTextEntries"/>
              <w:rPr>
                <w:rFonts w:eastAsia="SimSun"/>
              </w:rPr>
            </w:pPr>
            <w:r w:rsidRPr="001B4EE2">
              <w:rPr>
                <w:rFonts w:eastAsia="SimSun"/>
              </w:rPr>
              <w:t>STRATEGIC DEVELOPMENT PLAN PILLAR: INSTITUTIONAL FRAMEWORK</w:t>
            </w:r>
          </w:p>
        </w:tc>
        <w:tc>
          <w:tcPr>
            <w:tcW w:w="0" w:type="auto"/>
          </w:tcPr>
          <w:p w:rsidR="006B6703" w:rsidRPr="001B4EE2" w:rsidRDefault="006B6703" w:rsidP="001B4EE2">
            <w:pPr>
              <w:pStyle w:val="TableTextEntries"/>
              <w:jc w:val="right"/>
              <w:rPr>
                <w:rFonts w:eastAsia="SimSun"/>
              </w:rPr>
            </w:pPr>
          </w:p>
        </w:tc>
        <w:tc>
          <w:tcPr>
            <w:tcW w:w="0" w:type="auto"/>
          </w:tcPr>
          <w:p w:rsidR="006B6703" w:rsidRPr="001B4EE2" w:rsidRDefault="006B6703" w:rsidP="001B4EE2">
            <w:pPr>
              <w:pStyle w:val="TableTextEntries"/>
              <w:jc w:val="right"/>
              <w:rPr>
                <w:rFonts w:eastAsia="SimSun"/>
              </w:rPr>
            </w:pPr>
          </w:p>
        </w:tc>
      </w:tr>
      <w:tr w:rsidR="006632DD" w:rsidRPr="001159CC" w:rsidTr="008D2E38">
        <w:trPr>
          <w:cnfStyle w:val="000000010000" w:firstRow="0" w:lastRow="0" w:firstColumn="0" w:lastColumn="0" w:oddVBand="0" w:evenVBand="0" w:oddHBand="0" w:evenHBand="1" w:firstRowFirstColumn="0" w:firstRowLastColumn="0" w:lastRowFirstColumn="0" w:lastRowLastColumn="0"/>
        </w:trPr>
        <w:tc>
          <w:tcPr>
            <w:tcW w:w="0" w:type="auto"/>
          </w:tcPr>
          <w:p w:rsidR="006B6703" w:rsidRPr="001B4EE2" w:rsidRDefault="006B6703" w:rsidP="001B4EE2">
            <w:pPr>
              <w:pStyle w:val="TableTextEntries"/>
              <w:rPr>
                <w:rFonts w:eastAsia="SimSun"/>
              </w:rPr>
            </w:pPr>
            <w:r w:rsidRPr="001B4EE2">
              <w:rPr>
                <w:rFonts w:eastAsia="SimSun"/>
              </w:rPr>
              <w:t>Objective 6</w:t>
            </w:r>
            <w:r w:rsidR="00260CDC" w:rsidRPr="001B4EE2">
              <w:rPr>
                <w:rFonts w:eastAsia="SimSun"/>
              </w:rPr>
              <w:t>*</w:t>
            </w:r>
            <w:r w:rsidRPr="001B4EE2">
              <w:rPr>
                <w:rFonts w:eastAsia="SimSun"/>
              </w:rPr>
              <w:t xml:space="preserve">: Security </w:t>
            </w:r>
          </w:p>
        </w:tc>
        <w:tc>
          <w:tcPr>
            <w:tcW w:w="0" w:type="auto"/>
          </w:tcPr>
          <w:p w:rsidR="006B6703" w:rsidRPr="001B4EE2" w:rsidRDefault="006632DD" w:rsidP="001B4EE2">
            <w:pPr>
              <w:pStyle w:val="TableTextEntries"/>
              <w:jc w:val="right"/>
              <w:rPr>
                <w:rFonts w:eastAsia="SimSun"/>
              </w:rPr>
            </w:pPr>
            <w:r w:rsidRPr="001B4EE2">
              <w:rPr>
                <w:rFonts w:eastAsia="SimSun"/>
              </w:rPr>
              <w:t>16.</w:t>
            </w:r>
            <w:r w:rsidR="00DE4C66" w:rsidRPr="001B4EE2">
              <w:rPr>
                <w:rFonts w:eastAsia="SimSun"/>
              </w:rPr>
              <w:t>75</w:t>
            </w:r>
          </w:p>
        </w:tc>
        <w:tc>
          <w:tcPr>
            <w:tcW w:w="0" w:type="auto"/>
          </w:tcPr>
          <w:p w:rsidR="006B6703" w:rsidRPr="001B4EE2" w:rsidRDefault="006632DD" w:rsidP="001B4EE2">
            <w:pPr>
              <w:pStyle w:val="TableTextEntries"/>
              <w:jc w:val="right"/>
              <w:rPr>
                <w:rFonts w:eastAsia="SimSun"/>
              </w:rPr>
            </w:pPr>
            <w:r w:rsidRPr="001B4EE2">
              <w:rPr>
                <w:rFonts w:eastAsia="SimSun"/>
              </w:rPr>
              <w:t>16</w:t>
            </w:r>
          </w:p>
        </w:tc>
      </w:tr>
      <w:tr w:rsidR="006632DD" w:rsidRPr="001159CC" w:rsidTr="008D2E38">
        <w:trPr>
          <w:cnfStyle w:val="000000010000" w:firstRow="0" w:lastRow="0" w:firstColumn="0" w:lastColumn="0" w:oddVBand="0" w:evenVBand="0" w:oddHBand="0" w:evenHBand="1" w:firstRowFirstColumn="0" w:firstRowLastColumn="0" w:lastRowFirstColumn="0" w:lastRowLastColumn="0"/>
        </w:trPr>
        <w:tc>
          <w:tcPr>
            <w:tcW w:w="0" w:type="auto"/>
          </w:tcPr>
          <w:p w:rsidR="006B6703" w:rsidRPr="001B4EE2" w:rsidRDefault="006B6703" w:rsidP="001B4EE2">
            <w:pPr>
              <w:pStyle w:val="TableTextEntries"/>
              <w:rPr>
                <w:rFonts w:eastAsia="SimSun"/>
              </w:rPr>
            </w:pPr>
            <w:r w:rsidRPr="001B4EE2">
              <w:rPr>
                <w:rFonts w:eastAsia="SimSun"/>
              </w:rPr>
              <w:t xml:space="preserve">– Support to Ending violence against women </w:t>
            </w:r>
          </w:p>
        </w:tc>
        <w:tc>
          <w:tcPr>
            <w:tcW w:w="0" w:type="auto"/>
          </w:tcPr>
          <w:p w:rsidR="006B6703" w:rsidRPr="001B4EE2" w:rsidRDefault="00E56BED" w:rsidP="001B4EE2">
            <w:pPr>
              <w:pStyle w:val="TableTextEntries"/>
              <w:jc w:val="right"/>
              <w:rPr>
                <w:rFonts w:eastAsia="SimSun"/>
              </w:rPr>
            </w:pPr>
            <w:r w:rsidRPr="001B4EE2">
              <w:rPr>
                <w:rFonts w:eastAsia="SimSun"/>
              </w:rPr>
              <w:t>2.54</w:t>
            </w:r>
          </w:p>
        </w:tc>
        <w:tc>
          <w:tcPr>
            <w:tcW w:w="0" w:type="auto"/>
          </w:tcPr>
          <w:p w:rsidR="006B6703" w:rsidRPr="001B4EE2" w:rsidRDefault="00260CDC" w:rsidP="001B4EE2">
            <w:pPr>
              <w:pStyle w:val="TableTextEntries"/>
              <w:jc w:val="right"/>
              <w:rPr>
                <w:rFonts w:eastAsia="SimSun"/>
              </w:rPr>
            </w:pPr>
            <w:r w:rsidRPr="001B4EE2">
              <w:rPr>
                <w:rFonts w:eastAsia="SimSun"/>
              </w:rPr>
              <w:t>2</w:t>
            </w:r>
          </w:p>
        </w:tc>
      </w:tr>
      <w:tr w:rsidR="006632DD" w:rsidRPr="001159CC" w:rsidTr="008D2E38">
        <w:trPr>
          <w:cnfStyle w:val="000000010000" w:firstRow="0" w:lastRow="0" w:firstColumn="0" w:lastColumn="0" w:oddVBand="0" w:evenVBand="0" w:oddHBand="0" w:evenHBand="1" w:firstRowFirstColumn="0" w:firstRowLastColumn="0" w:lastRowFirstColumn="0" w:lastRowLastColumn="0"/>
        </w:trPr>
        <w:tc>
          <w:tcPr>
            <w:tcW w:w="0" w:type="auto"/>
          </w:tcPr>
          <w:p w:rsidR="006B6703" w:rsidRPr="001B4EE2" w:rsidRDefault="006B6703" w:rsidP="001B4EE2">
            <w:pPr>
              <w:pStyle w:val="TableTextEntries"/>
              <w:rPr>
                <w:rFonts w:eastAsia="SimSun"/>
              </w:rPr>
            </w:pPr>
            <w:r w:rsidRPr="001B4EE2">
              <w:rPr>
                <w:rFonts w:eastAsia="SimSun"/>
              </w:rPr>
              <w:t xml:space="preserve">Objective 7: Public sector management and good governance </w:t>
            </w:r>
          </w:p>
        </w:tc>
        <w:tc>
          <w:tcPr>
            <w:tcW w:w="0" w:type="auto"/>
          </w:tcPr>
          <w:p w:rsidR="006B6703" w:rsidRPr="001B4EE2" w:rsidRDefault="00E56BED" w:rsidP="001B4EE2">
            <w:pPr>
              <w:pStyle w:val="TableTextEntries"/>
              <w:jc w:val="right"/>
              <w:rPr>
                <w:rFonts w:eastAsia="SimSun"/>
              </w:rPr>
            </w:pPr>
            <w:r w:rsidRPr="001B4EE2">
              <w:rPr>
                <w:rFonts w:eastAsia="SimSun"/>
              </w:rPr>
              <w:t>11.58</w:t>
            </w:r>
          </w:p>
        </w:tc>
        <w:tc>
          <w:tcPr>
            <w:tcW w:w="0" w:type="auto"/>
          </w:tcPr>
          <w:p w:rsidR="006B6703" w:rsidRPr="001B4EE2" w:rsidRDefault="00260CDC" w:rsidP="001B4EE2">
            <w:pPr>
              <w:pStyle w:val="TableTextEntries"/>
              <w:jc w:val="right"/>
              <w:rPr>
                <w:rFonts w:eastAsia="SimSun"/>
              </w:rPr>
            </w:pPr>
            <w:r w:rsidRPr="001B4EE2">
              <w:rPr>
                <w:rFonts w:eastAsia="SimSun"/>
              </w:rPr>
              <w:t>1</w:t>
            </w:r>
            <w:r w:rsidR="006632DD" w:rsidRPr="001B4EE2">
              <w:rPr>
                <w:rFonts w:eastAsia="SimSun"/>
              </w:rPr>
              <w:t>1</w:t>
            </w:r>
          </w:p>
        </w:tc>
      </w:tr>
      <w:tr w:rsidR="006632DD" w:rsidRPr="001159CC" w:rsidTr="008D2E38">
        <w:trPr>
          <w:cnfStyle w:val="000000010000" w:firstRow="0" w:lastRow="0" w:firstColumn="0" w:lastColumn="0" w:oddVBand="0" w:evenVBand="0" w:oddHBand="0" w:evenHBand="1" w:firstRowFirstColumn="0" w:firstRowLastColumn="0" w:lastRowFirstColumn="0" w:lastRowLastColumn="0"/>
        </w:trPr>
        <w:tc>
          <w:tcPr>
            <w:tcW w:w="0" w:type="auto"/>
          </w:tcPr>
          <w:p w:rsidR="006B6703" w:rsidRPr="001B4EE2" w:rsidRDefault="00260CDC" w:rsidP="001B4EE2">
            <w:pPr>
              <w:pStyle w:val="TableTextEntries"/>
              <w:rPr>
                <w:rFonts w:eastAsia="SimSun"/>
              </w:rPr>
            </w:pPr>
            <w:r w:rsidRPr="001B4EE2">
              <w:rPr>
                <w:rFonts w:eastAsia="SimSun"/>
              </w:rPr>
              <w:t xml:space="preserve">Objective 8: </w:t>
            </w:r>
            <w:r w:rsidR="006B6703" w:rsidRPr="001B4EE2">
              <w:rPr>
                <w:rFonts w:eastAsia="SimSun"/>
              </w:rPr>
              <w:t>Support to the National Program for Village Development</w:t>
            </w:r>
          </w:p>
        </w:tc>
        <w:tc>
          <w:tcPr>
            <w:tcW w:w="0" w:type="auto"/>
          </w:tcPr>
          <w:p w:rsidR="006B6703" w:rsidRPr="001B4EE2" w:rsidRDefault="00E56BED" w:rsidP="001B4EE2">
            <w:pPr>
              <w:pStyle w:val="TableTextEntries"/>
              <w:jc w:val="right"/>
              <w:rPr>
                <w:rFonts w:eastAsia="SimSun"/>
              </w:rPr>
            </w:pPr>
            <w:r w:rsidRPr="001B4EE2">
              <w:rPr>
                <w:rFonts w:eastAsia="SimSun"/>
              </w:rPr>
              <w:t>11.07</w:t>
            </w:r>
          </w:p>
        </w:tc>
        <w:tc>
          <w:tcPr>
            <w:tcW w:w="0" w:type="auto"/>
          </w:tcPr>
          <w:p w:rsidR="006B6703" w:rsidRPr="001B4EE2" w:rsidRDefault="00260CDC" w:rsidP="001B4EE2">
            <w:pPr>
              <w:pStyle w:val="TableTextEntries"/>
              <w:jc w:val="right"/>
              <w:rPr>
                <w:rFonts w:eastAsia="SimSun"/>
              </w:rPr>
            </w:pPr>
            <w:r w:rsidRPr="001B4EE2">
              <w:rPr>
                <w:rFonts w:eastAsia="SimSun"/>
              </w:rPr>
              <w:t>1</w:t>
            </w:r>
            <w:r w:rsidR="006632DD" w:rsidRPr="001B4EE2">
              <w:rPr>
                <w:rFonts w:eastAsia="SimSun"/>
              </w:rPr>
              <w:t>1</w:t>
            </w:r>
          </w:p>
        </w:tc>
      </w:tr>
      <w:tr w:rsidR="006632DD" w:rsidRPr="001159CC" w:rsidTr="008D2E38">
        <w:trPr>
          <w:cnfStyle w:val="000000010000" w:firstRow="0" w:lastRow="0" w:firstColumn="0" w:lastColumn="0" w:oddVBand="0" w:evenVBand="0" w:oddHBand="0" w:evenHBand="1" w:firstRowFirstColumn="0" w:firstRowLastColumn="0" w:lastRowFirstColumn="0" w:lastRowLastColumn="0"/>
        </w:trPr>
        <w:tc>
          <w:tcPr>
            <w:tcW w:w="0" w:type="auto"/>
          </w:tcPr>
          <w:p w:rsidR="006B6703" w:rsidRPr="001B4EE2" w:rsidRDefault="006B6703" w:rsidP="001B4EE2">
            <w:pPr>
              <w:pStyle w:val="TableTextEntries"/>
              <w:rPr>
                <w:rFonts w:eastAsia="SimSun"/>
              </w:rPr>
            </w:pPr>
            <w:r w:rsidRPr="001B4EE2">
              <w:rPr>
                <w:rFonts w:eastAsia="SimSun"/>
              </w:rPr>
              <w:t>Other</w:t>
            </w:r>
            <w:r w:rsidR="002471A2" w:rsidRPr="001B4EE2">
              <w:rPr>
                <w:rFonts w:eastAsia="SimSun"/>
              </w:rPr>
              <w:t>**</w:t>
            </w:r>
          </w:p>
        </w:tc>
        <w:tc>
          <w:tcPr>
            <w:tcW w:w="0" w:type="auto"/>
          </w:tcPr>
          <w:p w:rsidR="006B6703" w:rsidRPr="001B4EE2" w:rsidRDefault="006B6703" w:rsidP="001B4EE2">
            <w:pPr>
              <w:pStyle w:val="TableTextEntries"/>
              <w:jc w:val="right"/>
              <w:rPr>
                <w:rFonts w:eastAsia="SimSun"/>
              </w:rPr>
            </w:pPr>
          </w:p>
        </w:tc>
        <w:tc>
          <w:tcPr>
            <w:tcW w:w="0" w:type="auto"/>
          </w:tcPr>
          <w:p w:rsidR="006B6703" w:rsidRPr="001B4EE2" w:rsidRDefault="006B6703" w:rsidP="001B4EE2">
            <w:pPr>
              <w:pStyle w:val="TableTextEntries"/>
              <w:jc w:val="right"/>
              <w:rPr>
                <w:rFonts w:eastAsia="SimSun"/>
              </w:rPr>
            </w:pPr>
          </w:p>
        </w:tc>
      </w:tr>
      <w:tr w:rsidR="006632DD" w:rsidRPr="001159CC" w:rsidTr="008D2E38">
        <w:trPr>
          <w:cnfStyle w:val="000000010000" w:firstRow="0" w:lastRow="0" w:firstColumn="0" w:lastColumn="0" w:oddVBand="0" w:evenVBand="0" w:oddHBand="0" w:evenHBand="1" w:firstRowFirstColumn="0" w:firstRowLastColumn="0" w:lastRowFirstColumn="0" w:lastRowLastColumn="0"/>
        </w:trPr>
        <w:tc>
          <w:tcPr>
            <w:tcW w:w="0" w:type="auto"/>
          </w:tcPr>
          <w:p w:rsidR="006B6703" w:rsidRPr="001B4EE2" w:rsidRDefault="006B6703" w:rsidP="001B4EE2">
            <w:pPr>
              <w:pStyle w:val="TableTextEntries"/>
              <w:rPr>
                <w:rFonts w:eastAsia="SimSun"/>
              </w:rPr>
            </w:pPr>
            <w:r w:rsidRPr="001B4EE2">
              <w:rPr>
                <w:rFonts w:eastAsia="SimSun"/>
              </w:rPr>
              <w:t>Multi-sector</w:t>
            </w:r>
          </w:p>
        </w:tc>
        <w:tc>
          <w:tcPr>
            <w:tcW w:w="0" w:type="auto"/>
          </w:tcPr>
          <w:p w:rsidR="006B6703" w:rsidRPr="001B4EE2" w:rsidRDefault="006632DD" w:rsidP="001B4EE2">
            <w:pPr>
              <w:pStyle w:val="TableTextEntries"/>
              <w:jc w:val="right"/>
              <w:rPr>
                <w:rFonts w:eastAsia="SimSun"/>
              </w:rPr>
            </w:pPr>
            <w:r w:rsidRPr="001B4EE2">
              <w:rPr>
                <w:rFonts w:eastAsia="SimSun"/>
              </w:rPr>
              <w:t>5.81</w:t>
            </w:r>
          </w:p>
        </w:tc>
        <w:tc>
          <w:tcPr>
            <w:tcW w:w="0" w:type="auto"/>
          </w:tcPr>
          <w:p w:rsidR="006B6703" w:rsidRPr="001B4EE2" w:rsidRDefault="006632DD" w:rsidP="001B4EE2">
            <w:pPr>
              <w:pStyle w:val="TableTextEntries"/>
              <w:jc w:val="right"/>
              <w:rPr>
                <w:rFonts w:eastAsia="SimSun"/>
              </w:rPr>
            </w:pPr>
            <w:r w:rsidRPr="001B4EE2">
              <w:rPr>
                <w:rFonts w:eastAsia="SimSun"/>
              </w:rPr>
              <w:t>6</w:t>
            </w:r>
          </w:p>
        </w:tc>
      </w:tr>
      <w:tr w:rsidR="006632DD" w:rsidRPr="001159CC" w:rsidTr="001B4EE2">
        <w:trPr>
          <w:cnfStyle w:val="000000010000" w:firstRow="0" w:lastRow="0" w:firstColumn="0" w:lastColumn="0" w:oddVBand="0" w:evenVBand="0" w:oddHBand="0" w:evenHBand="1" w:firstRowFirstColumn="0" w:firstRowLastColumn="0" w:lastRowFirstColumn="0" w:lastRowLastColumn="0"/>
          <w:trHeight w:val="66"/>
        </w:trPr>
        <w:tc>
          <w:tcPr>
            <w:tcW w:w="0" w:type="auto"/>
          </w:tcPr>
          <w:p w:rsidR="006B6703" w:rsidRPr="001B4EE2" w:rsidRDefault="006B6703" w:rsidP="001B4EE2">
            <w:pPr>
              <w:pStyle w:val="TableTextEntries"/>
              <w:rPr>
                <w:rFonts w:eastAsia="SimSun"/>
              </w:rPr>
            </w:pPr>
            <w:r w:rsidRPr="001B4EE2">
              <w:rPr>
                <w:rFonts w:eastAsia="SimSun"/>
              </w:rPr>
              <w:t xml:space="preserve">Regional/global (including </w:t>
            </w:r>
            <w:r w:rsidR="00260CDC" w:rsidRPr="001B4EE2">
              <w:rPr>
                <w:rFonts w:eastAsia="SimSun"/>
              </w:rPr>
              <w:t>volunteers, Australian-NGO Cooperation Program</w:t>
            </w:r>
            <w:r w:rsidR="006632DD" w:rsidRPr="001B4EE2">
              <w:rPr>
                <w:rFonts w:eastAsia="SimSun"/>
              </w:rPr>
              <w:t>, Direct Aid Program</w:t>
            </w:r>
            <w:r w:rsidR="00260CDC" w:rsidRPr="001B4EE2">
              <w:rPr>
                <w:rFonts w:eastAsia="SimSun"/>
              </w:rPr>
              <w:t>)</w:t>
            </w:r>
          </w:p>
        </w:tc>
        <w:tc>
          <w:tcPr>
            <w:tcW w:w="0" w:type="auto"/>
          </w:tcPr>
          <w:p w:rsidR="006B6703" w:rsidRPr="001B4EE2" w:rsidRDefault="001961A8" w:rsidP="001B4EE2">
            <w:pPr>
              <w:pStyle w:val="TableTextEntries"/>
              <w:jc w:val="right"/>
              <w:rPr>
                <w:rFonts w:eastAsia="SimSun"/>
              </w:rPr>
            </w:pPr>
            <w:r w:rsidRPr="001B4EE2">
              <w:rPr>
                <w:rFonts w:eastAsia="SimSun"/>
              </w:rPr>
              <w:t>15.00</w:t>
            </w:r>
          </w:p>
        </w:tc>
        <w:tc>
          <w:tcPr>
            <w:tcW w:w="0" w:type="auto"/>
          </w:tcPr>
          <w:p w:rsidR="006B6703" w:rsidRPr="001B4EE2" w:rsidRDefault="00260CDC" w:rsidP="001B4EE2">
            <w:pPr>
              <w:pStyle w:val="TableTextEntries"/>
              <w:jc w:val="right"/>
              <w:rPr>
                <w:rFonts w:eastAsia="SimSun"/>
              </w:rPr>
            </w:pPr>
            <w:r w:rsidRPr="001B4EE2">
              <w:rPr>
                <w:rFonts w:eastAsia="SimSun"/>
              </w:rPr>
              <w:t>1</w:t>
            </w:r>
            <w:r w:rsidR="001961A8" w:rsidRPr="001B4EE2">
              <w:rPr>
                <w:rFonts w:eastAsia="SimSun"/>
              </w:rPr>
              <w:t>4</w:t>
            </w:r>
          </w:p>
        </w:tc>
      </w:tr>
      <w:tr w:rsidR="006632DD" w:rsidRPr="001159CC" w:rsidTr="008D2E38">
        <w:trPr>
          <w:cnfStyle w:val="000000010000" w:firstRow="0" w:lastRow="0" w:firstColumn="0" w:lastColumn="0" w:oddVBand="0" w:evenVBand="0" w:oddHBand="0" w:evenHBand="1" w:firstRowFirstColumn="0" w:firstRowLastColumn="0" w:lastRowFirstColumn="0" w:lastRowLastColumn="0"/>
        </w:trPr>
        <w:tc>
          <w:tcPr>
            <w:tcW w:w="0" w:type="auto"/>
          </w:tcPr>
          <w:p w:rsidR="006B6703" w:rsidRPr="00D1508C" w:rsidRDefault="006B6703" w:rsidP="001B4EE2">
            <w:pPr>
              <w:pStyle w:val="TableTextEntries"/>
              <w:rPr>
                <w:rFonts w:eastAsia="SimSun"/>
                <w:b/>
              </w:rPr>
            </w:pPr>
            <w:r w:rsidRPr="00D1508C">
              <w:rPr>
                <w:rFonts w:eastAsia="SimSun"/>
                <w:b/>
              </w:rPr>
              <w:t xml:space="preserve">Estimated total ODA for </w:t>
            </w:r>
            <w:r w:rsidR="00954FB1" w:rsidRPr="00D1508C">
              <w:rPr>
                <w:rFonts w:eastAsia="SimSun"/>
                <w:b/>
              </w:rPr>
              <w:t>2013-14</w:t>
            </w:r>
          </w:p>
        </w:tc>
        <w:tc>
          <w:tcPr>
            <w:tcW w:w="0" w:type="auto"/>
          </w:tcPr>
          <w:p w:rsidR="006B6703" w:rsidRPr="00D1508C" w:rsidRDefault="00F34E81" w:rsidP="001B4EE2">
            <w:pPr>
              <w:pStyle w:val="TableTextEntries"/>
              <w:jc w:val="right"/>
              <w:rPr>
                <w:rFonts w:eastAsia="SimSun"/>
                <w:b/>
              </w:rPr>
            </w:pPr>
            <w:r w:rsidRPr="00D1508C">
              <w:rPr>
                <w:rFonts w:eastAsia="SimSun"/>
                <w:b/>
              </w:rPr>
              <w:t>104.</w:t>
            </w:r>
            <w:r w:rsidR="00DE4C66" w:rsidRPr="00D1508C">
              <w:rPr>
                <w:rFonts w:eastAsia="SimSun"/>
                <w:b/>
              </w:rPr>
              <w:t>35</w:t>
            </w:r>
          </w:p>
        </w:tc>
        <w:tc>
          <w:tcPr>
            <w:tcW w:w="0" w:type="auto"/>
          </w:tcPr>
          <w:p w:rsidR="006B6703" w:rsidRPr="00D1508C" w:rsidRDefault="00260CDC" w:rsidP="001B4EE2">
            <w:pPr>
              <w:pStyle w:val="TableTextEntries"/>
              <w:jc w:val="right"/>
              <w:rPr>
                <w:rFonts w:eastAsia="SimSun"/>
                <w:b/>
              </w:rPr>
            </w:pPr>
            <w:r w:rsidRPr="00D1508C">
              <w:rPr>
                <w:rFonts w:eastAsia="SimSun"/>
                <w:b/>
              </w:rPr>
              <w:t>100</w:t>
            </w:r>
          </w:p>
        </w:tc>
      </w:tr>
    </w:tbl>
    <w:p w:rsidR="006B6703" w:rsidRPr="00C57923" w:rsidRDefault="00260CDC" w:rsidP="00260CDC">
      <w:pPr>
        <w:pStyle w:val="ListBullet"/>
        <w:numPr>
          <w:ilvl w:val="0"/>
          <w:numId w:val="0"/>
        </w:numPr>
        <w:tabs>
          <w:tab w:val="clear" w:pos="284"/>
        </w:tabs>
        <w:spacing w:after="0" w:line="240" w:lineRule="auto"/>
      </w:pPr>
      <w:r w:rsidRPr="00260CDC">
        <w:rPr>
          <w:sz w:val="14"/>
          <w:szCs w:val="14"/>
        </w:rPr>
        <w:t xml:space="preserve">Source: AidWorks. </w:t>
      </w:r>
      <w:r w:rsidR="002471A2">
        <w:rPr>
          <w:sz w:val="14"/>
          <w:szCs w:val="14"/>
        </w:rPr>
        <w:t xml:space="preserve">*Objective 6 is implemented by the Australian Federal Police. **Multi-sector expenditure includes Other Government Departments, except for AFP. </w:t>
      </w:r>
      <w:r w:rsidRPr="00260CDC">
        <w:rPr>
          <w:sz w:val="14"/>
          <w:szCs w:val="14"/>
        </w:rPr>
        <w:t>Regional/Global</w:t>
      </w:r>
      <w:r w:rsidR="001B4EE2">
        <w:rPr>
          <w:sz w:val="14"/>
          <w:szCs w:val="14"/>
        </w:rPr>
        <w:t xml:space="preserve"> figure is </w:t>
      </w:r>
      <w:r w:rsidR="00CC4A83">
        <w:rPr>
          <w:sz w:val="14"/>
          <w:szCs w:val="14"/>
        </w:rPr>
        <w:t>an</w:t>
      </w:r>
      <w:r w:rsidR="00BF3214" w:rsidRPr="00260CDC">
        <w:rPr>
          <w:sz w:val="14"/>
          <w:szCs w:val="14"/>
        </w:rPr>
        <w:t xml:space="preserve"> </w:t>
      </w:r>
      <w:r w:rsidRPr="00260CDC">
        <w:rPr>
          <w:sz w:val="14"/>
          <w:szCs w:val="14"/>
        </w:rPr>
        <w:t>estimated outcome as complete data w</w:t>
      </w:r>
      <w:r>
        <w:rPr>
          <w:sz w:val="14"/>
          <w:szCs w:val="14"/>
        </w:rPr>
        <w:t xml:space="preserve">as not available at the time of </w:t>
      </w:r>
      <w:r w:rsidRPr="00260CDC">
        <w:rPr>
          <w:sz w:val="14"/>
          <w:szCs w:val="14"/>
        </w:rPr>
        <w:t>publication.</w:t>
      </w:r>
      <w:r>
        <w:rPr>
          <w:sz w:val="14"/>
          <w:szCs w:val="14"/>
        </w:rPr>
        <w:t xml:space="preserve"> </w:t>
      </w:r>
    </w:p>
    <w:p w:rsidR="001943B6" w:rsidRPr="001742AC" w:rsidRDefault="000D733F" w:rsidP="00D1508C">
      <w:pPr>
        <w:pStyle w:val="Heading2"/>
        <w:rPr>
          <w:rFonts w:ascii="Franklin Gothic Book" w:hAnsi="Franklin Gothic Book"/>
          <w:b/>
          <w:sz w:val="21"/>
        </w:rPr>
      </w:pPr>
      <w:bookmarkStart w:id="2" w:name="_Toc373853206"/>
      <w:r w:rsidRPr="00D1508C">
        <w:rPr>
          <w:sz w:val="28"/>
        </w:rPr>
        <w:t>Progress towards objectives</w:t>
      </w:r>
      <w:r w:rsidRPr="00D1508C">
        <w:rPr>
          <w:sz w:val="28"/>
        </w:rPr>
        <w:tab/>
      </w:r>
      <w:r w:rsidR="001943B6" w:rsidRPr="00C57923">
        <w:t xml:space="preserve"> </w:t>
      </w:r>
    </w:p>
    <w:p w:rsidR="000D733F" w:rsidRDefault="000D733F" w:rsidP="000D733F">
      <w:pPr>
        <w:pStyle w:val="Caption"/>
      </w:pPr>
      <w:r>
        <w:t xml:space="preserve">Table </w:t>
      </w:r>
      <w:r w:rsidR="000B7977">
        <w:t>2</w:t>
      </w:r>
      <w:r w:rsidR="007D587A">
        <w:t>:</w:t>
      </w:r>
      <w:r>
        <w:t xml:space="preserve"> Rating of the program's progress towards Australia’s </w:t>
      </w:r>
      <w:r w:rsidR="00D206B3">
        <w:t xml:space="preserve">aid </w:t>
      </w:r>
      <w:r>
        <w:t>objectives</w:t>
      </w:r>
    </w:p>
    <w:tbl>
      <w:tblPr>
        <w:tblStyle w:val="APPR1"/>
        <w:tblW w:w="4903" w:type="pct"/>
        <w:tblLook w:val="0000" w:firstRow="0" w:lastRow="0" w:firstColumn="0" w:lastColumn="0" w:noHBand="0" w:noVBand="0"/>
      </w:tblPr>
      <w:tblGrid>
        <w:gridCol w:w="6716"/>
        <w:gridCol w:w="1166"/>
        <w:gridCol w:w="1237"/>
      </w:tblGrid>
      <w:tr w:rsidR="00784556" w:rsidRPr="001159CC" w:rsidTr="00784556">
        <w:trPr>
          <w:cnfStyle w:val="000000010000" w:firstRow="0" w:lastRow="0" w:firstColumn="0" w:lastColumn="0" w:oddVBand="0" w:evenVBand="0" w:oddHBand="0" w:evenHBand="1" w:firstRowFirstColumn="0" w:firstRowLastColumn="0" w:lastRowFirstColumn="0" w:lastRowLastColumn="0"/>
        </w:trPr>
        <w:tc>
          <w:tcPr>
            <w:tcW w:w="6295" w:type="dxa"/>
          </w:tcPr>
          <w:p w:rsidR="00784556" w:rsidRPr="009B685C" w:rsidRDefault="00784556" w:rsidP="00717FE7">
            <w:pPr>
              <w:pStyle w:val="TableHeading1"/>
            </w:pPr>
            <w:r w:rsidRPr="009B685C">
              <w:rPr>
                <w:noProof/>
                <w:lang w:eastAsia="en-AU"/>
              </w:rPr>
              <w:drawing>
                <wp:anchor distT="0" distB="0" distL="114300" distR="114300" simplePos="0" relativeHeight="251673600" behindDoc="0" locked="0" layoutInCell="1" allowOverlap="1" wp14:anchorId="5C49F4A2" wp14:editId="1C3AE224">
                  <wp:simplePos x="0" y="0"/>
                  <wp:positionH relativeFrom="column">
                    <wp:posOffset>0</wp:posOffset>
                  </wp:positionH>
                  <wp:positionV relativeFrom="paragraph">
                    <wp:posOffset>0</wp:posOffset>
                  </wp:positionV>
                  <wp:extent cx="1857375" cy="228600"/>
                  <wp:effectExtent l="0" t="0" r="9525" b="0"/>
                  <wp:wrapNone/>
                  <wp:docPr id="2" name="Picture 2"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85C">
              <w:t>Objective</w:t>
            </w:r>
          </w:p>
        </w:tc>
        <w:tc>
          <w:tcPr>
            <w:tcW w:w="1073" w:type="dxa"/>
          </w:tcPr>
          <w:p w:rsidR="00784556" w:rsidRPr="009B685C" w:rsidRDefault="00784556" w:rsidP="00717FE7">
            <w:pPr>
              <w:pStyle w:val="TableHeading1"/>
            </w:pPr>
            <w:r w:rsidRPr="009B685C">
              <w:t>Current rating</w:t>
            </w:r>
          </w:p>
        </w:tc>
        <w:tc>
          <w:tcPr>
            <w:tcW w:w="1127" w:type="dxa"/>
          </w:tcPr>
          <w:p w:rsidR="00784556" w:rsidRPr="009B685C" w:rsidRDefault="00784556" w:rsidP="00717FE7">
            <w:pPr>
              <w:pStyle w:val="TableHeading1"/>
            </w:pPr>
            <w:r w:rsidRPr="009B685C">
              <w:t>Previous rating</w:t>
            </w:r>
          </w:p>
        </w:tc>
      </w:tr>
      <w:tr w:rsidR="00784556" w:rsidRPr="001159CC" w:rsidTr="00D5173C">
        <w:trPr>
          <w:cnfStyle w:val="000000010000" w:firstRow="0" w:lastRow="0" w:firstColumn="0" w:lastColumn="0" w:oddVBand="0" w:evenVBand="0" w:oddHBand="0" w:evenHBand="1" w:firstRowFirstColumn="0" w:firstRowLastColumn="0" w:lastRowFirstColumn="0" w:lastRowLastColumn="0"/>
        </w:trPr>
        <w:tc>
          <w:tcPr>
            <w:tcW w:w="6295" w:type="dxa"/>
          </w:tcPr>
          <w:p w:rsidR="00784556" w:rsidRPr="009B685C" w:rsidRDefault="00784556" w:rsidP="00717FE7">
            <w:pPr>
              <w:pStyle w:val="TableTextEntries"/>
              <w:rPr>
                <w:rFonts w:eastAsia="SimSun"/>
              </w:rPr>
            </w:pPr>
            <w:r w:rsidRPr="009B685C">
              <w:rPr>
                <w:rFonts w:eastAsia="SimSun"/>
              </w:rPr>
              <w:t>Objective 1: Increased access to and use of safe water and sanitation</w:t>
            </w:r>
          </w:p>
        </w:tc>
        <w:tc>
          <w:tcPr>
            <w:tcW w:w="1073" w:type="dxa"/>
            <w:shd w:val="clear" w:color="auto" w:fill="F79646" w:themeFill="accent6"/>
            <w:noWrap/>
          </w:tcPr>
          <w:p w:rsidR="00784556" w:rsidRPr="009B685C" w:rsidRDefault="00D5173C" w:rsidP="00717FE7">
            <w:pPr>
              <w:pStyle w:val="TableTextEntries"/>
              <w:rPr>
                <w:rFonts w:eastAsia="SimSun"/>
              </w:rPr>
            </w:pPr>
            <w:r>
              <w:rPr>
                <w:rFonts w:eastAsia="SimSun"/>
              </w:rPr>
              <w:t>Amber</w:t>
            </w:r>
          </w:p>
        </w:tc>
        <w:tc>
          <w:tcPr>
            <w:tcW w:w="1127" w:type="dxa"/>
            <w:shd w:val="clear" w:color="auto" w:fill="92D050"/>
            <w:noWrap/>
          </w:tcPr>
          <w:p w:rsidR="00784556" w:rsidRPr="009B685C" w:rsidRDefault="00784556" w:rsidP="00717FE7">
            <w:pPr>
              <w:pStyle w:val="TableTextEntries"/>
              <w:rPr>
                <w:rFonts w:eastAsia="SimSun"/>
              </w:rPr>
            </w:pPr>
            <w:r w:rsidRPr="009B685C">
              <w:rPr>
                <w:rFonts w:eastAsia="SimSun"/>
              </w:rPr>
              <w:t>Green</w:t>
            </w:r>
          </w:p>
        </w:tc>
      </w:tr>
      <w:tr w:rsidR="00784556" w:rsidRPr="001159CC" w:rsidTr="00784556">
        <w:trPr>
          <w:cnfStyle w:val="000000010000" w:firstRow="0" w:lastRow="0" w:firstColumn="0" w:lastColumn="0" w:oddVBand="0" w:evenVBand="0" w:oddHBand="0" w:evenHBand="1" w:firstRowFirstColumn="0" w:firstRowLastColumn="0" w:lastRowFirstColumn="0" w:lastRowLastColumn="0"/>
        </w:trPr>
        <w:tc>
          <w:tcPr>
            <w:tcW w:w="6295" w:type="dxa"/>
          </w:tcPr>
          <w:p w:rsidR="00784556" w:rsidRPr="009B685C" w:rsidRDefault="00784556" w:rsidP="00717FE7">
            <w:pPr>
              <w:pStyle w:val="TableTextEntries"/>
              <w:rPr>
                <w:rFonts w:eastAsia="SimSun"/>
              </w:rPr>
            </w:pPr>
            <w:r w:rsidRPr="009B685C">
              <w:rPr>
                <w:rFonts w:eastAsia="SimSun"/>
              </w:rPr>
              <w:t>Objective 2: Rural population has better roads</w:t>
            </w:r>
          </w:p>
        </w:tc>
        <w:tc>
          <w:tcPr>
            <w:tcW w:w="1073" w:type="dxa"/>
            <w:shd w:val="clear" w:color="auto" w:fill="F79646" w:themeFill="accent6"/>
            <w:noWrap/>
          </w:tcPr>
          <w:p w:rsidR="00784556" w:rsidRPr="009B685C" w:rsidRDefault="00D5173C" w:rsidP="00717FE7">
            <w:pPr>
              <w:pStyle w:val="TableTextEntries"/>
              <w:rPr>
                <w:rFonts w:eastAsia="SimSun"/>
              </w:rPr>
            </w:pPr>
            <w:r>
              <w:rPr>
                <w:rFonts w:eastAsia="SimSun"/>
              </w:rPr>
              <w:t>Amber</w:t>
            </w:r>
          </w:p>
        </w:tc>
        <w:tc>
          <w:tcPr>
            <w:tcW w:w="1127" w:type="dxa"/>
            <w:shd w:val="clear" w:color="auto" w:fill="F79646" w:themeFill="accent6"/>
            <w:noWrap/>
          </w:tcPr>
          <w:p w:rsidR="00784556" w:rsidRPr="009B685C" w:rsidRDefault="00784556" w:rsidP="00717FE7">
            <w:pPr>
              <w:pStyle w:val="TableTextEntries"/>
              <w:rPr>
                <w:rFonts w:eastAsia="SimSun"/>
              </w:rPr>
            </w:pPr>
            <w:r w:rsidRPr="009B685C">
              <w:rPr>
                <w:rFonts w:eastAsia="SimSun"/>
              </w:rPr>
              <w:t>Amber</w:t>
            </w:r>
          </w:p>
        </w:tc>
      </w:tr>
      <w:tr w:rsidR="00784556" w:rsidRPr="001159CC" w:rsidTr="00784556">
        <w:trPr>
          <w:cnfStyle w:val="000000010000" w:firstRow="0" w:lastRow="0" w:firstColumn="0" w:lastColumn="0" w:oddVBand="0" w:evenVBand="0" w:oddHBand="0" w:evenHBand="1" w:firstRowFirstColumn="0" w:firstRowLastColumn="0" w:lastRowFirstColumn="0" w:lastRowLastColumn="0"/>
        </w:trPr>
        <w:tc>
          <w:tcPr>
            <w:tcW w:w="6295" w:type="dxa"/>
          </w:tcPr>
          <w:p w:rsidR="00784556" w:rsidRPr="009B685C" w:rsidRDefault="00784556" w:rsidP="00717FE7">
            <w:pPr>
              <w:pStyle w:val="TableTextEntries"/>
              <w:rPr>
                <w:rFonts w:eastAsia="SimSun"/>
              </w:rPr>
            </w:pPr>
            <w:r w:rsidRPr="009B685C">
              <w:rPr>
                <w:rFonts w:eastAsia="SimSun"/>
              </w:rPr>
              <w:t>Objective 3: Increased productivity of major staple food crops through farmers using improved seed</w:t>
            </w:r>
          </w:p>
        </w:tc>
        <w:tc>
          <w:tcPr>
            <w:tcW w:w="1073" w:type="dxa"/>
            <w:shd w:val="clear" w:color="auto" w:fill="92D050"/>
            <w:noWrap/>
          </w:tcPr>
          <w:p w:rsidR="00784556" w:rsidRPr="009B685C" w:rsidRDefault="001742AC" w:rsidP="00717FE7">
            <w:pPr>
              <w:pStyle w:val="TableTextEntries"/>
              <w:rPr>
                <w:rFonts w:eastAsia="SimSun"/>
              </w:rPr>
            </w:pPr>
            <w:r>
              <w:rPr>
                <w:rFonts w:eastAsia="SimSun"/>
              </w:rPr>
              <w:t>Green</w:t>
            </w:r>
          </w:p>
        </w:tc>
        <w:tc>
          <w:tcPr>
            <w:tcW w:w="1127" w:type="dxa"/>
            <w:shd w:val="clear" w:color="auto" w:fill="92D050"/>
            <w:noWrap/>
          </w:tcPr>
          <w:p w:rsidR="00784556" w:rsidRPr="009B685C" w:rsidRDefault="00784556" w:rsidP="00717FE7">
            <w:pPr>
              <w:pStyle w:val="TableTextEntries"/>
              <w:rPr>
                <w:rFonts w:eastAsia="SimSun"/>
              </w:rPr>
            </w:pPr>
            <w:r w:rsidRPr="009B685C">
              <w:rPr>
                <w:rFonts w:eastAsia="SimSun"/>
              </w:rPr>
              <w:t>Green</w:t>
            </w:r>
          </w:p>
        </w:tc>
      </w:tr>
      <w:tr w:rsidR="00784556" w:rsidRPr="001159CC" w:rsidTr="001742A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6295" w:type="dxa"/>
            <w:tcBorders>
              <w:left w:val="nil"/>
              <w:right w:val="nil"/>
            </w:tcBorders>
          </w:tcPr>
          <w:p w:rsidR="00784556" w:rsidRPr="009B685C" w:rsidRDefault="00784556" w:rsidP="00717FE7">
            <w:pPr>
              <w:pStyle w:val="TableTextEntries"/>
              <w:rPr>
                <w:rFonts w:eastAsia="SimSun"/>
                <w:b w:val="0"/>
              </w:rPr>
            </w:pPr>
            <w:r w:rsidRPr="009B685C">
              <w:rPr>
                <w:rFonts w:eastAsia="SimSun"/>
                <w:b w:val="0"/>
              </w:rPr>
              <w:t>Objective 4: More children and youth attain improved learning outcomes and employability</w:t>
            </w:r>
          </w:p>
        </w:tc>
        <w:tc>
          <w:tcPr>
            <w:tcW w:w="1073" w:type="dxa"/>
            <w:tcBorders>
              <w:left w:val="nil"/>
              <w:right w:val="nil"/>
            </w:tcBorders>
            <w:shd w:val="clear" w:color="auto" w:fill="FF0000"/>
            <w:noWrap/>
          </w:tcPr>
          <w:p w:rsidR="00784556" w:rsidRPr="009B685C" w:rsidRDefault="001742AC" w:rsidP="00717FE7">
            <w:pPr>
              <w:pStyle w:val="TableTextEntries"/>
              <w:rPr>
                <w:rFonts w:eastAsia="SimSun"/>
                <w:b w:val="0"/>
              </w:rPr>
            </w:pPr>
            <w:r>
              <w:rPr>
                <w:rFonts w:eastAsia="SimSun"/>
                <w:b w:val="0"/>
              </w:rPr>
              <w:t>Red</w:t>
            </w:r>
          </w:p>
        </w:tc>
        <w:tc>
          <w:tcPr>
            <w:tcW w:w="1127" w:type="dxa"/>
            <w:tcBorders>
              <w:left w:val="nil"/>
              <w:right w:val="nil"/>
            </w:tcBorders>
            <w:shd w:val="clear" w:color="auto" w:fill="F79646" w:themeFill="accent6"/>
            <w:noWrap/>
          </w:tcPr>
          <w:p w:rsidR="00784556" w:rsidRPr="009B685C" w:rsidRDefault="00784556" w:rsidP="00717FE7">
            <w:pPr>
              <w:pStyle w:val="TableTextEntries"/>
              <w:rPr>
                <w:rFonts w:eastAsia="SimSun"/>
                <w:b w:val="0"/>
              </w:rPr>
            </w:pPr>
            <w:r>
              <w:rPr>
                <w:rFonts w:eastAsia="SimSun"/>
                <w:b w:val="0"/>
              </w:rPr>
              <w:t>Amber</w:t>
            </w:r>
          </w:p>
        </w:tc>
      </w:tr>
      <w:tr w:rsidR="00784556" w:rsidRPr="001159CC" w:rsidTr="001742AC">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6295" w:type="dxa"/>
            <w:tcBorders>
              <w:left w:val="nil"/>
              <w:right w:val="nil"/>
            </w:tcBorders>
          </w:tcPr>
          <w:p w:rsidR="00784556" w:rsidRPr="009B685C" w:rsidRDefault="00784556" w:rsidP="00717FE7">
            <w:pPr>
              <w:pStyle w:val="TableTextEntries"/>
              <w:rPr>
                <w:rFonts w:eastAsia="SimSun"/>
                <w:b w:val="0"/>
              </w:rPr>
            </w:pPr>
            <w:r w:rsidRPr="009B685C">
              <w:rPr>
                <w:rFonts w:eastAsia="SimSun"/>
                <w:b w:val="0"/>
              </w:rPr>
              <w:t>Objective 5: Households, especially the most vulnerable, increasingly practice behaviours that are conducive to better maternal and child health and nutrition and use reproductive, maternal, newborn and child health services</w:t>
            </w:r>
          </w:p>
        </w:tc>
        <w:tc>
          <w:tcPr>
            <w:tcW w:w="1073" w:type="dxa"/>
            <w:tcBorders>
              <w:left w:val="nil"/>
              <w:right w:val="nil"/>
            </w:tcBorders>
            <w:shd w:val="clear" w:color="auto" w:fill="F79646" w:themeFill="accent6"/>
            <w:noWrap/>
          </w:tcPr>
          <w:p w:rsidR="00784556" w:rsidRPr="009B685C" w:rsidRDefault="001742AC" w:rsidP="00717FE7">
            <w:pPr>
              <w:pStyle w:val="TableTextEntries"/>
              <w:rPr>
                <w:rFonts w:eastAsia="SimSun"/>
                <w:b w:val="0"/>
              </w:rPr>
            </w:pPr>
            <w:r>
              <w:rPr>
                <w:rFonts w:eastAsia="SimSun"/>
                <w:b w:val="0"/>
              </w:rPr>
              <w:t>Amber</w:t>
            </w:r>
          </w:p>
        </w:tc>
        <w:tc>
          <w:tcPr>
            <w:tcW w:w="1127" w:type="dxa"/>
            <w:tcBorders>
              <w:left w:val="nil"/>
              <w:right w:val="nil"/>
            </w:tcBorders>
            <w:shd w:val="clear" w:color="auto" w:fill="FF0000"/>
            <w:noWrap/>
          </w:tcPr>
          <w:p w:rsidR="00784556" w:rsidRPr="009B685C" w:rsidRDefault="00784556" w:rsidP="00717FE7">
            <w:pPr>
              <w:pStyle w:val="TableTextEntries"/>
              <w:rPr>
                <w:rFonts w:eastAsia="SimSun"/>
                <w:b w:val="0"/>
              </w:rPr>
            </w:pPr>
            <w:r w:rsidRPr="009B685C">
              <w:rPr>
                <w:rFonts w:eastAsia="SimSun"/>
                <w:b w:val="0"/>
              </w:rPr>
              <w:t>Red</w:t>
            </w:r>
          </w:p>
        </w:tc>
      </w:tr>
      <w:tr w:rsidR="00784556" w:rsidRPr="001159CC" w:rsidTr="00784556">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6295" w:type="dxa"/>
            <w:tcBorders>
              <w:left w:val="nil"/>
              <w:right w:val="nil"/>
            </w:tcBorders>
          </w:tcPr>
          <w:p w:rsidR="00784556" w:rsidRPr="009B685C" w:rsidRDefault="00784556" w:rsidP="00717FE7">
            <w:pPr>
              <w:pStyle w:val="TableTextEntries"/>
              <w:rPr>
                <w:rFonts w:eastAsia="SimSun"/>
                <w:b w:val="0"/>
              </w:rPr>
            </w:pPr>
            <w:r w:rsidRPr="009B685C">
              <w:rPr>
                <w:rFonts w:eastAsia="SimSun"/>
                <w:b w:val="0"/>
              </w:rPr>
              <w:t>Objective 6: Police service effective and accountable in supporting rule of law</w:t>
            </w:r>
          </w:p>
        </w:tc>
        <w:tc>
          <w:tcPr>
            <w:tcW w:w="1073" w:type="dxa"/>
            <w:tcBorders>
              <w:left w:val="nil"/>
              <w:right w:val="nil"/>
            </w:tcBorders>
            <w:shd w:val="clear" w:color="auto" w:fill="92D050"/>
            <w:noWrap/>
          </w:tcPr>
          <w:p w:rsidR="00784556" w:rsidRPr="009B685C" w:rsidRDefault="001742AC" w:rsidP="00717FE7">
            <w:pPr>
              <w:pStyle w:val="TableTextEntries"/>
              <w:rPr>
                <w:rFonts w:eastAsia="SimSun"/>
                <w:b w:val="0"/>
              </w:rPr>
            </w:pPr>
            <w:r>
              <w:rPr>
                <w:rFonts w:eastAsia="SimSun"/>
                <w:b w:val="0"/>
              </w:rPr>
              <w:t>Green</w:t>
            </w:r>
          </w:p>
        </w:tc>
        <w:tc>
          <w:tcPr>
            <w:tcW w:w="1127" w:type="dxa"/>
            <w:tcBorders>
              <w:left w:val="nil"/>
              <w:right w:val="nil"/>
            </w:tcBorders>
            <w:shd w:val="clear" w:color="auto" w:fill="92D050"/>
            <w:noWrap/>
          </w:tcPr>
          <w:p w:rsidR="00784556" w:rsidRPr="009B685C" w:rsidRDefault="00784556" w:rsidP="00717FE7">
            <w:pPr>
              <w:pStyle w:val="TableTextEntries"/>
              <w:rPr>
                <w:rFonts w:eastAsia="SimSun"/>
                <w:b w:val="0"/>
              </w:rPr>
            </w:pPr>
            <w:r w:rsidRPr="009B685C">
              <w:rPr>
                <w:rFonts w:eastAsia="SimSun"/>
                <w:b w:val="0"/>
              </w:rPr>
              <w:t>Green</w:t>
            </w:r>
          </w:p>
        </w:tc>
      </w:tr>
      <w:tr w:rsidR="00FE7682" w:rsidRPr="001159CC" w:rsidTr="00FE7682">
        <w:trPr>
          <w:cnfStyle w:val="000000010000" w:firstRow="0" w:lastRow="0" w:firstColumn="0" w:lastColumn="0" w:oddVBand="0" w:evenVBand="0" w:oddHBand="0" w:evenHBand="1" w:firstRowFirstColumn="0" w:firstRowLastColumn="0" w:lastRowFirstColumn="0" w:lastRowLastColumn="0"/>
        </w:trPr>
        <w:tc>
          <w:tcPr>
            <w:tcW w:w="6295" w:type="dxa"/>
          </w:tcPr>
          <w:p w:rsidR="00FE7682" w:rsidRPr="009B685C" w:rsidRDefault="00FE7682" w:rsidP="00717FE7">
            <w:pPr>
              <w:pStyle w:val="TableTextEntries"/>
              <w:rPr>
                <w:rFonts w:eastAsia="SimSun"/>
              </w:rPr>
            </w:pPr>
            <w:r w:rsidRPr="009B685C">
              <w:rPr>
                <w:rFonts w:eastAsia="SimSun"/>
              </w:rPr>
              <w:t xml:space="preserve">Objective 7: Poverty reduction in Timor-Leste through improved economic development and delivery of services </w:t>
            </w:r>
          </w:p>
        </w:tc>
        <w:tc>
          <w:tcPr>
            <w:tcW w:w="1073" w:type="dxa"/>
            <w:shd w:val="clear" w:color="auto" w:fill="92D050"/>
            <w:noWrap/>
          </w:tcPr>
          <w:p w:rsidR="00FE7682" w:rsidRPr="00FE7682" w:rsidRDefault="00FE7682" w:rsidP="00EC3058">
            <w:pPr>
              <w:pStyle w:val="TableTextEntries"/>
              <w:rPr>
                <w:rFonts w:eastAsia="SimSun"/>
              </w:rPr>
            </w:pPr>
            <w:r w:rsidRPr="00FE7682">
              <w:rPr>
                <w:rFonts w:eastAsia="SimSun"/>
              </w:rPr>
              <w:t>Green</w:t>
            </w:r>
          </w:p>
        </w:tc>
        <w:tc>
          <w:tcPr>
            <w:tcW w:w="1127" w:type="dxa"/>
            <w:shd w:val="clear" w:color="auto" w:fill="92D050"/>
            <w:noWrap/>
          </w:tcPr>
          <w:p w:rsidR="00FE7682" w:rsidRPr="009B685C" w:rsidRDefault="00FE7682" w:rsidP="00717FE7">
            <w:pPr>
              <w:pStyle w:val="TableTextEntries"/>
              <w:rPr>
                <w:rFonts w:eastAsia="SimSun"/>
              </w:rPr>
            </w:pPr>
            <w:r>
              <w:rPr>
                <w:rFonts w:eastAsia="SimSun"/>
              </w:rPr>
              <w:t>Green</w:t>
            </w:r>
          </w:p>
        </w:tc>
      </w:tr>
      <w:tr w:rsidR="00784556" w:rsidRPr="001159CC" w:rsidTr="001742AC">
        <w:trPr>
          <w:cnfStyle w:val="000000010000" w:firstRow="0" w:lastRow="0" w:firstColumn="0" w:lastColumn="0" w:oddVBand="0" w:evenVBand="0" w:oddHBand="0" w:evenHBand="1" w:firstRowFirstColumn="0" w:firstRowLastColumn="0" w:lastRowFirstColumn="0" w:lastRowLastColumn="0"/>
        </w:trPr>
        <w:tc>
          <w:tcPr>
            <w:tcW w:w="6295" w:type="dxa"/>
          </w:tcPr>
          <w:p w:rsidR="00784556" w:rsidRPr="009B685C" w:rsidRDefault="00784556" w:rsidP="00717FE7">
            <w:pPr>
              <w:pStyle w:val="TableTextEntries"/>
              <w:rPr>
                <w:rFonts w:eastAsia="SimSun"/>
              </w:rPr>
            </w:pPr>
            <w:r>
              <w:rPr>
                <w:rFonts w:eastAsia="SimSun"/>
              </w:rPr>
              <w:t xml:space="preserve">Objective 8: </w:t>
            </w:r>
            <w:r w:rsidR="001742AC">
              <w:rPr>
                <w:rFonts w:eastAsia="SimSun"/>
              </w:rPr>
              <w:t>Human and economic development enhanced by communities building small-scale infrastructure that meets their development needs</w:t>
            </w:r>
          </w:p>
        </w:tc>
        <w:tc>
          <w:tcPr>
            <w:tcW w:w="1073" w:type="dxa"/>
            <w:shd w:val="clear" w:color="auto" w:fill="92D050"/>
            <w:noWrap/>
          </w:tcPr>
          <w:p w:rsidR="00784556" w:rsidRPr="00FE7682" w:rsidRDefault="001742AC" w:rsidP="00717FE7">
            <w:pPr>
              <w:pStyle w:val="TableTextEntries"/>
              <w:rPr>
                <w:rFonts w:eastAsia="SimSun"/>
              </w:rPr>
            </w:pPr>
            <w:r w:rsidRPr="00FE7682">
              <w:rPr>
                <w:rFonts w:eastAsia="SimSun"/>
              </w:rPr>
              <w:t>Green</w:t>
            </w:r>
          </w:p>
        </w:tc>
        <w:tc>
          <w:tcPr>
            <w:tcW w:w="1127" w:type="dxa"/>
            <w:shd w:val="clear" w:color="auto" w:fill="auto"/>
            <w:noWrap/>
          </w:tcPr>
          <w:p w:rsidR="00784556" w:rsidRDefault="001742AC" w:rsidP="00717FE7">
            <w:pPr>
              <w:pStyle w:val="TableTextEntries"/>
              <w:rPr>
                <w:rFonts w:eastAsia="SimSun"/>
              </w:rPr>
            </w:pPr>
            <w:r>
              <w:rPr>
                <w:rFonts w:eastAsia="SimSun"/>
              </w:rPr>
              <w:t>N/A</w:t>
            </w:r>
          </w:p>
        </w:tc>
      </w:tr>
    </w:tbl>
    <w:p w:rsidR="00784556" w:rsidRPr="00AA729B" w:rsidRDefault="00784556" w:rsidP="00784556">
      <w:pPr>
        <w:pStyle w:val="Note"/>
      </w:pPr>
      <w:r w:rsidRPr="00AA729B">
        <w:lastRenderedPageBreak/>
        <w:t xml:space="preserve">Note: </w:t>
      </w:r>
    </w:p>
    <w:p w:rsidR="00784556" w:rsidRDefault="00784556" w:rsidP="00784556">
      <w:pPr>
        <w:pStyle w:val="Note"/>
      </w:pPr>
      <w:r w:rsidRPr="00AA729B">
        <w:rPr>
          <w:color w:val="92D050"/>
        </w:rPr>
        <w:sym w:font="Webdings" w:char="F067"/>
      </w:r>
      <w:r w:rsidRPr="00AA729B">
        <w:t> </w:t>
      </w:r>
      <w:r w:rsidRPr="00AA729B">
        <w:t xml:space="preserve"> </w:t>
      </w:r>
      <w:r w:rsidRPr="002D2C2F">
        <w:t>Green. Progress is as expected for this point in time and it is likely that the objective will be achieved. Standard program management practices are sufficient.</w:t>
      </w:r>
    </w:p>
    <w:p w:rsidR="00784556" w:rsidRDefault="00784556" w:rsidP="00784556">
      <w:pPr>
        <w:pStyle w:val="Note"/>
      </w:pPr>
      <w:r w:rsidRPr="00AA729B">
        <w:rPr>
          <w:color w:val="F79646" w:themeColor="accent6"/>
        </w:rPr>
        <w:sym w:font="Webdings" w:char="F067"/>
      </w:r>
      <w:r w:rsidRPr="00AA729B">
        <w:t> </w:t>
      </w:r>
      <w:r w:rsidRPr="00AA729B">
        <w:t xml:space="preserve"> </w:t>
      </w:r>
      <w:r w:rsidRPr="002D2C2F">
        <w:t>Amber. Progress is somewhat less than expected for this point in time and restorative action will be necessary if the objective is to be achieved. Close performance monitoring is recommended.</w:t>
      </w:r>
    </w:p>
    <w:p w:rsidR="00784556" w:rsidRPr="009B685C" w:rsidRDefault="00784556" w:rsidP="00784556">
      <w:pPr>
        <w:pStyle w:val="Note"/>
      </w:pPr>
      <w:r w:rsidRPr="00AA729B">
        <w:rPr>
          <w:color w:val="FF0000"/>
        </w:rPr>
        <w:sym w:font="Webdings" w:char="F067"/>
      </w:r>
      <w:r w:rsidRPr="00AA729B">
        <w:t> </w:t>
      </w:r>
      <w:r w:rsidRPr="00AA729B">
        <w:t xml:space="preserve"> </w:t>
      </w:r>
      <w:r w:rsidRPr="002D2C2F">
        <w:t>Red. Progress is significantly less than expected for this point in time and the objective is not likely to be met given available resources and priorities. Recasting the objective may be required.</w:t>
      </w:r>
      <w:r w:rsidRPr="00AA729B">
        <w:t xml:space="preserve"> </w:t>
      </w:r>
    </w:p>
    <w:p w:rsidR="001B4EE2" w:rsidRDefault="001B4EE2" w:rsidP="001742AC">
      <w:pPr>
        <w:pStyle w:val="BodyText"/>
      </w:pPr>
    </w:p>
    <w:p w:rsidR="001742AC" w:rsidRDefault="000B7977" w:rsidP="001742AC">
      <w:pPr>
        <w:pStyle w:val="BodyText"/>
      </w:pPr>
      <w:r>
        <w:t>Overall</w:t>
      </w:r>
      <w:r w:rsidR="00016CB1">
        <w:t xml:space="preserve"> progress of Australia’s programs</w:t>
      </w:r>
      <w:r>
        <w:t xml:space="preserve"> in Timor-Leste was</w:t>
      </w:r>
      <w:r w:rsidR="002872AF">
        <w:t xml:space="preserve"> similar to </w:t>
      </w:r>
      <w:r>
        <w:t>the previous</w:t>
      </w:r>
      <w:r w:rsidR="002872AF">
        <w:t xml:space="preserve"> year</w:t>
      </w:r>
      <w:r>
        <w:t>,</w:t>
      </w:r>
      <w:r w:rsidR="00DB2E25">
        <w:t xml:space="preserve"> with about half </w:t>
      </w:r>
      <w:r>
        <w:t>of the</w:t>
      </w:r>
      <w:r w:rsidR="00DB2E25">
        <w:t xml:space="preserve"> programs performing as expected and half</w:t>
      </w:r>
      <w:r w:rsidR="009D1E4C">
        <w:t xml:space="preserve"> requiring remedial action.</w:t>
      </w:r>
      <w:r w:rsidR="00FC2D20">
        <w:t xml:space="preserve"> </w:t>
      </w:r>
      <w:r w:rsidR="006C4F1D">
        <w:t>Australia’s</w:t>
      </w:r>
      <w:r w:rsidR="00DB2E25">
        <w:t xml:space="preserve"> performance in health improved, whereas in water, sanitation a</w:t>
      </w:r>
      <w:r>
        <w:t>nd hygiene and education, it</w:t>
      </w:r>
      <w:r w:rsidR="00DB2E25">
        <w:t xml:space="preserve"> slipped. T</w:t>
      </w:r>
      <w:r w:rsidR="001742AC" w:rsidRPr="00732DAD">
        <w:t xml:space="preserve">he Timor-Leste program </w:t>
      </w:r>
      <w:r>
        <w:t>c</w:t>
      </w:r>
      <w:r w:rsidR="00DB2E25">
        <w:t>ontinued to report against an</w:t>
      </w:r>
      <w:r w:rsidR="001742AC">
        <w:t xml:space="preserve"> interim</w:t>
      </w:r>
      <w:r w:rsidR="001742AC" w:rsidRPr="00732DAD">
        <w:t xml:space="preserve"> performance assessment framework for th</w:t>
      </w:r>
      <w:r w:rsidR="001742AC">
        <w:t>is</w:t>
      </w:r>
      <w:r w:rsidR="001742AC" w:rsidRPr="00732DAD">
        <w:t xml:space="preserve"> reporting period</w:t>
      </w:r>
      <w:r w:rsidR="00BD2BE4">
        <w:t xml:space="preserve">, using objectives drawn from the </w:t>
      </w:r>
      <w:r w:rsidR="00BD2BE4" w:rsidRPr="00180133">
        <w:rPr>
          <w:i/>
        </w:rPr>
        <w:t>Australia–Timor-Leste Country Strategy</w:t>
      </w:r>
      <w:r w:rsidR="00BD2BE4" w:rsidRPr="00395C48">
        <w:t xml:space="preserve"> </w:t>
      </w:r>
      <w:r w:rsidR="00BD2BE4" w:rsidRPr="00180133">
        <w:rPr>
          <w:i/>
        </w:rPr>
        <w:t>2009–2014</w:t>
      </w:r>
      <w:r w:rsidR="00BD2BE4" w:rsidRPr="004273CD">
        <w:t xml:space="preserve"> </w:t>
      </w:r>
      <w:r w:rsidR="00BD2BE4">
        <w:t xml:space="preserve">and the </w:t>
      </w:r>
      <w:r w:rsidR="00BD2BE4" w:rsidRPr="00180133">
        <w:rPr>
          <w:i/>
        </w:rPr>
        <w:t>Strategic Plannin</w:t>
      </w:r>
      <w:r w:rsidR="00180133" w:rsidRPr="00180133">
        <w:rPr>
          <w:i/>
        </w:rPr>
        <w:t>g Agreement for Development</w:t>
      </w:r>
      <w:r w:rsidR="00BD2BE4">
        <w:t xml:space="preserve">. </w:t>
      </w:r>
      <w:r w:rsidR="001742AC">
        <w:t>A new</w:t>
      </w:r>
      <w:r w:rsidR="001742AC" w:rsidRPr="00732DAD">
        <w:t xml:space="preserve"> p</w:t>
      </w:r>
      <w:r w:rsidR="001742AC">
        <w:t xml:space="preserve">erformance assessment framework </w:t>
      </w:r>
      <w:r w:rsidR="00DB2E25">
        <w:t xml:space="preserve">is being developed </w:t>
      </w:r>
      <w:r w:rsidR="001742AC">
        <w:t xml:space="preserve">as part of the new Aid Investment Plan covering the period 2014-15 – 2017-18. </w:t>
      </w:r>
    </w:p>
    <w:p w:rsidR="00DB2E25" w:rsidRDefault="00DB2E25" w:rsidP="00DB2E25">
      <w:pPr>
        <w:pStyle w:val="ListBullet"/>
        <w:numPr>
          <w:ilvl w:val="0"/>
          <w:numId w:val="0"/>
        </w:numPr>
        <w:tabs>
          <w:tab w:val="clear" w:pos="284"/>
        </w:tabs>
      </w:pPr>
      <w:r>
        <w:t xml:space="preserve">DFAT </w:t>
      </w:r>
      <w:r w:rsidR="00C34E1D">
        <w:t>continued efforts to</w:t>
      </w:r>
      <w:r>
        <w:t xml:space="preserve"> integrat</w:t>
      </w:r>
      <w:r w:rsidR="00C34E1D">
        <w:t>e</w:t>
      </w:r>
      <w:r>
        <w:t xml:space="preserve"> gender</w:t>
      </w:r>
      <w:r w:rsidR="00E56B16">
        <w:t>,</w:t>
      </w:r>
      <w:r w:rsidR="00C34E1D">
        <w:t xml:space="preserve"> </w:t>
      </w:r>
      <w:r>
        <w:t xml:space="preserve">disability </w:t>
      </w:r>
      <w:r w:rsidR="00E56B16">
        <w:t xml:space="preserve">and nutrition </w:t>
      </w:r>
      <w:r w:rsidR="0067581B">
        <w:t>across all</w:t>
      </w:r>
      <w:r>
        <w:t xml:space="preserve"> programs</w:t>
      </w:r>
      <w:r w:rsidR="006875C8">
        <w:t xml:space="preserve"> in this reporting period</w:t>
      </w:r>
      <w:r>
        <w:t xml:space="preserve">. </w:t>
      </w:r>
      <w:r w:rsidR="00C34E1D">
        <w:t>On gender, good progress was achieved: s</w:t>
      </w:r>
      <w:r w:rsidR="00E56B16">
        <w:t>trong leadership</w:t>
      </w:r>
      <w:r w:rsidR="00C34E1D">
        <w:t xml:space="preserve"> from DFAT management</w:t>
      </w:r>
      <w:r w:rsidR="00E56B16">
        <w:t xml:space="preserve"> drove </w:t>
      </w:r>
      <w:r w:rsidR="00E17152" w:rsidRPr="00E17152">
        <w:t xml:space="preserve">a gender stocktake and </w:t>
      </w:r>
      <w:r w:rsidR="00660990">
        <w:t xml:space="preserve">the </w:t>
      </w:r>
      <w:r w:rsidR="00E17152" w:rsidRPr="00E17152">
        <w:t>devel</w:t>
      </w:r>
      <w:r w:rsidR="0067581B">
        <w:t>opment and implementation of a gender action p</w:t>
      </w:r>
      <w:r w:rsidR="00E17152" w:rsidRPr="00E17152">
        <w:t>lan</w:t>
      </w:r>
      <w:r w:rsidR="000B7977">
        <w:t>,</w:t>
      </w:r>
      <w:r w:rsidR="00E17152" w:rsidRPr="00E17152">
        <w:t xml:space="preserve"> which sets out concrete actions and targets for each sector program to be reviewed bi-annually.</w:t>
      </w:r>
      <w:r w:rsidR="00E17152">
        <w:t xml:space="preserve"> </w:t>
      </w:r>
      <w:r w:rsidR="0067581B">
        <w:t>Progress on disability was mixed: DFAT continued support for the Timor-Leste Disability Association and adopted d</w:t>
      </w:r>
      <w:r w:rsidR="0067581B" w:rsidRPr="00AC326A">
        <w:rPr>
          <w:bCs/>
        </w:rPr>
        <w:t>isability-inclusive</w:t>
      </w:r>
      <w:r w:rsidR="0067581B">
        <w:rPr>
          <w:bCs/>
        </w:rPr>
        <w:t xml:space="preserve"> approaches</w:t>
      </w:r>
      <w:r w:rsidR="0067581B">
        <w:t xml:space="preserve"> in new designs</w:t>
      </w:r>
      <w:r w:rsidR="0076770E">
        <w:rPr>
          <w:bCs/>
        </w:rPr>
        <w:t>, but more work is need</w:t>
      </w:r>
      <w:r w:rsidR="0067581B">
        <w:rPr>
          <w:bCs/>
        </w:rPr>
        <w:t>ed</w:t>
      </w:r>
      <w:r w:rsidR="0076770E">
        <w:rPr>
          <w:bCs/>
        </w:rPr>
        <w:t xml:space="preserve"> to integrate disabil</w:t>
      </w:r>
      <w:r w:rsidR="00204C67">
        <w:rPr>
          <w:bCs/>
        </w:rPr>
        <w:t>ity across sectors. Steady steps were taken on nutrition</w:t>
      </w:r>
      <w:r w:rsidR="0076770E">
        <w:rPr>
          <w:bCs/>
        </w:rPr>
        <w:t xml:space="preserve">, </w:t>
      </w:r>
      <w:r w:rsidR="00204C67">
        <w:rPr>
          <w:bCs/>
        </w:rPr>
        <w:t xml:space="preserve">as </w:t>
      </w:r>
      <w:r w:rsidR="0076770E">
        <w:rPr>
          <w:bCs/>
        </w:rPr>
        <w:t>DFAT supported the 2013 Timor-Leste Food and Nutrition Survey</w:t>
      </w:r>
      <w:r w:rsidR="00CC4A83">
        <w:rPr>
          <w:bCs/>
        </w:rPr>
        <w:t xml:space="preserve"> and </w:t>
      </w:r>
      <w:r w:rsidR="00204C67">
        <w:rPr>
          <w:bCs/>
        </w:rPr>
        <w:t>communication of results</w:t>
      </w:r>
      <w:r w:rsidR="00CC4A83">
        <w:rPr>
          <w:bCs/>
        </w:rPr>
        <w:t xml:space="preserve">, as well as </w:t>
      </w:r>
      <w:r w:rsidR="0076770E">
        <w:rPr>
          <w:bCs/>
        </w:rPr>
        <w:t xml:space="preserve">the establishment of the President’s Nutrition Awards </w:t>
      </w:r>
      <w:r w:rsidR="00CC4A83">
        <w:rPr>
          <w:bCs/>
        </w:rPr>
        <w:t xml:space="preserve">program </w:t>
      </w:r>
      <w:r w:rsidR="0076770E">
        <w:rPr>
          <w:bCs/>
        </w:rPr>
        <w:t xml:space="preserve">in 2014. Increasing GoTL focus on nutrition, together with </w:t>
      </w:r>
      <w:r w:rsidR="00204C67">
        <w:rPr>
          <w:bCs/>
        </w:rPr>
        <w:t>DFAT’s</w:t>
      </w:r>
      <w:r w:rsidR="0076770E">
        <w:rPr>
          <w:bCs/>
        </w:rPr>
        <w:t xml:space="preserve"> </w:t>
      </w:r>
      <w:r w:rsidR="00857851">
        <w:rPr>
          <w:bCs/>
        </w:rPr>
        <w:t xml:space="preserve">recent </w:t>
      </w:r>
      <w:r w:rsidR="0076770E">
        <w:rPr>
          <w:bCs/>
        </w:rPr>
        <w:t xml:space="preserve">recruitment of a Dili-based Nutrition Specialist, will allow </w:t>
      </w:r>
      <w:r w:rsidR="00204C67">
        <w:rPr>
          <w:bCs/>
        </w:rPr>
        <w:t>DFAT</w:t>
      </w:r>
      <w:r w:rsidR="0076770E">
        <w:rPr>
          <w:bCs/>
        </w:rPr>
        <w:t xml:space="preserve"> to</w:t>
      </w:r>
      <w:r w:rsidR="00857851">
        <w:rPr>
          <w:bCs/>
        </w:rPr>
        <w:t xml:space="preserve"> make further progress on </w:t>
      </w:r>
      <w:r w:rsidR="00857851">
        <w:t>sharpening the nutrition focus of sector programs in the year ahead.</w:t>
      </w:r>
      <w:r w:rsidR="0076770E">
        <w:rPr>
          <w:bCs/>
        </w:rPr>
        <w:t xml:space="preserve"> </w:t>
      </w:r>
    </w:p>
    <w:p w:rsidR="008478A1" w:rsidRPr="00776786" w:rsidRDefault="008478A1" w:rsidP="00554E20">
      <w:pPr>
        <w:pStyle w:val="Heading3"/>
      </w:pPr>
      <w:r w:rsidRPr="00C57923">
        <w:t xml:space="preserve">Objective </w:t>
      </w:r>
      <w:r>
        <w:t>1</w:t>
      </w:r>
    </w:p>
    <w:tbl>
      <w:tblPr>
        <w:tblStyle w:val="APPR"/>
        <w:tblW w:w="4903" w:type="pct"/>
        <w:tblLook w:val="0000" w:firstRow="0" w:lastRow="0" w:firstColumn="0" w:lastColumn="0" w:noHBand="0" w:noVBand="0"/>
      </w:tblPr>
      <w:tblGrid>
        <w:gridCol w:w="6716"/>
        <w:gridCol w:w="1166"/>
        <w:gridCol w:w="1237"/>
      </w:tblGrid>
      <w:tr w:rsidR="002B0885" w:rsidRPr="001159CC" w:rsidTr="002B0885">
        <w:trPr>
          <w:cnfStyle w:val="000000010000" w:firstRow="0" w:lastRow="0" w:firstColumn="0" w:lastColumn="0" w:oddVBand="0" w:evenVBand="0" w:oddHBand="0" w:evenHBand="1" w:firstRowFirstColumn="0" w:firstRowLastColumn="0" w:lastRowFirstColumn="0" w:lastRowLastColumn="0"/>
        </w:trPr>
        <w:tc>
          <w:tcPr>
            <w:tcW w:w="6295" w:type="dxa"/>
          </w:tcPr>
          <w:p w:rsidR="002B0885" w:rsidRPr="00C14AA8" w:rsidRDefault="002B0885" w:rsidP="00717FE7">
            <w:pPr>
              <w:pStyle w:val="TableHeading1"/>
            </w:pPr>
            <w:r w:rsidRPr="00C14AA8">
              <w:rPr>
                <w:noProof/>
                <w:lang w:eastAsia="en-AU"/>
              </w:rPr>
              <w:drawing>
                <wp:anchor distT="0" distB="0" distL="114300" distR="114300" simplePos="0" relativeHeight="251675648" behindDoc="0" locked="0" layoutInCell="1" allowOverlap="1" wp14:anchorId="1A02449D" wp14:editId="640F0417">
                  <wp:simplePos x="0" y="0"/>
                  <wp:positionH relativeFrom="column">
                    <wp:posOffset>0</wp:posOffset>
                  </wp:positionH>
                  <wp:positionV relativeFrom="paragraph">
                    <wp:posOffset>0</wp:posOffset>
                  </wp:positionV>
                  <wp:extent cx="1857375" cy="228600"/>
                  <wp:effectExtent l="0" t="0" r="9525" b="0"/>
                  <wp:wrapNone/>
                  <wp:docPr id="25" name="Picture 25"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73" w:type="dxa"/>
          </w:tcPr>
          <w:p w:rsidR="002B0885" w:rsidRPr="00C14AA8" w:rsidRDefault="002B0885" w:rsidP="00717FE7">
            <w:pPr>
              <w:pStyle w:val="TableHeading1"/>
            </w:pPr>
            <w:r w:rsidRPr="00C14AA8">
              <w:t>Current rating</w:t>
            </w:r>
          </w:p>
        </w:tc>
        <w:tc>
          <w:tcPr>
            <w:tcW w:w="1127" w:type="dxa"/>
          </w:tcPr>
          <w:p w:rsidR="002B0885" w:rsidRPr="00C14AA8" w:rsidRDefault="002B0885" w:rsidP="00717FE7">
            <w:pPr>
              <w:pStyle w:val="TableHeading1"/>
            </w:pPr>
            <w:r w:rsidRPr="00C14AA8">
              <w:t>Previous rating</w:t>
            </w:r>
          </w:p>
        </w:tc>
      </w:tr>
      <w:tr w:rsidR="002B0885" w:rsidRPr="001159CC" w:rsidTr="002B0885">
        <w:trPr>
          <w:cnfStyle w:val="000000010000" w:firstRow="0" w:lastRow="0" w:firstColumn="0" w:lastColumn="0" w:oddVBand="0" w:evenVBand="0" w:oddHBand="0" w:evenHBand="1" w:firstRowFirstColumn="0" w:firstRowLastColumn="0" w:lastRowFirstColumn="0" w:lastRowLastColumn="0"/>
        </w:trPr>
        <w:tc>
          <w:tcPr>
            <w:tcW w:w="6295" w:type="dxa"/>
          </w:tcPr>
          <w:p w:rsidR="002B0885" w:rsidRPr="001159CC" w:rsidRDefault="002B0885" w:rsidP="00717FE7">
            <w:pPr>
              <w:pStyle w:val="TableTextEntries"/>
              <w:rPr>
                <w:rFonts w:asciiTheme="minorHAnsi" w:hAnsiTheme="minorHAnsi" w:cstheme="minorHAnsi"/>
                <w:sz w:val="22"/>
                <w:szCs w:val="22"/>
              </w:rPr>
            </w:pPr>
            <w:r w:rsidRPr="00917003">
              <w:rPr>
                <w:rFonts w:eastAsia="SimSun"/>
              </w:rPr>
              <w:t>Objective 1: Increased access to and use of safe water and sanitation</w:t>
            </w:r>
          </w:p>
        </w:tc>
        <w:tc>
          <w:tcPr>
            <w:tcW w:w="1073" w:type="dxa"/>
            <w:shd w:val="clear" w:color="auto" w:fill="F79646" w:themeFill="accent6"/>
            <w:noWrap/>
          </w:tcPr>
          <w:p w:rsidR="002B0885" w:rsidRPr="00C14AA8" w:rsidRDefault="002B0885" w:rsidP="00717FE7">
            <w:pPr>
              <w:pStyle w:val="TableTextEntries"/>
            </w:pPr>
            <w:r>
              <w:t>Amber</w:t>
            </w:r>
          </w:p>
        </w:tc>
        <w:tc>
          <w:tcPr>
            <w:tcW w:w="1127" w:type="dxa"/>
            <w:shd w:val="clear" w:color="auto" w:fill="92D050"/>
            <w:noWrap/>
          </w:tcPr>
          <w:p w:rsidR="002B0885" w:rsidRPr="00C14AA8" w:rsidRDefault="002B0885" w:rsidP="00717FE7">
            <w:pPr>
              <w:pStyle w:val="TableTextEntries"/>
            </w:pPr>
            <w:r w:rsidRPr="00C14AA8">
              <w:t>Green</w:t>
            </w:r>
          </w:p>
        </w:tc>
      </w:tr>
    </w:tbl>
    <w:p w:rsidR="0019190B" w:rsidRDefault="0019190B" w:rsidP="0019190B">
      <w:pPr>
        <w:rPr>
          <w:i/>
        </w:rPr>
      </w:pPr>
    </w:p>
    <w:p w:rsidR="00D0397A" w:rsidRPr="00FE5435" w:rsidRDefault="00D0397A" w:rsidP="00D0397A">
      <w:pPr>
        <w:pStyle w:val="ListBullet"/>
        <w:numPr>
          <w:ilvl w:val="0"/>
          <w:numId w:val="0"/>
        </w:numPr>
        <w:tabs>
          <w:tab w:val="clear" w:pos="284"/>
        </w:tabs>
        <w:rPr>
          <w:i/>
        </w:rPr>
      </w:pPr>
      <w:r w:rsidRPr="00FE5435">
        <w:rPr>
          <w:i/>
        </w:rPr>
        <w:t xml:space="preserve">The amber rating reflects </w:t>
      </w:r>
      <w:r>
        <w:rPr>
          <w:i/>
        </w:rPr>
        <w:t xml:space="preserve">a temporary slowdown of expected results due to </w:t>
      </w:r>
      <w:r w:rsidRPr="00FE5435">
        <w:rPr>
          <w:i/>
        </w:rPr>
        <w:t xml:space="preserve">a year of reorientation of the BESIK water and sanitation program, with </w:t>
      </w:r>
      <w:r w:rsidR="00857851">
        <w:rPr>
          <w:i/>
        </w:rPr>
        <w:t xml:space="preserve">a shift from a direct service delivery approach to a partnership-style engagement with GoTL. </w:t>
      </w:r>
      <w:r w:rsidRPr="00FE5435">
        <w:rPr>
          <w:i/>
        </w:rPr>
        <w:t xml:space="preserve">BESIK’s focus </w:t>
      </w:r>
      <w:r w:rsidR="003A00EF">
        <w:rPr>
          <w:i/>
        </w:rPr>
        <w:t>has turned</w:t>
      </w:r>
      <w:r w:rsidRPr="00FE5435">
        <w:rPr>
          <w:i/>
        </w:rPr>
        <w:t xml:space="preserve"> to capacity building as it seeks to help </w:t>
      </w:r>
      <w:r w:rsidR="00857851">
        <w:rPr>
          <w:i/>
        </w:rPr>
        <w:t xml:space="preserve">GoTL </w:t>
      </w:r>
      <w:r w:rsidRPr="00FE5435">
        <w:rPr>
          <w:i/>
        </w:rPr>
        <w:t>institutionalise robust and sustainable systems for water and sanitation.</w:t>
      </w:r>
    </w:p>
    <w:p w:rsidR="00D0397A" w:rsidRDefault="00C34E1D" w:rsidP="00857851">
      <w:pPr>
        <w:pStyle w:val="ListBullet"/>
        <w:numPr>
          <w:ilvl w:val="0"/>
          <w:numId w:val="0"/>
        </w:numPr>
        <w:tabs>
          <w:tab w:val="clear" w:pos="284"/>
        </w:tabs>
      </w:pPr>
      <w:r>
        <w:t>The</w:t>
      </w:r>
      <w:r w:rsidR="00D0397A">
        <w:t xml:space="preserve"> </w:t>
      </w:r>
      <w:r w:rsidR="00180133">
        <w:t>SDP</w:t>
      </w:r>
      <w:r>
        <w:t xml:space="preserve"> </w:t>
      </w:r>
      <w:r w:rsidR="00857851">
        <w:t xml:space="preserve">goal is for </w:t>
      </w:r>
      <w:r w:rsidR="00D0397A">
        <w:t xml:space="preserve">all citizens </w:t>
      </w:r>
      <w:r w:rsidR="00857851">
        <w:t xml:space="preserve">to </w:t>
      </w:r>
      <w:r w:rsidR="00D0397A">
        <w:t>hav</w:t>
      </w:r>
      <w:r w:rsidR="00857851">
        <w:t>e</w:t>
      </w:r>
      <w:r w:rsidR="00D0397A">
        <w:t xml:space="preserve"> access to clean water and improved sanitation by 2030. </w:t>
      </w:r>
      <w:r>
        <w:rPr>
          <w:rFonts w:eastAsia="SimSun"/>
        </w:rPr>
        <w:t>These</w:t>
      </w:r>
      <w:r w:rsidR="00D0397A">
        <w:t xml:space="preserve"> are needed to address Timor-Leste’s high rates of malnutrition and waterborne illness.</w:t>
      </w:r>
      <w:r w:rsidR="00FC2D20">
        <w:t xml:space="preserve"> </w:t>
      </w:r>
      <w:r w:rsidR="00D0397A">
        <w:t>GoTL efforts in 2013-14 to socialise the 2012 National Sanitation Policy</w:t>
      </w:r>
      <w:r w:rsidR="000B7977">
        <w:t xml:space="preserve"> were</w:t>
      </w:r>
      <w:r w:rsidR="00D0397A">
        <w:t xml:space="preserve"> a good indicator of a growing commitment to these issues.</w:t>
      </w:r>
      <w:r w:rsidR="00FC2D20">
        <w:t xml:space="preserve"> </w:t>
      </w:r>
    </w:p>
    <w:p w:rsidR="00D0397A" w:rsidRDefault="00D0397A" w:rsidP="00D0397A">
      <w:pPr>
        <w:pStyle w:val="ListBullet"/>
        <w:numPr>
          <w:ilvl w:val="0"/>
          <w:numId w:val="0"/>
        </w:numPr>
        <w:tabs>
          <w:tab w:val="clear" w:pos="284"/>
        </w:tabs>
      </w:pPr>
      <w:r>
        <w:t>Australia’s contribution through the Rural Water Supply and Sanitation Program (BESIK ph</w:t>
      </w:r>
      <w:r w:rsidR="000B7977">
        <w:t>ase 2, $43 million</w:t>
      </w:r>
      <w:r w:rsidR="00180133">
        <w:t>, 2012-16</w:t>
      </w:r>
      <w:r w:rsidR="000B7977">
        <w:t>)</w:t>
      </w:r>
      <w:r>
        <w:t xml:space="preserve"> continued to support the delivery of safe water to rural communities.</w:t>
      </w:r>
      <w:r w:rsidR="00FC2D20">
        <w:t xml:space="preserve"> </w:t>
      </w:r>
      <w:r>
        <w:t xml:space="preserve">In 2013-14, </w:t>
      </w:r>
      <w:r w:rsidRPr="006C5FB6">
        <w:t>28,607</w:t>
      </w:r>
      <w:r>
        <w:t xml:space="preserve"> rural people gained access to safe water, slightly less than expected, while 41 schools gained access to safe water, well exceeding the target of 12.</w:t>
      </w:r>
    </w:p>
    <w:p w:rsidR="00D0397A" w:rsidRDefault="00D0397A" w:rsidP="00D0397A">
      <w:pPr>
        <w:pStyle w:val="ListBullet"/>
        <w:numPr>
          <w:ilvl w:val="0"/>
          <w:numId w:val="0"/>
        </w:numPr>
        <w:tabs>
          <w:tab w:val="clear" w:pos="284"/>
        </w:tabs>
      </w:pPr>
      <w:r>
        <w:t xml:space="preserve">Progress on sanitation </w:t>
      </w:r>
      <w:r w:rsidR="000B7977">
        <w:t>was</w:t>
      </w:r>
      <w:r>
        <w:t xml:space="preserve"> slower than expected</w:t>
      </w:r>
      <w:r w:rsidR="0089683E">
        <w:t>, due to challenges associated with the increased use of government systems</w:t>
      </w:r>
      <w:r w:rsidR="00660990">
        <w:rPr>
          <w:color w:val="17375E"/>
        </w:rPr>
        <w:t xml:space="preserve">. </w:t>
      </w:r>
      <w:r w:rsidR="003A00EF">
        <w:t>BESIK provided 6,760 people with access to basic sanitation in 2013-14, which was less than targeted.</w:t>
      </w:r>
      <w:r w:rsidR="00FC2D20">
        <w:t xml:space="preserve"> </w:t>
      </w:r>
      <w:r>
        <w:t>BESIK has been piloting new models, endorsed by the Ministry of Health, to support</w:t>
      </w:r>
      <w:r w:rsidR="000B7977">
        <w:t xml:space="preserve"> a more sustainable </w:t>
      </w:r>
      <w:r>
        <w:t>approach to rural sanitation</w:t>
      </w:r>
      <w:r w:rsidR="000926E8">
        <w:t xml:space="preserve">, driven by the private sector and </w:t>
      </w:r>
      <w:r w:rsidR="00CC4A83">
        <w:lastRenderedPageBreak/>
        <w:t>NGOs</w:t>
      </w:r>
      <w:r>
        <w:t>.</w:t>
      </w:r>
      <w:r w:rsidR="00FC2D20">
        <w:t xml:space="preserve"> </w:t>
      </w:r>
      <w:r>
        <w:t xml:space="preserve">The pilots </w:t>
      </w:r>
      <w:r w:rsidR="003A00EF">
        <w:t>saw</w:t>
      </w:r>
      <w:r>
        <w:t xml:space="preserve"> an additional 17,282 people (51 per cent women) </w:t>
      </w:r>
      <w:r w:rsidR="003A00EF">
        <w:t>gain</w:t>
      </w:r>
      <w:r>
        <w:t xml:space="preserve"> increased knowledge of hygiene practices</w:t>
      </w:r>
      <w:r w:rsidR="000B7977">
        <w:t>,</w:t>
      </w:r>
      <w:r>
        <w:t xml:space="preserve"> such as hand-washing with soap</w:t>
      </w:r>
      <w:r w:rsidR="000B7977">
        <w:t>, although i</w:t>
      </w:r>
      <w:r>
        <w:t>nfluenc</w:t>
      </w:r>
      <w:r w:rsidR="000B7977">
        <w:t>ing</w:t>
      </w:r>
      <w:r>
        <w:t xml:space="preserve"> behaviour change</w:t>
      </w:r>
      <w:r w:rsidR="000B7977">
        <w:t xml:space="preserve"> remains a challenge. </w:t>
      </w:r>
      <w:r w:rsidR="0038064B">
        <w:t xml:space="preserve"> DFAT is monitoring the</w:t>
      </w:r>
      <w:r w:rsidR="00670EB5">
        <w:t>se</w:t>
      </w:r>
      <w:r w:rsidR="0038064B">
        <w:t xml:space="preserve"> pilots with a view towards scaling up successful models.</w:t>
      </w:r>
    </w:p>
    <w:p w:rsidR="00D0397A" w:rsidRDefault="000F67D8" w:rsidP="00D0397A">
      <w:pPr>
        <w:pStyle w:val="ListBullet"/>
        <w:numPr>
          <w:ilvl w:val="0"/>
          <w:numId w:val="0"/>
        </w:numPr>
        <w:tabs>
          <w:tab w:val="clear" w:pos="284"/>
        </w:tabs>
      </w:pPr>
      <w:r>
        <w:t>Progress was slowed by leadership changes in the BESIK team.</w:t>
      </w:r>
      <w:r w:rsidR="00FC2D20">
        <w:t xml:space="preserve"> </w:t>
      </w:r>
      <w:r>
        <w:t>And the lack of coordination in GoTL</w:t>
      </w:r>
      <w:r w:rsidR="00D0397A">
        <w:t xml:space="preserve"> resourcing </w:t>
      </w:r>
      <w:r>
        <w:t xml:space="preserve">continued to be a challenge to sustainable improvements to water, sanitation and </w:t>
      </w:r>
      <w:r w:rsidRPr="00C81D20">
        <w:t>hygiene</w:t>
      </w:r>
      <w:r w:rsidR="000B7977">
        <w:t xml:space="preserve">. </w:t>
      </w:r>
      <w:r w:rsidR="00D0397A">
        <w:t>BESIK phase 2 has an increased focus on capacity building and government-led service delivery, rather than the direct investments of phase 1. But this requires increased government owner</w:t>
      </w:r>
      <w:r w:rsidR="000B7977">
        <w:t>ship to succeed.</w:t>
      </w:r>
      <w:r w:rsidR="00FC2D20">
        <w:t xml:space="preserve"> </w:t>
      </w:r>
      <w:r w:rsidR="000B7977">
        <w:t>DFAT continued</w:t>
      </w:r>
      <w:r w:rsidR="00D0397A">
        <w:t xml:space="preserve"> to engage in policy dialogue with the relevant ministries to highlight the importance of a sustainable transition.</w:t>
      </w:r>
      <w:r w:rsidR="00FC2D20">
        <w:t xml:space="preserve"> </w:t>
      </w:r>
    </w:p>
    <w:p w:rsidR="00D0397A" w:rsidRDefault="00D0397A" w:rsidP="00D0397A">
      <w:pPr>
        <w:pStyle w:val="ListBullet"/>
        <w:numPr>
          <w:ilvl w:val="0"/>
          <w:numId w:val="0"/>
        </w:numPr>
        <w:tabs>
          <w:tab w:val="clear" w:pos="284"/>
        </w:tabs>
      </w:pPr>
      <w:r>
        <w:t>The rollout of the GoTL’s National Program for Village Development (PNDS), supported by DFAT, has funded communities to develop and maintain their own water systems,</w:t>
      </w:r>
      <w:r w:rsidR="003A00EF">
        <w:t xml:space="preserve"> alongside other infrastructure. B</w:t>
      </w:r>
      <w:r>
        <w:t xml:space="preserve">ut </w:t>
      </w:r>
      <w:r w:rsidR="000F67D8">
        <w:t xml:space="preserve">relevant ministries need to </w:t>
      </w:r>
      <w:r>
        <w:t>coordinat</w:t>
      </w:r>
      <w:r w:rsidR="000F67D8">
        <w:t>e more closely</w:t>
      </w:r>
      <w:r>
        <w:t xml:space="preserve"> to keep local planning processes aligned.</w:t>
      </w:r>
      <w:r w:rsidR="000F67D8">
        <w:t xml:space="preserve"> O</w:t>
      </w:r>
      <w:r w:rsidR="000F67D8" w:rsidRPr="00D0397A">
        <w:t xml:space="preserve">perations and maintenance (O&amp;M) </w:t>
      </w:r>
      <w:r w:rsidR="000F67D8">
        <w:t xml:space="preserve">in particular </w:t>
      </w:r>
      <w:r w:rsidR="000F67D8" w:rsidRPr="00D0397A">
        <w:t xml:space="preserve">require </w:t>
      </w:r>
      <w:r w:rsidR="000F67D8">
        <w:t>increased government commitment</w:t>
      </w:r>
      <w:r w:rsidR="000F67D8" w:rsidRPr="00D0397A">
        <w:t>.</w:t>
      </w:r>
      <w:r w:rsidR="00FC2D20">
        <w:t xml:space="preserve"> </w:t>
      </w:r>
      <w:r w:rsidR="000F67D8" w:rsidRPr="00D0397A">
        <w:t>Without sufficient O&amp;M funds, water systems break down faster than they can be built.</w:t>
      </w:r>
      <w:r w:rsidR="00FC2D20">
        <w:t xml:space="preserve"> </w:t>
      </w:r>
      <w:r w:rsidR="000F67D8" w:rsidRPr="00D0397A">
        <w:t>Water User Groups</w:t>
      </w:r>
      <w:r w:rsidR="000F67D8">
        <w:t>,</w:t>
      </w:r>
      <w:r w:rsidR="000F67D8" w:rsidRPr="00D0397A">
        <w:t xml:space="preserve"> supported by BESIK-trained facilitators</w:t>
      </w:r>
      <w:r w:rsidR="000F67D8">
        <w:t>,</w:t>
      </w:r>
      <w:r w:rsidR="000F67D8" w:rsidRPr="00D0397A">
        <w:t xml:space="preserve"> </w:t>
      </w:r>
      <w:r w:rsidR="000F67D8">
        <w:t>have improved</w:t>
      </w:r>
      <w:r w:rsidR="000F67D8" w:rsidRPr="00D0397A">
        <w:t xml:space="preserve"> community-led management of water systems, with good female representat</w:t>
      </w:r>
      <w:r w:rsidR="000F67D8">
        <w:t>ion and leadership. B</w:t>
      </w:r>
      <w:r w:rsidR="000F67D8" w:rsidRPr="00D0397A">
        <w:t>ut their work must be com</w:t>
      </w:r>
      <w:r w:rsidR="000F67D8">
        <w:t>plemented by heightened government support and coordination.</w:t>
      </w:r>
      <w:r w:rsidR="00FC2D20">
        <w:t xml:space="preserve"> </w:t>
      </w:r>
    </w:p>
    <w:p w:rsidR="003A00EF" w:rsidRDefault="000F67D8" w:rsidP="00C51368">
      <w:pPr>
        <w:spacing w:after="120" w:line="280" w:lineRule="exact"/>
        <w:contextualSpacing/>
        <w:rPr>
          <w:rFonts w:ascii="Franklin Gothic Book" w:hAnsi="Franklin Gothic Book"/>
          <w:sz w:val="21"/>
          <w:szCs w:val="21"/>
        </w:rPr>
      </w:pPr>
      <w:r w:rsidRPr="000F67D8">
        <w:rPr>
          <w:rFonts w:ascii="Franklin Gothic Book" w:hAnsi="Franklin Gothic Book"/>
          <w:b/>
          <w:sz w:val="21"/>
          <w:szCs w:val="21"/>
        </w:rPr>
        <w:t xml:space="preserve">Management response: </w:t>
      </w:r>
    </w:p>
    <w:p w:rsidR="00E65574" w:rsidRPr="00FE5435" w:rsidRDefault="00E65574" w:rsidP="00BF0796">
      <w:pPr>
        <w:pStyle w:val="ListParagraph"/>
        <w:numPr>
          <w:ilvl w:val="0"/>
          <w:numId w:val="21"/>
        </w:numPr>
        <w:spacing w:after="0"/>
        <w:contextualSpacing/>
        <w:rPr>
          <w:rFonts w:ascii="Franklin Gothic Book" w:hAnsi="Franklin Gothic Book"/>
          <w:sz w:val="21"/>
          <w:szCs w:val="21"/>
        </w:rPr>
      </w:pPr>
      <w:r w:rsidRPr="00FE5435">
        <w:rPr>
          <w:rFonts w:ascii="Franklin Gothic Book" w:hAnsi="Franklin Gothic Book"/>
          <w:sz w:val="21"/>
          <w:szCs w:val="21"/>
        </w:rPr>
        <w:t>DFAT will support key agencies to advocate for financial commitments to water and sanitation, particularly for O&amp;M, and will develop the capacity of the relevant agencies to implement O&amp;M.</w:t>
      </w:r>
    </w:p>
    <w:p w:rsidR="00E65574" w:rsidRPr="00FE5435" w:rsidRDefault="00E65574" w:rsidP="00BF0796">
      <w:pPr>
        <w:pStyle w:val="ListParagraph"/>
        <w:numPr>
          <w:ilvl w:val="0"/>
          <w:numId w:val="21"/>
        </w:numPr>
        <w:spacing w:after="0"/>
        <w:contextualSpacing/>
        <w:rPr>
          <w:rFonts w:ascii="Franklin Gothic Book" w:hAnsi="Franklin Gothic Book"/>
          <w:sz w:val="21"/>
          <w:szCs w:val="21"/>
        </w:rPr>
      </w:pPr>
      <w:r w:rsidRPr="00FE5435">
        <w:rPr>
          <w:rFonts w:ascii="Franklin Gothic Book" w:hAnsi="Franklin Gothic Book"/>
          <w:sz w:val="21"/>
          <w:szCs w:val="21"/>
        </w:rPr>
        <w:t>DFAT’s water and sanitation and community development teams will continue to collaborate to advocate to the Government for alignment of local planning processes</w:t>
      </w:r>
      <w:r w:rsidR="00CC4A83">
        <w:rPr>
          <w:rFonts w:ascii="Franklin Gothic Book" w:hAnsi="Franklin Gothic Book"/>
          <w:sz w:val="21"/>
          <w:szCs w:val="21"/>
        </w:rPr>
        <w:t>,</w:t>
      </w:r>
      <w:r w:rsidRPr="00FE5435">
        <w:rPr>
          <w:rFonts w:ascii="Franklin Gothic Book" w:hAnsi="Franklin Gothic Book"/>
          <w:sz w:val="21"/>
          <w:szCs w:val="21"/>
        </w:rPr>
        <w:t xml:space="preserve"> including PNDS</w:t>
      </w:r>
      <w:r w:rsidR="00CC4A83">
        <w:rPr>
          <w:rFonts w:ascii="Franklin Gothic Book" w:hAnsi="Franklin Gothic Book"/>
          <w:sz w:val="21"/>
          <w:szCs w:val="21"/>
        </w:rPr>
        <w:t>,</w:t>
      </w:r>
      <w:r w:rsidRPr="00FE5435">
        <w:rPr>
          <w:rFonts w:ascii="Franklin Gothic Book" w:hAnsi="Franklin Gothic Book"/>
          <w:sz w:val="21"/>
          <w:szCs w:val="21"/>
        </w:rPr>
        <w:t xml:space="preserve"> that impact water service delivery.</w:t>
      </w:r>
    </w:p>
    <w:p w:rsidR="008478A1" w:rsidRDefault="008478A1" w:rsidP="00554E20">
      <w:pPr>
        <w:pStyle w:val="Heading3"/>
      </w:pPr>
      <w:r w:rsidRPr="00C57923">
        <w:t xml:space="preserve">Objective </w:t>
      </w:r>
      <w:r>
        <w:t>2</w:t>
      </w:r>
    </w:p>
    <w:tbl>
      <w:tblPr>
        <w:tblStyle w:val="APPR"/>
        <w:tblW w:w="5000" w:type="pct"/>
        <w:tblLook w:val="0000" w:firstRow="0" w:lastRow="0" w:firstColumn="0" w:lastColumn="0" w:noHBand="0" w:noVBand="0"/>
      </w:tblPr>
      <w:tblGrid>
        <w:gridCol w:w="6843"/>
        <w:gridCol w:w="1192"/>
        <w:gridCol w:w="1264"/>
      </w:tblGrid>
      <w:tr w:rsidR="002B0885" w:rsidRPr="001159CC" w:rsidTr="00D0397A">
        <w:trPr>
          <w:cnfStyle w:val="000000010000" w:firstRow="0" w:lastRow="0" w:firstColumn="0" w:lastColumn="0" w:oddVBand="0" w:evenVBand="0" w:oddHBand="0" w:evenHBand="1" w:firstRowFirstColumn="0" w:firstRowLastColumn="0" w:lastRowFirstColumn="0" w:lastRowLastColumn="0"/>
        </w:trPr>
        <w:tc>
          <w:tcPr>
            <w:tcW w:w="6414" w:type="dxa"/>
          </w:tcPr>
          <w:p w:rsidR="002B0885" w:rsidRPr="00C14AA8" w:rsidRDefault="002B0885" w:rsidP="00717FE7">
            <w:pPr>
              <w:pStyle w:val="TableHeading1"/>
            </w:pPr>
            <w:r w:rsidRPr="00C14AA8">
              <w:rPr>
                <w:noProof/>
                <w:lang w:eastAsia="en-AU"/>
              </w:rPr>
              <w:drawing>
                <wp:anchor distT="0" distB="0" distL="114300" distR="114300" simplePos="0" relativeHeight="251677696" behindDoc="0" locked="0" layoutInCell="1" allowOverlap="1" wp14:anchorId="2F1CC404" wp14:editId="7D98A93D">
                  <wp:simplePos x="0" y="0"/>
                  <wp:positionH relativeFrom="column">
                    <wp:posOffset>0</wp:posOffset>
                  </wp:positionH>
                  <wp:positionV relativeFrom="paragraph">
                    <wp:posOffset>0</wp:posOffset>
                  </wp:positionV>
                  <wp:extent cx="1857375" cy="228600"/>
                  <wp:effectExtent l="0" t="0" r="9525" b="0"/>
                  <wp:wrapNone/>
                  <wp:docPr id="26" name="Picture 26"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98" w:type="dxa"/>
          </w:tcPr>
          <w:p w:rsidR="002B0885" w:rsidRPr="00C14AA8" w:rsidRDefault="002B0885" w:rsidP="00717FE7">
            <w:pPr>
              <w:pStyle w:val="TableHeading1"/>
            </w:pPr>
            <w:r w:rsidRPr="00C14AA8">
              <w:t>Current rating</w:t>
            </w:r>
          </w:p>
        </w:tc>
        <w:tc>
          <w:tcPr>
            <w:tcW w:w="1153" w:type="dxa"/>
          </w:tcPr>
          <w:p w:rsidR="002B0885" w:rsidRPr="00C14AA8" w:rsidRDefault="002B0885" w:rsidP="00717FE7">
            <w:pPr>
              <w:pStyle w:val="TableHeading1"/>
            </w:pPr>
            <w:r w:rsidRPr="00C14AA8">
              <w:t>Previous rating</w:t>
            </w:r>
          </w:p>
        </w:tc>
      </w:tr>
      <w:tr w:rsidR="002B0885" w:rsidRPr="00C14AA8" w:rsidTr="00D0397A">
        <w:trPr>
          <w:cnfStyle w:val="000000010000" w:firstRow="0" w:lastRow="0" w:firstColumn="0" w:lastColumn="0" w:oddVBand="0" w:evenVBand="0" w:oddHBand="0" w:evenHBand="1" w:firstRowFirstColumn="0" w:firstRowLastColumn="0" w:lastRowFirstColumn="0" w:lastRowLastColumn="0"/>
        </w:trPr>
        <w:tc>
          <w:tcPr>
            <w:tcW w:w="6414" w:type="dxa"/>
          </w:tcPr>
          <w:p w:rsidR="002B0885" w:rsidRPr="00C14AA8" w:rsidRDefault="002B0885" w:rsidP="00717FE7">
            <w:pPr>
              <w:pStyle w:val="TableTextEntries"/>
            </w:pPr>
            <w:r w:rsidRPr="00C14AA8">
              <w:t>Objective 2: Rural population has better roads</w:t>
            </w:r>
          </w:p>
        </w:tc>
        <w:tc>
          <w:tcPr>
            <w:tcW w:w="1098" w:type="dxa"/>
            <w:shd w:val="clear" w:color="auto" w:fill="F79646" w:themeFill="accent6"/>
            <w:noWrap/>
          </w:tcPr>
          <w:p w:rsidR="002B0885" w:rsidRPr="00C14AA8" w:rsidRDefault="002B0885" w:rsidP="00717FE7">
            <w:pPr>
              <w:pStyle w:val="TableTextEntries"/>
            </w:pPr>
            <w:r w:rsidRPr="00C14AA8">
              <w:t>Amber</w:t>
            </w:r>
          </w:p>
        </w:tc>
        <w:tc>
          <w:tcPr>
            <w:tcW w:w="1153" w:type="dxa"/>
            <w:shd w:val="clear" w:color="auto" w:fill="F79646" w:themeFill="accent6"/>
            <w:noWrap/>
          </w:tcPr>
          <w:p w:rsidR="002B0885" w:rsidRPr="00C14AA8" w:rsidRDefault="002B0885" w:rsidP="00717FE7">
            <w:pPr>
              <w:pStyle w:val="TableTextEntries"/>
            </w:pPr>
            <w:r w:rsidRPr="00C14AA8">
              <w:rPr>
                <w:rFonts w:eastAsia="SimSun"/>
              </w:rPr>
              <w:t>Amber</w:t>
            </w:r>
          </w:p>
        </w:tc>
      </w:tr>
    </w:tbl>
    <w:p w:rsidR="00D0397A" w:rsidRDefault="00D0397A" w:rsidP="00D0397A">
      <w:pPr>
        <w:rPr>
          <w:i/>
        </w:rPr>
      </w:pPr>
    </w:p>
    <w:p w:rsidR="00F22B18" w:rsidRDefault="00F22B18" w:rsidP="00D0397A">
      <w:pPr>
        <w:pStyle w:val="ListBullet"/>
        <w:numPr>
          <w:ilvl w:val="0"/>
          <w:numId w:val="0"/>
        </w:numPr>
        <w:tabs>
          <w:tab w:val="clear" w:pos="284"/>
        </w:tabs>
        <w:rPr>
          <w:i/>
        </w:rPr>
      </w:pPr>
      <w:r w:rsidRPr="00FE5435">
        <w:rPr>
          <w:i/>
        </w:rPr>
        <w:t>T</w:t>
      </w:r>
      <w:r>
        <w:rPr>
          <w:i/>
        </w:rPr>
        <w:t>he</w:t>
      </w:r>
      <w:r w:rsidRPr="00FE5435">
        <w:rPr>
          <w:i/>
        </w:rPr>
        <w:t xml:space="preserve"> </w:t>
      </w:r>
      <w:r>
        <w:rPr>
          <w:i/>
        </w:rPr>
        <w:t xml:space="preserve">amber rating </w:t>
      </w:r>
      <w:r w:rsidRPr="00FE5435">
        <w:rPr>
          <w:i/>
        </w:rPr>
        <w:t>reflects</w:t>
      </w:r>
      <w:r>
        <w:rPr>
          <w:i/>
        </w:rPr>
        <w:t xml:space="preserve"> mixed progress – ultimately less than expected.</w:t>
      </w:r>
      <w:r w:rsidR="00FC2D20">
        <w:rPr>
          <w:i/>
        </w:rPr>
        <w:t xml:space="preserve"> </w:t>
      </w:r>
      <w:r>
        <w:rPr>
          <w:i/>
        </w:rPr>
        <w:t xml:space="preserve">Australia’s support enabled </w:t>
      </w:r>
      <w:r w:rsidR="005348DD">
        <w:rPr>
          <w:i/>
        </w:rPr>
        <w:t xml:space="preserve">increased </w:t>
      </w:r>
      <w:r>
        <w:rPr>
          <w:i/>
        </w:rPr>
        <w:t xml:space="preserve">rehabilitation and maintenance of rural </w:t>
      </w:r>
      <w:r w:rsidRPr="00FE5435">
        <w:rPr>
          <w:i/>
        </w:rPr>
        <w:t>road</w:t>
      </w:r>
      <w:r>
        <w:rPr>
          <w:i/>
        </w:rPr>
        <w:t xml:space="preserve">s </w:t>
      </w:r>
      <w:r w:rsidR="005348DD">
        <w:rPr>
          <w:i/>
        </w:rPr>
        <w:t xml:space="preserve">from the previous year </w:t>
      </w:r>
      <w:r>
        <w:rPr>
          <w:i/>
        </w:rPr>
        <w:t>and created jobs. But the</w:t>
      </w:r>
      <w:r w:rsidRPr="00FE5435">
        <w:rPr>
          <w:i/>
        </w:rPr>
        <w:t xml:space="preserve"> Ministry of Public Works</w:t>
      </w:r>
      <w:r>
        <w:rPr>
          <w:i/>
        </w:rPr>
        <w:t xml:space="preserve"> faces ongoing institutional issues</w:t>
      </w:r>
      <w:r w:rsidRPr="00FE5435">
        <w:rPr>
          <w:i/>
        </w:rPr>
        <w:t xml:space="preserve"> </w:t>
      </w:r>
      <w:r>
        <w:rPr>
          <w:i/>
        </w:rPr>
        <w:t>and has been unable to</w:t>
      </w:r>
      <w:r w:rsidRPr="00FE5435">
        <w:rPr>
          <w:i/>
        </w:rPr>
        <w:t xml:space="preserve"> secure adeq</w:t>
      </w:r>
      <w:r>
        <w:rPr>
          <w:i/>
        </w:rPr>
        <w:t xml:space="preserve">uate budget and human resources, </w:t>
      </w:r>
      <w:r w:rsidRPr="00FE5435">
        <w:rPr>
          <w:i/>
        </w:rPr>
        <w:t xml:space="preserve">impacting the effectiveness </w:t>
      </w:r>
      <w:r>
        <w:rPr>
          <w:i/>
        </w:rPr>
        <w:t>and sustainability of progress</w:t>
      </w:r>
      <w:r w:rsidR="005348DD">
        <w:rPr>
          <w:i/>
        </w:rPr>
        <w:t xml:space="preserve"> based on a program design that was dependent on government resourcing</w:t>
      </w:r>
      <w:r w:rsidRPr="00FE5435">
        <w:rPr>
          <w:i/>
        </w:rPr>
        <w:t xml:space="preserve">. </w:t>
      </w:r>
    </w:p>
    <w:p w:rsidR="00D0397A" w:rsidRDefault="00D0397A" w:rsidP="00D0397A">
      <w:pPr>
        <w:pStyle w:val="ListBullet"/>
        <w:numPr>
          <w:ilvl w:val="0"/>
          <w:numId w:val="0"/>
        </w:numPr>
        <w:tabs>
          <w:tab w:val="clear" w:pos="284"/>
        </w:tabs>
      </w:pPr>
      <w:r>
        <w:t xml:space="preserve">Progress towards improved rural roads </w:t>
      </w:r>
      <w:r w:rsidR="00F22B18">
        <w:t>was</w:t>
      </w:r>
      <w:r>
        <w:t xml:space="preserve"> aided by </w:t>
      </w:r>
      <w:r w:rsidR="00F22B18">
        <w:t xml:space="preserve">the </w:t>
      </w:r>
      <w:r>
        <w:t>GoTL’s launch of the Rural Roads Master Plan in early 2014.</w:t>
      </w:r>
      <w:r w:rsidR="00FC2D20">
        <w:t xml:space="preserve"> </w:t>
      </w:r>
      <w:r>
        <w:t>This plan, supported by</w:t>
      </w:r>
      <w:r w:rsidR="00F22B18">
        <w:t xml:space="preserve"> the</w:t>
      </w:r>
      <w:r>
        <w:t xml:space="preserve"> DFAT</w:t>
      </w:r>
      <w:r w:rsidR="00CC45D5">
        <w:t>’s</w:t>
      </w:r>
      <w:r>
        <w:t xml:space="preserve"> Roads for Development investment</w:t>
      </w:r>
      <w:r w:rsidR="00CC45D5">
        <w:t xml:space="preserve"> (R4D, $30 million,</w:t>
      </w:r>
      <w:r w:rsidR="00180133" w:rsidRPr="00180133">
        <w:t xml:space="preserve"> </w:t>
      </w:r>
      <w:r w:rsidR="00180133">
        <w:t>2012-16,</w:t>
      </w:r>
      <w:r w:rsidR="00CC45D5">
        <w:t xml:space="preserve"> implemented by the International Labour Organisation)</w:t>
      </w:r>
      <w:r>
        <w:t>, aims to govern coordination towards the SDP goals of rehabilitation and maintenance of the whole rural road network.</w:t>
      </w:r>
      <w:r w:rsidR="00FC2D20">
        <w:t xml:space="preserve"> </w:t>
      </w:r>
      <w:r>
        <w:t xml:space="preserve">President Taur Matan Ruak </w:t>
      </w:r>
      <w:r w:rsidR="00CC45D5">
        <w:t>became</w:t>
      </w:r>
      <w:r>
        <w:t xml:space="preserve"> increasingly engaged in the rural roads sector and inaugurated two R4D roads </w:t>
      </w:r>
      <w:r w:rsidR="00CC45D5">
        <w:t>in this period</w:t>
      </w:r>
      <w:r>
        <w:t>.</w:t>
      </w:r>
    </w:p>
    <w:p w:rsidR="00D0397A" w:rsidRPr="00FE5435" w:rsidRDefault="00D0397A" w:rsidP="00D0397A">
      <w:pPr>
        <w:pStyle w:val="ListBullet"/>
        <w:numPr>
          <w:ilvl w:val="0"/>
          <w:numId w:val="0"/>
        </w:numPr>
        <w:tabs>
          <w:tab w:val="clear" w:pos="284"/>
        </w:tabs>
      </w:pPr>
      <w:r>
        <w:t xml:space="preserve">After a slow first year hampered by poor weather and human resource constraints, </w:t>
      </w:r>
      <w:r w:rsidR="00CC45D5">
        <w:t xml:space="preserve">R4D-supported </w:t>
      </w:r>
      <w:r>
        <w:t xml:space="preserve">road works rolled out steadily in 2013-14. Thirty-nine </w:t>
      </w:r>
      <w:r w:rsidRPr="00FF3564">
        <w:t>road rehabilitation contracts covering 92 km of roads</w:t>
      </w:r>
      <w:r>
        <w:t>,</w:t>
      </w:r>
      <w:r w:rsidRPr="00FF3564">
        <w:t xml:space="preserve"> and 26 maintenance contracts covering 130 km of roads </w:t>
      </w:r>
      <w:r>
        <w:t xml:space="preserve">were </w:t>
      </w:r>
      <w:r w:rsidRPr="00FF3564">
        <w:t>awarded and completed</w:t>
      </w:r>
      <w:r>
        <w:t>. This was somewhat less than targeted for a range of reasons: increasing costs of materials; extended rainy seasons hampering works</w:t>
      </w:r>
      <w:r w:rsidR="006227E4">
        <w:t>,</w:t>
      </w:r>
      <w:r>
        <w:t xml:space="preserve"> and some underperformance </w:t>
      </w:r>
      <w:r w:rsidR="00AD3A9D">
        <w:t>by</w:t>
      </w:r>
      <w:r w:rsidR="00D847A4">
        <w:t xml:space="preserve"> local contractors. </w:t>
      </w:r>
      <w:r>
        <w:t>R4D is now focusing its capacity building work on local contractors and district staff</w:t>
      </w:r>
      <w:r w:rsidR="009F6087">
        <w:t xml:space="preserve"> in order</w:t>
      </w:r>
      <w:r>
        <w:t xml:space="preserve"> to maximise effectiveness of road </w:t>
      </w:r>
      <w:r>
        <w:lastRenderedPageBreak/>
        <w:t>investments.</w:t>
      </w:r>
      <w:r w:rsidR="009F6087">
        <w:t xml:space="preserve"> The labour-based method of road works generated employment for Timorese</w:t>
      </w:r>
      <w:r w:rsidR="00180133">
        <w:t xml:space="preserve"> </w:t>
      </w:r>
      <w:r w:rsidR="009F6087">
        <w:t>–</w:t>
      </w:r>
      <w:r w:rsidR="00FC2D20">
        <w:t xml:space="preserve"> </w:t>
      </w:r>
      <w:r w:rsidR="009F6087">
        <w:t>with 30 per cent of those employed being women (</w:t>
      </w:r>
      <w:r w:rsidR="000B0157">
        <w:t xml:space="preserve">meeting </w:t>
      </w:r>
      <w:r w:rsidR="009F6087">
        <w:t>R4D’s minimum target</w:t>
      </w:r>
      <w:r w:rsidR="0038064B">
        <w:t xml:space="preserve"> </w:t>
      </w:r>
      <w:r w:rsidR="000B0157">
        <w:t>as an interim step</w:t>
      </w:r>
      <w:r w:rsidR="0038064B">
        <w:t xml:space="preserve"> towards </w:t>
      </w:r>
      <w:r w:rsidR="000B0157">
        <w:t>an</w:t>
      </w:r>
      <w:r w:rsidR="0038064B">
        <w:t xml:space="preserve"> aspirational 50 per cent</w:t>
      </w:r>
      <w:r w:rsidR="009F6087">
        <w:t xml:space="preserve"> target).</w:t>
      </w:r>
    </w:p>
    <w:p w:rsidR="00D0397A" w:rsidRDefault="0000250B" w:rsidP="00D0397A">
      <w:pPr>
        <w:pStyle w:val="ListBullet"/>
        <w:numPr>
          <w:ilvl w:val="0"/>
          <w:numId w:val="0"/>
        </w:numPr>
        <w:tabs>
          <w:tab w:val="clear" w:pos="284"/>
        </w:tabs>
      </w:pPr>
      <w:r>
        <w:t xml:space="preserve">Some improvements were made to government coordination in the </w:t>
      </w:r>
      <w:r w:rsidR="00D0397A">
        <w:t>rural roads sector</w:t>
      </w:r>
      <w:r>
        <w:t>, where a number of different ministries have responsibility and resources for road works. The Rural Roads Working Group was established, bringing</w:t>
      </w:r>
      <w:r w:rsidR="00D0397A">
        <w:t xml:space="preserve"> together </w:t>
      </w:r>
      <w:r>
        <w:t xml:space="preserve">the various </w:t>
      </w:r>
      <w:r w:rsidR="00D0397A">
        <w:t xml:space="preserve">government agencies </w:t>
      </w:r>
      <w:r>
        <w:t xml:space="preserve">(led by the Ministry of Public Works) with </w:t>
      </w:r>
      <w:r w:rsidR="00D0397A">
        <w:t xml:space="preserve">donors, including Australia, to enhance sector coordination and oversight of investments including R4D. </w:t>
      </w:r>
    </w:p>
    <w:p w:rsidR="00D0397A" w:rsidRDefault="00D0397A" w:rsidP="00D0397A">
      <w:pPr>
        <w:pStyle w:val="ListBullet"/>
        <w:numPr>
          <w:ilvl w:val="0"/>
          <w:numId w:val="0"/>
        </w:numPr>
        <w:tabs>
          <w:tab w:val="clear" w:pos="284"/>
        </w:tabs>
      </w:pPr>
      <w:r>
        <w:t>Despite signs of growing coordination, the Ministry of Public Work</w:t>
      </w:r>
      <w:r w:rsidR="00CC45D5">
        <w:t xml:space="preserve">s </w:t>
      </w:r>
      <w:r>
        <w:t>struggle</w:t>
      </w:r>
      <w:r w:rsidR="00AD3A9D">
        <w:t>d</w:t>
      </w:r>
      <w:r>
        <w:t xml:space="preserve"> to obtain the recurrent budget and human resourcing to support the rural roads sector.</w:t>
      </w:r>
      <w:r w:rsidR="00FC2D20">
        <w:t xml:space="preserve"> </w:t>
      </w:r>
      <w:r>
        <w:t>Of a proposed US$14 million put forward for Government rural roads funding this year, the Ministry secured just US$1.5 million</w:t>
      </w:r>
      <w:r w:rsidR="00F561C2">
        <w:t>. A</w:t>
      </w:r>
      <w:r>
        <w:t xml:space="preserve">longside delayed recruitment activities, </w:t>
      </w:r>
      <w:r w:rsidR="00F561C2">
        <w:t>this</w:t>
      </w:r>
      <w:r>
        <w:t xml:space="preserve"> has impacted the extent to which R4D can effectively operate</w:t>
      </w:r>
      <w:r w:rsidR="00F561C2">
        <w:t>, given it was designed under the expectation that such resources could be secured</w:t>
      </w:r>
      <w:r>
        <w:t>.</w:t>
      </w:r>
      <w:r w:rsidR="0060646D">
        <w:t xml:space="preserve"> Due</w:t>
      </w:r>
      <w:r w:rsidR="00CC4A83">
        <w:t xml:space="preserve"> to</w:t>
      </w:r>
      <w:r w:rsidR="0060646D">
        <w:t xml:space="preserve"> this shortfall in government resourcing, R4D is turning its focus in 2014-15 to maintenance works, with most rehabilitation work held back until resourcing issues are addressed.</w:t>
      </w:r>
    </w:p>
    <w:p w:rsidR="002B0885" w:rsidRDefault="00020891" w:rsidP="00FE5435">
      <w:pPr>
        <w:pStyle w:val="ListBullet"/>
        <w:numPr>
          <w:ilvl w:val="0"/>
          <w:numId w:val="0"/>
        </w:numPr>
        <w:tabs>
          <w:tab w:val="clear" w:pos="284"/>
        </w:tabs>
      </w:pPr>
      <w:r w:rsidRPr="00020891">
        <w:rPr>
          <w:b/>
        </w:rPr>
        <w:t>Management response:</w:t>
      </w:r>
      <w:r w:rsidR="00FC2D20">
        <w:t xml:space="preserve"> </w:t>
      </w:r>
    </w:p>
    <w:p w:rsidR="003942DB" w:rsidRPr="00FE5435" w:rsidRDefault="00F561C2" w:rsidP="00BF0796">
      <w:pPr>
        <w:pStyle w:val="ListParagraph"/>
        <w:numPr>
          <w:ilvl w:val="0"/>
          <w:numId w:val="20"/>
        </w:numPr>
        <w:spacing w:after="0"/>
        <w:contextualSpacing/>
        <w:rPr>
          <w:rFonts w:ascii="Franklin Gothic Book" w:hAnsi="Franklin Gothic Book"/>
          <w:b/>
          <w:sz w:val="21"/>
          <w:szCs w:val="21"/>
        </w:rPr>
      </w:pPr>
      <w:r>
        <w:rPr>
          <w:rFonts w:ascii="Franklin Gothic Book" w:hAnsi="Franklin Gothic Book"/>
          <w:sz w:val="21"/>
          <w:szCs w:val="21"/>
        </w:rPr>
        <w:t>DFAT will respond to a</w:t>
      </w:r>
      <w:r w:rsidR="00841895">
        <w:rPr>
          <w:rFonts w:ascii="Franklin Gothic Book" w:hAnsi="Franklin Gothic Book"/>
          <w:sz w:val="21"/>
          <w:szCs w:val="21"/>
        </w:rPr>
        <w:t xml:space="preserve"> mid-</w:t>
      </w:r>
      <w:r w:rsidR="003942DB" w:rsidRPr="00FE5435">
        <w:rPr>
          <w:rFonts w:ascii="Franklin Gothic Book" w:hAnsi="Franklin Gothic Book"/>
          <w:sz w:val="21"/>
          <w:szCs w:val="21"/>
        </w:rPr>
        <w:t>term review in late 2014</w:t>
      </w:r>
      <w:r>
        <w:rPr>
          <w:rFonts w:ascii="Franklin Gothic Book" w:hAnsi="Franklin Gothic Book"/>
          <w:sz w:val="21"/>
          <w:szCs w:val="21"/>
        </w:rPr>
        <w:t xml:space="preserve"> which</w:t>
      </w:r>
      <w:r w:rsidR="003942DB" w:rsidRPr="00FE5435">
        <w:rPr>
          <w:rFonts w:ascii="Franklin Gothic Book" w:hAnsi="Franklin Gothic Book"/>
          <w:sz w:val="21"/>
          <w:szCs w:val="21"/>
        </w:rPr>
        <w:t xml:space="preserve"> will address the challenges in government engagement and program sustainability and recommend a way forward that takes into account realistic resourcing of rural roads in the short-medium term.</w:t>
      </w:r>
    </w:p>
    <w:p w:rsidR="003942DB" w:rsidRPr="003942DB" w:rsidRDefault="003942DB" w:rsidP="00BF0796">
      <w:pPr>
        <w:pStyle w:val="ListParagraph"/>
        <w:numPr>
          <w:ilvl w:val="0"/>
          <w:numId w:val="20"/>
        </w:numPr>
        <w:spacing w:after="0"/>
        <w:contextualSpacing/>
        <w:rPr>
          <w:rFonts w:ascii="Franklin Gothic Book" w:hAnsi="Franklin Gothic Book"/>
          <w:b/>
          <w:sz w:val="21"/>
          <w:szCs w:val="21"/>
        </w:rPr>
      </w:pPr>
      <w:r w:rsidRPr="00FE5435">
        <w:rPr>
          <w:rFonts w:ascii="Franklin Gothic Book" w:hAnsi="Franklin Gothic Book"/>
          <w:sz w:val="21"/>
          <w:szCs w:val="21"/>
        </w:rPr>
        <w:t xml:space="preserve">DFAT rural development team and R4D to jointly work with Governance for Development </w:t>
      </w:r>
      <w:r w:rsidR="00CC4A83">
        <w:rPr>
          <w:rFonts w:ascii="Franklin Gothic Book" w:hAnsi="Franklin Gothic Book"/>
          <w:sz w:val="21"/>
          <w:szCs w:val="21"/>
        </w:rPr>
        <w:t xml:space="preserve">program </w:t>
      </w:r>
      <w:r w:rsidRPr="00FE5435">
        <w:rPr>
          <w:rFonts w:ascii="Franklin Gothic Book" w:hAnsi="Franklin Gothic Book"/>
          <w:sz w:val="21"/>
          <w:szCs w:val="21"/>
        </w:rPr>
        <w:t>to align public financial management and civil service recruitment support to the needs of the roads sector.</w:t>
      </w:r>
    </w:p>
    <w:p w:rsidR="0019190B" w:rsidRPr="002B0885" w:rsidRDefault="008478A1" w:rsidP="00554E20">
      <w:pPr>
        <w:pStyle w:val="Heading3"/>
      </w:pPr>
      <w:r w:rsidRPr="00C57923">
        <w:t xml:space="preserve">Objective </w:t>
      </w:r>
      <w:r>
        <w:t>3</w:t>
      </w:r>
    </w:p>
    <w:tbl>
      <w:tblPr>
        <w:tblStyle w:val="APPR"/>
        <w:tblW w:w="5000" w:type="pct"/>
        <w:tblLook w:val="0000" w:firstRow="0" w:lastRow="0" w:firstColumn="0" w:lastColumn="0" w:noHBand="0" w:noVBand="0"/>
      </w:tblPr>
      <w:tblGrid>
        <w:gridCol w:w="6843"/>
        <w:gridCol w:w="1192"/>
        <w:gridCol w:w="1264"/>
      </w:tblGrid>
      <w:tr w:rsidR="002B0885" w:rsidRPr="001159CC" w:rsidTr="00D93D9A">
        <w:trPr>
          <w:cnfStyle w:val="000000010000" w:firstRow="0" w:lastRow="0" w:firstColumn="0" w:lastColumn="0" w:oddVBand="0" w:evenVBand="0" w:oddHBand="0" w:evenHBand="1" w:firstRowFirstColumn="0" w:firstRowLastColumn="0" w:lastRowFirstColumn="0" w:lastRowLastColumn="0"/>
        </w:trPr>
        <w:tc>
          <w:tcPr>
            <w:tcW w:w="6414" w:type="dxa"/>
          </w:tcPr>
          <w:p w:rsidR="002B0885" w:rsidRPr="00991FE6" w:rsidRDefault="002B0885" w:rsidP="00717FE7">
            <w:pPr>
              <w:pStyle w:val="TableHeading1"/>
            </w:pPr>
            <w:r w:rsidRPr="00991FE6">
              <w:rPr>
                <w:noProof/>
                <w:lang w:eastAsia="en-AU"/>
              </w:rPr>
              <w:drawing>
                <wp:anchor distT="0" distB="0" distL="114300" distR="114300" simplePos="0" relativeHeight="251679744" behindDoc="0" locked="0" layoutInCell="1" allowOverlap="1" wp14:anchorId="64A1768E" wp14:editId="214E06EC">
                  <wp:simplePos x="0" y="0"/>
                  <wp:positionH relativeFrom="column">
                    <wp:posOffset>0</wp:posOffset>
                  </wp:positionH>
                  <wp:positionV relativeFrom="paragraph">
                    <wp:posOffset>0</wp:posOffset>
                  </wp:positionV>
                  <wp:extent cx="1857375" cy="228600"/>
                  <wp:effectExtent l="0" t="0" r="9525" b="0"/>
                  <wp:wrapNone/>
                  <wp:docPr id="27" name="Picture 27"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98" w:type="dxa"/>
          </w:tcPr>
          <w:p w:rsidR="002B0885" w:rsidRPr="00991FE6" w:rsidRDefault="002B0885" w:rsidP="00717FE7">
            <w:pPr>
              <w:pStyle w:val="TableHeading1"/>
            </w:pPr>
            <w:r w:rsidRPr="00991FE6">
              <w:t xml:space="preserve">Current </w:t>
            </w:r>
            <w:r>
              <w:t>r</w:t>
            </w:r>
            <w:r w:rsidRPr="00991FE6">
              <w:t>ating</w:t>
            </w:r>
          </w:p>
        </w:tc>
        <w:tc>
          <w:tcPr>
            <w:tcW w:w="1153" w:type="dxa"/>
          </w:tcPr>
          <w:p w:rsidR="002B0885" w:rsidRPr="00991FE6" w:rsidRDefault="002B0885" w:rsidP="00717FE7">
            <w:pPr>
              <w:pStyle w:val="TableHeading1"/>
            </w:pPr>
            <w:r w:rsidRPr="00991FE6">
              <w:t xml:space="preserve">Previous </w:t>
            </w:r>
            <w:r>
              <w:t>r</w:t>
            </w:r>
            <w:r w:rsidRPr="00991FE6">
              <w:t>ating</w:t>
            </w:r>
          </w:p>
        </w:tc>
      </w:tr>
      <w:tr w:rsidR="002B0885" w:rsidRPr="001159CC" w:rsidTr="00D93D9A">
        <w:trPr>
          <w:cnfStyle w:val="000000010000" w:firstRow="0" w:lastRow="0" w:firstColumn="0" w:lastColumn="0" w:oddVBand="0" w:evenVBand="0" w:oddHBand="0" w:evenHBand="1" w:firstRowFirstColumn="0" w:firstRowLastColumn="0" w:lastRowFirstColumn="0" w:lastRowLastColumn="0"/>
        </w:trPr>
        <w:tc>
          <w:tcPr>
            <w:tcW w:w="6414" w:type="dxa"/>
          </w:tcPr>
          <w:p w:rsidR="002B0885" w:rsidRPr="00C14AA8" w:rsidRDefault="002B0885" w:rsidP="00717FE7">
            <w:pPr>
              <w:pStyle w:val="TableTextEntries"/>
            </w:pPr>
            <w:r w:rsidRPr="00C14AA8">
              <w:t>Objective 3: Increased productivity of major staple food crops through farmers using improved seed.</w:t>
            </w:r>
          </w:p>
        </w:tc>
        <w:tc>
          <w:tcPr>
            <w:tcW w:w="1098" w:type="dxa"/>
            <w:shd w:val="clear" w:color="auto" w:fill="92D050"/>
            <w:noWrap/>
          </w:tcPr>
          <w:p w:rsidR="002B0885" w:rsidRPr="00C14AA8" w:rsidRDefault="002B0885" w:rsidP="00717FE7">
            <w:pPr>
              <w:pStyle w:val="TableTextEntries"/>
            </w:pPr>
            <w:r w:rsidRPr="00C14AA8">
              <w:t>Green</w:t>
            </w:r>
          </w:p>
        </w:tc>
        <w:tc>
          <w:tcPr>
            <w:tcW w:w="1153" w:type="dxa"/>
            <w:shd w:val="clear" w:color="auto" w:fill="92D050"/>
            <w:noWrap/>
          </w:tcPr>
          <w:p w:rsidR="002B0885" w:rsidRPr="00C14AA8" w:rsidRDefault="002B0885" w:rsidP="00717FE7">
            <w:pPr>
              <w:pStyle w:val="TableTextEntries"/>
            </w:pPr>
            <w:r w:rsidRPr="00C14AA8">
              <w:t>Green</w:t>
            </w:r>
          </w:p>
        </w:tc>
      </w:tr>
    </w:tbl>
    <w:p w:rsidR="00D93D9A" w:rsidRDefault="00D93D9A" w:rsidP="00D93D9A">
      <w:pPr>
        <w:rPr>
          <w:i/>
        </w:rPr>
      </w:pPr>
    </w:p>
    <w:p w:rsidR="00D93D9A" w:rsidRPr="00FE5435" w:rsidRDefault="00D93D9A" w:rsidP="00D93D9A">
      <w:pPr>
        <w:pStyle w:val="ListBullet"/>
        <w:numPr>
          <w:ilvl w:val="0"/>
          <w:numId w:val="0"/>
        </w:numPr>
        <w:tabs>
          <w:tab w:val="clear" w:pos="284"/>
        </w:tabs>
        <w:rPr>
          <w:i/>
        </w:rPr>
      </w:pPr>
      <w:r w:rsidRPr="00FE5435">
        <w:rPr>
          <w:i/>
        </w:rPr>
        <w:t>T</w:t>
      </w:r>
      <w:r>
        <w:rPr>
          <w:i/>
        </w:rPr>
        <w:t>he</w:t>
      </w:r>
      <w:r w:rsidRPr="00FE5435">
        <w:rPr>
          <w:i/>
        </w:rPr>
        <w:t xml:space="preserve"> </w:t>
      </w:r>
      <w:r>
        <w:rPr>
          <w:i/>
        </w:rPr>
        <w:t xml:space="preserve">green rating </w:t>
      </w:r>
      <w:r w:rsidRPr="00FE5435">
        <w:rPr>
          <w:i/>
        </w:rPr>
        <w:t xml:space="preserve">reflects </w:t>
      </w:r>
      <w:r>
        <w:rPr>
          <w:i/>
        </w:rPr>
        <w:t>progress as expected in</w:t>
      </w:r>
      <w:r w:rsidRPr="00FE5435">
        <w:rPr>
          <w:i/>
        </w:rPr>
        <w:t xml:space="preserve"> seed distribution </w:t>
      </w:r>
      <w:r>
        <w:rPr>
          <w:i/>
        </w:rPr>
        <w:t>a</w:t>
      </w:r>
      <w:r w:rsidRPr="00FE5435">
        <w:rPr>
          <w:i/>
        </w:rPr>
        <w:t xml:space="preserve">nd policy development, a result of strong collaboration between </w:t>
      </w:r>
      <w:r>
        <w:rPr>
          <w:i/>
        </w:rPr>
        <w:t xml:space="preserve">Australia’s </w:t>
      </w:r>
      <w:r w:rsidRPr="00FE5435">
        <w:rPr>
          <w:i/>
        </w:rPr>
        <w:t xml:space="preserve">Seeds of Life </w:t>
      </w:r>
      <w:r>
        <w:rPr>
          <w:i/>
        </w:rPr>
        <w:t xml:space="preserve">program </w:t>
      </w:r>
      <w:r w:rsidRPr="00FE5435">
        <w:rPr>
          <w:i/>
        </w:rPr>
        <w:t>and the Ministry of Agriculture and Fisheries (MAF).</w:t>
      </w:r>
      <w:r w:rsidR="00FC2D20">
        <w:rPr>
          <w:i/>
        </w:rPr>
        <w:t xml:space="preserve"> </w:t>
      </w:r>
      <w:r w:rsidRPr="00FE5435">
        <w:rPr>
          <w:i/>
        </w:rPr>
        <w:t>DFAT will support a sustainable transition of responsibilities to MAF as we explore broader areas of cooperation in agriculture.</w:t>
      </w:r>
    </w:p>
    <w:p w:rsidR="00D93D9A" w:rsidRDefault="00D93D9A" w:rsidP="00D93D9A">
      <w:pPr>
        <w:pStyle w:val="ListBullet"/>
        <w:numPr>
          <w:ilvl w:val="0"/>
          <w:numId w:val="0"/>
        </w:numPr>
        <w:tabs>
          <w:tab w:val="clear" w:pos="284"/>
        </w:tabs>
      </w:pPr>
      <w:r>
        <w:t xml:space="preserve">In </w:t>
      </w:r>
      <w:r w:rsidR="007C75C8">
        <w:t xml:space="preserve">mid-2014, GoTL launched its </w:t>
      </w:r>
      <w:r>
        <w:t>Zero Hunger Challenge Action Plan, an ambitious framework for ending hunger and malnutrition in Timor-Leste by 2025.</w:t>
      </w:r>
      <w:r w:rsidR="00FC2D20">
        <w:t xml:space="preserve"> </w:t>
      </w:r>
      <w:r>
        <w:t>President Taur Matan Ruak has become a strong advocate for better food security a</w:t>
      </w:r>
      <w:r w:rsidR="007C75C8">
        <w:t>nd nutritio</w:t>
      </w:r>
      <w:r w:rsidR="00156A66">
        <w:t xml:space="preserve">n, </w:t>
      </w:r>
      <w:r w:rsidR="007C75C8">
        <w:t>and for the Action Plan.</w:t>
      </w:r>
      <w:r>
        <w:t xml:space="preserve"> </w:t>
      </w:r>
      <w:r w:rsidR="007C75C8">
        <w:t>A</w:t>
      </w:r>
      <w:r>
        <w:t xml:space="preserve">gricultural productivity </w:t>
      </w:r>
      <w:r w:rsidR="007C75C8">
        <w:t>will be a major element of</w:t>
      </w:r>
      <w:r>
        <w:t xml:space="preserve"> the plan, although yields are currently far below the average in South East Asia for most crops. The </w:t>
      </w:r>
      <w:r w:rsidR="00180133">
        <w:t>MAF</w:t>
      </w:r>
      <w:r>
        <w:t xml:space="preserve"> endorsement of a National Seed Policy in 2013 was a major achievement towards formalising a national system for quality seed, and it has identified key production zones for expansion of rice as a national priority crop.</w:t>
      </w:r>
      <w:r w:rsidR="00FC2D20">
        <w:t xml:space="preserve"> </w:t>
      </w:r>
      <w:r>
        <w:t xml:space="preserve">But </w:t>
      </w:r>
      <w:r w:rsidR="007C75C8">
        <w:t xml:space="preserve">greater policy coherence is needed around imports, subsidies and market access for poor farmers </w:t>
      </w:r>
      <w:r>
        <w:t>for this sector to make a meaningful contribution to the Zero</w:t>
      </w:r>
      <w:r w:rsidR="007C75C8">
        <w:t xml:space="preserve"> Hunger agenda</w:t>
      </w:r>
      <w:r>
        <w:t>.</w:t>
      </w:r>
      <w:r w:rsidR="00FC2D20">
        <w:t xml:space="preserve"> </w:t>
      </w:r>
    </w:p>
    <w:p w:rsidR="00D93D9A" w:rsidRDefault="00D93D9A" w:rsidP="00D93D9A">
      <w:pPr>
        <w:pStyle w:val="ListBullet"/>
        <w:numPr>
          <w:ilvl w:val="0"/>
          <w:numId w:val="0"/>
        </w:numPr>
        <w:tabs>
          <w:tab w:val="clear" w:pos="284"/>
        </w:tabs>
      </w:pPr>
      <w:r>
        <w:t>Australia contributes through the joint DFAT-ACIAR funded Seeds of Life program (SOL phase 3, $25 million</w:t>
      </w:r>
      <w:r w:rsidR="00180133">
        <w:t>, 2011-16</w:t>
      </w:r>
      <w:r>
        <w:t>), which continued to support agri</w:t>
      </w:r>
      <w:r w:rsidR="00180133">
        <w:t>cultural productivity in 2013-</w:t>
      </w:r>
      <w:r>
        <w:t>14 through support for high yielding seed varieties. SOL has been strengthening six research stations across the country to continue quality seed research and development.</w:t>
      </w:r>
      <w:r w:rsidR="00FC2D20">
        <w:t xml:space="preserve"> </w:t>
      </w:r>
      <w:r>
        <w:t xml:space="preserve">The number of farmers (14,415 with 30 per cent women) participating in 1,086 community seed groups has already exceeded the program target and </w:t>
      </w:r>
      <w:r>
        <w:lastRenderedPageBreak/>
        <w:t>is contributing to 43,000 households across Timor-Leste using improved seed varieties. The program is likely to reach more than the 65,000 households targeted by the end of the program in 2016.</w:t>
      </w:r>
      <w:r w:rsidR="00FC2D20">
        <w:t xml:space="preserve"> </w:t>
      </w:r>
      <w:r>
        <w:t>SOL is implementing a gender action plan to better involve women in agricultural development</w:t>
      </w:r>
      <w:r w:rsidR="00CC4A83">
        <w:t xml:space="preserve">. </w:t>
      </w:r>
      <w:r w:rsidR="005348DD">
        <w:t xml:space="preserve">SOL’s </w:t>
      </w:r>
      <w:r w:rsidR="00CC4A83">
        <w:t>efforts</w:t>
      </w:r>
      <w:r w:rsidR="005348DD">
        <w:t xml:space="preserve"> to encourage female farmers to participate in training on seed selection resulted in </w:t>
      </w:r>
      <w:r w:rsidR="00CC4A83">
        <w:t xml:space="preserve">women making up </w:t>
      </w:r>
      <w:r w:rsidR="005348DD">
        <w:t>40 per cent of attendees at 2013 field demonstrations.</w:t>
      </w:r>
      <w:r w:rsidR="00FC2D20">
        <w:t xml:space="preserve"> </w:t>
      </w:r>
    </w:p>
    <w:p w:rsidR="00D93D9A" w:rsidRDefault="00D93D9A" w:rsidP="00D93D9A">
      <w:pPr>
        <w:pStyle w:val="ListBullet"/>
        <w:numPr>
          <w:ilvl w:val="0"/>
          <w:numId w:val="0"/>
        </w:numPr>
        <w:tabs>
          <w:tab w:val="clear" w:pos="284"/>
        </w:tabs>
      </w:pPr>
      <w:r>
        <w:t>Commercial marketing of seeds has picked up in 2013-14 with the registration of 31 commercial seed producers.</w:t>
      </w:r>
      <w:r w:rsidR="00FC2D20">
        <w:t xml:space="preserve"> </w:t>
      </w:r>
      <w:r>
        <w:t>SOL’s partnership with DFAT’s Market Development Facility (MDF), including on maize for livestock feed, has aided the increased push towards private sector engagement as a driver of agricultural development.</w:t>
      </w:r>
      <w:r w:rsidR="00FC2D20">
        <w:t xml:space="preserve"> </w:t>
      </w:r>
      <w:r>
        <w:t>MDF is working directly with entrepreneurs which help link farmers to markets.</w:t>
      </w:r>
    </w:p>
    <w:p w:rsidR="00D93D9A" w:rsidRDefault="00D93D9A" w:rsidP="00D93D9A">
      <w:pPr>
        <w:pStyle w:val="ListBullet"/>
        <w:numPr>
          <w:ilvl w:val="0"/>
          <w:numId w:val="0"/>
        </w:numPr>
        <w:tabs>
          <w:tab w:val="clear" w:pos="284"/>
        </w:tabs>
      </w:pPr>
      <w:r>
        <w:t>While GoTL budget allocations to the agriculture sector remain low, the Government recently increased its budget commitment to seed research and distribution, following policy engagement by SOL and MAF. A transition plan has been drafted to hand over key responsibilities from SOL to MAF by 2016, although GoTL has signalled an impending restructure of the ministry.</w:t>
      </w:r>
      <w:r w:rsidR="00FC2D20">
        <w:t xml:space="preserve"> </w:t>
      </w:r>
      <w:r>
        <w:t>While progress on transition has been good, questions around ongoing budget and human resource allocation pose risks to sustaining SOL’s achievements.</w:t>
      </w:r>
      <w:r w:rsidR="00FC2D20">
        <w:t xml:space="preserve"> </w:t>
      </w:r>
    </w:p>
    <w:p w:rsidR="0060646D" w:rsidRDefault="00020891" w:rsidP="00D93D9A">
      <w:pPr>
        <w:pStyle w:val="ListBullet"/>
        <w:numPr>
          <w:ilvl w:val="0"/>
          <w:numId w:val="0"/>
        </w:numPr>
        <w:tabs>
          <w:tab w:val="clear" w:pos="284"/>
        </w:tabs>
      </w:pPr>
      <w:r>
        <w:rPr>
          <w:b/>
        </w:rPr>
        <w:t>Management</w:t>
      </w:r>
      <w:r w:rsidRPr="00020891">
        <w:rPr>
          <w:b/>
        </w:rPr>
        <w:t xml:space="preserve"> response:</w:t>
      </w:r>
      <w:r>
        <w:t xml:space="preserve"> </w:t>
      </w:r>
    </w:p>
    <w:p w:rsidR="0060646D" w:rsidRPr="00FE5435" w:rsidRDefault="0060646D" w:rsidP="00BF0796">
      <w:pPr>
        <w:pStyle w:val="ListParagraph"/>
        <w:numPr>
          <w:ilvl w:val="0"/>
          <w:numId w:val="19"/>
        </w:numPr>
        <w:spacing w:after="0"/>
        <w:contextualSpacing/>
        <w:rPr>
          <w:rFonts w:ascii="Franklin Gothic Book" w:hAnsi="Franklin Gothic Book"/>
          <w:b/>
          <w:sz w:val="21"/>
          <w:szCs w:val="21"/>
        </w:rPr>
      </w:pPr>
      <w:r w:rsidRPr="00FE5435">
        <w:rPr>
          <w:rFonts w:ascii="Franklin Gothic Book" w:hAnsi="Franklin Gothic Book"/>
          <w:sz w:val="21"/>
          <w:szCs w:val="21"/>
        </w:rPr>
        <w:t xml:space="preserve">DFAT, </w:t>
      </w:r>
      <w:r w:rsidR="0038064B">
        <w:rPr>
          <w:rFonts w:ascii="Franklin Gothic Book" w:hAnsi="Franklin Gothic Book"/>
          <w:sz w:val="21"/>
          <w:szCs w:val="21"/>
        </w:rPr>
        <w:t>together with</w:t>
      </w:r>
      <w:r w:rsidRPr="00FE5435">
        <w:rPr>
          <w:rFonts w:ascii="Franklin Gothic Book" w:hAnsi="Franklin Gothic Book"/>
          <w:sz w:val="21"/>
          <w:szCs w:val="21"/>
        </w:rPr>
        <w:t xml:space="preserve"> SOL, to continue advocating for better resourcing of the sector, including support for a sustainable transition of activities to Government ownership, and for policy consistency on agricultural markets.</w:t>
      </w:r>
    </w:p>
    <w:p w:rsidR="00C52FCA" w:rsidRPr="00C52FCA" w:rsidRDefault="0060646D" w:rsidP="00C52FCA">
      <w:pPr>
        <w:pStyle w:val="ListParagraph"/>
        <w:numPr>
          <w:ilvl w:val="0"/>
          <w:numId w:val="19"/>
        </w:numPr>
        <w:spacing w:after="0"/>
        <w:contextualSpacing/>
        <w:rPr>
          <w:rFonts w:ascii="Franklin Gothic Book" w:hAnsi="Franklin Gothic Book"/>
          <w:b/>
          <w:sz w:val="21"/>
          <w:szCs w:val="21"/>
        </w:rPr>
      </w:pPr>
      <w:r w:rsidRPr="00FE5435">
        <w:rPr>
          <w:rFonts w:ascii="Franklin Gothic Book" w:hAnsi="Franklin Gothic Book"/>
          <w:sz w:val="21"/>
          <w:szCs w:val="21"/>
        </w:rPr>
        <w:t>DFAT to design a new program</w:t>
      </w:r>
      <w:r w:rsidR="0038064B">
        <w:rPr>
          <w:rFonts w:ascii="Franklin Gothic Book" w:hAnsi="Franklin Gothic Book"/>
          <w:sz w:val="21"/>
          <w:szCs w:val="21"/>
        </w:rPr>
        <w:t xml:space="preserve"> for implementation from 2016</w:t>
      </w:r>
      <w:r w:rsidRPr="00FE5435">
        <w:rPr>
          <w:rFonts w:ascii="Franklin Gothic Book" w:hAnsi="Franklin Gothic Book"/>
          <w:sz w:val="21"/>
          <w:szCs w:val="21"/>
        </w:rPr>
        <w:t xml:space="preserve"> that builds on the successes of SOL and the ACIAR partnership while moving into new areas, including deeper private sector engagement and more focus on </w:t>
      </w:r>
      <w:r w:rsidR="001174C4">
        <w:rPr>
          <w:rFonts w:ascii="Franklin Gothic Book" w:hAnsi="Franklin Gothic Book"/>
          <w:sz w:val="21"/>
          <w:szCs w:val="21"/>
        </w:rPr>
        <w:t xml:space="preserve">women’s empowerment and </w:t>
      </w:r>
      <w:r w:rsidRPr="00FE5435">
        <w:rPr>
          <w:rFonts w:ascii="Franklin Gothic Book" w:hAnsi="Franklin Gothic Book"/>
          <w:sz w:val="21"/>
          <w:szCs w:val="21"/>
        </w:rPr>
        <w:t>nutrition.</w:t>
      </w:r>
    </w:p>
    <w:p w:rsidR="008478A1" w:rsidRDefault="008478A1" w:rsidP="008478A1">
      <w:pPr>
        <w:pStyle w:val="Heading3"/>
      </w:pPr>
      <w:r w:rsidRPr="00C57923">
        <w:t xml:space="preserve">Objective </w:t>
      </w:r>
      <w:r>
        <w:t>4</w:t>
      </w:r>
    </w:p>
    <w:tbl>
      <w:tblPr>
        <w:tblStyle w:val="APPR"/>
        <w:tblW w:w="5000" w:type="pct"/>
        <w:tblLook w:val="0000" w:firstRow="0" w:lastRow="0" w:firstColumn="0" w:lastColumn="0" w:noHBand="0" w:noVBand="0"/>
      </w:tblPr>
      <w:tblGrid>
        <w:gridCol w:w="6842"/>
        <w:gridCol w:w="1192"/>
        <w:gridCol w:w="1265"/>
      </w:tblGrid>
      <w:tr w:rsidR="002B0885" w:rsidRPr="001159CC" w:rsidTr="00717FE7">
        <w:trPr>
          <w:cnfStyle w:val="000000010000" w:firstRow="0" w:lastRow="0" w:firstColumn="0" w:lastColumn="0" w:oddVBand="0" w:evenVBand="0" w:oddHBand="0" w:evenHBand="1" w:firstRowFirstColumn="0" w:firstRowLastColumn="0" w:lastRowFirstColumn="0" w:lastRowLastColumn="0"/>
        </w:trPr>
        <w:tc>
          <w:tcPr>
            <w:tcW w:w="5694" w:type="dxa"/>
          </w:tcPr>
          <w:p w:rsidR="002B0885" w:rsidRPr="00C14AA8" w:rsidRDefault="002B0885" w:rsidP="00717FE7">
            <w:pPr>
              <w:pStyle w:val="TableHeading1"/>
            </w:pPr>
            <w:r w:rsidRPr="00C14AA8">
              <w:rPr>
                <w:noProof/>
                <w:lang w:eastAsia="en-AU"/>
              </w:rPr>
              <w:drawing>
                <wp:anchor distT="0" distB="0" distL="114300" distR="114300" simplePos="0" relativeHeight="251681792" behindDoc="0" locked="0" layoutInCell="1" allowOverlap="1" wp14:anchorId="496C3D56" wp14:editId="5879EF85">
                  <wp:simplePos x="0" y="0"/>
                  <wp:positionH relativeFrom="column">
                    <wp:posOffset>0</wp:posOffset>
                  </wp:positionH>
                  <wp:positionV relativeFrom="paragraph">
                    <wp:posOffset>0</wp:posOffset>
                  </wp:positionV>
                  <wp:extent cx="1857375" cy="228600"/>
                  <wp:effectExtent l="0" t="0" r="9525" b="0"/>
                  <wp:wrapNone/>
                  <wp:docPr id="28" name="Picture 28"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5" w:type="dxa"/>
          </w:tcPr>
          <w:p w:rsidR="002B0885" w:rsidRPr="00C14AA8" w:rsidRDefault="002B0885" w:rsidP="00717FE7">
            <w:pPr>
              <w:pStyle w:val="TableHeading1"/>
            </w:pPr>
            <w:r w:rsidRPr="00C14AA8">
              <w:t>Current rating</w:t>
            </w:r>
          </w:p>
        </w:tc>
        <w:tc>
          <w:tcPr>
            <w:tcW w:w="1024" w:type="dxa"/>
          </w:tcPr>
          <w:p w:rsidR="002B0885" w:rsidRPr="00C14AA8" w:rsidRDefault="002B0885" w:rsidP="00717FE7">
            <w:pPr>
              <w:pStyle w:val="TableHeading1"/>
            </w:pPr>
            <w:r w:rsidRPr="00C14AA8">
              <w:t>Previous rating</w:t>
            </w:r>
          </w:p>
        </w:tc>
      </w:tr>
      <w:tr w:rsidR="002B0885" w:rsidRPr="001159CC" w:rsidTr="002B0885">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5694" w:type="dxa"/>
            <w:tcBorders>
              <w:left w:val="nil"/>
              <w:right w:val="nil"/>
            </w:tcBorders>
          </w:tcPr>
          <w:p w:rsidR="002B0885" w:rsidRPr="00C14AA8" w:rsidRDefault="002B0885" w:rsidP="00717FE7">
            <w:pPr>
              <w:pStyle w:val="TableTextEntries"/>
              <w:rPr>
                <w:b w:val="0"/>
              </w:rPr>
            </w:pPr>
            <w:r w:rsidRPr="00C14AA8">
              <w:rPr>
                <w:b w:val="0"/>
              </w:rPr>
              <w:t>Objective 4 : More children and youth attain improved learning outcomes and employability</w:t>
            </w:r>
          </w:p>
        </w:tc>
        <w:tc>
          <w:tcPr>
            <w:tcW w:w="975" w:type="dxa"/>
            <w:tcBorders>
              <w:left w:val="nil"/>
              <w:right w:val="nil"/>
            </w:tcBorders>
            <w:shd w:val="clear" w:color="auto" w:fill="FF0000"/>
            <w:noWrap/>
          </w:tcPr>
          <w:p w:rsidR="002B0885" w:rsidRPr="00C14AA8" w:rsidRDefault="002B0885" w:rsidP="00717FE7">
            <w:pPr>
              <w:pStyle w:val="TableTextEntries"/>
              <w:rPr>
                <w:b w:val="0"/>
              </w:rPr>
            </w:pPr>
            <w:r>
              <w:rPr>
                <w:b w:val="0"/>
              </w:rPr>
              <w:t>Red</w:t>
            </w:r>
          </w:p>
        </w:tc>
        <w:tc>
          <w:tcPr>
            <w:tcW w:w="1024" w:type="dxa"/>
            <w:tcBorders>
              <w:left w:val="nil"/>
              <w:right w:val="nil"/>
            </w:tcBorders>
            <w:shd w:val="clear" w:color="auto" w:fill="F79646" w:themeFill="accent6"/>
            <w:noWrap/>
          </w:tcPr>
          <w:p w:rsidR="002B0885" w:rsidRPr="00C14AA8" w:rsidRDefault="002B0885" w:rsidP="00717FE7">
            <w:pPr>
              <w:pStyle w:val="TableTextEntries"/>
              <w:rPr>
                <w:b w:val="0"/>
              </w:rPr>
            </w:pPr>
            <w:r>
              <w:rPr>
                <w:b w:val="0"/>
              </w:rPr>
              <w:t>Amber</w:t>
            </w:r>
          </w:p>
        </w:tc>
      </w:tr>
    </w:tbl>
    <w:p w:rsidR="0081154A" w:rsidRPr="0034085D" w:rsidRDefault="0081154A" w:rsidP="0081154A">
      <w:pPr>
        <w:rPr>
          <w:rFonts w:ascii="Franklin Gothic Book" w:hAnsi="Franklin Gothic Book"/>
          <w:b/>
          <w:szCs w:val="20"/>
        </w:rPr>
      </w:pPr>
    </w:p>
    <w:p w:rsidR="006A6476" w:rsidRPr="00FE5435" w:rsidRDefault="006A6476" w:rsidP="006A6476">
      <w:pPr>
        <w:pStyle w:val="ListBullet"/>
        <w:numPr>
          <w:ilvl w:val="0"/>
          <w:numId w:val="0"/>
        </w:numPr>
        <w:tabs>
          <w:tab w:val="clear" w:pos="284"/>
        </w:tabs>
        <w:rPr>
          <w:i/>
        </w:rPr>
      </w:pPr>
      <w:r w:rsidRPr="00FE5435">
        <w:rPr>
          <w:i/>
        </w:rPr>
        <w:t xml:space="preserve">The objective was rated red because </w:t>
      </w:r>
      <w:r>
        <w:rPr>
          <w:i/>
        </w:rPr>
        <w:t>DFAT’s</w:t>
      </w:r>
      <w:r w:rsidRPr="00FE5435">
        <w:rPr>
          <w:i/>
        </w:rPr>
        <w:t xml:space="preserve"> new basic education program was not finalised and progress on the training and employment support program was </w:t>
      </w:r>
      <w:r>
        <w:rPr>
          <w:i/>
        </w:rPr>
        <w:t>significantly less than expected</w:t>
      </w:r>
      <w:r w:rsidRPr="00FE5435">
        <w:rPr>
          <w:i/>
        </w:rPr>
        <w:t>.</w:t>
      </w:r>
      <w:r w:rsidR="00FC2D20">
        <w:rPr>
          <w:i/>
        </w:rPr>
        <w:t xml:space="preserve"> </w:t>
      </w:r>
    </w:p>
    <w:p w:rsidR="006A6476" w:rsidRDefault="009D1E4C" w:rsidP="006A6476">
      <w:pPr>
        <w:pStyle w:val="ListBullet"/>
        <w:numPr>
          <w:ilvl w:val="0"/>
          <w:numId w:val="0"/>
        </w:numPr>
        <w:tabs>
          <w:tab w:val="clear" w:pos="284"/>
        </w:tabs>
      </w:pPr>
      <w:r>
        <w:t xml:space="preserve">Timor-Leste made </w:t>
      </w:r>
      <w:r w:rsidR="006A6476" w:rsidRPr="00FE5435">
        <w:t xml:space="preserve">progress </w:t>
      </w:r>
      <w:r w:rsidR="007C75C8">
        <w:t>in</w:t>
      </w:r>
      <w:r w:rsidR="006A6476">
        <w:t xml:space="preserve"> providing </w:t>
      </w:r>
      <w:r w:rsidR="006A6476" w:rsidRPr="00FE5435">
        <w:t xml:space="preserve">access </w:t>
      </w:r>
      <w:r w:rsidR="007C75C8">
        <w:t xml:space="preserve">to </w:t>
      </w:r>
      <w:r w:rsidR="006A6476" w:rsidRPr="00FE5435">
        <w:t>quality education. More children had access to basic education</w:t>
      </w:r>
      <w:r w:rsidR="007C75C8">
        <w:t>,</w:t>
      </w:r>
      <w:r w:rsidR="006A6476" w:rsidRPr="00FE5435">
        <w:t xml:space="preserve"> with a primary net enrolment rate of 94 per cent.</w:t>
      </w:r>
      <w:r w:rsidR="00FC2D20">
        <w:t xml:space="preserve"> </w:t>
      </w:r>
      <w:r w:rsidR="006A6476" w:rsidRPr="00FE5435">
        <w:t>The 2014 education budget increased 16 per cent fr</w:t>
      </w:r>
      <w:r w:rsidR="007C75C8">
        <w:t xml:space="preserve">om 2013, </w:t>
      </w:r>
      <w:r>
        <w:t>but</w:t>
      </w:r>
      <w:r w:rsidR="006A6476" w:rsidRPr="00FE5435">
        <w:t xml:space="preserve"> decreased </w:t>
      </w:r>
      <w:r w:rsidR="007C75C8">
        <w:t xml:space="preserve">as a percentage </w:t>
      </w:r>
      <w:r w:rsidR="006A6476" w:rsidRPr="00FE5435">
        <w:t xml:space="preserve">of national budget </w:t>
      </w:r>
      <w:r w:rsidR="007C75C8">
        <w:t xml:space="preserve">from 22 per cent </w:t>
      </w:r>
      <w:r w:rsidR="006A6476" w:rsidRPr="00FE5435">
        <w:t>in 2004 to 10-12 per cent in 2014.</w:t>
      </w:r>
      <w:r w:rsidR="00FC2D20">
        <w:t xml:space="preserve"> </w:t>
      </w:r>
      <w:r w:rsidR="006A6476" w:rsidRPr="00FE5435">
        <w:t xml:space="preserve">Over one third of </w:t>
      </w:r>
      <w:r>
        <w:t xml:space="preserve">grade one </w:t>
      </w:r>
      <w:r w:rsidR="006A6476" w:rsidRPr="00FE5435">
        <w:t xml:space="preserve">children </w:t>
      </w:r>
      <w:r>
        <w:t>do</w:t>
      </w:r>
      <w:r w:rsidR="006A6476" w:rsidRPr="00FE5435">
        <w:t xml:space="preserve"> not attend school regularly and about two thirds cannot read at a minimum standard by grade four.</w:t>
      </w:r>
      <w:r w:rsidR="00FC2D20">
        <w:t xml:space="preserve"> </w:t>
      </w:r>
      <w:r w:rsidR="006A6476" w:rsidRPr="00FE5435">
        <w:t xml:space="preserve">Participation of girls is the same if not </w:t>
      </w:r>
      <w:r w:rsidR="007C75C8">
        <w:t>higher</w:t>
      </w:r>
      <w:r w:rsidR="006A6476" w:rsidRPr="00FE5435">
        <w:t xml:space="preserve"> than boys at primary and pre-secondary levels</w:t>
      </w:r>
      <w:r w:rsidR="007C75C8">
        <w:t xml:space="preserve">, but lower </w:t>
      </w:r>
      <w:r w:rsidR="006A6476">
        <w:t>in</w:t>
      </w:r>
      <w:r w:rsidR="006A6476" w:rsidRPr="00FE5435">
        <w:t xml:space="preserve"> secondary and tertiary levels.</w:t>
      </w:r>
      <w:r w:rsidR="00FC2D20">
        <w:t xml:space="preserve"> </w:t>
      </w:r>
      <w:r w:rsidR="006A6476">
        <w:t>The vocational education system, established in 2012, continued to expand but is yet to produce quality training that links to jobs.</w:t>
      </w:r>
      <w:r w:rsidR="00FC2D20">
        <w:t xml:space="preserve"> </w:t>
      </w:r>
      <w:r w:rsidR="0035775D">
        <w:t>The budget for vocational training continued</w:t>
      </w:r>
      <w:r w:rsidR="006A6476" w:rsidRPr="00FE5435">
        <w:t xml:space="preserve"> to fall, </w:t>
      </w:r>
      <w:r w:rsidR="0035775D">
        <w:t xml:space="preserve">impeding delivery of </w:t>
      </w:r>
      <w:r w:rsidR="006A6476" w:rsidRPr="00FE5435">
        <w:t xml:space="preserve">quality </w:t>
      </w:r>
      <w:r w:rsidR="0035775D">
        <w:t xml:space="preserve">training </w:t>
      </w:r>
      <w:r w:rsidR="006A6476" w:rsidRPr="00FE5435">
        <w:t>programs.</w:t>
      </w:r>
    </w:p>
    <w:p w:rsidR="006A6476" w:rsidRPr="00FE5435" w:rsidRDefault="00180133" w:rsidP="006A6476">
      <w:pPr>
        <w:pStyle w:val="ListBullet"/>
        <w:numPr>
          <w:ilvl w:val="0"/>
          <w:numId w:val="0"/>
        </w:numPr>
        <w:tabs>
          <w:tab w:val="clear" w:pos="284"/>
        </w:tabs>
      </w:pPr>
      <w:r>
        <w:t xml:space="preserve">Australia </w:t>
      </w:r>
      <w:r w:rsidR="007C75C8">
        <w:t>contributed to</w:t>
      </w:r>
      <w:r w:rsidR="006A6476" w:rsidRPr="00FE5435">
        <w:t xml:space="preserve"> improving learning outcomes through support for teacher training, school management and school infrastructure.</w:t>
      </w:r>
      <w:r w:rsidR="00FC2D20">
        <w:t xml:space="preserve"> </w:t>
      </w:r>
      <w:r w:rsidR="006A6476" w:rsidRPr="00FE5435">
        <w:t xml:space="preserve">Australia’s support to </w:t>
      </w:r>
      <w:r w:rsidR="006A6476">
        <w:t xml:space="preserve">the </w:t>
      </w:r>
      <w:r w:rsidR="006A6476" w:rsidRPr="00FE5435">
        <w:t xml:space="preserve">Alola Foundation, Catholic Teachers’ College and UNICEF enabled </w:t>
      </w:r>
      <w:r w:rsidR="007C75C8">
        <w:t xml:space="preserve">training of </w:t>
      </w:r>
      <w:r w:rsidR="006A6476" w:rsidRPr="00FE5435">
        <w:t xml:space="preserve">over </w:t>
      </w:r>
      <w:r w:rsidR="006A6476">
        <w:t xml:space="preserve">1000 </w:t>
      </w:r>
      <w:r w:rsidR="006A6476" w:rsidRPr="00FE5435">
        <w:t xml:space="preserve">in-service teachers </w:t>
      </w:r>
      <w:r w:rsidR="006A6476">
        <w:t xml:space="preserve">(65 per cent female) </w:t>
      </w:r>
      <w:r w:rsidR="006A6476" w:rsidRPr="00FE5435">
        <w:t xml:space="preserve">and 49 new teachers </w:t>
      </w:r>
      <w:r w:rsidR="006A6476">
        <w:t>(65 per cent female)</w:t>
      </w:r>
      <w:r w:rsidR="006A6476" w:rsidRPr="00FE5435">
        <w:t>.</w:t>
      </w:r>
      <w:r w:rsidR="00FC2D20">
        <w:t xml:space="preserve"> </w:t>
      </w:r>
      <w:r w:rsidR="006A6476" w:rsidRPr="00FE5435">
        <w:t xml:space="preserve">We </w:t>
      </w:r>
      <w:r w:rsidR="007C75C8">
        <w:t>provided</w:t>
      </w:r>
      <w:r w:rsidR="006A6476" w:rsidRPr="00FE5435">
        <w:t xml:space="preserve"> over 120 schools with child</w:t>
      </w:r>
      <w:r w:rsidR="006A6476">
        <w:t>-</w:t>
      </w:r>
      <w:r w:rsidR="006A6476" w:rsidRPr="00FE5435">
        <w:t>friendly learning materials, training and infrastructure development.</w:t>
      </w:r>
      <w:r w:rsidR="00FC2D20">
        <w:t xml:space="preserve"> </w:t>
      </w:r>
      <w:r w:rsidR="007C75C8">
        <w:t>Our</w:t>
      </w:r>
      <w:r w:rsidR="006A6476" w:rsidRPr="00FE5435">
        <w:t xml:space="preserve"> English language program provided English language resources to over 600</w:t>
      </w:r>
      <w:r w:rsidR="006A6476">
        <w:t xml:space="preserve"> </w:t>
      </w:r>
      <w:r w:rsidR="006A6476" w:rsidRPr="00FE5435">
        <w:t>university students</w:t>
      </w:r>
      <w:r>
        <w:t xml:space="preserve"> (46 per cent female). </w:t>
      </w:r>
      <w:r w:rsidR="006A6476" w:rsidRPr="00FE5435">
        <w:t xml:space="preserve">The programs are producing </w:t>
      </w:r>
      <w:r w:rsidR="006A6476" w:rsidRPr="00FE5435">
        <w:lastRenderedPageBreak/>
        <w:t>results, but need stronger monitoring and evaluation systems to assess their contribution to education outcomes.</w:t>
      </w:r>
    </w:p>
    <w:p w:rsidR="006A6476" w:rsidRDefault="009D1E4C" w:rsidP="006A6476">
      <w:pPr>
        <w:pStyle w:val="ListBullet"/>
        <w:numPr>
          <w:ilvl w:val="0"/>
          <w:numId w:val="0"/>
        </w:numPr>
        <w:tabs>
          <w:tab w:val="clear" w:pos="284"/>
        </w:tabs>
      </w:pPr>
      <w:r>
        <w:t>The basic education program faced a major hurdle in attempting to</w:t>
      </w:r>
      <w:r w:rsidR="007C75C8">
        <w:t xml:space="preserve"> transition </w:t>
      </w:r>
      <w:r w:rsidR="006A6476" w:rsidRPr="00FE5435">
        <w:t>to a ne</w:t>
      </w:r>
      <w:r w:rsidR="007C75C8">
        <w:t xml:space="preserve">w consolidated program </w:t>
      </w:r>
      <w:r w:rsidR="006A6476" w:rsidRPr="00FE5435">
        <w:t>focus</w:t>
      </w:r>
      <w:r w:rsidR="007C75C8">
        <w:t>ed</w:t>
      </w:r>
      <w:r w:rsidR="006A6476" w:rsidRPr="00FE5435">
        <w:t xml:space="preserve"> on improved service delivery.</w:t>
      </w:r>
      <w:r w:rsidR="00FC2D20">
        <w:t xml:space="preserve"> </w:t>
      </w:r>
      <w:r w:rsidR="006A6476" w:rsidRPr="00FE5435">
        <w:t xml:space="preserve">Following </w:t>
      </w:r>
      <w:r w:rsidR="007C75C8">
        <w:t>protracted</w:t>
      </w:r>
      <w:r w:rsidR="006A6476" w:rsidRPr="00FE5435">
        <w:t xml:space="preserve"> negotiation</w:t>
      </w:r>
      <w:r w:rsidR="007C75C8">
        <w:t>s</w:t>
      </w:r>
      <w:r w:rsidR="006A6476" w:rsidRPr="00FE5435">
        <w:t xml:space="preserve"> in 2013, Australia and Timor-Leste could not </w:t>
      </w:r>
      <w:r w:rsidR="00312AE4">
        <w:t xml:space="preserve">agree on the </w:t>
      </w:r>
      <w:r w:rsidR="006A6476">
        <w:t>new program</w:t>
      </w:r>
      <w:r w:rsidR="003B3B6F">
        <w:t>, particularly on the provision of technical assistance</w:t>
      </w:r>
      <w:r>
        <w:t>. It was</w:t>
      </w:r>
      <w:r w:rsidR="006F6843" w:rsidRPr="00FE5435">
        <w:t xml:space="preserve"> decided not to proceed</w:t>
      </w:r>
      <w:r w:rsidR="006F6843">
        <w:t xml:space="preserve"> with the </w:t>
      </w:r>
      <w:r w:rsidR="003B3B6F">
        <w:t xml:space="preserve">new </w:t>
      </w:r>
      <w:r w:rsidR="006F6843">
        <w:t>program</w:t>
      </w:r>
      <w:r w:rsidR="003B3B6F">
        <w:t>, but existing partnerships continued</w:t>
      </w:r>
      <w:r w:rsidR="006F6843" w:rsidRPr="00FE5435">
        <w:t>.</w:t>
      </w:r>
      <w:r w:rsidR="00FC2D20">
        <w:t xml:space="preserve"> </w:t>
      </w:r>
      <w:r w:rsidR="006F6843">
        <w:t xml:space="preserve">Despite delays, discussions continue </w:t>
      </w:r>
      <w:r w:rsidR="006F6843" w:rsidRPr="00FE5435">
        <w:t>and the design process with the Ministry of Education restarted</w:t>
      </w:r>
      <w:r w:rsidR="006F6843">
        <w:t xml:space="preserve"> in </w:t>
      </w:r>
      <w:r w:rsidR="00103D94">
        <w:t>early 2014.</w:t>
      </w:r>
    </w:p>
    <w:p w:rsidR="006A6476" w:rsidRPr="00787689" w:rsidRDefault="009D1E4C" w:rsidP="006A6476">
      <w:pPr>
        <w:pStyle w:val="ListBullet"/>
        <w:numPr>
          <w:ilvl w:val="0"/>
          <w:numId w:val="0"/>
        </w:numPr>
        <w:tabs>
          <w:tab w:val="clear" w:pos="284"/>
        </w:tabs>
      </w:pPr>
      <w:r>
        <w:t xml:space="preserve">Australia supported </w:t>
      </w:r>
      <w:r w:rsidR="00180133">
        <w:t xml:space="preserve">the </w:t>
      </w:r>
      <w:r w:rsidR="006A6476" w:rsidRPr="00FE5435">
        <w:t>deliver</w:t>
      </w:r>
      <w:r>
        <w:t>y of</w:t>
      </w:r>
      <w:r w:rsidR="006A6476" w:rsidRPr="00FE5435">
        <w:t xml:space="preserve"> </w:t>
      </w:r>
      <w:r w:rsidR="00312AE4">
        <w:t xml:space="preserve">increased vocational training opportunities </w:t>
      </w:r>
      <w:r w:rsidR="006A6476" w:rsidRPr="00FE5435">
        <w:t xml:space="preserve">through the </w:t>
      </w:r>
      <w:r w:rsidR="00312AE4">
        <w:t>ILO</w:t>
      </w:r>
      <w:r w:rsidR="006A6476">
        <w:t>,</w:t>
      </w:r>
      <w:r w:rsidR="00312AE4">
        <w:t xml:space="preserve"> enabling</w:t>
      </w:r>
      <w:r w:rsidR="006A6476" w:rsidRPr="00FE5435">
        <w:t xml:space="preserve"> 1,917 students (55 per cent female) to graduate from accredited training in 2013</w:t>
      </w:r>
      <w:r w:rsidR="006A6476">
        <w:t>, exceeding the target of 1500 students</w:t>
      </w:r>
      <w:r w:rsidR="006A6476" w:rsidRPr="00FE5435">
        <w:t>.</w:t>
      </w:r>
      <w:r w:rsidR="00FC2D20">
        <w:t xml:space="preserve"> </w:t>
      </w:r>
      <w:r w:rsidR="006A6476" w:rsidRPr="00FE5435">
        <w:t>The program assisted the accreditation of seven training providers and development of six new competency-based qualifications</w:t>
      </w:r>
      <w:r w:rsidR="006A6476">
        <w:t>, including in early childhood education and horticulture</w:t>
      </w:r>
      <w:r w:rsidR="006A6476" w:rsidRPr="00FE5435">
        <w:t>.</w:t>
      </w:r>
      <w:r w:rsidR="00FC2D20">
        <w:t xml:space="preserve"> </w:t>
      </w:r>
      <w:r w:rsidR="00312AE4">
        <w:t>However, p</w:t>
      </w:r>
      <w:r w:rsidR="006A6476">
        <w:t xml:space="preserve">rogress </w:t>
      </w:r>
      <w:r w:rsidR="006F6843">
        <w:t xml:space="preserve">was </w:t>
      </w:r>
      <w:r w:rsidR="006A6476">
        <w:t xml:space="preserve">less than expected </w:t>
      </w:r>
      <w:r w:rsidR="00312AE4">
        <w:t xml:space="preserve">because of </w:t>
      </w:r>
      <w:r w:rsidR="006A6476" w:rsidRPr="00FE5435">
        <w:t xml:space="preserve">delays in </w:t>
      </w:r>
      <w:r w:rsidR="00D847A4">
        <w:t>recruiting advisers and constructing</w:t>
      </w:r>
      <w:r w:rsidR="006A6476">
        <w:t xml:space="preserve"> careers centres</w:t>
      </w:r>
      <w:r w:rsidR="006A6476" w:rsidRPr="00AA7656">
        <w:t>. Th</w:t>
      </w:r>
      <w:r w:rsidR="006A6476" w:rsidRPr="00FE5435">
        <w:t xml:space="preserve">e program was too ambitious for the two-year timeframe. DFAT </w:t>
      </w:r>
      <w:r w:rsidR="006A6476" w:rsidRPr="00787689">
        <w:t>reduce</w:t>
      </w:r>
      <w:r w:rsidR="0034253D" w:rsidRPr="00787689">
        <w:t>d</w:t>
      </w:r>
      <w:r w:rsidR="006A6476" w:rsidRPr="00787689">
        <w:t xml:space="preserve"> the budget from $12 million to $8 million and requested ILO to focus on training and labour market information activities.</w:t>
      </w:r>
      <w:r w:rsidR="00787689" w:rsidRPr="00787689">
        <w:t xml:space="preserve"> DFAT </w:t>
      </w:r>
      <w:r w:rsidR="003B3B6F">
        <w:t>is currently</w:t>
      </w:r>
      <w:r w:rsidR="003B3B6F" w:rsidRPr="00787689">
        <w:t xml:space="preserve"> </w:t>
      </w:r>
      <w:r w:rsidR="00787689" w:rsidRPr="00787689">
        <w:t>develop</w:t>
      </w:r>
      <w:r w:rsidR="003B3B6F">
        <w:t xml:space="preserve">ing our next phase of support to the </w:t>
      </w:r>
      <w:r w:rsidR="003B3B6F" w:rsidRPr="008D2E38">
        <w:t>Secretariat of State for Professional Training and Employment Policy. This</w:t>
      </w:r>
      <w:r w:rsidR="00787689" w:rsidRPr="00787689">
        <w:t xml:space="preserve"> new program in skills development and employment </w:t>
      </w:r>
      <w:r w:rsidR="003B3B6F">
        <w:t>will</w:t>
      </w:r>
      <w:r w:rsidR="003B3B6F" w:rsidRPr="00787689">
        <w:t xml:space="preserve"> </w:t>
      </w:r>
      <w:r w:rsidR="00787689" w:rsidRPr="00787689">
        <w:t>start in 2014-15, focusing on</w:t>
      </w:r>
      <w:r w:rsidR="003B3B6F">
        <w:t xml:space="preserve"> the delivery of</w:t>
      </w:r>
      <w:r w:rsidR="00057496">
        <w:t xml:space="preserve"> </w:t>
      </w:r>
      <w:r w:rsidR="00787689" w:rsidRPr="00787689">
        <w:t xml:space="preserve">skills </w:t>
      </w:r>
      <w:r w:rsidR="003B3B6F">
        <w:t>training that leads to</w:t>
      </w:r>
      <w:r w:rsidR="00787689" w:rsidRPr="00787689">
        <w:t xml:space="preserve"> jobs.</w:t>
      </w:r>
    </w:p>
    <w:p w:rsidR="006A6476" w:rsidRPr="00787689" w:rsidRDefault="006A6476" w:rsidP="006A6476">
      <w:pPr>
        <w:pStyle w:val="ListBullet"/>
        <w:numPr>
          <w:ilvl w:val="0"/>
          <w:numId w:val="0"/>
        </w:numPr>
        <w:tabs>
          <w:tab w:val="clear" w:pos="284"/>
        </w:tabs>
      </w:pPr>
      <w:r w:rsidRPr="00787689">
        <w:t xml:space="preserve">In 2013, Australia provided 22 Australia Awards (10 female) to recipients from Timor-Leste, </w:t>
      </w:r>
      <w:r w:rsidR="00312AE4" w:rsidRPr="00787689">
        <w:t xml:space="preserve">down from </w:t>
      </w:r>
      <w:r w:rsidRPr="00787689">
        <w:t>34 (14 female) in 2012. English skills of applicants continued to be a barrier to Timorese parti</w:t>
      </w:r>
      <w:r w:rsidR="00312AE4" w:rsidRPr="00787689">
        <w:t>cipation</w:t>
      </w:r>
      <w:r w:rsidRPr="00787689">
        <w:t>.</w:t>
      </w:r>
      <w:r w:rsidR="007A6ADD">
        <w:t xml:space="preserve"> </w:t>
      </w:r>
      <w:r w:rsidR="007A6ADD" w:rsidRPr="00787689">
        <w:t>Future programming aims to address</w:t>
      </w:r>
      <w:r w:rsidR="007A6ADD">
        <w:t xml:space="preserve"> </w:t>
      </w:r>
      <w:r w:rsidR="00F56390">
        <w:t xml:space="preserve">this </w:t>
      </w:r>
      <w:r w:rsidR="007A6ADD" w:rsidRPr="00787689">
        <w:t>by providing up to 200 subsidies for study in tertiary institutions in Timor-Leste.</w:t>
      </w:r>
      <w:r w:rsidR="007A6ADD">
        <w:t xml:space="preserve"> </w:t>
      </w:r>
      <w:r w:rsidRPr="00787689">
        <w:t xml:space="preserve">Engagement with Australia Awards </w:t>
      </w:r>
      <w:r w:rsidR="00312AE4" w:rsidRPr="00787689">
        <w:t xml:space="preserve">alumni </w:t>
      </w:r>
      <w:r w:rsidR="007A6ADD">
        <w:t xml:space="preserve">has </w:t>
      </w:r>
      <w:r w:rsidRPr="00787689">
        <w:t>increased</w:t>
      </w:r>
      <w:r w:rsidR="007A6ADD">
        <w:t>. A</w:t>
      </w:r>
      <w:r w:rsidRPr="00787689">
        <w:t xml:space="preserve">n Alumni association was established </w:t>
      </w:r>
      <w:r w:rsidR="00312AE4" w:rsidRPr="00787689">
        <w:t>to</w:t>
      </w:r>
      <w:r w:rsidRPr="00787689">
        <w:t xml:space="preserve"> progress people</w:t>
      </w:r>
      <w:r w:rsidR="00312AE4" w:rsidRPr="00787689">
        <w:t>-to-people</w:t>
      </w:r>
      <w:r w:rsidRPr="00787689">
        <w:t xml:space="preserve"> and institutional linkages. Around 70 per cent of alumni are now working within government, with approximately </w:t>
      </w:r>
      <w:r w:rsidR="007A6ADD">
        <w:t>five</w:t>
      </w:r>
      <w:r w:rsidR="007A6ADD" w:rsidRPr="00787689">
        <w:t xml:space="preserve"> </w:t>
      </w:r>
      <w:r w:rsidRPr="00787689">
        <w:t>per cent in senior roles in key government ministries</w:t>
      </w:r>
    </w:p>
    <w:p w:rsidR="0081154A" w:rsidRPr="00787689" w:rsidRDefault="006A6476" w:rsidP="002B0885">
      <w:pPr>
        <w:pStyle w:val="ListBullet"/>
        <w:numPr>
          <w:ilvl w:val="0"/>
          <w:numId w:val="0"/>
        </w:numPr>
        <w:tabs>
          <w:tab w:val="clear" w:pos="284"/>
        </w:tabs>
      </w:pPr>
      <w:r w:rsidRPr="00FE5435">
        <w:t xml:space="preserve">A </w:t>
      </w:r>
      <w:r>
        <w:t xml:space="preserve">2013 </w:t>
      </w:r>
      <w:r w:rsidRPr="00FE5435">
        <w:t xml:space="preserve">gender </w:t>
      </w:r>
      <w:r>
        <w:t>assessment</w:t>
      </w:r>
      <w:r w:rsidRPr="00FE5435">
        <w:t xml:space="preserve"> showed that our basic education programs were addressing gender</w:t>
      </w:r>
      <w:r>
        <w:t xml:space="preserve"> effectively in some areas, such as </w:t>
      </w:r>
      <w:r w:rsidRPr="00FE5435">
        <w:t>UNICEF’s teacher training and the Alola Foundation</w:t>
      </w:r>
      <w:r>
        <w:t>’s</w:t>
      </w:r>
      <w:r w:rsidR="009B61CB">
        <w:t xml:space="preserve"> 200 scholarships for</w:t>
      </w:r>
      <w:r w:rsidRPr="00FE5435">
        <w:t xml:space="preserve"> girls to complete secondary school.</w:t>
      </w:r>
      <w:r w:rsidR="00FC2D20">
        <w:t xml:space="preserve"> </w:t>
      </w:r>
      <w:r w:rsidRPr="00FE5435">
        <w:t xml:space="preserve">However, </w:t>
      </w:r>
      <w:r>
        <w:t>more</w:t>
      </w:r>
      <w:r w:rsidRPr="00FE5435">
        <w:t xml:space="preserve"> effort is needed to integrate </w:t>
      </w:r>
      <w:r w:rsidRPr="00787689">
        <w:t>gender equality in the skills development and employment program and Australia Awards.</w:t>
      </w:r>
      <w:r w:rsidR="00FC2D20">
        <w:t xml:space="preserve"> </w:t>
      </w:r>
      <w:r w:rsidRPr="00787689">
        <w:t xml:space="preserve"> </w:t>
      </w:r>
    </w:p>
    <w:p w:rsidR="00AE3CA3" w:rsidRPr="00787689" w:rsidRDefault="00312AE4" w:rsidP="002B0885">
      <w:pPr>
        <w:pStyle w:val="ListBullet"/>
        <w:numPr>
          <w:ilvl w:val="0"/>
          <w:numId w:val="0"/>
        </w:numPr>
        <w:tabs>
          <w:tab w:val="clear" w:pos="284"/>
        </w:tabs>
      </w:pPr>
      <w:r w:rsidRPr="00787689">
        <w:rPr>
          <w:b/>
        </w:rPr>
        <w:t>Management response</w:t>
      </w:r>
      <w:r w:rsidRPr="00787689">
        <w:t xml:space="preserve">: </w:t>
      </w:r>
    </w:p>
    <w:p w:rsidR="00AE3CA3" w:rsidRPr="00D847A4" w:rsidRDefault="00AE3CA3" w:rsidP="00D847A4">
      <w:pPr>
        <w:pStyle w:val="ListParagraph"/>
        <w:numPr>
          <w:ilvl w:val="0"/>
          <w:numId w:val="19"/>
        </w:numPr>
        <w:spacing w:after="0"/>
        <w:contextualSpacing/>
        <w:rPr>
          <w:rFonts w:ascii="Franklin Gothic Book" w:hAnsi="Franklin Gothic Book"/>
          <w:sz w:val="21"/>
          <w:szCs w:val="21"/>
        </w:rPr>
      </w:pPr>
      <w:r w:rsidRPr="00D847A4">
        <w:rPr>
          <w:rFonts w:ascii="Franklin Gothic Book" w:hAnsi="Franklin Gothic Book"/>
          <w:sz w:val="21"/>
          <w:szCs w:val="21"/>
        </w:rPr>
        <w:t xml:space="preserve">DFAT will continue to discuss possible support to basic education with the Ministry of Education </w:t>
      </w:r>
      <w:r w:rsidR="003B3B6F">
        <w:rPr>
          <w:rFonts w:ascii="Franklin Gothic Book" w:hAnsi="Franklin Gothic Book"/>
          <w:sz w:val="21"/>
          <w:szCs w:val="21"/>
        </w:rPr>
        <w:t xml:space="preserve">working responsively to the Ministry’s priorities and timetable. This support will be narrower in scope than originally envisioned and </w:t>
      </w:r>
      <w:r w:rsidRPr="00D847A4">
        <w:rPr>
          <w:rFonts w:ascii="Franklin Gothic Book" w:hAnsi="Franklin Gothic Book"/>
          <w:sz w:val="21"/>
          <w:szCs w:val="21"/>
        </w:rPr>
        <w:t>in line with our shared focus on improving learning.</w:t>
      </w:r>
    </w:p>
    <w:p w:rsidR="00AE3CA3" w:rsidRPr="00D847A4" w:rsidRDefault="00AE3CA3" w:rsidP="00D847A4">
      <w:pPr>
        <w:pStyle w:val="ListParagraph"/>
        <w:numPr>
          <w:ilvl w:val="0"/>
          <w:numId w:val="19"/>
        </w:numPr>
        <w:spacing w:after="0"/>
        <w:contextualSpacing/>
        <w:rPr>
          <w:rFonts w:ascii="Franklin Gothic Book" w:hAnsi="Franklin Gothic Book"/>
          <w:sz w:val="21"/>
          <w:szCs w:val="21"/>
        </w:rPr>
      </w:pPr>
      <w:r w:rsidRPr="00D847A4">
        <w:rPr>
          <w:rFonts w:ascii="Franklin Gothic Book" w:hAnsi="Franklin Gothic Book"/>
          <w:sz w:val="21"/>
          <w:szCs w:val="21"/>
        </w:rPr>
        <w:t xml:space="preserve">DFAT will continue to undertake regular budget analysis to inform discussions. DFAT will support Ministry of Education and </w:t>
      </w:r>
      <w:r w:rsidR="00103D94" w:rsidRPr="00103D94">
        <w:rPr>
          <w:rFonts w:ascii="Franklin Gothic Book" w:hAnsi="Franklin Gothic Book"/>
          <w:sz w:val="21"/>
          <w:szCs w:val="21"/>
        </w:rPr>
        <w:t xml:space="preserve">Secretariat of State for Professional Training and Employment Policy </w:t>
      </w:r>
      <w:r w:rsidRPr="00D847A4">
        <w:rPr>
          <w:rFonts w:ascii="Franklin Gothic Book" w:hAnsi="Franklin Gothic Book"/>
          <w:sz w:val="21"/>
          <w:szCs w:val="21"/>
        </w:rPr>
        <w:t xml:space="preserve">to engage with the </w:t>
      </w:r>
      <w:r w:rsidR="001B4EE2">
        <w:rPr>
          <w:rFonts w:ascii="Franklin Gothic Book" w:hAnsi="Franklin Gothic Book"/>
          <w:sz w:val="21"/>
          <w:szCs w:val="21"/>
        </w:rPr>
        <w:t>MoF</w:t>
      </w:r>
      <w:r w:rsidRPr="00D847A4">
        <w:rPr>
          <w:rFonts w:ascii="Franklin Gothic Book" w:hAnsi="Franklin Gothic Book"/>
          <w:sz w:val="21"/>
          <w:szCs w:val="21"/>
        </w:rPr>
        <w:t xml:space="preserve"> when appropriate.</w:t>
      </w:r>
    </w:p>
    <w:p w:rsidR="008478A1" w:rsidRDefault="008478A1" w:rsidP="008478A1">
      <w:pPr>
        <w:pStyle w:val="Heading3"/>
      </w:pPr>
      <w:r w:rsidRPr="00C57923">
        <w:t xml:space="preserve">Objective </w:t>
      </w:r>
      <w:r>
        <w:t>5</w:t>
      </w:r>
    </w:p>
    <w:tbl>
      <w:tblPr>
        <w:tblStyle w:val="APPR"/>
        <w:tblW w:w="5000" w:type="pct"/>
        <w:tblLook w:val="0000" w:firstRow="0" w:lastRow="0" w:firstColumn="0" w:lastColumn="0" w:noHBand="0" w:noVBand="0"/>
      </w:tblPr>
      <w:tblGrid>
        <w:gridCol w:w="6842"/>
        <w:gridCol w:w="1192"/>
        <w:gridCol w:w="1265"/>
      </w:tblGrid>
      <w:tr w:rsidR="002B0885" w:rsidRPr="00AA729B" w:rsidTr="00717FE7">
        <w:trPr>
          <w:cnfStyle w:val="000000010000" w:firstRow="0" w:lastRow="0" w:firstColumn="0" w:lastColumn="0" w:oddVBand="0" w:evenVBand="0" w:oddHBand="0" w:evenHBand="1" w:firstRowFirstColumn="0" w:firstRowLastColumn="0" w:lastRowFirstColumn="0" w:lastRowLastColumn="0"/>
        </w:trPr>
        <w:tc>
          <w:tcPr>
            <w:tcW w:w="5694" w:type="dxa"/>
          </w:tcPr>
          <w:p w:rsidR="002B0885" w:rsidRPr="00C14AA8" w:rsidRDefault="002B0885" w:rsidP="00717FE7">
            <w:pPr>
              <w:pStyle w:val="TableHeading1"/>
            </w:pPr>
            <w:r w:rsidRPr="00C14AA8">
              <w:rPr>
                <w:noProof/>
                <w:lang w:eastAsia="en-AU"/>
              </w:rPr>
              <w:drawing>
                <wp:anchor distT="0" distB="0" distL="114300" distR="114300" simplePos="0" relativeHeight="251683840" behindDoc="0" locked="0" layoutInCell="1" allowOverlap="1" wp14:anchorId="58E6B501" wp14:editId="25BAD296">
                  <wp:simplePos x="0" y="0"/>
                  <wp:positionH relativeFrom="column">
                    <wp:posOffset>0</wp:posOffset>
                  </wp:positionH>
                  <wp:positionV relativeFrom="paragraph">
                    <wp:posOffset>0</wp:posOffset>
                  </wp:positionV>
                  <wp:extent cx="1857375" cy="228600"/>
                  <wp:effectExtent l="0" t="0" r="9525" b="0"/>
                  <wp:wrapNone/>
                  <wp:docPr id="29" name="Picture 29"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5" w:type="dxa"/>
          </w:tcPr>
          <w:p w:rsidR="002B0885" w:rsidRPr="00C14AA8" w:rsidRDefault="002B0885" w:rsidP="00717FE7">
            <w:pPr>
              <w:pStyle w:val="TableHeading1"/>
            </w:pPr>
            <w:r w:rsidRPr="00C14AA8">
              <w:t>Current rating</w:t>
            </w:r>
          </w:p>
        </w:tc>
        <w:tc>
          <w:tcPr>
            <w:tcW w:w="1024" w:type="dxa"/>
          </w:tcPr>
          <w:p w:rsidR="002B0885" w:rsidRPr="00C14AA8" w:rsidRDefault="002B0885" w:rsidP="00717FE7">
            <w:pPr>
              <w:pStyle w:val="TableHeading1"/>
            </w:pPr>
            <w:r w:rsidRPr="00C14AA8">
              <w:t>Previous rating</w:t>
            </w:r>
          </w:p>
        </w:tc>
      </w:tr>
      <w:tr w:rsidR="002B0885" w:rsidRPr="001159CC" w:rsidTr="00A36C34">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5694" w:type="dxa"/>
            <w:tcBorders>
              <w:left w:val="nil"/>
              <w:right w:val="nil"/>
            </w:tcBorders>
          </w:tcPr>
          <w:p w:rsidR="002B0885" w:rsidRPr="00C14AA8" w:rsidRDefault="002B0885" w:rsidP="00717FE7">
            <w:pPr>
              <w:pStyle w:val="TableTextEntries"/>
              <w:rPr>
                <w:b w:val="0"/>
              </w:rPr>
            </w:pPr>
            <w:r w:rsidRPr="00C14AA8">
              <w:rPr>
                <w:b w:val="0"/>
              </w:rPr>
              <w:t>Objective 5: Households, especially the most vulnerable, increasingly practice behaviours that are conducive to better maternal and child health and nutrition, and use reproductive, maternal, newborn and child health services</w:t>
            </w:r>
          </w:p>
        </w:tc>
        <w:tc>
          <w:tcPr>
            <w:tcW w:w="975" w:type="dxa"/>
            <w:tcBorders>
              <w:left w:val="nil"/>
              <w:right w:val="nil"/>
            </w:tcBorders>
            <w:shd w:val="clear" w:color="auto" w:fill="F79646" w:themeFill="accent6"/>
            <w:noWrap/>
          </w:tcPr>
          <w:p w:rsidR="002B0885" w:rsidRPr="00C14AA8" w:rsidRDefault="00A36C34" w:rsidP="00717FE7">
            <w:pPr>
              <w:pStyle w:val="TableTextEntries"/>
              <w:rPr>
                <w:rFonts w:eastAsia="SimSun"/>
                <w:b w:val="0"/>
              </w:rPr>
            </w:pPr>
            <w:r>
              <w:rPr>
                <w:rFonts w:eastAsia="SimSun"/>
                <w:b w:val="0"/>
              </w:rPr>
              <w:t>Amber</w:t>
            </w:r>
          </w:p>
        </w:tc>
        <w:tc>
          <w:tcPr>
            <w:tcW w:w="1024" w:type="dxa"/>
            <w:tcBorders>
              <w:left w:val="nil"/>
              <w:right w:val="nil"/>
            </w:tcBorders>
            <w:shd w:val="clear" w:color="auto" w:fill="FF0000"/>
            <w:noWrap/>
          </w:tcPr>
          <w:p w:rsidR="002B0885" w:rsidRPr="00C14AA8" w:rsidRDefault="002B0885" w:rsidP="00717FE7">
            <w:pPr>
              <w:pStyle w:val="TableTextEntries"/>
              <w:rPr>
                <w:rFonts w:eastAsia="SimSun"/>
                <w:b w:val="0"/>
              </w:rPr>
            </w:pPr>
            <w:r w:rsidRPr="00C14AA8">
              <w:rPr>
                <w:rFonts w:eastAsia="SimSun"/>
                <w:b w:val="0"/>
              </w:rPr>
              <w:t>Red</w:t>
            </w:r>
          </w:p>
        </w:tc>
      </w:tr>
    </w:tbl>
    <w:p w:rsidR="0081154A" w:rsidRDefault="0081154A" w:rsidP="0081154A">
      <w:pPr>
        <w:rPr>
          <w:rFonts w:ascii="Helvetica" w:hAnsi="Helvetica" w:cs="Arial"/>
          <w:color w:val="0C7DAF"/>
          <w:kern w:val="28"/>
          <w:szCs w:val="28"/>
        </w:rPr>
      </w:pPr>
    </w:p>
    <w:p w:rsidR="002118DA" w:rsidRPr="00941EFF" w:rsidRDefault="002118DA" w:rsidP="002118DA">
      <w:pPr>
        <w:pStyle w:val="ListBullet"/>
        <w:numPr>
          <w:ilvl w:val="0"/>
          <w:numId w:val="0"/>
        </w:numPr>
        <w:tabs>
          <w:tab w:val="clear" w:pos="284"/>
        </w:tabs>
        <w:rPr>
          <w:i/>
        </w:rPr>
      </w:pPr>
      <w:r w:rsidRPr="00941EFF">
        <w:rPr>
          <w:i/>
        </w:rPr>
        <w:t xml:space="preserve">This objective was rated amber, which is an improvement on last year, but reflects mixed progress in Australia’s efforts to support the Timor-Leste health sector. Australia’s new health program </w:t>
      </w:r>
      <w:r w:rsidRPr="00941EFF">
        <w:rPr>
          <w:i/>
        </w:rPr>
        <w:lastRenderedPageBreak/>
        <w:t xml:space="preserve">commenced in </w:t>
      </w:r>
      <w:r w:rsidR="00BF3214">
        <w:rPr>
          <w:i/>
        </w:rPr>
        <w:t>February 2014</w:t>
      </w:r>
      <w:r w:rsidRPr="00941EFF">
        <w:rPr>
          <w:i/>
        </w:rPr>
        <w:t xml:space="preserve"> and is already showing early results. However, some existing health </w:t>
      </w:r>
      <w:r w:rsidR="006060A8" w:rsidRPr="00941EFF">
        <w:rPr>
          <w:i/>
        </w:rPr>
        <w:t>pro</w:t>
      </w:r>
      <w:r w:rsidR="006060A8">
        <w:rPr>
          <w:i/>
        </w:rPr>
        <w:t>jects</w:t>
      </w:r>
      <w:r w:rsidR="006060A8" w:rsidRPr="00941EFF">
        <w:rPr>
          <w:i/>
        </w:rPr>
        <w:t xml:space="preserve"> </w:t>
      </w:r>
      <w:r w:rsidRPr="00941EFF">
        <w:rPr>
          <w:i/>
        </w:rPr>
        <w:t xml:space="preserve">continued to underperform. </w:t>
      </w:r>
    </w:p>
    <w:p w:rsidR="002118DA" w:rsidRPr="00FE5435" w:rsidRDefault="00D847A4" w:rsidP="002118DA">
      <w:pPr>
        <w:pStyle w:val="ListBullet"/>
        <w:numPr>
          <w:ilvl w:val="0"/>
          <w:numId w:val="0"/>
        </w:numPr>
        <w:tabs>
          <w:tab w:val="clear" w:pos="284"/>
        </w:tabs>
      </w:pPr>
      <w:r>
        <w:t>G</w:t>
      </w:r>
      <w:r w:rsidR="00797951">
        <w:t>o</w:t>
      </w:r>
      <w:r>
        <w:t xml:space="preserve">TL’s </w:t>
      </w:r>
      <w:r w:rsidR="002118DA">
        <w:t xml:space="preserve">goal is that by 2030 the country will have a healthier </w:t>
      </w:r>
      <w:r w:rsidR="002118DA" w:rsidRPr="008B32AE">
        <w:t>population as a result of comprehensive, high quality health services accessible to all Timorese people</w:t>
      </w:r>
      <w:r w:rsidR="002118DA">
        <w:t>.</w:t>
      </w:r>
      <w:r w:rsidR="002118DA" w:rsidRPr="008B32AE">
        <w:t xml:space="preserve"> </w:t>
      </w:r>
      <w:r w:rsidR="002118DA" w:rsidRPr="00FE5435">
        <w:t xml:space="preserve">In 2013-14, the Timorese health sector made solid gains. The 2013 </w:t>
      </w:r>
      <w:r w:rsidR="002118DA">
        <w:t>Timor-Leste</w:t>
      </w:r>
      <w:r w:rsidR="002118DA" w:rsidRPr="00FE5435">
        <w:t xml:space="preserve"> </w:t>
      </w:r>
      <w:r w:rsidR="002118DA">
        <w:t xml:space="preserve">Food and </w:t>
      </w:r>
      <w:r w:rsidR="002118DA" w:rsidRPr="00FE5435">
        <w:t xml:space="preserve">Nutrition Survey revealed </w:t>
      </w:r>
      <w:r>
        <w:t xml:space="preserve">some </w:t>
      </w:r>
      <w:r w:rsidR="002118DA" w:rsidRPr="00FE5435">
        <w:t xml:space="preserve">improvements in the health and nutritional status of Timorese children under the age of five, but stunting rates, at 50 percent, remain alarmingly high. </w:t>
      </w:r>
      <w:r>
        <w:t>Four hundred</w:t>
      </w:r>
      <w:r w:rsidR="002118DA" w:rsidRPr="00FE5435">
        <w:t xml:space="preserve"> Cuban-trained junior doctors were deployed in health facilities over the last year. Significant challenges remain in key system areas</w:t>
      </w:r>
      <w:r w:rsidR="006060A8">
        <w:t>.</w:t>
      </w:r>
      <w:r w:rsidR="002118DA" w:rsidRPr="00FE5435">
        <w:t xml:space="preserve"> </w:t>
      </w:r>
      <w:r w:rsidR="006060A8">
        <w:t>Timor-Leste spends about USD 60 per capita on health</w:t>
      </w:r>
      <w:r w:rsidR="001B44EF">
        <w:t xml:space="preserve"> – more than most Asian states – but</w:t>
      </w:r>
      <w:r w:rsidR="002118DA" w:rsidRPr="00FE5435">
        <w:t xml:space="preserve"> the quality of public expenditure remains weak and essential drugs are frequently unavailable</w:t>
      </w:r>
      <w:r w:rsidR="001B44EF">
        <w:t>.</w:t>
      </w:r>
    </w:p>
    <w:p w:rsidR="002118DA" w:rsidRPr="00FE5435" w:rsidRDefault="002118DA" w:rsidP="002118DA">
      <w:pPr>
        <w:pStyle w:val="ListBullet"/>
        <w:numPr>
          <w:ilvl w:val="0"/>
          <w:numId w:val="0"/>
        </w:numPr>
        <w:tabs>
          <w:tab w:val="clear" w:pos="284"/>
        </w:tabs>
      </w:pPr>
      <w:r w:rsidRPr="00FE5435">
        <w:t>Australia remains the largest bilateral health donor</w:t>
      </w:r>
      <w:r w:rsidR="00941EFF">
        <w:t>,</w:t>
      </w:r>
      <w:r w:rsidRPr="00FE5435">
        <w:t xml:space="preserve"> providing $</w:t>
      </w:r>
      <w:r w:rsidR="006060A8">
        <w:t>6.7</w:t>
      </w:r>
      <w:r w:rsidR="007A6ADD">
        <w:t>6</w:t>
      </w:r>
      <w:r w:rsidR="006060A8" w:rsidRPr="00FE5435">
        <w:t xml:space="preserve"> </w:t>
      </w:r>
      <w:r w:rsidRPr="00FE5435">
        <w:t xml:space="preserve">million in 2013-14. Australia’s support to maternal and child health </w:t>
      </w:r>
      <w:r>
        <w:t xml:space="preserve">through </w:t>
      </w:r>
      <w:r w:rsidR="007A6ADD">
        <w:t>NGOs</w:t>
      </w:r>
      <w:r>
        <w:t xml:space="preserve"> </w:t>
      </w:r>
      <w:r w:rsidRPr="00FE5435">
        <w:t>enabled 45,511</w:t>
      </w:r>
      <w:r>
        <w:t xml:space="preserve"> people </w:t>
      </w:r>
      <w:r w:rsidRPr="00FE5435">
        <w:t xml:space="preserve">to access maternal health services, provided 2,795 antenatal care visits and trained 156 doctors and midwives. Through the National Health Sector Strategic Plan – Support Project we improved the coverage of health services, resulting in 623,825 people </w:t>
      </w:r>
      <w:r w:rsidRPr="00607904">
        <w:t>(</w:t>
      </w:r>
      <w:r>
        <w:t>64 per cent</w:t>
      </w:r>
      <w:r w:rsidRPr="00E2772B">
        <w:t xml:space="preserve"> </w:t>
      </w:r>
      <w:r w:rsidRPr="00607904">
        <w:t>women</w:t>
      </w:r>
      <w:r>
        <w:t xml:space="preserve">) </w:t>
      </w:r>
      <w:r w:rsidRPr="00FE5435">
        <w:t xml:space="preserve">receiving basic healthcare through rural mobile health clinics. </w:t>
      </w:r>
      <w:r w:rsidR="00DF529A">
        <w:t>In addition, the project helped</w:t>
      </w:r>
      <w:r>
        <w:t xml:space="preserve"> the Ministry of Health </w:t>
      </w:r>
      <w:r w:rsidR="00DF529A">
        <w:t>develop</w:t>
      </w:r>
      <w:r>
        <w:t xml:space="preserve"> a Health Sector Monitoring and Evaluation </w:t>
      </w:r>
      <w:r w:rsidR="00FC2D20">
        <w:t xml:space="preserve">(M&amp;E) </w:t>
      </w:r>
      <w:r w:rsidR="00620814">
        <w:t>Guidelines</w:t>
      </w:r>
      <w:r w:rsidR="00714858">
        <w:t>, intended to</w:t>
      </w:r>
      <w:r>
        <w:t xml:space="preserve"> assist </w:t>
      </w:r>
      <w:r w:rsidR="00714858">
        <w:t xml:space="preserve">the </w:t>
      </w:r>
      <w:r w:rsidR="0048459A">
        <w:t xml:space="preserve">Ministry </w:t>
      </w:r>
      <w:r w:rsidR="00FC2D20">
        <w:t xml:space="preserve">to </w:t>
      </w:r>
      <w:r w:rsidR="00714858">
        <w:t>monitor</w:t>
      </w:r>
      <w:r>
        <w:t xml:space="preserve"> sector performance in an integrated way. </w:t>
      </w:r>
      <w:r w:rsidRPr="00FE5435">
        <w:t>However, this project has made inadequate progress</w:t>
      </w:r>
      <w:r>
        <w:t xml:space="preserve"> due to weak implementation capacity in the Ministry of Health. The World Bank has repeatedly rated the project as unsatisfactory </w:t>
      </w:r>
      <w:r w:rsidRPr="00FE5435">
        <w:t>and</w:t>
      </w:r>
      <w:r>
        <w:t xml:space="preserve"> as a result</w:t>
      </w:r>
      <w:r w:rsidRPr="00FE5435">
        <w:t xml:space="preserve"> Australia w</w:t>
      </w:r>
      <w:r w:rsidR="00714858">
        <w:t>ill not disburse further funds.</w:t>
      </w:r>
    </w:p>
    <w:p w:rsidR="002118DA" w:rsidRPr="00FE5435" w:rsidRDefault="002118DA" w:rsidP="002118DA">
      <w:pPr>
        <w:pStyle w:val="ListBullet"/>
        <w:numPr>
          <w:ilvl w:val="0"/>
          <w:numId w:val="0"/>
        </w:numPr>
        <w:tabs>
          <w:tab w:val="clear" w:pos="284"/>
        </w:tabs>
      </w:pPr>
      <w:r w:rsidRPr="00FE5435">
        <w:t>Under the Australia-Timor-Leste Program for Secondary Services</w:t>
      </w:r>
      <w:r>
        <w:t>,</w:t>
      </w:r>
      <w:r w:rsidRPr="00FE5435">
        <w:t xml:space="preserve"> </w:t>
      </w:r>
      <w:r>
        <w:t>nine Timorese doct</w:t>
      </w:r>
      <w:r w:rsidR="00D847A4">
        <w:t>ors successfully completed post-</w:t>
      </w:r>
      <w:r>
        <w:t>graduate diplomas in surgery, anaesthesia and paediatrics. This enabled lifesaving operations to be performed on mothers and babies, as well as improved the teaching capaci</w:t>
      </w:r>
      <w:r w:rsidR="00FC2D20">
        <w:t>ty of the National Hospital. De</w:t>
      </w:r>
      <w:r>
        <w:t>s</w:t>
      </w:r>
      <w:r w:rsidR="00FC2D20">
        <w:t>p</w:t>
      </w:r>
      <w:r>
        <w:t xml:space="preserve">ite these achievements, in late 2013 the Minister for Health requested the program re-focus on equipping 200 new Cuban-trained doctors with basic secondary clinical skills. </w:t>
      </w:r>
    </w:p>
    <w:p w:rsidR="002118DA" w:rsidRDefault="002118DA" w:rsidP="002118DA">
      <w:pPr>
        <w:pStyle w:val="ListBullet"/>
        <w:numPr>
          <w:ilvl w:val="0"/>
          <w:numId w:val="0"/>
        </w:numPr>
        <w:tabs>
          <w:tab w:val="clear" w:pos="284"/>
        </w:tabs>
      </w:pPr>
      <w:r>
        <w:t>Australia’s</w:t>
      </w:r>
      <w:r w:rsidRPr="00FE5435">
        <w:t xml:space="preserve"> new health program</w:t>
      </w:r>
      <w:r w:rsidR="00D847A4">
        <w:t xml:space="preserve"> ($28</w:t>
      </w:r>
      <w:r w:rsidR="006060A8">
        <w:t>.8</w:t>
      </w:r>
      <w:r w:rsidR="00D847A4">
        <w:t xml:space="preserve"> million, 2014-</w:t>
      </w:r>
      <w:r>
        <w:t xml:space="preserve">18) commenced in November 2013 and represents a major change of approach to our health support to Timor-Leste. The new program </w:t>
      </w:r>
      <w:r w:rsidR="00620814">
        <w:t xml:space="preserve">is a partnership with the Ministry of Health to implement </w:t>
      </w:r>
      <w:r w:rsidR="0048459A">
        <w:t>their strategic plans</w:t>
      </w:r>
      <w:r w:rsidR="00057496">
        <w:t xml:space="preserve">, and will support </w:t>
      </w:r>
      <w:r w:rsidR="007A6ADD">
        <w:t>government</w:t>
      </w:r>
      <w:r w:rsidR="00057496">
        <w:t xml:space="preserve">-led </w:t>
      </w:r>
      <w:r w:rsidR="00620814">
        <w:t xml:space="preserve">reforms </w:t>
      </w:r>
      <w:r>
        <w:t xml:space="preserve">to improve </w:t>
      </w:r>
      <w:r w:rsidRPr="00FE5435">
        <w:t>the health of Timorese women and children in all 13 districts</w:t>
      </w:r>
      <w:r w:rsidR="00057496">
        <w:t xml:space="preserve">. </w:t>
      </w:r>
      <w:r w:rsidR="001B44EF">
        <w:t>DFAT</w:t>
      </w:r>
      <w:r w:rsidR="00F943B0" w:rsidRPr="00F943B0">
        <w:t xml:space="preserve"> will agree a menu of ‘packages’</w:t>
      </w:r>
      <w:r w:rsidR="001B44EF">
        <w:t xml:space="preserve"> with the Ministry</w:t>
      </w:r>
      <w:r w:rsidR="00F943B0" w:rsidRPr="00F943B0">
        <w:t>, which address key problems and constraints in the health system.</w:t>
      </w:r>
      <w:r w:rsidR="00F943B0">
        <w:t xml:space="preserve"> </w:t>
      </w:r>
      <w:r w:rsidRPr="00FE5435">
        <w:t xml:space="preserve">The first package of assistance is ensuring ambulances respond rapidly and safely transport pregnant women in emergencies. In the first two months, 14 ambulances were repaired, a GPS tracking system was installed in </w:t>
      </w:r>
      <w:r w:rsidR="00620814">
        <w:t>2</w:t>
      </w:r>
      <w:r w:rsidR="00620814" w:rsidRPr="00FE5435">
        <w:t xml:space="preserve">0 </w:t>
      </w:r>
      <w:r w:rsidRPr="00FE5435">
        <w:t xml:space="preserve">vehicles, and over 100 drivers and nurses were trained in basic disaster management and trauma care. </w:t>
      </w:r>
      <w:r>
        <w:t>This solid progress against the new health program’s objectives is a positive platform on which Australia can continue to support the Ministry of Health</w:t>
      </w:r>
      <w:r w:rsidR="00057496">
        <w:t xml:space="preserve"> </w:t>
      </w:r>
      <w:r>
        <w:t>to improve health outcomes for Timor-Leste.</w:t>
      </w:r>
    </w:p>
    <w:p w:rsidR="00AE3CA3" w:rsidRPr="00AE3CA3" w:rsidRDefault="00AE3CA3" w:rsidP="002118DA">
      <w:pPr>
        <w:pStyle w:val="ListBullet"/>
        <w:numPr>
          <w:ilvl w:val="0"/>
          <w:numId w:val="0"/>
        </w:numPr>
        <w:tabs>
          <w:tab w:val="clear" w:pos="284"/>
        </w:tabs>
        <w:rPr>
          <w:b/>
        </w:rPr>
      </w:pPr>
      <w:r w:rsidRPr="00AE3CA3">
        <w:rPr>
          <w:b/>
        </w:rPr>
        <w:t>Management response:</w:t>
      </w:r>
    </w:p>
    <w:p w:rsidR="00AE3CA3" w:rsidRPr="006A6476" w:rsidRDefault="00FC2D20" w:rsidP="00BF0796">
      <w:pPr>
        <w:pStyle w:val="ListParagraph"/>
        <w:numPr>
          <w:ilvl w:val="0"/>
          <w:numId w:val="25"/>
        </w:numPr>
        <w:spacing w:after="0"/>
        <w:contextualSpacing/>
        <w:rPr>
          <w:rFonts w:ascii="Franklin Gothic Book" w:hAnsi="Franklin Gothic Book"/>
          <w:sz w:val="21"/>
          <w:szCs w:val="21"/>
        </w:rPr>
      </w:pPr>
      <w:r>
        <w:rPr>
          <w:rFonts w:ascii="Franklin Gothic Book" w:hAnsi="Franklin Gothic Book"/>
          <w:sz w:val="21"/>
          <w:szCs w:val="21"/>
        </w:rPr>
        <w:t xml:space="preserve">DFAT and Ministry of Health </w:t>
      </w:r>
      <w:r w:rsidR="00AE3CA3" w:rsidRPr="006A6476">
        <w:rPr>
          <w:rFonts w:ascii="Franklin Gothic Book" w:hAnsi="Franklin Gothic Book"/>
          <w:sz w:val="21"/>
          <w:szCs w:val="21"/>
        </w:rPr>
        <w:t xml:space="preserve">will decide on priorities and monitor the </w:t>
      </w:r>
      <w:r w:rsidR="006060A8">
        <w:rPr>
          <w:rFonts w:ascii="Franklin Gothic Book" w:hAnsi="Franklin Gothic Book"/>
          <w:sz w:val="21"/>
          <w:szCs w:val="21"/>
        </w:rPr>
        <w:t xml:space="preserve">new health </w:t>
      </w:r>
      <w:r w:rsidR="00AE3CA3" w:rsidRPr="006A6476">
        <w:rPr>
          <w:rFonts w:ascii="Franklin Gothic Book" w:hAnsi="Franklin Gothic Book"/>
          <w:sz w:val="21"/>
          <w:szCs w:val="21"/>
        </w:rPr>
        <w:t>program at least every six months, through existing Ministry of Health governance arrangements (such as the Council of Directors).</w:t>
      </w:r>
    </w:p>
    <w:p w:rsidR="00AE3CA3" w:rsidRPr="006A6476" w:rsidRDefault="00A0256D" w:rsidP="00BF0796">
      <w:pPr>
        <w:pStyle w:val="ListParagraph"/>
        <w:numPr>
          <w:ilvl w:val="0"/>
          <w:numId w:val="25"/>
        </w:numPr>
        <w:spacing w:after="0"/>
        <w:contextualSpacing/>
        <w:rPr>
          <w:rFonts w:ascii="Franklin Gothic Book" w:hAnsi="Franklin Gothic Book"/>
          <w:sz w:val="21"/>
          <w:szCs w:val="21"/>
        </w:rPr>
      </w:pPr>
      <w:r>
        <w:rPr>
          <w:rFonts w:ascii="Franklin Gothic Book" w:hAnsi="Franklin Gothic Book"/>
          <w:sz w:val="21"/>
          <w:szCs w:val="21"/>
        </w:rPr>
        <w:t>DFAT</w:t>
      </w:r>
      <w:r w:rsidR="00AE3CA3" w:rsidRPr="006A6476">
        <w:rPr>
          <w:rFonts w:ascii="Franklin Gothic Book" w:hAnsi="Franklin Gothic Book"/>
          <w:sz w:val="21"/>
          <w:szCs w:val="21"/>
        </w:rPr>
        <w:t xml:space="preserve"> and Ministry of Health will work together in producing a human resources package of support, including addressing the </w:t>
      </w:r>
      <w:r w:rsidR="0048459A">
        <w:rPr>
          <w:rFonts w:ascii="Franklin Gothic Book" w:hAnsi="Franklin Gothic Book"/>
          <w:sz w:val="21"/>
          <w:szCs w:val="21"/>
        </w:rPr>
        <w:t xml:space="preserve">distribution and </w:t>
      </w:r>
      <w:r w:rsidR="00AE3CA3" w:rsidRPr="006A6476">
        <w:rPr>
          <w:rFonts w:ascii="Franklin Gothic Book" w:hAnsi="Franklin Gothic Book"/>
          <w:sz w:val="21"/>
          <w:szCs w:val="21"/>
        </w:rPr>
        <w:t xml:space="preserve">shortage of midwives and improving the quality of midwifery </w:t>
      </w:r>
      <w:r w:rsidR="0048459A">
        <w:rPr>
          <w:rFonts w:ascii="Franklin Gothic Book" w:hAnsi="Franklin Gothic Book"/>
          <w:sz w:val="21"/>
          <w:szCs w:val="21"/>
        </w:rPr>
        <w:t>competencies</w:t>
      </w:r>
      <w:r w:rsidR="006060A8">
        <w:rPr>
          <w:rFonts w:ascii="Franklin Gothic Book" w:hAnsi="Franklin Gothic Book"/>
          <w:sz w:val="21"/>
          <w:szCs w:val="21"/>
        </w:rPr>
        <w:t>, under the new health program</w:t>
      </w:r>
      <w:r w:rsidR="00AE3CA3" w:rsidRPr="006A6476">
        <w:rPr>
          <w:rFonts w:ascii="Franklin Gothic Book" w:hAnsi="Franklin Gothic Book"/>
          <w:sz w:val="21"/>
          <w:szCs w:val="21"/>
        </w:rPr>
        <w:t>.</w:t>
      </w:r>
    </w:p>
    <w:p w:rsidR="00D1508C" w:rsidRDefault="00D1508C">
      <w:pPr>
        <w:spacing w:after="200" w:line="276" w:lineRule="auto"/>
        <w:rPr>
          <w:rFonts w:ascii="Helvetica" w:eastAsia="Times New Roman" w:hAnsi="Helvetica" w:cs="Arial"/>
          <w:b/>
          <w:color w:val="124486"/>
          <w:kern w:val="28"/>
          <w:sz w:val="22"/>
          <w:szCs w:val="22"/>
          <w:lang w:eastAsia="zh-CN"/>
        </w:rPr>
      </w:pPr>
      <w:r>
        <w:br w:type="page"/>
      </w:r>
    </w:p>
    <w:p w:rsidR="008478A1" w:rsidRDefault="008478A1" w:rsidP="008478A1">
      <w:pPr>
        <w:pStyle w:val="Heading3"/>
      </w:pPr>
      <w:r w:rsidRPr="00C57923">
        <w:lastRenderedPageBreak/>
        <w:t xml:space="preserve">Objective </w:t>
      </w:r>
      <w:r>
        <w:t>6</w:t>
      </w:r>
    </w:p>
    <w:tbl>
      <w:tblPr>
        <w:tblStyle w:val="APPR"/>
        <w:tblW w:w="5000" w:type="pct"/>
        <w:tblLook w:val="0000" w:firstRow="0" w:lastRow="0" w:firstColumn="0" w:lastColumn="0" w:noHBand="0" w:noVBand="0"/>
      </w:tblPr>
      <w:tblGrid>
        <w:gridCol w:w="6842"/>
        <w:gridCol w:w="1192"/>
        <w:gridCol w:w="1265"/>
      </w:tblGrid>
      <w:tr w:rsidR="00A36C34" w:rsidRPr="00AA729B" w:rsidTr="00717FE7">
        <w:trPr>
          <w:cnfStyle w:val="000000010000" w:firstRow="0" w:lastRow="0" w:firstColumn="0" w:lastColumn="0" w:oddVBand="0" w:evenVBand="0" w:oddHBand="0" w:evenHBand="1" w:firstRowFirstColumn="0" w:firstRowLastColumn="0" w:lastRowFirstColumn="0" w:lastRowLastColumn="0"/>
        </w:trPr>
        <w:tc>
          <w:tcPr>
            <w:tcW w:w="5694" w:type="dxa"/>
          </w:tcPr>
          <w:p w:rsidR="00A36C34" w:rsidRPr="00991FE6" w:rsidRDefault="00A36C34" w:rsidP="00717FE7">
            <w:pPr>
              <w:pStyle w:val="TableHeading1"/>
            </w:pPr>
            <w:r w:rsidRPr="00991FE6">
              <w:rPr>
                <w:noProof/>
                <w:lang w:eastAsia="en-AU"/>
              </w:rPr>
              <w:drawing>
                <wp:anchor distT="0" distB="0" distL="114300" distR="114300" simplePos="0" relativeHeight="251685888" behindDoc="0" locked="0" layoutInCell="1" allowOverlap="1" wp14:anchorId="0B2D9B90" wp14:editId="6FB59955">
                  <wp:simplePos x="0" y="0"/>
                  <wp:positionH relativeFrom="column">
                    <wp:posOffset>0</wp:posOffset>
                  </wp:positionH>
                  <wp:positionV relativeFrom="paragraph">
                    <wp:posOffset>0</wp:posOffset>
                  </wp:positionV>
                  <wp:extent cx="1857375" cy="228600"/>
                  <wp:effectExtent l="0" t="0" r="9525" b="0"/>
                  <wp:wrapNone/>
                  <wp:docPr id="30" name="Picture 30"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75" w:type="dxa"/>
          </w:tcPr>
          <w:p w:rsidR="00A36C34" w:rsidRPr="00991FE6" w:rsidRDefault="00A36C34" w:rsidP="00717FE7">
            <w:pPr>
              <w:pStyle w:val="TableHeading1"/>
            </w:pPr>
            <w:r w:rsidRPr="00991FE6">
              <w:t xml:space="preserve">Current </w:t>
            </w:r>
            <w:r>
              <w:t>r</w:t>
            </w:r>
            <w:r w:rsidRPr="00991FE6">
              <w:t>ating</w:t>
            </w:r>
          </w:p>
        </w:tc>
        <w:tc>
          <w:tcPr>
            <w:tcW w:w="1024" w:type="dxa"/>
          </w:tcPr>
          <w:p w:rsidR="00A36C34" w:rsidRPr="00991FE6" w:rsidRDefault="00A36C34" w:rsidP="00717FE7">
            <w:pPr>
              <w:pStyle w:val="TableHeading1"/>
            </w:pPr>
            <w:r w:rsidRPr="00991FE6">
              <w:t xml:space="preserve">Previous </w:t>
            </w:r>
            <w:r>
              <w:t>r</w:t>
            </w:r>
            <w:r w:rsidRPr="00991FE6">
              <w:t>ating</w:t>
            </w:r>
          </w:p>
        </w:tc>
      </w:tr>
      <w:tr w:rsidR="00A36C34" w:rsidRPr="001159CC" w:rsidTr="00717FE7">
        <w:tblPrEx>
          <w:tblLook w:val="04A0" w:firstRow="1" w:lastRow="0" w:firstColumn="1" w:lastColumn="0" w:noHBand="0" w:noVBand="1"/>
        </w:tblPrEx>
        <w:trPr>
          <w:cnfStyle w:val="100000000000" w:firstRow="1" w:lastRow="0" w:firstColumn="0" w:lastColumn="0" w:oddVBand="0" w:evenVBand="0" w:oddHBand="0" w:evenHBand="0" w:firstRowFirstColumn="0" w:firstRowLastColumn="0" w:lastRowFirstColumn="0" w:lastRowLastColumn="0"/>
        </w:trPr>
        <w:tc>
          <w:tcPr>
            <w:tcW w:w="5694" w:type="dxa"/>
            <w:tcBorders>
              <w:left w:val="nil"/>
              <w:right w:val="nil"/>
            </w:tcBorders>
          </w:tcPr>
          <w:p w:rsidR="00A36C34" w:rsidRPr="00C14AA8" w:rsidRDefault="00A36C34" w:rsidP="00717FE7">
            <w:pPr>
              <w:pStyle w:val="TableTextEntries"/>
              <w:rPr>
                <w:b w:val="0"/>
              </w:rPr>
            </w:pPr>
            <w:r w:rsidRPr="00C14AA8">
              <w:rPr>
                <w:b w:val="0"/>
              </w:rPr>
              <w:t>Objective 6: Police service effective and accountable in supporting rule of law</w:t>
            </w:r>
          </w:p>
        </w:tc>
        <w:tc>
          <w:tcPr>
            <w:tcW w:w="975" w:type="dxa"/>
            <w:tcBorders>
              <w:left w:val="nil"/>
              <w:right w:val="nil"/>
            </w:tcBorders>
            <w:shd w:val="clear" w:color="auto" w:fill="92D050"/>
            <w:noWrap/>
          </w:tcPr>
          <w:p w:rsidR="00A36C34" w:rsidRPr="00C14AA8" w:rsidRDefault="00A36C34" w:rsidP="00717FE7">
            <w:pPr>
              <w:pStyle w:val="TableTextEntries"/>
              <w:rPr>
                <w:rFonts w:eastAsia="SimSun"/>
                <w:b w:val="0"/>
              </w:rPr>
            </w:pPr>
            <w:r w:rsidRPr="00C14AA8">
              <w:rPr>
                <w:rFonts w:eastAsia="SimSun"/>
                <w:b w:val="0"/>
              </w:rPr>
              <w:t>Green</w:t>
            </w:r>
          </w:p>
        </w:tc>
        <w:tc>
          <w:tcPr>
            <w:tcW w:w="1024" w:type="dxa"/>
            <w:tcBorders>
              <w:left w:val="nil"/>
              <w:right w:val="nil"/>
            </w:tcBorders>
            <w:shd w:val="clear" w:color="auto" w:fill="92D050"/>
            <w:noWrap/>
          </w:tcPr>
          <w:p w:rsidR="00A36C34" w:rsidRPr="00C14AA8" w:rsidRDefault="00A36C34" w:rsidP="00717FE7">
            <w:pPr>
              <w:pStyle w:val="TableTextEntries"/>
              <w:rPr>
                <w:rFonts w:eastAsia="SimSun"/>
                <w:b w:val="0"/>
              </w:rPr>
            </w:pPr>
            <w:r w:rsidRPr="00C14AA8">
              <w:rPr>
                <w:rFonts w:eastAsia="SimSun"/>
                <w:b w:val="0"/>
              </w:rPr>
              <w:t>Green</w:t>
            </w:r>
          </w:p>
        </w:tc>
      </w:tr>
    </w:tbl>
    <w:p w:rsidR="008478A1" w:rsidRDefault="008478A1" w:rsidP="008478A1">
      <w:pPr>
        <w:rPr>
          <w:i/>
          <w:sz w:val="22"/>
          <w:szCs w:val="22"/>
        </w:rPr>
      </w:pPr>
    </w:p>
    <w:p w:rsidR="009E7801" w:rsidRDefault="009E7801" w:rsidP="009E7801">
      <w:pPr>
        <w:pStyle w:val="ListBullet"/>
        <w:numPr>
          <w:ilvl w:val="0"/>
          <w:numId w:val="0"/>
        </w:numPr>
        <w:tabs>
          <w:tab w:val="clear" w:pos="284"/>
          <w:tab w:val="left" w:pos="720"/>
        </w:tabs>
      </w:pPr>
      <w:r>
        <w:rPr>
          <w:i/>
        </w:rPr>
        <w:t>The green rating reflects Policia Nacional de Timor-Leste (PNTL) progress in developing and using governance and operational systems and leadership and management skills with AFP assistance in 2013-14.  Sustaining an effective and professional PNTL remains challenging and the long-term nature of institutional development means ongoing support will be required.</w:t>
      </w:r>
    </w:p>
    <w:p w:rsidR="009E7801" w:rsidRDefault="009E7801" w:rsidP="009E7801">
      <w:pPr>
        <w:pStyle w:val="ListBullet"/>
        <w:numPr>
          <w:ilvl w:val="0"/>
          <w:numId w:val="0"/>
        </w:numPr>
        <w:tabs>
          <w:tab w:val="clear" w:pos="284"/>
          <w:tab w:val="left" w:pos="720"/>
        </w:tabs>
      </w:pPr>
      <w:r>
        <w:t>The Australian Federal Police (AFP) directly delivers Australia’s support against this objective through the Timor-Leste Police Development Program (TLPDP). TLPDP supports the development of the PNTL and assists the Office of the Secretary of State for Security and the Office of the Prosecutor-General (OPG). The current phase of TLPDP (2010-14) ended in June 2014 and will be followed by another four-year phase.  The new phase will have a strong workplace mentoring focus whereby the skills, systems and eq</w:t>
      </w:r>
      <w:r w:rsidR="00631D1D">
        <w:t>uipment developed in the 2010-</w:t>
      </w:r>
      <w:r>
        <w:t>14 program will be used to shape sustainable organisational change.</w:t>
      </w:r>
    </w:p>
    <w:p w:rsidR="009E7801" w:rsidRDefault="009E7801" w:rsidP="009E7801">
      <w:pPr>
        <w:pStyle w:val="ListBullet"/>
        <w:numPr>
          <w:ilvl w:val="0"/>
          <w:numId w:val="0"/>
        </w:numPr>
        <w:tabs>
          <w:tab w:val="clear" w:pos="284"/>
          <w:tab w:val="left" w:pos="720"/>
        </w:tabs>
      </w:pPr>
      <w:r>
        <w:t xml:space="preserve">In 2013-14, progress was made by GoTL, the PNTL and the AFP towards creating an effective and accountable police service.  TLPDP developed the leadership and management skills of senior PNTL officers through facilitating delivery of accredited Diploma level qualifications for Superintendents and Certificate III/IV level courses for Inspectors and Sergeants.  This training led directly to implementation of new management strategies within the PNTL which resulted in more efficient district operations. However, the application of learning lacks consistency across districts and will require ongoing mentoring. This skills development also resulted in the PNTL executive autonomously developing its </w:t>
      </w:r>
      <w:r w:rsidRPr="00916944">
        <w:rPr>
          <w:i/>
        </w:rPr>
        <w:t>Strategic Plan 2014-18</w:t>
      </w:r>
      <w:r>
        <w:t xml:space="preserve"> and </w:t>
      </w:r>
      <w:r w:rsidRPr="00916944">
        <w:rPr>
          <w:i/>
        </w:rPr>
        <w:t>2014 Business Plan</w:t>
      </w:r>
      <w:r>
        <w:t xml:space="preserve">, a significant organisational milestone. </w:t>
      </w:r>
    </w:p>
    <w:p w:rsidR="009E7801" w:rsidRDefault="009E7801" w:rsidP="009E7801">
      <w:pPr>
        <w:pStyle w:val="ListBullet"/>
        <w:numPr>
          <w:ilvl w:val="0"/>
          <w:numId w:val="0"/>
        </w:numPr>
        <w:tabs>
          <w:tab w:val="clear" w:pos="284"/>
          <w:tab w:val="left" w:pos="720"/>
        </w:tabs>
      </w:pPr>
      <w:r>
        <w:t xml:space="preserve">TLPDP further supported PNTL’s own systems, skills and facilities to manage training delivery in the reporting period. The PNTL’s Police Training Centre in Dili was refurbished and is now positioned for national accreditation. Accreditation will equip the PNTL to deliver courses in management and investigations and enable the maintenance of trainers’ accreditation. While improvements were demonstrated through training delivery throughout 2013-3014, ongoing mentoring for training delivery is still required. </w:t>
      </w:r>
    </w:p>
    <w:p w:rsidR="009E7801" w:rsidRDefault="009E7801" w:rsidP="009E7801">
      <w:pPr>
        <w:pStyle w:val="ListBullet"/>
        <w:numPr>
          <w:ilvl w:val="0"/>
          <w:numId w:val="0"/>
        </w:numPr>
        <w:tabs>
          <w:tab w:val="clear" w:pos="284"/>
          <w:tab w:val="left" w:pos="720"/>
        </w:tabs>
      </w:pPr>
      <w:r>
        <w:t xml:space="preserve">TLPDP also helped implement quality control procedures for investigations, which raised the quality of files progressed to the OPG, and expanded an information management system to manage files and statistics. It also worked with UNDP to improve the PNTL’s human resource management, procurement, strategic planning, public information, fleet management and information technology capabilities. Operationally, the TLPDP assisted community policing initiatives with the implementation of 24 hour PNTL mobile response patrols in Dili, and provided investigations training to 228 PNTL officers. TLPDP also supported gender initiatives, focusing on response to gender-based violence and community/institutional gender equality. The overall result has been a demonstrated increase in the PNTL’s ability to respond to and investigate crime.  The true success of these incremental improvements is challenging to measure and will be monitored through evaluation of improvements in community confidence in the PNTL as the program continues.  </w:t>
      </w:r>
    </w:p>
    <w:p w:rsidR="009E7801" w:rsidRDefault="009E7801" w:rsidP="009E7801">
      <w:pPr>
        <w:pStyle w:val="ListBullet"/>
        <w:numPr>
          <w:ilvl w:val="0"/>
          <w:numId w:val="0"/>
        </w:numPr>
        <w:tabs>
          <w:tab w:val="clear" w:pos="284"/>
          <w:tab w:val="left" w:pos="720"/>
        </w:tabs>
        <w:rPr>
          <w:b/>
        </w:rPr>
      </w:pPr>
      <w:r>
        <w:rPr>
          <w:b/>
        </w:rPr>
        <w:t>Management response:</w:t>
      </w:r>
    </w:p>
    <w:p w:rsidR="009E7801" w:rsidRPr="001B4EE2" w:rsidRDefault="009E7801" w:rsidP="001B4EE2">
      <w:pPr>
        <w:pStyle w:val="ListParagraph"/>
        <w:numPr>
          <w:ilvl w:val="0"/>
          <w:numId w:val="25"/>
        </w:numPr>
        <w:spacing w:after="0"/>
        <w:contextualSpacing/>
        <w:rPr>
          <w:rFonts w:ascii="Franklin Gothic Book" w:hAnsi="Franklin Gothic Book"/>
          <w:sz w:val="21"/>
          <w:szCs w:val="21"/>
        </w:rPr>
      </w:pPr>
      <w:r w:rsidRPr="001B4EE2">
        <w:rPr>
          <w:rFonts w:ascii="Franklin Gothic Book" w:hAnsi="Franklin Gothic Book"/>
          <w:sz w:val="21"/>
          <w:szCs w:val="21"/>
        </w:rPr>
        <w:t>The AFP will design and implement a new phase of TLPDP (commencing 1 June 2014) in consultation with PNTL. AFP will ensure that TLPDP (2014-2018) builds on achievements of the previous phase in governance, operational systems, leadership and management, operational support and gender and training support.</w:t>
      </w:r>
    </w:p>
    <w:p w:rsidR="009E7801" w:rsidRPr="001B4EE2" w:rsidRDefault="009E7801" w:rsidP="001B4EE2">
      <w:pPr>
        <w:pStyle w:val="ListParagraph"/>
        <w:numPr>
          <w:ilvl w:val="0"/>
          <w:numId w:val="25"/>
        </w:numPr>
        <w:spacing w:after="0"/>
        <w:contextualSpacing/>
        <w:rPr>
          <w:rFonts w:ascii="Franklin Gothic Book" w:hAnsi="Franklin Gothic Book"/>
          <w:sz w:val="21"/>
          <w:szCs w:val="21"/>
        </w:rPr>
      </w:pPr>
      <w:r w:rsidRPr="001B4EE2">
        <w:rPr>
          <w:rFonts w:ascii="Franklin Gothic Book" w:hAnsi="Franklin Gothic Book"/>
          <w:sz w:val="21"/>
          <w:szCs w:val="21"/>
        </w:rPr>
        <w:lastRenderedPageBreak/>
        <w:t xml:space="preserve">The AFP will ensure that TLPDP (2014-2018) progresses to a stronger mentoring focus, where skills delivered through training are applied, monitored and normalised in the workplace.  </w:t>
      </w:r>
    </w:p>
    <w:p w:rsidR="0045448C" w:rsidRPr="009E7801" w:rsidRDefault="0045448C" w:rsidP="009E7801">
      <w:pPr>
        <w:ind w:left="68" w:hanging="68"/>
        <w:contextualSpacing/>
        <w:rPr>
          <w:rFonts w:ascii="Franklin Gothic Book" w:hAnsi="Franklin Gothic Book"/>
          <w:sz w:val="21"/>
          <w:szCs w:val="21"/>
        </w:rPr>
      </w:pPr>
    </w:p>
    <w:p w:rsidR="000076FE" w:rsidRPr="00124281" w:rsidRDefault="000076FE" w:rsidP="000076FE">
      <w:pPr>
        <w:pStyle w:val="ListBullet"/>
        <w:numPr>
          <w:ilvl w:val="0"/>
          <w:numId w:val="0"/>
        </w:numPr>
        <w:tabs>
          <w:tab w:val="clear" w:pos="284"/>
        </w:tabs>
        <w:rPr>
          <w:b/>
        </w:rPr>
      </w:pPr>
      <w:r w:rsidRPr="00124281">
        <w:rPr>
          <w:b/>
        </w:rPr>
        <w:t>Ending Violence against Women</w:t>
      </w:r>
    </w:p>
    <w:p w:rsidR="000076FE" w:rsidRPr="00B10CF6" w:rsidRDefault="000076FE" w:rsidP="000076FE">
      <w:pPr>
        <w:pStyle w:val="ListBullet"/>
        <w:numPr>
          <w:ilvl w:val="0"/>
          <w:numId w:val="0"/>
        </w:numPr>
        <w:tabs>
          <w:tab w:val="clear" w:pos="284"/>
        </w:tabs>
        <w:rPr>
          <w:i/>
        </w:rPr>
      </w:pPr>
      <w:r w:rsidRPr="00B10CF6">
        <w:rPr>
          <w:i/>
        </w:rPr>
        <w:t xml:space="preserve">Complementing </w:t>
      </w:r>
      <w:r w:rsidR="00FC2D20">
        <w:rPr>
          <w:i/>
        </w:rPr>
        <w:t>the</w:t>
      </w:r>
      <w:r w:rsidRPr="00B10CF6">
        <w:rPr>
          <w:i/>
        </w:rPr>
        <w:t xml:space="preserve"> AFP work, DFAT broadened its support to ending v</w:t>
      </w:r>
      <w:r w:rsidR="00FC2D20">
        <w:rPr>
          <w:i/>
        </w:rPr>
        <w:t>iolence against women in 2013-</w:t>
      </w:r>
      <w:r w:rsidRPr="00B10CF6">
        <w:rPr>
          <w:i/>
        </w:rPr>
        <w:t>14 – continuing support to Timorese civil society organisations (CSOs) which provide services to women affected by violence and launching a major new program in April 2014. A green rating also applies to this support, which progressed as planned.</w:t>
      </w:r>
    </w:p>
    <w:p w:rsidR="000076FE" w:rsidRPr="00FE5435" w:rsidRDefault="000076FE" w:rsidP="000076FE">
      <w:pPr>
        <w:pStyle w:val="ListBullet"/>
        <w:numPr>
          <w:ilvl w:val="0"/>
          <w:numId w:val="0"/>
        </w:numPr>
        <w:tabs>
          <w:tab w:val="clear" w:pos="284"/>
        </w:tabs>
      </w:pPr>
      <w:r w:rsidRPr="00FE5435">
        <w:t xml:space="preserve">Violence against women in Timor-Leste is widespread; in 2009, </w:t>
      </w:r>
      <w:r w:rsidRPr="001A270B">
        <w:t>38 per</w:t>
      </w:r>
      <w:r w:rsidRPr="00FE5435">
        <w:t xml:space="preserve"> cent of women reported they had experienced physical violence in their lifetime, primarily by their husband or partner.</w:t>
      </w:r>
      <w:r w:rsidR="00FC2D20">
        <w:t xml:space="preserve"> </w:t>
      </w:r>
      <w:r w:rsidRPr="00FE5435">
        <w:t>This is likely to be under-reported.</w:t>
      </w:r>
      <w:r w:rsidR="00FC2D20">
        <w:t xml:space="preserve"> </w:t>
      </w:r>
      <w:r>
        <w:t>GoTL</w:t>
      </w:r>
      <w:r w:rsidRPr="00FE5435">
        <w:t xml:space="preserve"> has established a strong legislative and policy framework </w:t>
      </w:r>
      <w:r>
        <w:t xml:space="preserve">to address the issue </w:t>
      </w:r>
      <w:r w:rsidRPr="00FE5435">
        <w:t>but implementation</w:t>
      </w:r>
      <w:r>
        <w:t xml:space="preserve"> remains the challenge</w:t>
      </w:r>
      <w:r w:rsidRPr="00FE5435">
        <w:t xml:space="preserve">. Most specialised services </w:t>
      </w:r>
      <w:r>
        <w:t xml:space="preserve">(medical, social and legal services) </w:t>
      </w:r>
      <w:r w:rsidRPr="00FE5435">
        <w:t xml:space="preserve">for women affected by violence </w:t>
      </w:r>
      <w:r>
        <w:t>are</w:t>
      </w:r>
      <w:r w:rsidRPr="00FE5435">
        <w:t xml:space="preserve"> provided by </w:t>
      </w:r>
      <w:r>
        <w:t>CSOs</w:t>
      </w:r>
      <w:r w:rsidRPr="00FE5435">
        <w:t xml:space="preserve">, with </w:t>
      </w:r>
      <w:r>
        <w:t xml:space="preserve">limited GoTL </w:t>
      </w:r>
      <w:r w:rsidRPr="00FE5435">
        <w:t xml:space="preserve">funding. Australia is the lead donor in this area. </w:t>
      </w:r>
      <w:r w:rsidRPr="001A270B">
        <w:t xml:space="preserve">Between January 2013 and June 2014, DFAT-supported CSOs provided specialised services </w:t>
      </w:r>
      <w:r w:rsidRPr="000926E8">
        <w:t>to 1,986 women</w:t>
      </w:r>
      <w:r>
        <w:t xml:space="preserve"> and children affected by violence</w:t>
      </w:r>
      <w:r w:rsidRPr="001A270B">
        <w:t>, exceeding the target</w:t>
      </w:r>
      <w:r w:rsidR="00FB5B4E">
        <w:t xml:space="preserve"> (1,200 women for 2013)</w:t>
      </w:r>
      <w:r w:rsidRPr="001A270B">
        <w:t>.</w:t>
      </w:r>
      <w:r w:rsidRPr="00FE5435">
        <w:t xml:space="preserve"> </w:t>
      </w:r>
    </w:p>
    <w:p w:rsidR="00C72E6B" w:rsidRPr="004E3BCF" w:rsidRDefault="00C72E6B" w:rsidP="00BF3214">
      <w:pPr>
        <w:pStyle w:val="ListBullet"/>
        <w:numPr>
          <w:ilvl w:val="0"/>
          <w:numId w:val="0"/>
        </w:numPr>
        <w:tabs>
          <w:tab w:val="clear" w:pos="284"/>
        </w:tabs>
      </w:pPr>
      <w:r w:rsidRPr="004E3BCF">
        <w:t xml:space="preserve">In April 2014, following extensive consultation with </w:t>
      </w:r>
      <w:r w:rsidR="00BF3214">
        <w:t>GoTL</w:t>
      </w:r>
      <w:r w:rsidRPr="004E3BCF">
        <w:t xml:space="preserve">, The Asia Foundation </w:t>
      </w:r>
      <w:r w:rsidR="00631D1D">
        <w:t xml:space="preserve">(TAF) </w:t>
      </w:r>
      <w:r w:rsidR="008F2878">
        <w:t>began</w:t>
      </w:r>
      <w:r w:rsidRPr="004E3BCF">
        <w:t xml:space="preserve"> implement</w:t>
      </w:r>
      <w:r w:rsidR="008F2878">
        <w:t>ing</w:t>
      </w:r>
      <w:r w:rsidRPr="004E3BCF">
        <w:t xml:space="preserve"> a new DFAT-funded program </w:t>
      </w:r>
      <w:r w:rsidR="008F2878">
        <w:t>aimed at</w:t>
      </w:r>
      <w:r w:rsidRPr="004E3BCF">
        <w:t xml:space="preserve"> ending violence against women ($20 million, 2014-17). The program seeks to reduce the number of women who experience violence, and better meet the needs of survivors. It is organised around the three pillars of Timor-Leste’s National Action Plan on Gender-Based Violence: prevention, support services and access to justice. It </w:t>
      </w:r>
      <w:r w:rsidR="008F2878">
        <w:t>aims</w:t>
      </w:r>
      <w:r w:rsidRPr="004E3BCF">
        <w:t xml:space="preserve"> to improve capacity in key ministries, shift attitudes and behaviours which contribute to violence, improve support services and strengthen justice processes, including police support through TLPDP.</w:t>
      </w:r>
    </w:p>
    <w:p w:rsidR="0045448C" w:rsidRPr="0045448C" w:rsidRDefault="0045448C" w:rsidP="0045448C">
      <w:pPr>
        <w:contextualSpacing/>
        <w:rPr>
          <w:rFonts w:ascii="Franklin Gothic Book" w:hAnsi="Franklin Gothic Book"/>
          <w:b/>
          <w:sz w:val="21"/>
          <w:szCs w:val="21"/>
        </w:rPr>
      </w:pPr>
      <w:r w:rsidRPr="0045448C">
        <w:rPr>
          <w:rFonts w:ascii="Franklin Gothic Book" w:hAnsi="Franklin Gothic Book"/>
          <w:b/>
          <w:sz w:val="21"/>
          <w:szCs w:val="21"/>
        </w:rPr>
        <w:t>Management response:</w:t>
      </w:r>
    </w:p>
    <w:p w:rsidR="0045448C" w:rsidRDefault="0045448C" w:rsidP="00BF0796">
      <w:pPr>
        <w:pStyle w:val="ListParagraph"/>
        <w:numPr>
          <w:ilvl w:val="0"/>
          <w:numId w:val="25"/>
        </w:numPr>
        <w:spacing w:after="0"/>
        <w:contextualSpacing/>
        <w:rPr>
          <w:sz w:val="24"/>
        </w:rPr>
      </w:pPr>
      <w:r>
        <w:rPr>
          <w:rFonts w:ascii="Franklin Gothic Book" w:hAnsi="Franklin Gothic Book"/>
          <w:sz w:val="21"/>
          <w:szCs w:val="21"/>
        </w:rPr>
        <w:t xml:space="preserve">DFAT will build on and broaden existing strong relationships in </w:t>
      </w:r>
      <w:r w:rsidR="007A6ADD">
        <w:rPr>
          <w:rFonts w:ascii="Franklin Gothic Book" w:hAnsi="Franklin Gothic Book"/>
          <w:sz w:val="21"/>
          <w:szCs w:val="21"/>
        </w:rPr>
        <w:t>GoTL agencies</w:t>
      </w:r>
      <w:r>
        <w:rPr>
          <w:rFonts w:ascii="Franklin Gothic Book" w:hAnsi="Franklin Gothic Book"/>
          <w:sz w:val="21"/>
          <w:szCs w:val="21"/>
        </w:rPr>
        <w:t xml:space="preserve">, and work collaboratively through the iterative design process to build ownership. </w:t>
      </w:r>
    </w:p>
    <w:p w:rsidR="0045448C" w:rsidRPr="006635D1" w:rsidRDefault="0045448C" w:rsidP="00BF0796">
      <w:pPr>
        <w:pStyle w:val="ListParagraph"/>
        <w:numPr>
          <w:ilvl w:val="0"/>
          <w:numId w:val="25"/>
        </w:numPr>
        <w:spacing w:after="0"/>
        <w:contextualSpacing/>
      </w:pPr>
      <w:r>
        <w:rPr>
          <w:rFonts w:ascii="Franklin Gothic Book" w:hAnsi="Franklin Gothic Book"/>
          <w:sz w:val="21"/>
          <w:szCs w:val="21"/>
        </w:rPr>
        <w:t xml:space="preserve">DFAT </w:t>
      </w:r>
      <w:r w:rsidR="00152B0F">
        <w:rPr>
          <w:rFonts w:ascii="Franklin Gothic Book" w:hAnsi="Franklin Gothic Book"/>
          <w:sz w:val="21"/>
          <w:szCs w:val="21"/>
        </w:rPr>
        <w:t xml:space="preserve">and TAF will </w:t>
      </w:r>
      <w:r>
        <w:rPr>
          <w:rFonts w:ascii="Franklin Gothic Book" w:hAnsi="Franklin Gothic Book"/>
          <w:sz w:val="21"/>
          <w:szCs w:val="21"/>
        </w:rPr>
        <w:t xml:space="preserve">identify clear and measurable targets for intermediate outcomes and monitor systematically to enable demonstration of progress towards the goal of reducing the </w:t>
      </w:r>
      <w:r w:rsidRPr="006635D1">
        <w:rPr>
          <w:rFonts w:ascii="Franklin Gothic Book" w:hAnsi="Franklin Gothic Book"/>
          <w:sz w:val="21"/>
          <w:szCs w:val="21"/>
        </w:rPr>
        <w:t>incidence of violence.</w:t>
      </w:r>
    </w:p>
    <w:p w:rsidR="008478A1" w:rsidRDefault="008478A1" w:rsidP="008478A1">
      <w:pPr>
        <w:pStyle w:val="Heading3"/>
      </w:pPr>
      <w:r w:rsidRPr="00C57923">
        <w:t xml:space="preserve">Objective </w:t>
      </w:r>
      <w:r>
        <w:t>7</w:t>
      </w:r>
    </w:p>
    <w:tbl>
      <w:tblPr>
        <w:tblStyle w:val="APPR"/>
        <w:tblW w:w="5000" w:type="pct"/>
        <w:tblLook w:val="0000" w:firstRow="0" w:lastRow="0" w:firstColumn="0" w:lastColumn="0" w:noHBand="0" w:noVBand="0"/>
      </w:tblPr>
      <w:tblGrid>
        <w:gridCol w:w="6849"/>
        <w:gridCol w:w="1189"/>
        <w:gridCol w:w="1261"/>
      </w:tblGrid>
      <w:tr w:rsidR="00A36C34" w:rsidRPr="001159CC" w:rsidTr="002118DA">
        <w:trPr>
          <w:cnfStyle w:val="000000010000" w:firstRow="0" w:lastRow="0" w:firstColumn="0" w:lastColumn="0" w:oddVBand="0" w:evenVBand="0" w:oddHBand="0" w:evenHBand="1" w:firstRowFirstColumn="0" w:firstRowLastColumn="0" w:lastRowFirstColumn="0" w:lastRowLastColumn="0"/>
          <w:trHeight w:val="651"/>
        </w:trPr>
        <w:tc>
          <w:tcPr>
            <w:tcW w:w="6420" w:type="dxa"/>
          </w:tcPr>
          <w:p w:rsidR="00A36C34" w:rsidRPr="00C14AA8" w:rsidRDefault="00A36C34" w:rsidP="00717FE7">
            <w:pPr>
              <w:pStyle w:val="TableHeading1"/>
            </w:pPr>
            <w:r w:rsidRPr="00C14AA8">
              <w:rPr>
                <w:noProof/>
                <w:lang w:eastAsia="en-AU"/>
              </w:rPr>
              <w:drawing>
                <wp:anchor distT="0" distB="0" distL="114300" distR="114300" simplePos="0" relativeHeight="251687936" behindDoc="0" locked="0" layoutInCell="1" allowOverlap="1" wp14:anchorId="24C850A9" wp14:editId="33CB23C2">
                  <wp:simplePos x="0" y="0"/>
                  <wp:positionH relativeFrom="column">
                    <wp:posOffset>0</wp:posOffset>
                  </wp:positionH>
                  <wp:positionV relativeFrom="paragraph">
                    <wp:posOffset>0</wp:posOffset>
                  </wp:positionV>
                  <wp:extent cx="1857375" cy="228600"/>
                  <wp:effectExtent l="0" t="0" r="9525" b="0"/>
                  <wp:wrapNone/>
                  <wp:docPr id="31" name="Picture 31"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95" w:type="dxa"/>
          </w:tcPr>
          <w:p w:rsidR="00A36C34" w:rsidRPr="00C14AA8" w:rsidRDefault="00A36C34" w:rsidP="00717FE7">
            <w:pPr>
              <w:pStyle w:val="TableHeading1"/>
            </w:pPr>
            <w:r w:rsidRPr="00C14AA8">
              <w:t>Current rating</w:t>
            </w:r>
          </w:p>
        </w:tc>
        <w:tc>
          <w:tcPr>
            <w:tcW w:w="1150" w:type="dxa"/>
          </w:tcPr>
          <w:p w:rsidR="00A36C34" w:rsidRPr="00C14AA8" w:rsidRDefault="00A36C34" w:rsidP="00717FE7">
            <w:pPr>
              <w:pStyle w:val="TableHeading1"/>
            </w:pPr>
            <w:r w:rsidRPr="00C14AA8">
              <w:t>Previous rating</w:t>
            </w:r>
          </w:p>
        </w:tc>
      </w:tr>
      <w:tr w:rsidR="00A36C34" w:rsidRPr="001159CC" w:rsidTr="002118DA">
        <w:trPr>
          <w:cnfStyle w:val="000000010000" w:firstRow="0" w:lastRow="0" w:firstColumn="0" w:lastColumn="0" w:oddVBand="0" w:evenVBand="0" w:oddHBand="0" w:evenHBand="1" w:firstRowFirstColumn="0" w:firstRowLastColumn="0" w:lastRowFirstColumn="0" w:lastRowLastColumn="0"/>
        </w:trPr>
        <w:tc>
          <w:tcPr>
            <w:tcW w:w="6420" w:type="dxa"/>
          </w:tcPr>
          <w:p w:rsidR="00A36C34" w:rsidRPr="00C14AA8" w:rsidRDefault="00A36C34" w:rsidP="00717FE7">
            <w:pPr>
              <w:pStyle w:val="TableTextEntries"/>
              <w:rPr>
                <w:rFonts w:eastAsia="SimSun"/>
              </w:rPr>
            </w:pPr>
            <w:r w:rsidRPr="00C14AA8">
              <w:rPr>
                <w:rFonts w:eastAsia="SimSun"/>
              </w:rPr>
              <w:t xml:space="preserve">Objective 7: Poverty reduction in Timor-Leste through economic development and delivery of services </w:t>
            </w:r>
          </w:p>
        </w:tc>
        <w:tc>
          <w:tcPr>
            <w:tcW w:w="1095" w:type="dxa"/>
            <w:shd w:val="clear" w:color="auto" w:fill="9BBB59" w:themeFill="accent3"/>
            <w:noWrap/>
          </w:tcPr>
          <w:p w:rsidR="00A36C34" w:rsidRPr="00C14AA8" w:rsidRDefault="006712AC" w:rsidP="00717FE7">
            <w:pPr>
              <w:pStyle w:val="TableTextEntries"/>
              <w:rPr>
                <w:rFonts w:eastAsia="SimSun"/>
              </w:rPr>
            </w:pPr>
            <w:r>
              <w:rPr>
                <w:rFonts w:eastAsia="SimSun"/>
              </w:rPr>
              <w:t>Green</w:t>
            </w:r>
          </w:p>
        </w:tc>
        <w:tc>
          <w:tcPr>
            <w:tcW w:w="1150" w:type="dxa"/>
            <w:shd w:val="clear" w:color="auto" w:fill="9BBB59" w:themeFill="accent3"/>
            <w:noWrap/>
          </w:tcPr>
          <w:p w:rsidR="00A36C34" w:rsidRPr="00C14AA8" w:rsidRDefault="00A36C34" w:rsidP="00717FE7">
            <w:pPr>
              <w:pStyle w:val="TableTextEntries"/>
              <w:rPr>
                <w:rFonts w:eastAsia="SimSun"/>
              </w:rPr>
            </w:pPr>
            <w:r>
              <w:rPr>
                <w:rFonts w:eastAsia="SimSun"/>
              </w:rPr>
              <w:t>Green</w:t>
            </w:r>
          </w:p>
        </w:tc>
      </w:tr>
    </w:tbl>
    <w:p w:rsidR="00093D04" w:rsidRPr="002227F8" w:rsidRDefault="00093D04" w:rsidP="00093D04">
      <w:pPr>
        <w:spacing w:after="120" w:line="280" w:lineRule="exact"/>
        <w:rPr>
          <w:rFonts w:ascii="Franklin Gothic Book" w:hAnsi="Franklin Gothic Book"/>
          <w:i/>
          <w:sz w:val="21"/>
          <w:szCs w:val="21"/>
        </w:rPr>
      </w:pPr>
      <w:r w:rsidRPr="002227F8">
        <w:rPr>
          <w:rFonts w:ascii="Franklin Gothic Book" w:hAnsi="Franklin Gothic Book"/>
          <w:i/>
          <w:sz w:val="21"/>
          <w:szCs w:val="21"/>
        </w:rPr>
        <w:t>The Governance for Development (</w:t>
      </w:r>
      <w:r w:rsidR="00057496">
        <w:rPr>
          <w:rFonts w:ascii="Franklin Gothic Book" w:hAnsi="Franklin Gothic Book"/>
          <w:i/>
          <w:sz w:val="21"/>
          <w:szCs w:val="21"/>
        </w:rPr>
        <w:t>GfD</w:t>
      </w:r>
      <w:r w:rsidR="00D3480D">
        <w:rPr>
          <w:rFonts w:ascii="Franklin Gothic Book" w:hAnsi="Franklin Gothic Book"/>
          <w:i/>
          <w:sz w:val="21"/>
          <w:szCs w:val="21"/>
        </w:rPr>
        <w:t>) program was rated green</w:t>
      </w:r>
      <w:r w:rsidRPr="002227F8">
        <w:rPr>
          <w:rFonts w:ascii="Franklin Gothic Book" w:hAnsi="Franklin Gothic Book"/>
          <w:i/>
          <w:sz w:val="21"/>
          <w:szCs w:val="21"/>
        </w:rPr>
        <w:t xml:space="preserve">. </w:t>
      </w:r>
      <w:r w:rsidR="002227F8">
        <w:rPr>
          <w:rFonts w:ascii="Franklin Gothic Book" w:hAnsi="Franklin Gothic Book"/>
          <w:i/>
          <w:sz w:val="21"/>
          <w:szCs w:val="21"/>
        </w:rPr>
        <w:t>More p</w:t>
      </w:r>
      <w:r w:rsidRPr="002227F8">
        <w:rPr>
          <w:rFonts w:ascii="Franklin Gothic Book" w:hAnsi="Franklin Gothic Book"/>
          <w:i/>
          <w:sz w:val="21"/>
          <w:szCs w:val="21"/>
        </w:rPr>
        <w:t xml:space="preserve">ositive and open relationships were established with influential </w:t>
      </w:r>
      <w:r w:rsidR="007A6ADD">
        <w:rPr>
          <w:rFonts w:ascii="Franklin Gothic Book" w:hAnsi="Franklin Gothic Book"/>
          <w:i/>
          <w:sz w:val="21"/>
          <w:szCs w:val="21"/>
        </w:rPr>
        <w:t>GoTL</w:t>
      </w:r>
      <w:r w:rsidRPr="002227F8">
        <w:rPr>
          <w:rFonts w:ascii="Franklin Gothic Book" w:hAnsi="Franklin Gothic Book"/>
          <w:i/>
          <w:sz w:val="21"/>
          <w:szCs w:val="21"/>
        </w:rPr>
        <w:t xml:space="preserve"> counterparts and DFAT has continued analysis on the key constraints to service delivery and public policy reform. </w:t>
      </w:r>
    </w:p>
    <w:p w:rsidR="00093D04" w:rsidRPr="00093D04" w:rsidRDefault="00093D04" w:rsidP="00093D04">
      <w:pPr>
        <w:spacing w:after="120" w:line="280" w:lineRule="exact"/>
        <w:rPr>
          <w:rFonts w:ascii="Franklin Gothic Book" w:hAnsi="Franklin Gothic Book"/>
          <w:sz w:val="21"/>
          <w:szCs w:val="21"/>
        </w:rPr>
      </w:pPr>
      <w:r w:rsidRPr="00093D04">
        <w:rPr>
          <w:rFonts w:ascii="Franklin Gothic Book" w:hAnsi="Franklin Gothic Book"/>
          <w:sz w:val="21"/>
          <w:szCs w:val="21"/>
        </w:rPr>
        <w:t xml:space="preserve">In 2014 Australia commenced a new eight-year </w:t>
      </w:r>
      <w:r w:rsidR="00057496">
        <w:rPr>
          <w:rFonts w:ascii="Franklin Gothic Book" w:hAnsi="Franklin Gothic Book"/>
          <w:sz w:val="21"/>
          <w:szCs w:val="21"/>
        </w:rPr>
        <w:t>GfD</w:t>
      </w:r>
      <w:r w:rsidR="00D3480D">
        <w:rPr>
          <w:rFonts w:ascii="Franklin Gothic Book" w:hAnsi="Franklin Gothic Book"/>
          <w:sz w:val="21"/>
          <w:szCs w:val="21"/>
        </w:rPr>
        <w:t xml:space="preserve"> program ($62 million, 2014-</w:t>
      </w:r>
      <w:r w:rsidRPr="00093D04">
        <w:rPr>
          <w:rFonts w:ascii="Franklin Gothic Book" w:hAnsi="Franklin Gothic Book"/>
          <w:sz w:val="21"/>
          <w:szCs w:val="21"/>
        </w:rPr>
        <w:t>18) that assists central government institutions to deliver services that support sustainable economic growth. Timor</w:t>
      </w:r>
      <w:r w:rsidR="00D3480D">
        <w:rPr>
          <w:rFonts w:ascii="Franklin Gothic Book" w:hAnsi="Franklin Gothic Book"/>
          <w:sz w:val="21"/>
          <w:szCs w:val="21"/>
        </w:rPr>
        <w:t>-Leste</w:t>
      </w:r>
      <w:r w:rsidRPr="00093D04">
        <w:rPr>
          <w:rFonts w:ascii="Franklin Gothic Book" w:hAnsi="Franklin Gothic Book"/>
          <w:sz w:val="21"/>
          <w:szCs w:val="21"/>
        </w:rPr>
        <w:t>’s SDP sets out ambitious targets to develop the economy and improve service delivery</w:t>
      </w:r>
      <w:r w:rsidR="002227F8">
        <w:rPr>
          <w:rFonts w:ascii="Franklin Gothic Book" w:hAnsi="Franklin Gothic Book"/>
          <w:sz w:val="21"/>
          <w:szCs w:val="21"/>
        </w:rPr>
        <w:t>, but this require</w:t>
      </w:r>
      <w:r w:rsidR="009B61CB">
        <w:rPr>
          <w:rFonts w:ascii="Franklin Gothic Book" w:hAnsi="Franklin Gothic Book"/>
          <w:sz w:val="21"/>
          <w:szCs w:val="21"/>
        </w:rPr>
        <w:t>s</w:t>
      </w:r>
      <w:r w:rsidRPr="00093D04">
        <w:rPr>
          <w:rFonts w:ascii="Franklin Gothic Book" w:hAnsi="Franklin Gothic Book"/>
          <w:sz w:val="21"/>
          <w:szCs w:val="21"/>
        </w:rPr>
        <w:t xml:space="preserve"> a strong framework for making economic policy decisions, and translating those policies into sustainable public investments. To this end,</w:t>
      </w:r>
      <w:r w:rsidR="00FC2D20">
        <w:rPr>
          <w:rFonts w:ascii="Franklin Gothic Book" w:hAnsi="Franklin Gothic Book"/>
          <w:sz w:val="21"/>
          <w:szCs w:val="21"/>
        </w:rPr>
        <w:t xml:space="preserve"> </w:t>
      </w:r>
      <w:r w:rsidRPr="00093D04">
        <w:rPr>
          <w:rFonts w:ascii="Franklin Gothic Book" w:hAnsi="Franklin Gothic Book"/>
          <w:sz w:val="21"/>
          <w:szCs w:val="21"/>
        </w:rPr>
        <w:t xml:space="preserve">the program has two objectives: first to support </w:t>
      </w:r>
      <w:r w:rsidR="009B61CB">
        <w:rPr>
          <w:rFonts w:ascii="Franklin Gothic Book" w:hAnsi="Franklin Gothic Book"/>
          <w:sz w:val="21"/>
          <w:szCs w:val="21"/>
        </w:rPr>
        <w:t>GoTL</w:t>
      </w:r>
      <w:r w:rsidRPr="00093D04">
        <w:rPr>
          <w:rFonts w:ascii="Franklin Gothic Book" w:hAnsi="Franklin Gothic Book"/>
          <w:sz w:val="21"/>
          <w:szCs w:val="21"/>
        </w:rPr>
        <w:t xml:space="preserve"> to improve central agency p</w:t>
      </w:r>
      <w:r w:rsidR="00D3480D">
        <w:rPr>
          <w:rFonts w:ascii="Franklin Gothic Book" w:hAnsi="Franklin Gothic Book"/>
          <w:sz w:val="21"/>
          <w:szCs w:val="21"/>
        </w:rPr>
        <w:t>ublic financial managemen</w:t>
      </w:r>
      <w:r w:rsidR="00D3480D" w:rsidRPr="00D3480D">
        <w:rPr>
          <w:rFonts w:ascii="Franklin Gothic Book" w:hAnsi="Franklin Gothic Book"/>
          <w:sz w:val="21"/>
          <w:szCs w:val="21"/>
        </w:rPr>
        <w:t>t</w:t>
      </w:r>
      <w:r w:rsidRPr="00093D04">
        <w:rPr>
          <w:rFonts w:ascii="Franklin Gothic Book" w:hAnsi="Franklin Gothic Book"/>
          <w:sz w:val="21"/>
          <w:szCs w:val="21"/>
        </w:rPr>
        <w:t xml:space="preserve">, public administration and other systems that impact on service delivery; secondly, to </w:t>
      </w:r>
      <w:r w:rsidR="002227F8">
        <w:rPr>
          <w:rFonts w:ascii="Franklin Gothic Book" w:hAnsi="Franklin Gothic Book"/>
          <w:sz w:val="21"/>
          <w:szCs w:val="21"/>
        </w:rPr>
        <w:t>help</w:t>
      </w:r>
      <w:r w:rsidRPr="00093D04">
        <w:rPr>
          <w:rFonts w:ascii="Franklin Gothic Book" w:hAnsi="Franklin Gothic Book"/>
          <w:sz w:val="21"/>
          <w:szCs w:val="21"/>
        </w:rPr>
        <w:t xml:space="preserve"> the government improve economic and fiscal policy making so </w:t>
      </w:r>
      <w:r w:rsidR="002227F8">
        <w:rPr>
          <w:rFonts w:ascii="Franklin Gothic Book" w:hAnsi="Franklin Gothic Book"/>
          <w:sz w:val="21"/>
          <w:szCs w:val="21"/>
        </w:rPr>
        <w:t>it</w:t>
      </w:r>
      <w:r w:rsidRPr="00093D04">
        <w:rPr>
          <w:rFonts w:ascii="Franklin Gothic Book" w:hAnsi="Franklin Gothic Book"/>
          <w:sz w:val="21"/>
          <w:szCs w:val="21"/>
        </w:rPr>
        <w:t xml:space="preserve"> can lev</w:t>
      </w:r>
      <w:r w:rsidR="002227F8">
        <w:rPr>
          <w:rFonts w:ascii="Franklin Gothic Book" w:hAnsi="Franklin Gothic Book"/>
          <w:sz w:val="21"/>
          <w:szCs w:val="21"/>
        </w:rPr>
        <w:t>erage better outcomes from its</w:t>
      </w:r>
      <w:r w:rsidRPr="00093D04">
        <w:rPr>
          <w:rFonts w:ascii="Franklin Gothic Book" w:hAnsi="Franklin Gothic Book"/>
          <w:sz w:val="21"/>
          <w:szCs w:val="21"/>
        </w:rPr>
        <w:t xml:space="preserve"> </w:t>
      </w:r>
      <w:r w:rsidR="003D582D">
        <w:rPr>
          <w:rFonts w:ascii="Franklin Gothic Book" w:hAnsi="Franklin Gothic Book"/>
          <w:sz w:val="21"/>
          <w:szCs w:val="21"/>
        </w:rPr>
        <w:t>own s</w:t>
      </w:r>
      <w:r w:rsidRPr="00093D04">
        <w:rPr>
          <w:rFonts w:ascii="Franklin Gothic Book" w:hAnsi="Franklin Gothic Book"/>
          <w:sz w:val="21"/>
          <w:szCs w:val="21"/>
        </w:rPr>
        <w:t xml:space="preserve">pending. </w:t>
      </w:r>
      <w:r w:rsidR="00D3480D">
        <w:rPr>
          <w:rFonts w:ascii="Franklin Gothic Book" w:hAnsi="Franklin Gothic Book"/>
          <w:sz w:val="21"/>
          <w:szCs w:val="21"/>
        </w:rPr>
        <w:t>In 2013-</w:t>
      </w:r>
      <w:r w:rsidRPr="00093D04">
        <w:rPr>
          <w:rFonts w:ascii="Franklin Gothic Book" w:hAnsi="Franklin Gothic Book"/>
          <w:sz w:val="21"/>
          <w:szCs w:val="21"/>
        </w:rPr>
        <w:t xml:space="preserve">14, </w:t>
      </w:r>
      <w:r w:rsidR="00057496">
        <w:rPr>
          <w:rFonts w:ascii="Franklin Gothic Book" w:hAnsi="Franklin Gothic Book"/>
          <w:sz w:val="21"/>
          <w:szCs w:val="21"/>
        </w:rPr>
        <w:t>GfD</w:t>
      </w:r>
      <w:r w:rsidRPr="00093D04">
        <w:rPr>
          <w:rFonts w:ascii="Franklin Gothic Book" w:hAnsi="Franklin Gothic Book"/>
          <w:sz w:val="21"/>
          <w:szCs w:val="21"/>
        </w:rPr>
        <w:t xml:space="preserve"> transitioned effectively from an interim program to an eight-year program. </w:t>
      </w:r>
      <w:r w:rsidR="00C63DED" w:rsidRPr="004F3EA8">
        <w:rPr>
          <w:rFonts w:ascii="Franklin Gothic Book" w:hAnsi="Franklin Gothic Book"/>
          <w:sz w:val="21"/>
          <w:szCs w:val="21"/>
        </w:rPr>
        <w:t>P</w:t>
      </w:r>
      <w:r w:rsidRPr="004F3EA8">
        <w:rPr>
          <w:rFonts w:ascii="Franklin Gothic Book" w:hAnsi="Franklin Gothic Book"/>
          <w:sz w:val="21"/>
          <w:szCs w:val="21"/>
        </w:rPr>
        <w:t>riorities in some areas</w:t>
      </w:r>
      <w:r w:rsidR="00C63DED" w:rsidRPr="004F3EA8">
        <w:rPr>
          <w:rFonts w:ascii="Franklin Gothic Book" w:hAnsi="Franklin Gothic Book"/>
          <w:sz w:val="21"/>
          <w:szCs w:val="21"/>
        </w:rPr>
        <w:t xml:space="preserve"> of the program</w:t>
      </w:r>
      <w:r w:rsidRPr="004F3EA8">
        <w:rPr>
          <w:rFonts w:ascii="Franklin Gothic Book" w:hAnsi="Franklin Gothic Book"/>
          <w:sz w:val="21"/>
          <w:szCs w:val="21"/>
        </w:rPr>
        <w:t xml:space="preserve"> </w:t>
      </w:r>
      <w:r w:rsidRPr="004F3EA8">
        <w:rPr>
          <w:rFonts w:ascii="Franklin Gothic Book" w:hAnsi="Franklin Gothic Book"/>
          <w:sz w:val="21"/>
          <w:szCs w:val="21"/>
        </w:rPr>
        <w:lastRenderedPageBreak/>
        <w:t xml:space="preserve">shifted </w:t>
      </w:r>
      <w:r w:rsidR="007B6AB4" w:rsidRPr="004F3EA8">
        <w:rPr>
          <w:rFonts w:ascii="Franklin Gothic Book" w:hAnsi="Franklin Gothic Book"/>
          <w:sz w:val="21"/>
          <w:szCs w:val="21"/>
        </w:rPr>
        <w:t xml:space="preserve">over the reporting period </w:t>
      </w:r>
      <w:r w:rsidRPr="004F3EA8">
        <w:rPr>
          <w:rFonts w:ascii="Franklin Gothic Book" w:hAnsi="Franklin Gothic Book"/>
          <w:sz w:val="21"/>
          <w:szCs w:val="21"/>
        </w:rPr>
        <w:t xml:space="preserve">in response </w:t>
      </w:r>
      <w:r w:rsidR="00C63DED" w:rsidRPr="004F3EA8">
        <w:rPr>
          <w:rFonts w:ascii="Franklin Gothic Book" w:hAnsi="Franklin Gothic Book"/>
          <w:sz w:val="21"/>
          <w:szCs w:val="21"/>
        </w:rPr>
        <w:t xml:space="preserve">to new </w:t>
      </w:r>
      <w:r w:rsidR="009B61CB">
        <w:rPr>
          <w:rFonts w:ascii="Franklin Gothic Book" w:hAnsi="Franklin Gothic Book"/>
          <w:sz w:val="21"/>
          <w:szCs w:val="21"/>
        </w:rPr>
        <w:t xml:space="preserve">opportunities </w:t>
      </w:r>
      <w:r w:rsidRPr="004F3EA8">
        <w:rPr>
          <w:rFonts w:ascii="Franklin Gothic Book" w:hAnsi="Franklin Gothic Book"/>
          <w:sz w:val="21"/>
          <w:szCs w:val="21"/>
        </w:rPr>
        <w:t xml:space="preserve">that arose </w:t>
      </w:r>
      <w:r w:rsidR="007B6AB4" w:rsidRPr="004F3EA8">
        <w:rPr>
          <w:rFonts w:ascii="Franklin Gothic Book" w:hAnsi="Franklin Gothic Book"/>
          <w:sz w:val="21"/>
          <w:szCs w:val="21"/>
        </w:rPr>
        <w:t xml:space="preserve">through interactions </w:t>
      </w:r>
      <w:r w:rsidRPr="004F3EA8">
        <w:rPr>
          <w:rFonts w:ascii="Franklin Gothic Book" w:hAnsi="Franklin Gothic Book"/>
          <w:sz w:val="21"/>
          <w:szCs w:val="21"/>
        </w:rPr>
        <w:t xml:space="preserve">with </w:t>
      </w:r>
      <w:r w:rsidR="00057496">
        <w:rPr>
          <w:rFonts w:ascii="Franklin Gothic Book" w:hAnsi="Franklin Gothic Book"/>
          <w:sz w:val="21"/>
          <w:szCs w:val="21"/>
        </w:rPr>
        <w:t>GoTL</w:t>
      </w:r>
      <w:r w:rsidRPr="004F3EA8">
        <w:rPr>
          <w:rFonts w:ascii="Franklin Gothic Book" w:hAnsi="Franklin Gothic Book"/>
          <w:sz w:val="21"/>
          <w:szCs w:val="21"/>
        </w:rPr>
        <w:t>.</w:t>
      </w:r>
      <w:r w:rsidRPr="004F3EA8">
        <w:rPr>
          <w:rFonts w:ascii="Franklin Gothic Book" w:hAnsi="Franklin Gothic Book"/>
          <w:b/>
          <w:i/>
          <w:sz w:val="21"/>
          <w:szCs w:val="21"/>
        </w:rPr>
        <w:t xml:space="preserve"> </w:t>
      </w:r>
    </w:p>
    <w:p w:rsidR="00093D04" w:rsidRPr="00093D04" w:rsidRDefault="00025EA0" w:rsidP="00093D04">
      <w:pPr>
        <w:spacing w:after="120" w:line="280" w:lineRule="exact"/>
        <w:rPr>
          <w:rFonts w:ascii="Franklin Gothic Book" w:hAnsi="Franklin Gothic Book"/>
          <w:sz w:val="21"/>
          <w:szCs w:val="21"/>
        </w:rPr>
      </w:pPr>
      <w:r>
        <w:rPr>
          <w:rFonts w:ascii="Franklin Gothic Book" w:hAnsi="Franklin Gothic Book"/>
          <w:sz w:val="21"/>
          <w:szCs w:val="21"/>
        </w:rPr>
        <w:t xml:space="preserve">One key success in 2013-14 was the </w:t>
      </w:r>
      <w:r w:rsidR="001B4EE2">
        <w:rPr>
          <w:rFonts w:ascii="Franklin Gothic Book" w:hAnsi="Franklin Gothic Book"/>
          <w:sz w:val="21"/>
          <w:szCs w:val="21"/>
        </w:rPr>
        <w:t>MoF</w:t>
      </w:r>
      <w:r>
        <w:rPr>
          <w:rFonts w:ascii="Franklin Gothic Book" w:hAnsi="Franklin Gothic Book"/>
          <w:sz w:val="21"/>
          <w:szCs w:val="21"/>
        </w:rPr>
        <w:t xml:space="preserve"> moving to </w:t>
      </w:r>
      <w:r w:rsidR="00093D04" w:rsidRPr="00093D04">
        <w:rPr>
          <w:rFonts w:ascii="Franklin Gothic Book" w:hAnsi="Franklin Gothic Book"/>
          <w:sz w:val="21"/>
          <w:szCs w:val="21"/>
        </w:rPr>
        <w:t>a performance-based approach</w:t>
      </w:r>
      <w:r w:rsidR="000D5FD5">
        <w:rPr>
          <w:rFonts w:ascii="Franklin Gothic Book" w:hAnsi="Franklin Gothic Book"/>
          <w:sz w:val="21"/>
          <w:szCs w:val="21"/>
        </w:rPr>
        <w:t xml:space="preserve"> - a good example of Australia and Timor-Leste putting the </w:t>
      </w:r>
      <w:r w:rsidR="000D5FD5" w:rsidRPr="000D5FD5">
        <w:rPr>
          <w:rFonts w:ascii="Franklin Gothic Book" w:hAnsi="Franklin Gothic Book"/>
          <w:sz w:val="21"/>
          <w:szCs w:val="21"/>
        </w:rPr>
        <w:t>New Deal principles into practice</w:t>
      </w:r>
      <w:r w:rsidR="000D5FD5">
        <w:rPr>
          <w:rFonts w:ascii="Franklin Gothic Book" w:hAnsi="Franklin Gothic Book"/>
          <w:sz w:val="21"/>
          <w:szCs w:val="21"/>
        </w:rPr>
        <w:t>.</w:t>
      </w:r>
      <w:r>
        <w:rPr>
          <w:rFonts w:ascii="Franklin Gothic Book" w:hAnsi="Franklin Gothic Book"/>
          <w:sz w:val="21"/>
          <w:szCs w:val="21"/>
        </w:rPr>
        <w:t xml:space="preserve"> A</w:t>
      </w:r>
      <w:r w:rsidR="00093D04" w:rsidRPr="00093D04">
        <w:rPr>
          <w:rFonts w:ascii="Franklin Gothic Book" w:hAnsi="Franklin Gothic Book"/>
          <w:sz w:val="21"/>
          <w:szCs w:val="21"/>
        </w:rPr>
        <w:t xml:space="preserve"> Direct Budget Support agreement </w:t>
      </w:r>
      <w:r>
        <w:rPr>
          <w:rFonts w:ascii="Franklin Gothic Book" w:hAnsi="Franklin Gothic Book"/>
          <w:sz w:val="21"/>
          <w:szCs w:val="21"/>
        </w:rPr>
        <w:t xml:space="preserve">was reached </w:t>
      </w:r>
      <w:r w:rsidR="00093D04" w:rsidRPr="00093D04">
        <w:rPr>
          <w:rFonts w:ascii="Franklin Gothic Book" w:hAnsi="Franklin Gothic Book"/>
          <w:sz w:val="21"/>
          <w:szCs w:val="21"/>
        </w:rPr>
        <w:t xml:space="preserve">between DFAT and the </w:t>
      </w:r>
      <w:r w:rsidR="00057496">
        <w:rPr>
          <w:rFonts w:ascii="Franklin Gothic Book" w:hAnsi="Franklin Gothic Book"/>
          <w:sz w:val="21"/>
          <w:szCs w:val="21"/>
        </w:rPr>
        <w:t>M</w:t>
      </w:r>
      <w:r w:rsidR="00093D04" w:rsidRPr="00093D04">
        <w:rPr>
          <w:rFonts w:ascii="Franklin Gothic Book" w:hAnsi="Franklin Gothic Book"/>
          <w:sz w:val="21"/>
          <w:szCs w:val="21"/>
        </w:rPr>
        <w:t>inistry in June 2014</w:t>
      </w:r>
      <w:r w:rsidR="00057496">
        <w:rPr>
          <w:rFonts w:ascii="Franklin Gothic Book" w:hAnsi="Franklin Gothic Book"/>
          <w:sz w:val="21"/>
          <w:szCs w:val="21"/>
        </w:rPr>
        <w:t xml:space="preserve">, which </w:t>
      </w:r>
      <w:r w:rsidR="00093D04" w:rsidRPr="00093D04">
        <w:rPr>
          <w:rFonts w:ascii="Franklin Gothic Book" w:hAnsi="Franklin Gothic Book"/>
          <w:sz w:val="21"/>
          <w:szCs w:val="21"/>
        </w:rPr>
        <w:t xml:space="preserve">formalised DFAT’s support to the </w:t>
      </w:r>
      <w:r w:rsidR="00057496">
        <w:rPr>
          <w:rFonts w:ascii="Franklin Gothic Book" w:hAnsi="Franklin Gothic Book"/>
          <w:sz w:val="21"/>
          <w:szCs w:val="21"/>
        </w:rPr>
        <w:t>M</w:t>
      </w:r>
      <w:r w:rsidR="00093D04" w:rsidRPr="00093D04">
        <w:rPr>
          <w:rFonts w:ascii="Franklin Gothic Book" w:hAnsi="Franklin Gothic Book"/>
          <w:sz w:val="21"/>
          <w:szCs w:val="21"/>
        </w:rPr>
        <w:t xml:space="preserve">inistry to implement its strategic plan. </w:t>
      </w:r>
      <w:r w:rsidR="005B76EC">
        <w:rPr>
          <w:rFonts w:ascii="Franklin Gothic Book" w:hAnsi="Franklin Gothic Book"/>
          <w:sz w:val="21"/>
          <w:szCs w:val="21"/>
        </w:rPr>
        <w:t>T</w:t>
      </w:r>
      <w:r w:rsidR="00093D04" w:rsidRPr="00093D04">
        <w:rPr>
          <w:rFonts w:ascii="Franklin Gothic Book" w:hAnsi="Franklin Gothic Book"/>
          <w:sz w:val="21"/>
          <w:szCs w:val="21"/>
        </w:rPr>
        <w:t xml:space="preserve">o receive financial resources, the </w:t>
      </w:r>
      <w:r w:rsidR="00057496">
        <w:rPr>
          <w:rFonts w:ascii="Franklin Gothic Book" w:hAnsi="Franklin Gothic Book"/>
          <w:sz w:val="21"/>
          <w:szCs w:val="21"/>
        </w:rPr>
        <w:t>M</w:t>
      </w:r>
      <w:r w:rsidR="00093D04" w:rsidRPr="00093D04">
        <w:rPr>
          <w:rFonts w:ascii="Franklin Gothic Book" w:hAnsi="Franklin Gothic Book"/>
          <w:sz w:val="21"/>
          <w:szCs w:val="21"/>
        </w:rPr>
        <w:t xml:space="preserve">inistry will make annual commitments and each business unit’s performance will be independently assessed every six months. Some key outcomes achieved by the </w:t>
      </w:r>
      <w:r w:rsidR="00057496">
        <w:rPr>
          <w:rFonts w:ascii="Franklin Gothic Book" w:hAnsi="Franklin Gothic Book"/>
          <w:sz w:val="21"/>
          <w:szCs w:val="21"/>
        </w:rPr>
        <w:t>M</w:t>
      </w:r>
      <w:r w:rsidR="00093D04" w:rsidRPr="00093D04">
        <w:rPr>
          <w:rFonts w:ascii="Franklin Gothic Book" w:hAnsi="Franklin Gothic Book"/>
          <w:sz w:val="21"/>
          <w:szCs w:val="21"/>
        </w:rPr>
        <w:t>inistry using this mechanism include: drafting of comprehensive financial instructions and a single procurement law; the establishment of a policy-focused economic analysis unit that has successfully advocated on fiscal sustainability; improvements in the payments process to curtail opportunities for corruption; and the establishment of a Public Financial Management training centre for improve</w:t>
      </w:r>
      <w:r>
        <w:rPr>
          <w:rFonts w:ascii="Franklin Gothic Book" w:hAnsi="Franklin Gothic Book"/>
          <w:sz w:val="21"/>
          <w:szCs w:val="21"/>
        </w:rPr>
        <w:t>d</w:t>
      </w:r>
      <w:r w:rsidR="00093D04" w:rsidRPr="00093D04">
        <w:rPr>
          <w:rFonts w:ascii="Franklin Gothic Book" w:hAnsi="Franklin Gothic Book"/>
          <w:sz w:val="21"/>
          <w:szCs w:val="21"/>
        </w:rPr>
        <w:t xml:space="preserve"> budget execution across government. </w:t>
      </w:r>
    </w:p>
    <w:p w:rsidR="00D3480D" w:rsidRPr="00093D04" w:rsidRDefault="00D3480D" w:rsidP="00D3480D">
      <w:pPr>
        <w:spacing w:after="120" w:line="280" w:lineRule="exact"/>
        <w:rPr>
          <w:rFonts w:ascii="Franklin Gothic Book" w:hAnsi="Franklin Gothic Book"/>
          <w:sz w:val="21"/>
          <w:szCs w:val="21"/>
        </w:rPr>
      </w:pPr>
      <w:r w:rsidRPr="00093D04">
        <w:rPr>
          <w:rFonts w:ascii="Franklin Gothic Book" w:hAnsi="Franklin Gothic Book"/>
          <w:sz w:val="21"/>
          <w:szCs w:val="21"/>
        </w:rPr>
        <w:t xml:space="preserve">In 2013-14, DFAT supported the Civil Service Commission </w:t>
      </w:r>
      <w:r w:rsidR="00C52FCA">
        <w:rPr>
          <w:rFonts w:ascii="Franklin Gothic Book" w:hAnsi="Franklin Gothic Book"/>
          <w:sz w:val="21"/>
          <w:szCs w:val="21"/>
        </w:rPr>
        <w:t>(CSC) to develop and rollout a human resource m</w:t>
      </w:r>
      <w:r w:rsidRPr="00093D04">
        <w:rPr>
          <w:rFonts w:ascii="Franklin Gothic Book" w:hAnsi="Franklin Gothic Book"/>
          <w:sz w:val="21"/>
          <w:szCs w:val="21"/>
        </w:rPr>
        <w:t>anual for all Timorese public servants</w:t>
      </w:r>
      <w:r w:rsidR="00EA6AFF">
        <w:rPr>
          <w:rFonts w:ascii="Franklin Gothic Book" w:hAnsi="Franklin Gothic Book"/>
          <w:sz w:val="21"/>
          <w:szCs w:val="21"/>
        </w:rPr>
        <w:t>, which promotes gender sensitive recruitment practices</w:t>
      </w:r>
      <w:r w:rsidRPr="00093D04">
        <w:rPr>
          <w:rFonts w:ascii="Franklin Gothic Book" w:hAnsi="Franklin Gothic Book"/>
          <w:sz w:val="21"/>
          <w:szCs w:val="21"/>
        </w:rPr>
        <w:t>.</w:t>
      </w:r>
      <w:r>
        <w:rPr>
          <w:rFonts w:ascii="Franklin Gothic Book" w:hAnsi="Franklin Gothic Book"/>
          <w:sz w:val="21"/>
          <w:szCs w:val="21"/>
        </w:rPr>
        <w:t xml:space="preserve"> </w:t>
      </w:r>
      <w:r w:rsidRPr="00093D04">
        <w:rPr>
          <w:rFonts w:ascii="Franklin Gothic Book" w:hAnsi="Franklin Gothic Book"/>
          <w:sz w:val="21"/>
          <w:szCs w:val="21"/>
        </w:rPr>
        <w:t>With Australia’s support</w:t>
      </w:r>
      <w:r>
        <w:rPr>
          <w:rFonts w:ascii="Franklin Gothic Book" w:hAnsi="Franklin Gothic Book"/>
          <w:sz w:val="21"/>
          <w:szCs w:val="21"/>
        </w:rPr>
        <w:t>,</w:t>
      </w:r>
      <w:r w:rsidRPr="00093D04">
        <w:rPr>
          <w:rFonts w:ascii="Franklin Gothic Book" w:hAnsi="Franklin Gothic Book"/>
          <w:sz w:val="21"/>
          <w:szCs w:val="21"/>
        </w:rPr>
        <w:t xml:space="preserve"> the CSC has established a working group </w:t>
      </w:r>
      <w:r w:rsidR="00057496">
        <w:rPr>
          <w:rFonts w:ascii="Franklin Gothic Book" w:hAnsi="Franklin Gothic Book"/>
          <w:sz w:val="21"/>
          <w:szCs w:val="21"/>
        </w:rPr>
        <w:t>across</w:t>
      </w:r>
      <w:r w:rsidRPr="00093D04">
        <w:rPr>
          <w:rFonts w:ascii="Franklin Gothic Book" w:hAnsi="Franklin Gothic Book"/>
          <w:sz w:val="21"/>
          <w:szCs w:val="21"/>
        </w:rPr>
        <w:t xml:space="preserve"> government agencies to professionalise the civil service in accordance with the manual. </w:t>
      </w:r>
    </w:p>
    <w:p w:rsidR="00093D04" w:rsidRPr="00093D04" w:rsidRDefault="00093D04" w:rsidP="00093D04">
      <w:pPr>
        <w:spacing w:after="120" w:line="280" w:lineRule="exact"/>
        <w:rPr>
          <w:rFonts w:ascii="Franklin Gothic Book" w:hAnsi="Franklin Gothic Book"/>
          <w:sz w:val="21"/>
          <w:szCs w:val="21"/>
        </w:rPr>
      </w:pPr>
      <w:r w:rsidRPr="00093D04">
        <w:rPr>
          <w:rFonts w:ascii="Franklin Gothic Book" w:hAnsi="Franklin Gothic Book"/>
          <w:sz w:val="21"/>
          <w:szCs w:val="21"/>
        </w:rPr>
        <w:t xml:space="preserve">To enable the development of </w:t>
      </w:r>
      <w:r w:rsidR="00025EA0">
        <w:rPr>
          <w:rFonts w:ascii="Franklin Gothic Book" w:hAnsi="Franklin Gothic Book"/>
          <w:sz w:val="21"/>
          <w:szCs w:val="21"/>
        </w:rPr>
        <w:t xml:space="preserve">the </w:t>
      </w:r>
      <w:r w:rsidRPr="00093D04">
        <w:rPr>
          <w:rFonts w:ascii="Franklin Gothic Book" w:hAnsi="Franklin Gothic Book"/>
          <w:sz w:val="21"/>
          <w:szCs w:val="21"/>
        </w:rPr>
        <w:t xml:space="preserve">private sector, </w:t>
      </w:r>
      <w:r w:rsidR="00057496">
        <w:rPr>
          <w:rFonts w:ascii="Franklin Gothic Book" w:hAnsi="Franklin Gothic Book"/>
          <w:sz w:val="21"/>
          <w:szCs w:val="21"/>
        </w:rPr>
        <w:t>GfD</w:t>
      </w:r>
      <w:r w:rsidRPr="00093D04">
        <w:rPr>
          <w:rFonts w:ascii="Franklin Gothic Book" w:hAnsi="Franklin Gothic Book"/>
          <w:sz w:val="21"/>
          <w:szCs w:val="21"/>
        </w:rPr>
        <w:t xml:space="preserve"> provided advisory support to establish an independent telecommunications regulator</w:t>
      </w:r>
      <w:r w:rsidR="00025EA0">
        <w:rPr>
          <w:rFonts w:ascii="Franklin Gothic Book" w:hAnsi="Franklin Gothic Book"/>
          <w:sz w:val="21"/>
          <w:szCs w:val="21"/>
        </w:rPr>
        <w:t>, which will</w:t>
      </w:r>
      <w:r w:rsidRPr="00093D04">
        <w:rPr>
          <w:rFonts w:ascii="Franklin Gothic Book" w:hAnsi="Franklin Gothic Book"/>
          <w:sz w:val="21"/>
          <w:szCs w:val="21"/>
        </w:rPr>
        <w:t xml:space="preserve"> facilitate ongoing reductions in call costs and improvements in service quality. DFAT supported </w:t>
      </w:r>
      <w:r w:rsidR="00D3480D">
        <w:rPr>
          <w:rFonts w:ascii="Franklin Gothic Book" w:hAnsi="Franklin Gothic Book"/>
          <w:sz w:val="21"/>
          <w:szCs w:val="21"/>
        </w:rPr>
        <w:t xml:space="preserve">the </w:t>
      </w:r>
      <w:r w:rsidR="005B76EC">
        <w:rPr>
          <w:rFonts w:ascii="Franklin Gothic Book" w:hAnsi="Franklin Gothic Book"/>
          <w:sz w:val="21"/>
          <w:szCs w:val="21"/>
        </w:rPr>
        <w:t>establishment of a</w:t>
      </w:r>
      <w:r w:rsidRPr="00093D04">
        <w:rPr>
          <w:rFonts w:ascii="Franklin Gothic Book" w:hAnsi="Franklin Gothic Book"/>
          <w:sz w:val="21"/>
          <w:szCs w:val="21"/>
        </w:rPr>
        <w:t xml:space="preserve"> new business registration office, which</w:t>
      </w:r>
      <w:r w:rsidR="005B76EC">
        <w:rPr>
          <w:rFonts w:ascii="Franklin Gothic Book" w:hAnsi="Franklin Gothic Book"/>
          <w:sz w:val="21"/>
          <w:szCs w:val="21"/>
        </w:rPr>
        <w:t xml:space="preserve"> has reduced</w:t>
      </w:r>
      <w:r w:rsidRPr="00093D04">
        <w:rPr>
          <w:rFonts w:ascii="Franklin Gothic Book" w:hAnsi="Franklin Gothic Book"/>
          <w:sz w:val="21"/>
          <w:szCs w:val="21"/>
        </w:rPr>
        <w:t xml:space="preserve"> time taken to register a business from three months to five days. Through DFAT’s partnership with the Australian Bureau of Statistics, the Timorese statistics agency produced quality economic and social data of critical relevance to good policy and planning. The Australian-funded Market Development Facility </w:t>
      </w:r>
      <w:r w:rsidR="005B76EC">
        <w:rPr>
          <w:rFonts w:ascii="Franklin Gothic Book" w:hAnsi="Franklin Gothic Book"/>
          <w:sz w:val="21"/>
          <w:szCs w:val="21"/>
        </w:rPr>
        <w:t xml:space="preserve">(MDF) </w:t>
      </w:r>
      <w:r w:rsidRPr="00093D04">
        <w:rPr>
          <w:rFonts w:ascii="Franklin Gothic Book" w:hAnsi="Franklin Gothic Book"/>
          <w:sz w:val="21"/>
          <w:szCs w:val="21"/>
        </w:rPr>
        <w:t>analysed market opportunities for local businesses and established private sector partnerships in two priority sectors: Agribusiness, Processing and Rural Distribution (four partnerships</w:t>
      </w:r>
      <w:r w:rsidR="00335FCF">
        <w:rPr>
          <w:rFonts w:ascii="Franklin Gothic Book" w:hAnsi="Franklin Gothic Book"/>
          <w:sz w:val="21"/>
          <w:szCs w:val="21"/>
        </w:rPr>
        <w:t xml:space="preserve"> with business</w:t>
      </w:r>
      <w:r w:rsidRPr="00093D04">
        <w:rPr>
          <w:rFonts w:ascii="Franklin Gothic Book" w:hAnsi="Franklin Gothic Book"/>
          <w:sz w:val="21"/>
          <w:szCs w:val="21"/>
        </w:rPr>
        <w:t>) and the “Greenfields” Sector (two partnerships).</w:t>
      </w:r>
      <w:r w:rsidR="00FC2D20">
        <w:rPr>
          <w:rFonts w:ascii="Franklin Gothic Book" w:hAnsi="Franklin Gothic Book"/>
          <w:sz w:val="21"/>
          <w:szCs w:val="21"/>
        </w:rPr>
        <w:t xml:space="preserve"> </w:t>
      </w:r>
      <w:r w:rsidR="00335FCF">
        <w:rPr>
          <w:rFonts w:ascii="Franklin Gothic Book" w:hAnsi="Franklin Gothic Book"/>
          <w:sz w:val="21"/>
          <w:szCs w:val="21"/>
        </w:rPr>
        <w:t xml:space="preserve">MDF commenced a </w:t>
      </w:r>
      <w:r w:rsidR="00335FCF" w:rsidRPr="00D412B9">
        <w:rPr>
          <w:rFonts w:ascii="Franklin Gothic Book" w:hAnsi="Franklin Gothic Book"/>
          <w:sz w:val="21"/>
          <w:szCs w:val="21"/>
        </w:rPr>
        <w:t>Poverty and Gender Study</w:t>
      </w:r>
      <w:r w:rsidR="00335FCF">
        <w:rPr>
          <w:rFonts w:ascii="Franklin Gothic Book" w:hAnsi="Franklin Gothic Book"/>
          <w:sz w:val="21"/>
          <w:szCs w:val="21"/>
        </w:rPr>
        <w:t xml:space="preserve"> in 2014 — initial findings reveal that much of the financial decision-</w:t>
      </w:r>
      <w:r w:rsidR="00335FCF" w:rsidRPr="00D412B9">
        <w:rPr>
          <w:rFonts w:ascii="Franklin Gothic Book" w:hAnsi="Franklin Gothic Book"/>
          <w:sz w:val="21"/>
          <w:szCs w:val="21"/>
        </w:rPr>
        <w:t xml:space="preserve">making is jointly made between </w:t>
      </w:r>
      <w:r w:rsidR="001F46FA">
        <w:rPr>
          <w:rFonts w:ascii="Franklin Gothic Book" w:hAnsi="Franklin Gothic Book"/>
          <w:sz w:val="21"/>
          <w:szCs w:val="21"/>
        </w:rPr>
        <w:t>men and women</w:t>
      </w:r>
      <w:r w:rsidR="00335FCF" w:rsidRPr="00D412B9">
        <w:rPr>
          <w:rFonts w:ascii="Franklin Gothic Book" w:hAnsi="Franklin Gothic Book"/>
          <w:sz w:val="21"/>
          <w:szCs w:val="21"/>
        </w:rPr>
        <w:t>.</w:t>
      </w:r>
      <w:r w:rsidR="00335FCF">
        <w:rPr>
          <w:rFonts w:ascii="Franklin Gothic Book" w:hAnsi="Franklin Gothic Book"/>
          <w:sz w:val="21"/>
          <w:szCs w:val="21"/>
        </w:rPr>
        <w:t xml:space="preserve"> </w:t>
      </w:r>
    </w:p>
    <w:p w:rsidR="00093D04" w:rsidRDefault="00057496" w:rsidP="00093D04">
      <w:pPr>
        <w:spacing w:after="120" w:line="280" w:lineRule="exact"/>
        <w:rPr>
          <w:rFonts w:ascii="Franklin Gothic Book" w:hAnsi="Franklin Gothic Book"/>
          <w:sz w:val="21"/>
          <w:szCs w:val="21"/>
        </w:rPr>
      </w:pPr>
      <w:r>
        <w:rPr>
          <w:rFonts w:ascii="Franklin Gothic Book" w:hAnsi="Franklin Gothic Book"/>
          <w:sz w:val="21"/>
          <w:szCs w:val="21"/>
        </w:rPr>
        <w:t>GfD</w:t>
      </w:r>
      <w:r w:rsidR="00093D04" w:rsidRPr="00093D04">
        <w:rPr>
          <w:rFonts w:ascii="Franklin Gothic Book" w:hAnsi="Franklin Gothic Book"/>
          <w:sz w:val="21"/>
          <w:szCs w:val="21"/>
        </w:rPr>
        <w:t xml:space="preserve">’s support to </w:t>
      </w:r>
      <w:r w:rsidR="001F46FA">
        <w:rPr>
          <w:rFonts w:ascii="Franklin Gothic Book" w:hAnsi="Franklin Gothic Book"/>
          <w:sz w:val="21"/>
          <w:szCs w:val="21"/>
        </w:rPr>
        <w:t>TAF saw</w:t>
      </w:r>
      <w:r w:rsidR="00093D04" w:rsidRPr="00093D04">
        <w:rPr>
          <w:rFonts w:ascii="Franklin Gothic Book" w:hAnsi="Franklin Gothic Book"/>
          <w:sz w:val="21"/>
          <w:szCs w:val="21"/>
        </w:rPr>
        <w:t xml:space="preserve"> a public perceptions survey on the government’s performance in service delivery </w:t>
      </w:r>
      <w:r w:rsidR="001F46FA">
        <w:rPr>
          <w:rFonts w:ascii="Franklin Gothic Book" w:hAnsi="Franklin Gothic Book"/>
          <w:sz w:val="21"/>
          <w:szCs w:val="21"/>
        </w:rPr>
        <w:t xml:space="preserve">released </w:t>
      </w:r>
      <w:r w:rsidR="00093D04" w:rsidRPr="00093D04">
        <w:rPr>
          <w:rFonts w:ascii="Franklin Gothic Book" w:hAnsi="Franklin Gothic Book"/>
          <w:sz w:val="21"/>
          <w:szCs w:val="21"/>
        </w:rPr>
        <w:t>in 2013-14, helping build the evidence base for demand for good public policy.</w:t>
      </w:r>
      <w:r w:rsidR="00FC2D20">
        <w:rPr>
          <w:rFonts w:ascii="Franklin Gothic Book" w:hAnsi="Franklin Gothic Book"/>
          <w:sz w:val="21"/>
          <w:szCs w:val="21"/>
        </w:rPr>
        <w:t xml:space="preserve"> </w:t>
      </w:r>
      <w:r w:rsidR="00335FCF">
        <w:rPr>
          <w:rFonts w:ascii="Franklin Gothic Book" w:hAnsi="Franklin Gothic Book"/>
          <w:sz w:val="21"/>
          <w:szCs w:val="21"/>
        </w:rPr>
        <w:t>TAF also support</w:t>
      </w:r>
      <w:r w:rsidR="00EA6AFF">
        <w:rPr>
          <w:rFonts w:ascii="Franklin Gothic Book" w:hAnsi="Franklin Gothic Book"/>
          <w:sz w:val="21"/>
          <w:szCs w:val="21"/>
        </w:rPr>
        <w:t>ed</w:t>
      </w:r>
      <w:r w:rsidR="009B61CB">
        <w:rPr>
          <w:rFonts w:ascii="Franklin Gothic Book" w:hAnsi="Franklin Gothic Book"/>
          <w:sz w:val="21"/>
          <w:szCs w:val="21"/>
        </w:rPr>
        <w:t xml:space="preserve"> </w:t>
      </w:r>
      <w:r w:rsidR="00335FCF">
        <w:rPr>
          <w:rFonts w:ascii="Franklin Gothic Book" w:hAnsi="Franklin Gothic Book"/>
          <w:sz w:val="21"/>
          <w:szCs w:val="21"/>
        </w:rPr>
        <w:t>female leaders to engage in the debate on decentralisation.</w:t>
      </w:r>
    </w:p>
    <w:p w:rsidR="00335FCF" w:rsidRPr="00093D04" w:rsidRDefault="00335FCF" w:rsidP="00093D04">
      <w:pPr>
        <w:spacing w:after="120" w:line="280" w:lineRule="exact"/>
        <w:rPr>
          <w:rFonts w:ascii="Franklin Gothic Book" w:hAnsi="Franklin Gothic Book"/>
          <w:sz w:val="21"/>
          <w:szCs w:val="21"/>
        </w:rPr>
      </w:pPr>
      <w:r>
        <w:rPr>
          <w:rFonts w:ascii="Franklin Gothic Book" w:hAnsi="Franklin Gothic Book"/>
          <w:sz w:val="21"/>
          <w:szCs w:val="21"/>
        </w:rPr>
        <w:t xml:space="preserve">GfD contributes to gender equality by influencing policy frameworks, encouraging behavioural change within government ministries and </w:t>
      </w:r>
      <w:r w:rsidR="001F46FA">
        <w:rPr>
          <w:rFonts w:ascii="Franklin Gothic Book" w:hAnsi="Franklin Gothic Book"/>
          <w:sz w:val="21"/>
          <w:szCs w:val="21"/>
        </w:rPr>
        <w:t>through</w:t>
      </w:r>
      <w:r>
        <w:rPr>
          <w:rFonts w:ascii="Franklin Gothic Book" w:hAnsi="Franklin Gothic Book"/>
          <w:sz w:val="21"/>
          <w:szCs w:val="21"/>
        </w:rPr>
        <w:t xml:space="preserve"> research and analysis. GfD will continue to identify entry points to promote gender equality including: opportunities to </w:t>
      </w:r>
      <w:r w:rsidR="001F46FA">
        <w:rPr>
          <w:rFonts w:ascii="Franklin Gothic Book" w:hAnsi="Franklin Gothic Book"/>
          <w:sz w:val="21"/>
          <w:szCs w:val="21"/>
        </w:rPr>
        <w:t>increase</w:t>
      </w:r>
      <w:r>
        <w:rPr>
          <w:rFonts w:ascii="Franklin Gothic Book" w:hAnsi="Franklin Gothic Book"/>
          <w:sz w:val="21"/>
          <w:szCs w:val="21"/>
        </w:rPr>
        <w:t xml:space="preserve"> </w:t>
      </w:r>
      <w:r w:rsidR="001F46FA">
        <w:rPr>
          <w:rFonts w:ascii="Franklin Gothic Book" w:hAnsi="Franklin Gothic Book"/>
          <w:sz w:val="21"/>
          <w:szCs w:val="21"/>
        </w:rPr>
        <w:t>numbers</w:t>
      </w:r>
      <w:r>
        <w:rPr>
          <w:rFonts w:ascii="Franklin Gothic Book" w:hAnsi="Franklin Gothic Book"/>
          <w:sz w:val="21"/>
          <w:szCs w:val="21"/>
        </w:rPr>
        <w:t xml:space="preserve"> of women in government agencies, supporting the participation of women in policy making, and supporting women’s economic empowerment through MDF and </w:t>
      </w:r>
      <w:r w:rsidR="001F46FA">
        <w:rPr>
          <w:rFonts w:ascii="Franklin Gothic Book" w:hAnsi="Franklin Gothic Book"/>
          <w:sz w:val="21"/>
          <w:szCs w:val="21"/>
        </w:rPr>
        <w:t>support</w:t>
      </w:r>
      <w:r>
        <w:rPr>
          <w:rFonts w:ascii="Franklin Gothic Book" w:hAnsi="Franklin Gothic Book"/>
          <w:sz w:val="21"/>
          <w:szCs w:val="21"/>
        </w:rPr>
        <w:t xml:space="preserve"> to the financial sector. </w:t>
      </w:r>
    </w:p>
    <w:p w:rsidR="00D777C4" w:rsidRDefault="005B76EC" w:rsidP="00093D04">
      <w:pPr>
        <w:spacing w:after="120" w:line="280" w:lineRule="exact"/>
        <w:rPr>
          <w:rFonts w:ascii="Franklin Gothic Book" w:hAnsi="Franklin Gothic Book"/>
          <w:sz w:val="21"/>
          <w:szCs w:val="21"/>
        </w:rPr>
      </w:pPr>
      <w:r w:rsidRPr="005B76EC">
        <w:rPr>
          <w:rFonts w:ascii="Franklin Gothic Book" w:hAnsi="Franklin Gothic Book"/>
          <w:b/>
          <w:sz w:val="21"/>
          <w:szCs w:val="21"/>
        </w:rPr>
        <w:t>Management response</w:t>
      </w:r>
      <w:r>
        <w:rPr>
          <w:rFonts w:ascii="Franklin Gothic Book" w:hAnsi="Franklin Gothic Book"/>
          <w:sz w:val="21"/>
          <w:szCs w:val="21"/>
        </w:rPr>
        <w:t>:</w:t>
      </w:r>
      <w:r w:rsidR="00FC2D20">
        <w:rPr>
          <w:rFonts w:ascii="Franklin Gothic Book" w:hAnsi="Franklin Gothic Book"/>
          <w:sz w:val="21"/>
          <w:szCs w:val="21"/>
        </w:rPr>
        <w:t xml:space="preserve"> </w:t>
      </w:r>
    </w:p>
    <w:p w:rsidR="0093725A" w:rsidRPr="0093725A" w:rsidRDefault="00057496" w:rsidP="00BF0796">
      <w:pPr>
        <w:pStyle w:val="ListParagraph"/>
        <w:numPr>
          <w:ilvl w:val="0"/>
          <w:numId w:val="27"/>
        </w:numPr>
        <w:spacing w:after="0"/>
        <w:contextualSpacing/>
        <w:rPr>
          <w:rFonts w:ascii="Franklin Gothic Book" w:hAnsi="Franklin Gothic Book"/>
          <w:sz w:val="21"/>
          <w:szCs w:val="21"/>
        </w:rPr>
      </w:pPr>
      <w:r>
        <w:rPr>
          <w:rFonts w:ascii="Franklin Gothic Book" w:hAnsi="Franklin Gothic Book"/>
          <w:sz w:val="21"/>
          <w:szCs w:val="21"/>
        </w:rPr>
        <w:t>GfD</w:t>
      </w:r>
      <w:r w:rsidR="0093725A" w:rsidRPr="0093725A">
        <w:rPr>
          <w:rFonts w:ascii="Franklin Gothic Book" w:hAnsi="Franklin Gothic Book"/>
          <w:sz w:val="21"/>
          <w:szCs w:val="21"/>
        </w:rPr>
        <w:t xml:space="preserve"> will help build on political economy analysis and understanding of policy-making processes to inform programming decisions across the Country Program.</w:t>
      </w:r>
      <w:r w:rsidR="00FC2D20">
        <w:rPr>
          <w:rFonts w:ascii="Franklin Gothic Book" w:hAnsi="Franklin Gothic Book"/>
          <w:sz w:val="21"/>
          <w:szCs w:val="21"/>
        </w:rPr>
        <w:t xml:space="preserve"> </w:t>
      </w:r>
      <w:r>
        <w:rPr>
          <w:rFonts w:ascii="Franklin Gothic Book" w:hAnsi="Franklin Gothic Book"/>
          <w:sz w:val="21"/>
          <w:szCs w:val="21"/>
        </w:rPr>
        <w:t>GfD</w:t>
      </w:r>
      <w:r w:rsidR="0093725A" w:rsidRPr="0093725A">
        <w:rPr>
          <w:rFonts w:ascii="Franklin Gothic Book" w:hAnsi="Franklin Gothic Book"/>
          <w:sz w:val="21"/>
          <w:szCs w:val="21"/>
        </w:rPr>
        <w:t xml:space="preserve"> will </w:t>
      </w:r>
      <w:r w:rsidR="0093725A">
        <w:rPr>
          <w:rFonts w:ascii="Franklin Gothic Book" w:hAnsi="Franklin Gothic Book"/>
          <w:sz w:val="21"/>
          <w:szCs w:val="21"/>
        </w:rPr>
        <w:t>share learnings</w:t>
      </w:r>
      <w:r w:rsidR="0093725A" w:rsidRPr="0093725A">
        <w:rPr>
          <w:rFonts w:ascii="Franklin Gothic Book" w:hAnsi="Franklin Gothic Book"/>
          <w:sz w:val="21"/>
          <w:szCs w:val="21"/>
        </w:rPr>
        <w:t xml:space="preserve"> </w:t>
      </w:r>
      <w:r w:rsidR="0093725A">
        <w:rPr>
          <w:rFonts w:ascii="Franklin Gothic Book" w:hAnsi="Franklin Gothic Book"/>
          <w:sz w:val="21"/>
          <w:szCs w:val="21"/>
        </w:rPr>
        <w:t xml:space="preserve">and help build skills </w:t>
      </w:r>
      <w:r w:rsidR="0093725A" w:rsidRPr="0093725A">
        <w:rPr>
          <w:rFonts w:ascii="Franklin Gothic Book" w:hAnsi="Franklin Gothic Book"/>
          <w:sz w:val="21"/>
          <w:szCs w:val="21"/>
        </w:rPr>
        <w:t xml:space="preserve">across the </w:t>
      </w:r>
      <w:r w:rsidR="0093725A">
        <w:rPr>
          <w:rFonts w:ascii="Franklin Gothic Book" w:hAnsi="Franklin Gothic Book"/>
          <w:sz w:val="21"/>
          <w:szCs w:val="21"/>
        </w:rPr>
        <w:t>Country P</w:t>
      </w:r>
      <w:r w:rsidR="0093725A" w:rsidRPr="0093725A">
        <w:rPr>
          <w:rFonts w:ascii="Franklin Gothic Book" w:hAnsi="Franklin Gothic Book"/>
          <w:sz w:val="21"/>
          <w:szCs w:val="21"/>
        </w:rPr>
        <w:t xml:space="preserve">rogram </w:t>
      </w:r>
      <w:r w:rsidR="0093725A">
        <w:rPr>
          <w:rFonts w:ascii="Franklin Gothic Book" w:hAnsi="Franklin Gothic Book"/>
          <w:sz w:val="21"/>
          <w:szCs w:val="21"/>
        </w:rPr>
        <w:t>and with Timorese governm</w:t>
      </w:r>
      <w:r w:rsidR="0093725A" w:rsidRPr="0093725A">
        <w:rPr>
          <w:rFonts w:ascii="Franklin Gothic Book" w:hAnsi="Franklin Gothic Book"/>
          <w:sz w:val="21"/>
          <w:szCs w:val="21"/>
        </w:rPr>
        <w:t xml:space="preserve">ent counterparts to increase the use of evidence in policy-making. </w:t>
      </w:r>
    </w:p>
    <w:p w:rsidR="0093725A" w:rsidRPr="0093725A" w:rsidRDefault="00FC2D20" w:rsidP="00BF0796">
      <w:pPr>
        <w:pStyle w:val="ListParagraph"/>
        <w:numPr>
          <w:ilvl w:val="0"/>
          <w:numId w:val="27"/>
        </w:numPr>
        <w:spacing w:after="0"/>
        <w:contextualSpacing/>
        <w:rPr>
          <w:rFonts w:ascii="Franklin Gothic Book" w:hAnsi="Franklin Gothic Book"/>
          <w:sz w:val="21"/>
          <w:szCs w:val="21"/>
        </w:rPr>
      </w:pPr>
      <w:r>
        <w:rPr>
          <w:rFonts w:ascii="Franklin Gothic Book" w:hAnsi="Franklin Gothic Book"/>
          <w:sz w:val="21"/>
          <w:szCs w:val="21"/>
        </w:rPr>
        <w:t>GfD</w:t>
      </w:r>
      <w:r w:rsidR="0093725A">
        <w:rPr>
          <w:rFonts w:ascii="Franklin Gothic Book" w:hAnsi="Franklin Gothic Book"/>
          <w:sz w:val="21"/>
          <w:szCs w:val="21"/>
        </w:rPr>
        <w:t xml:space="preserve"> will manage human resource needs by ensuring </w:t>
      </w:r>
      <w:r w:rsidR="0093725A" w:rsidRPr="00D777C4">
        <w:rPr>
          <w:rFonts w:ascii="Franklin Gothic Book" w:hAnsi="Franklin Gothic Book"/>
          <w:sz w:val="21"/>
          <w:szCs w:val="21"/>
        </w:rPr>
        <w:t>the right team with the appropriate mix of skills</w:t>
      </w:r>
      <w:r w:rsidR="0093725A">
        <w:rPr>
          <w:rFonts w:ascii="Franklin Gothic Book" w:hAnsi="Franklin Gothic Book"/>
          <w:sz w:val="21"/>
          <w:szCs w:val="21"/>
        </w:rPr>
        <w:t>, and using a strategic mix of DFAT staff and advisers.</w:t>
      </w:r>
      <w:r>
        <w:rPr>
          <w:rFonts w:ascii="Franklin Gothic Book" w:hAnsi="Franklin Gothic Book"/>
          <w:sz w:val="21"/>
          <w:szCs w:val="21"/>
        </w:rPr>
        <w:t xml:space="preserve"> </w:t>
      </w:r>
      <w:r w:rsidR="0093725A" w:rsidRPr="00D777C4">
        <w:rPr>
          <w:rFonts w:ascii="Franklin Gothic Book" w:hAnsi="Franklin Gothic Book"/>
          <w:sz w:val="21"/>
          <w:szCs w:val="21"/>
        </w:rPr>
        <w:t xml:space="preserve"> </w:t>
      </w:r>
    </w:p>
    <w:p w:rsidR="00883ADF" w:rsidRDefault="005B76EC" w:rsidP="008D2E38">
      <w:pPr>
        <w:pStyle w:val="ListParagraph"/>
        <w:numPr>
          <w:ilvl w:val="0"/>
          <w:numId w:val="27"/>
        </w:numPr>
        <w:spacing w:line="280" w:lineRule="exact"/>
      </w:pPr>
      <w:r w:rsidRPr="002F6B4D">
        <w:rPr>
          <w:rFonts w:ascii="Franklin Gothic Book" w:hAnsi="Franklin Gothic Book"/>
          <w:sz w:val="21"/>
          <w:szCs w:val="21"/>
        </w:rPr>
        <w:t xml:space="preserve">MDF will </w:t>
      </w:r>
      <w:r w:rsidR="0099194B">
        <w:rPr>
          <w:rFonts w:ascii="Franklin Gothic Book" w:hAnsi="Franklin Gothic Book"/>
          <w:sz w:val="21"/>
          <w:szCs w:val="21"/>
        </w:rPr>
        <w:t>develop and implement</w:t>
      </w:r>
      <w:r w:rsidRPr="002F6B4D">
        <w:rPr>
          <w:rFonts w:ascii="Franklin Gothic Book" w:hAnsi="Franklin Gothic Book"/>
          <w:sz w:val="21"/>
          <w:szCs w:val="21"/>
        </w:rPr>
        <w:t xml:space="preserve"> an evidence-based gender strategy.</w:t>
      </w:r>
    </w:p>
    <w:p w:rsidR="00D1508C" w:rsidRDefault="00D1508C">
      <w:pPr>
        <w:spacing w:after="200" w:line="276" w:lineRule="auto"/>
        <w:rPr>
          <w:rFonts w:ascii="Helvetica" w:eastAsia="Times New Roman" w:hAnsi="Helvetica" w:cs="Arial"/>
          <w:b/>
          <w:color w:val="124486"/>
          <w:kern w:val="28"/>
          <w:sz w:val="22"/>
          <w:szCs w:val="22"/>
          <w:lang w:eastAsia="zh-CN"/>
        </w:rPr>
      </w:pPr>
      <w:r>
        <w:br w:type="page"/>
      </w:r>
    </w:p>
    <w:p w:rsidR="008478A1" w:rsidRDefault="008478A1" w:rsidP="008478A1">
      <w:pPr>
        <w:pStyle w:val="Heading3"/>
      </w:pPr>
      <w:r w:rsidRPr="00C57923">
        <w:lastRenderedPageBreak/>
        <w:t xml:space="preserve">Objective </w:t>
      </w:r>
      <w:r>
        <w:t>8</w:t>
      </w:r>
    </w:p>
    <w:tbl>
      <w:tblPr>
        <w:tblStyle w:val="APPR"/>
        <w:tblW w:w="5000" w:type="pct"/>
        <w:tblLook w:val="0000" w:firstRow="0" w:lastRow="0" w:firstColumn="0" w:lastColumn="0" w:noHBand="0" w:noVBand="0"/>
      </w:tblPr>
      <w:tblGrid>
        <w:gridCol w:w="6849"/>
        <w:gridCol w:w="1189"/>
        <w:gridCol w:w="1261"/>
      </w:tblGrid>
      <w:tr w:rsidR="00A36C34" w:rsidRPr="001159CC" w:rsidTr="00FD4D0C">
        <w:trPr>
          <w:cnfStyle w:val="000000010000" w:firstRow="0" w:lastRow="0" w:firstColumn="0" w:lastColumn="0" w:oddVBand="0" w:evenVBand="0" w:oddHBand="0" w:evenHBand="1" w:firstRowFirstColumn="0" w:firstRowLastColumn="0" w:lastRowFirstColumn="0" w:lastRowLastColumn="0"/>
          <w:trHeight w:val="651"/>
        </w:trPr>
        <w:tc>
          <w:tcPr>
            <w:tcW w:w="6420" w:type="dxa"/>
          </w:tcPr>
          <w:p w:rsidR="00A36C34" w:rsidRPr="00C14AA8" w:rsidRDefault="00A36C34" w:rsidP="00717FE7">
            <w:pPr>
              <w:pStyle w:val="TableHeading1"/>
            </w:pPr>
            <w:r w:rsidRPr="00C14AA8">
              <w:rPr>
                <w:noProof/>
                <w:lang w:eastAsia="en-AU"/>
              </w:rPr>
              <w:drawing>
                <wp:anchor distT="0" distB="0" distL="114300" distR="114300" simplePos="0" relativeHeight="251689984" behindDoc="0" locked="0" layoutInCell="1" allowOverlap="1" wp14:anchorId="1327A471" wp14:editId="72DC4A28">
                  <wp:simplePos x="0" y="0"/>
                  <wp:positionH relativeFrom="column">
                    <wp:posOffset>0</wp:posOffset>
                  </wp:positionH>
                  <wp:positionV relativeFrom="paragraph">
                    <wp:posOffset>0</wp:posOffset>
                  </wp:positionV>
                  <wp:extent cx="1857375" cy="228600"/>
                  <wp:effectExtent l="0" t="0" r="9525" b="0"/>
                  <wp:wrapNone/>
                  <wp:docPr id="3" name="Picture 3"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095" w:type="dxa"/>
          </w:tcPr>
          <w:p w:rsidR="00A36C34" w:rsidRPr="00C14AA8" w:rsidRDefault="00A36C34" w:rsidP="00717FE7">
            <w:pPr>
              <w:pStyle w:val="TableHeading1"/>
            </w:pPr>
            <w:r w:rsidRPr="00C14AA8">
              <w:t>Current rating</w:t>
            </w:r>
          </w:p>
        </w:tc>
        <w:tc>
          <w:tcPr>
            <w:tcW w:w="1150" w:type="dxa"/>
          </w:tcPr>
          <w:p w:rsidR="00A36C34" w:rsidRPr="00C14AA8" w:rsidRDefault="00A36C34" w:rsidP="00717FE7">
            <w:pPr>
              <w:pStyle w:val="TableHeading1"/>
            </w:pPr>
            <w:r w:rsidRPr="00C14AA8">
              <w:t>Previous rating</w:t>
            </w:r>
          </w:p>
        </w:tc>
      </w:tr>
      <w:tr w:rsidR="00A36C34" w:rsidRPr="001159CC" w:rsidTr="00FD4D0C">
        <w:trPr>
          <w:cnfStyle w:val="000000010000" w:firstRow="0" w:lastRow="0" w:firstColumn="0" w:lastColumn="0" w:oddVBand="0" w:evenVBand="0" w:oddHBand="0" w:evenHBand="1" w:firstRowFirstColumn="0" w:firstRowLastColumn="0" w:lastRowFirstColumn="0" w:lastRowLastColumn="0"/>
        </w:trPr>
        <w:tc>
          <w:tcPr>
            <w:tcW w:w="6420" w:type="dxa"/>
          </w:tcPr>
          <w:p w:rsidR="00A36C34" w:rsidRPr="00A36C34" w:rsidRDefault="00A36C34" w:rsidP="00717FE7">
            <w:pPr>
              <w:pStyle w:val="TableTextEntries"/>
              <w:rPr>
                <w:rFonts w:eastAsia="SimSun"/>
              </w:rPr>
            </w:pPr>
            <w:r>
              <w:rPr>
                <w:rFonts w:eastAsia="SimSun"/>
              </w:rPr>
              <w:t>Objective 8</w:t>
            </w:r>
            <w:r w:rsidRPr="00C14AA8">
              <w:rPr>
                <w:rFonts w:eastAsia="SimSun"/>
              </w:rPr>
              <w:t xml:space="preserve">: </w:t>
            </w:r>
            <w:r w:rsidRPr="00A36C34">
              <w:t>Human and economic development enhanced by communities building small scale infrastructure that meets their development needs</w:t>
            </w:r>
          </w:p>
        </w:tc>
        <w:tc>
          <w:tcPr>
            <w:tcW w:w="1095" w:type="dxa"/>
            <w:shd w:val="clear" w:color="auto" w:fill="92D050"/>
            <w:noWrap/>
          </w:tcPr>
          <w:p w:rsidR="00A36C34" w:rsidRPr="00C14AA8" w:rsidRDefault="00A36C34" w:rsidP="00717FE7">
            <w:pPr>
              <w:pStyle w:val="TableTextEntries"/>
              <w:rPr>
                <w:rFonts w:eastAsia="SimSun"/>
              </w:rPr>
            </w:pPr>
            <w:r w:rsidRPr="00C14AA8">
              <w:rPr>
                <w:rFonts w:eastAsia="SimSun"/>
              </w:rPr>
              <w:t>Green</w:t>
            </w:r>
          </w:p>
        </w:tc>
        <w:tc>
          <w:tcPr>
            <w:tcW w:w="1150" w:type="dxa"/>
            <w:shd w:val="clear" w:color="auto" w:fill="auto"/>
            <w:noWrap/>
          </w:tcPr>
          <w:p w:rsidR="00A36C34" w:rsidRPr="00C14AA8" w:rsidRDefault="00A36C34" w:rsidP="00717FE7">
            <w:pPr>
              <w:pStyle w:val="TableTextEntries"/>
              <w:rPr>
                <w:rFonts w:eastAsia="SimSun"/>
              </w:rPr>
            </w:pPr>
            <w:r>
              <w:rPr>
                <w:rFonts w:eastAsia="SimSun"/>
              </w:rPr>
              <w:t>N/A</w:t>
            </w:r>
          </w:p>
        </w:tc>
      </w:tr>
    </w:tbl>
    <w:p w:rsidR="00A36C34" w:rsidRDefault="00A36C34" w:rsidP="008478A1">
      <w:pPr>
        <w:rPr>
          <w:i/>
        </w:rPr>
      </w:pPr>
    </w:p>
    <w:p w:rsidR="00321293" w:rsidRDefault="00321293" w:rsidP="00321293">
      <w:pPr>
        <w:pStyle w:val="ListBullet"/>
        <w:numPr>
          <w:ilvl w:val="0"/>
          <w:numId w:val="0"/>
        </w:numPr>
        <w:tabs>
          <w:tab w:val="clear" w:pos="284"/>
          <w:tab w:val="left" w:pos="720"/>
        </w:tabs>
        <w:rPr>
          <w:i/>
        </w:rPr>
      </w:pPr>
      <w:r>
        <w:rPr>
          <w:i/>
        </w:rPr>
        <w:t>The gr</w:t>
      </w:r>
      <w:r w:rsidR="00D3480D">
        <w:rPr>
          <w:i/>
        </w:rPr>
        <w:t xml:space="preserve">een rating for Australia’s PNDS </w:t>
      </w:r>
      <w:r>
        <w:rPr>
          <w:i/>
        </w:rPr>
        <w:t>Support Program</w:t>
      </w:r>
      <w:r w:rsidR="00D3480D">
        <w:rPr>
          <w:i/>
        </w:rPr>
        <w:t xml:space="preserve"> (PNDSSP)</w:t>
      </w:r>
      <w:r>
        <w:rPr>
          <w:i/>
        </w:rPr>
        <w:t xml:space="preserve"> reflects good progress made in a very short perio</w:t>
      </w:r>
      <w:r w:rsidR="00FD4D0C">
        <w:rPr>
          <w:i/>
        </w:rPr>
        <w:t>d of time to support the GoTL in</w:t>
      </w:r>
      <w:r>
        <w:rPr>
          <w:i/>
        </w:rPr>
        <w:t xml:space="preserve"> implement</w:t>
      </w:r>
      <w:r w:rsidR="00FD4D0C">
        <w:rPr>
          <w:i/>
        </w:rPr>
        <w:t>ing</w:t>
      </w:r>
      <w:r>
        <w:rPr>
          <w:i/>
        </w:rPr>
        <w:t xml:space="preserve"> its community development program. </w:t>
      </w:r>
    </w:p>
    <w:p w:rsidR="00321293" w:rsidRDefault="00D3480D" w:rsidP="00321293">
      <w:pPr>
        <w:pStyle w:val="ListBullet"/>
        <w:numPr>
          <w:ilvl w:val="0"/>
          <w:numId w:val="0"/>
        </w:numPr>
        <w:tabs>
          <w:tab w:val="clear" w:pos="284"/>
          <w:tab w:val="left" w:pos="720"/>
        </w:tabs>
      </w:pPr>
      <w:r>
        <w:t>PNDS</w:t>
      </w:r>
      <w:r w:rsidR="00321293">
        <w:t xml:space="preserve"> is a GoTL-owned and managed community development program that aims to contribute to </w:t>
      </w:r>
      <w:r w:rsidR="00D17240">
        <w:t xml:space="preserve">economic growth and </w:t>
      </w:r>
      <w:r w:rsidR="00321293">
        <w:t>human development in every village in Timor-Leste</w:t>
      </w:r>
      <w:r w:rsidR="00D17240">
        <w:t>.</w:t>
      </w:r>
      <w:r w:rsidR="00321293">
        <w:t xml:space="preserve"> PNDS is supporting communities to construct, manage and maintain small infrastructure projects. This will result in improved training, jobs, access to basic services and community empowerment. </w:t>
      </w:r>
      <w:r w:rsidR="00D17240" w:rsidRPr="008D2E38">
        <w:t>PNDS is also building better c</w:t>
      </w:r>
      <w:r w:rsidR="00D17240" w:rsidRPr="00D17240">
        <w:t>itizen-state relations in Timor</w:t>
      </w:r>
      <w:r w:rsidR="00D17240">
        <w:t>-</w:t>
      </w:r>
      <w:r w:rsidR="00D17240" w:rsidRPr="008D2E38">
        <w:t>Leste with the GoTL addressing previously neglected areas of development in rural and remote villages. Australia’s PNDS support program ($55 million, 2012-17) is leveraging our funding to assist the larger contribution by the GoTL to deliver real results (US$300 million over eight years).</w:t>
      </w:r>
    </w:p>
    <w:p w:rsidR="00321293" w:rsidRDefault="00321293" w:rsidP="00321293">
      <w:pPr>
        <w:pStyle w:val="ListBullet"/>
        <w:numPr>
          <w:ilvl w:val="0"/>
          <w:numId w:val="0"/>
        </w:numPr>
        <w:tabs>
          <w:tab w:val="clear" w:pos="284"/>
          <w:tab w:val="left" w:pos="720"/>
        </w:tabs>
      </w:pPr>
      <w:r>
        <w:t xml:space="preserve">PNDS </w:t>
      </w:r>
      <w:r w:rsidR="00D07925">
        <w:t xml:space="preserve">has offered </w:t>
      </w:r>
      <w:r>
        <w:t xml:space="preserve">a unique opportunity </w:t>
      </w:r>
      <w:r w:rsidR="00D07925">
        <w:t xml:space="preserve">for DFAT </w:t>
      </w:r>
      <w:r>
        <w:t xml:space="preserve">to partner with GoTL on a program with strong political support. </w:t>
      </w:r>
      <w:r w:rsidR="00D07925">
        <w:t xml:space="preserve">Delivering </w:t>
      </w:r>
      <w:r w:rsidR="006712AC">
        <w:t>DFAT’s</w:t>
      </w:r>
      <w:r w:rsidR="00D07925">
        <w:t xml:space="preserve"> support has been a</w:t>
      </w:r>
      <w:r>
        <w:t xml:space="preserve"> collaboration with </w:t>
      </w:r>
      <w:r w:rsidR="00D3480D">
        <w:t xml:space="preserve">the </w:t>
      </w:r>
      <w:r>
        <w:t xml:space="preserve">Ministry of State Administration (MAE), </w:t>
      </w:r>
      <w:r w:rsidR="001B4EE2">
        <w:t>MoF</w:t>
      </w:r>
      <w:r>
        <w:t xml:space="preserve">, other development partners (principally the World Bank and </w:t>
      </w:r>
      <w:r w:rsidR="00D3480D">
        <w:t>TAF</w:t>
      </w:r>
      <w:r>
        <w:t xml:space="preserve">) and DFAT’s contractor. </w:t>
      </w:r>
      <w:r w:rsidR="00D07925">
        <w:t>To</w:t>
      </w:r>
      <w:r>
        <w:t xml:space="preserve"> </w:t>
      </w:r>
      <w:r w:rsidR="00D07925">
        <w:t>promote</w:t>
      </w:r>
      <w:r>
        <w:t xml:space="preserve"> sustainability of PNDS, DFAT </w:t>
      </w:r>
      <w:r w:rsidR="006712AC">
        <w:t xml:space="preserve">has </w:t>
      </w:r>
      <w:r>
        <w:t xml:space="preserve">focused </w:t>
      </w:r>
      <w:r w:rsidR="00D07925">
        <w:t>its su</w:t>
      </w:r>
      <w:r>
        <w:t>pport on capacity building and establishing corporate systems in MAE, such as public financial management and human resources. PNDSSP trained and assisted GoTL to re</w:t>
      </w:r>
      <w:r w:rsidR="00D3480D">
        <w:t>cruit 277 PNDS facilitators (72 per cent men, 28 per cent</w:t>
      </w:r>
      <w:r>
        <w:t xml:space="preserve"> women)</w:t>
      </w:r>
      <w:r w:rsidR="00D3480D">
        <w:t xml:space="preserve"> </w:t>
      </w:r>
      <w:r>
        <w:t>–</w:t>
      </w:r>
      <w:r w:rsidR="00D3480D">
        <w:t xml:space="preserve"> </w:t>
      </w:r>
      <w:r>
        <w:t>exceeding the target of 250 facilitators</w:t>
      </w:r>
      <w:r w:rsidR="00D17240">
        <w:t xml:space="preserve"> </w:t>
      </w:r>
      <w:r w:rsidR="00D17240" w:rsidRPr="008D2E38">
        <w:t>and improving on the ratio of male to female facilitators in previous communit</w:t>
      </w:r>
      <w:r w:rsidR="00D17240" w:rsidRPr="00D17240">
        <w:t>y development programs in Timor</w:t>
      </w:r>
      <w:r w:rsidR="00D17240">
        <w:t>-</w:t>
      </w:r>
      <w:r w:rsidR="00D17240" w:rsidRPr="008D2E38">
        <w:t>Leste</w:t>
      </w:r>
      <w:r>
        <w:t>. Th</w:t>
      </w:r>
      <w:r w:rsidR="00572C8B">
        <w:t>e</w:t>
      </w:r>
      <w:r>
        <w:t xml:space="preserve"> </w:t>
      </w:r>
      <w:r w:rsidR="00572C8B">
        <w:t>length and scope of this</w:t>
      </w:r>
      <w:r>
        <w:t xml:space="preserve"> training exceeds normal practice in the Timorese civil service, demonstrating buy-in from GoTL. By the end of 2013-14, construction of PNDS projects such as community halls, water systems and repairs to health clinics was completed in 30 pilot villages. A further 250 villages had commenced the PNDS process.</w:t>
      </w:r>
    </w:p>
    <w:p w:rsidR="00321293" w:rsidRDefault="00321293" w:rsidP="00321293">
      <w:pPr>
        <w:pStyle w:val="ListBullet"/>
        <w:numPr>
          <w:ilvl w:val="0"/>
          <w:numId w:val="0"/>
        </w:numPr>
        <w:tabs>
          <w:tab w:val="clear" w:pos="284"/>
          <w:tab w:val="left" w:pos="720"/>
        </w:tabs>
      </w:pPr>
      <w:r>
        <w:t xml:space="preserve">A successful and constructive policy dialogue on PNDS has resulted in DFAT engaging with GoTL on other related policy areas, such as national village planning and the emerging deconcentration of basic government services. Efficiencies in civil servant recruitment and innovative approaches from PNDSSP for better public financial management have been adopted across a number of GoTL agencies. This demonstrates PNDSSP achieving a positive impact on organisational behaviour change in the broader Timorese bureaucracy. </w:t>
      </w:r>
      <w:r w:rsidR="003942DB">
        <w:t xml:space="preserve">However, </w:t>
      </w:r>
      <w:r w:rsidR="003942DB">
        <w:rPr>
          <w:szCs w:val="21"/>
        </w:rPr>
        <w:t>capacity constraints to fully manage PNDS remain in MAE.</w:t>
      </w:r>
    </w:p>
    <w:p w:rsidR="00346F84" w:rsidRDefault="00321293" w:rsidP="00346F84">
      <w:pPr>
        <w:pStyle w:val="ListBullet"/>
        <w:numPr>
          <w:ilvl w:val="0"/>
          <w:numId w:val="0"/>
        </w:numPr>
        <w:tabs>
          <w:tab w:val="clear" w:pos="284"/>
          <w:tab w:val="left" w:pos="720"/>
        </w:tabs>
      </w:pPr>
      <w:r>
        <w:t xml:space="preserve">DFAT has </w:t>
      </w:r>
      <w:r w:rsidR="00D07925">
        <w:t>helped GoTL</w:t>
      </w:r>
      <w:r>
        <w:t xml:space="preserve"> introduce a gender equality and social inclusion focus and successfully advocated for selection of more female facilitators in PNDS. Early results indicate PNDS is operating in a gender sensitive manner, including with quotas for women’s representation and leadership at the community level. Further work is needed to examine the quality of women’s participation and the gender impacts of PNDS infrastructure. </w:t>
      </w:r>
    </w:p>
    <w:p w:rsidR="003942DB" w:rsidRPr="003942DB" w:rsidRDefault="003942DB" w:rsidP="00346F84">
      <w:pPr>
        <w:pStyle w:val="ListBullet"/>
        <w:numPr>
          <w:ilvl w:val="0"/>
          <w:numId w:val="0"/>
        </w:numPr>
        <w:tabs>
          <w:tab w:val="clear" w:pos="284"/>
          <w:tab w:val="left" w:pos="720"/>
        </w:tabs>
        <w:rPr>
          <w:b/>
        </w:rPr>
      </w:pPr>
      <w:r w:rsidRPr="003942DB">
        <w:rPr>
          <w:b/>
        </w:rPr>
        <w:t>Management response:</w:t>
      </w:r>
    </w:p>
    <w:p w:rsidR="003942DB" w:rsidRDefault="003942DB" w:rsidP="00BF0796">
      <w:pPr>
        <w:pStyle w:val="ListParagraph"/>
        <w:numPr>
          <w:ilvl w:val="0"/>
          <w:numId w:val="23"/>
        </w:numPr>
        <w:tabs>
          <w:tab w:val="left" w:pos="227"/>
        </w:tabs>
        <w:spacing w:after="0"/>
        <w:contextualSpacing/>
        <w:rPr>
          <w:rFonts w:ascii="Franklin Gothic Book" w:hAnsi="Franklin Gothic Book"/>
          <w:sz w:val="21"/>
          <w:szCs w:val="21"/>
        </w:rPr>
      </w:pPr>
      <w:r>
        <w:rPr>
          <w:rFonts w:ascii="Franklin Gothic Book" w:hAnsi="Franklin Gothic Book"/>
          <w:sz w:val="21"/>
          <w:szCs w:val="21"/>
        </w:rPr>
        <w:t>DFAT will develop a partnership agreement with the MAE regarding how support services are delivered</w:t>
      </w:r>
      <w:r w:rsidR="00D17240">
        <w:rPr>
          <w:rFonts w:ascii="Franklin Gothic Book" w:hAnsi="Franklin Gothic Book"/>
          <w:sz w:val="21"/>
          <w:szCs w:val="21"/>
        </w:rPr>
        <w:t xml:space="preserve"> </w:t>
      </w:r>
      <w:r w:rsidR="00D17240" w:rsidRPr="008D2E38">
        <w:rPr>
          <w:rFonts w:ascii="Franklin Gothic Book" w:hAnsi="Franklin Gothic Book"/>
          <w:sz w:val="21"/>
          <w:szCs w:val="21"/>
        </w:rPr>
        <w:t>and support MAE to assess and improve PNDS systems following completion of the first annual PNDS cycle</w:t>
      </w:r>
      <w:r w:rsidR="00D17240" w:rsidRPr="00D17240">
        <w:rPr>
          <w:rFonts w:ascii="Franklin Gothic Book" w:hAnsi="Franklin Gothic Book"/>
          <w:sz w:val="21"/>
          <w:szCs w:val="21"/>
        </w:rPr>
        <w:t>.</w:t>
      </w:r>
      <w:r>
        <w:rPr>
          <w:rFonts w:ascii="Franklin Gothic Book" w:hAnsi="Franklin Gothic Book"/>
          <w:sz w:val="21"/>
          <w:szCs w:val="21"/>
        </w:rPr>
        <w:t xml:space="preserve"> </w:t>
      </w:r>
    </w:p>
    <w:p w:rsidR="003942DB" w:rsidRPr="002118DA" w:rsidRDefault="003942DB" w:rsidP="00BF0796">
      <w:pPr>
        <w:pStyle w:val="ListParagraph"/>
        <w:numPr>
          <w:ilvl w:val="0"/>
          <w:numId w:val="23"/>
        </w:numPr>
        <w:tabs>
          <w:tab w:val="left" w:pos="227"/>
        </w:tabs>
        <w:spacing w:after="0"/>
        <w:contextualSpacing/>
        <w:rPr>
          <w:rFonts w:ascii="Franklin Gothic Book" w:hAnsi="Franklin Gothic Book"/>
          <w:sz w:val="21"/>
          <w:szCs w:val="21"/>
        </w:rPr>
      </w:pPr>
      <w:r>
        <w:rPr>
          <w:rFonts w:ascii="Franklin Gothic Book" w:hAnsi="Franklin Gothic Book"/>
          <w:sz w:val="21"/>
          <w:szCs w:val="21"/>
        </w:rPr>
        <w:t>Tightening national budget pressure may put stress on PNDS.</w:t>
      </w:r>
      <w:r w:rsidR="00D3480D">
        <w:rPr>
          <w:rFonts w:ascii="Franklin Gothic Book" w:hAnsi="Franklin Gothic Book"/>
          <w:sz w:val="21"/>
          <w:szCs w:val="21"/>
        </w:rPr>
        <w:t xml:space="preserve"> </w:t>
      </w:r>
      <w:r>
        <w:rPr>
          <w:rFonts w:ascii="Franklin Gothic Book" w:hAnsi="Franklin Gothic Book"/>
          <w:sz w:val="21"/>
          <w:szCs w:val="21"/>
        </w:rPr>
        <w:t xml:space="preserve">PNDSSP will coordinate with other DFAT sector programs and support MAE to improve coordination with other line agencies and ensure common understanding of the scope and limitations of PNDS. </w:t>
      </w:r>
    </w:p>
    <w:p w:rsidR="003942DB" w:rsidRDefault="003942DB" w:rsidP="00346F84">
      <w:pPr>
        <w:pStyle w:val="ListBullet"/>
        <w:numPr>
          <w:ilvl w:val="0"/>
          <w:numId w:val="0"/>
        </w:numPr>
        <w:tabs>
          <w:tab w:val="clear" w:pos="284"/>
          <w:tab w:val="left" w:pos="720"/>
        </w:tabs>
      </w:pPr>
    </w:p>
    <w:p w:rsidR="000D733F" w:rsidRPr="001375E3" w:rsidRDefault="000D733F" w:rsidP="00346F84">
      <w:pPr>
        <w:pStyle w:val="ListBullet"/>
        <w:numPr>
          <w:ilvl w:val="0"/>
          <w:numId w:val="0"/>
        </w:numPr>
        <w:tabs>
          <w:tab w:val="clear" w:pos="284"/>
          <w:tab w:val="left" w:pos="720"/>
        </w:tabs>
        <w:rPr>
          <w:rStyle w:val="BodyTextChar"/>
          <w:b/>
        </w:rPr>
      </w:pPr>
      <w:r w:rsidRPr="009E38C1">
        <w:rPr>
          <w:b/>
          <w:color w:val="007FAD"/>
          <w:sz w:val="28"/>
          <w:szCs w:val="28"/>
        </w:rPr>
        <w:t>Mutual Obligations</w:t>
      </w:r>
      <w:r w:rsidRPr="009E38C1">
        <w:rPr>
          <w:b/>
          <w:color w:val="007FAD"/>
          <w:sz w:val="32"/>
          <w:szCs w:val="32"/>
        </w:rPr>
        <w:tab/>
      </w:r>
      <w:r>
        <w:tab/>
      </w:r>
      <w:r>
        <w:tab/>
      </w:r>
      <w:r>
        <w:tab/>
      </w:r>
    </w:p>
    <w:p w:rsidR="00B8198F" w:rsidRPr="00173BFF" w:rsidRDefault="005C1B49" w:rsidP="008634F4">
      <w:pPr>
        <w:pStyle w:val="ListBullet"/>
        <w:numPr>
          <w:ilvl w:val="0"/>
          <w:numId w:val="0"/>
        </w:numPr>
      </w:pPr>
      <w:r>
        <w:t xml:space="preserve">In line with the New Deal principles, </w:t>
      </w:r>
      <w:r w:rsidR="00B8198F" w:rsidRPr="00F90799">
        <w:t xml:space="preserve">Australia and Timor-Leste have acknowledged their shared accountability for achieving development outcomes in the </w:t>
      </w:r>
      <w:r w:rsidR="00B8198F" w:rsidRPr="009F261F">
        <w:rPr>
          <w:i/>
        </w:rPr>
        <w:t>Strategic Planning Agreement for Development</w:t>
      </w:r>
      <w:r w:rsidR="00B8198F" w:rsidRPr="00F90799">
        <w:t>, which commits both countries to work in partnership towards the development priorities outlined in Timor-Leste’s</w:t>
      </w:r>
      <w:r w:rsidR="00D3480D">
        <w:t xml:space="preserve"> SDP</w:t>
      </w:r>
      <w:r w:rsidR="00B8198F" w:rsidRPr="00F90799">
        <w:t xml:space="preserve">. </w:t>
      </w:r>
      <w:r w:rsidR="00B8198F">
        <w:t>The</w:t>
      </w:r>
      <w:r w:rsidR="00B8198F" w:rsidRPr="00792310">
        <w:t xml:space="preserve"> </w:t>
      </w:r>
      <w:r w:rsidR="00B8198F">
        <w:t>shared priorities and</w:t>
      </w:r>
      <w:r w:rsidR="00B8198F" w:rsidRPr="00792310">
        <w:t xml:space="preserve"> targets</w:t>
      </w:r>
      <w:r w:rsidR="00B8198F">
        <w:t xml:space="preserve"> in the agreement </w:t>
      </w:r>
      <w:r w:rsidR="00B8198F" w:rsidRPr="00792310">
        <w:t xml:space="preserve">were reviewed and updated in </w:t>
      </w:r>
      <w:r w:rsidR="00B8198F">
        <w:t xml:space="preserve">June </w:t>
      </w:r>
      <w:r w:rsidR="00B8198F" w:rsidRPr="00792310">
        <w:t>2013 through a high-level discussion with</w:t>
      </w:r>
      <w:r w:rsidR="00B8198F">
        <w:t xml:space="preserve"> </w:t>
      </w:r>
      <w:r w:rsidR="007A6ADD">
        <w:t xml:space="preserve">all </w:t>
      </w:r>
      <w:r w:rsidR="00B8198F">
        <w:t>Timorese cabinet ministers</w:t>
      </w:r>
      <w:r w:rsidR="00B8198F" w:rsidRPr="00792310">
        <w:t>.</w:t>
      </w:r>
    </w:p>
    <w:p w:rsidR="00B8198F" w:rsidRDefault="00B8198F" w:rsidP="008634F4">
      <w:pPr>
        <w:pStyle w:val="ListBullet"/>
        <w:numPr>
          <w:ilvl w:val="0"/>
          <w:numId w:val="0"/>
        </w:numPr>
      </w:pPr>
      <w:r>
        <w:t xml:space="preserve">In 2013-14, </w:t>
      </w:r>
      <w:r w:rsidR="0000195D">
        <w:t xml:space="preserve">the </w:t>
      </w:r>
      <w:r w:rsidR="00D17240">
        <w:t>GoTL</w:t>
      </w:r>
      <w:r>
        <w:t xml:space="preserve"> took steps to address </w:t>
      </w:r>
      <w:r w:rsidR="0000195D">
        <w:t>inconsistencies</w:t>
      </w:r>
      <w:r>
        <w:t xml:space="preserve"> between the SDP and the national budget. The </w:t>
      </w:r>
      <w:r w:rsidR="001B4EE2">
        <w:t>MoF</w:t>
      </w:r>
      <w:r>
        <w:t xml:space="preserve"> introduced a Development Policy Coordination Mechanism through which the 18 strategic goals in the SDP are now linked directly to each ministry’s annual action plan.</w:t>
      </w:r>
      <w:r w:rsidR="00FC2D20">
        <w:t xml:space="preserve"> </w:t>
      </w:r>
      <w:r>
        <w:t xml:space="preserve">It was agreed </w:t>
      </w:r>
      <w:r w:rsidR="008634F4">
        <w:t>i</w:t>
      </w:r>
      <w:r>
        <w:t xml:space="preserve">n July 2014 that this mechanism would be aligned to the national budget process, which should result in clearer costing of the SDP goals and allocation of adequate resources to line ministries. This should greatly enhance Timor’s ability to manage its development agenda. </w:t>
      </w:r>
    </w:p>
    <w:p w:rsidR="00B8198F" w:rsidRDefault="0000195D" w:rsidP="008634F4">
      <w:pPr>
        <w:pStyle w:val="ListBullet"/>
        <w:numPr>
          <w:ilvl w:val="0"/>
          <w:numId w:val="0"/>
        </w:numPr>
      </w:pPr>
      <w:r>
        <w:t xml:space="preserve">The GoTL still faces challenges </w:t>
      </w:r>
      <w:r w:rsidR="00B8198F">
        <w:t>in implemen</w:t>
      </w:r>
      <w:r>
        <w:t>ting its development goals</w:t>
      </w:r>
      <w:r w:rsidR="00B8198F">
        <w:t xml:space="preserve">. It has achieved progress in security, with the country experiencing a period of peace and stability. </w:t>
      </w:r>
      <w:r w:rsidR="008634F4">
        <w:t xml:space="preserve">It has </w:t>
      </w:r>
      <w:r w:rsidR="00346F84">
        <w:t xml:space="preserve">made headway </w:t>
      </w:r>
      <w:r w:rsidR="00B8198F">
        <w:t>in roads and electricity through heavy investment in infrastructure.</w:t>
      </w:r>
      <w:r w:rsidR="00B8198F" w:rsidRPr="00693A74">
        <w:rPr>
          <w:i/>
        </w:rPr>
        <w:t xml:space="preserve"> </w:t>
      </w:r>
      <w:r w:rsidR="008634F4" w:rsidRPr="008634F4">
        <w:t xml:space="preserve">It has </w:t>
      </w:r>
      <w:r w:rsidR="00346F84">
        <w:t>made</w:t>
      </w:r>
      <w:r w:rsidR="00B8198F">
        <w:t xml:space="preserve"> less progress on improving basic se</w:t>
      </w:r>
      <w:r w:rsidR="00346F84">
        <w:t>rvices, creating jobs, increasing</w:t>
      </w:r>
      <w:r w:rsidR="00B8198F">
        <w:t xml:space="preserve"> productivity, especially in agriculture, and improving the investment </w:t>
      </w:r>
      <w:r w:rsidR="00346F84">
        <w:t xml:space="preserve">environment: these are all areas where progress is required to </w:t>
      </w:r>
      <w:r w:rsidR="00B8198F">
        <w:t>diversify th</w:t>
      </w:r>
      <w:r w:rsidR="00346F84">
        <w:t xml:space="preserve">e economy away from </w:t>
      </w:r>
      <w:r w:rsidR="00B8198F">
        <w:t>reliance on oil and gas.</w:t>
      </w:r>
      <w:r w:rsidR="00346F84">
        <w:t xml:space="preserve"> G</w:t>
      </w:r>
      <w:r w:rsidR="00B8198F">
        <w:t xml:space="preserve">overnment finances are in good shape </w:t>
      </w:r>
      <w:r>
        <w:t>at present</w:t>
      </w:r>
      <w:r w:rsidR="00B8198F">
        <w:t>, but with its reliance on a finite revenue source, Timor needs a balance of quality investment and careful fiscal management to secure sustainable growth and to maximise the impact of its large public investment pro</w:t>
      </w:r>
      <w:r w:rsidR="008634F4">
        <w:t>gram</w:t>
      </w:r>
      <w:r w:rsidR="00B8198F">
        <w:t>.</w:t>
      </w:r>
    </w:p>
    <w:p w:rsidR="00B8198F" w:rsidRDefault="008634F4" w:rsidP="008634F4">
      <w:pPr>
        <w:pStyle w:val="ListBullet"/>
        <w:numPr>
          <w:ilvl w:val="0"/>
          <w:numId w:val="0"/>
        </w:numPr>
      </w:pPr>
      <w:r>
        <w:t xml:space="preserve">Progress on </w:t>
      </w:r>
      <w:r w:rsidR="00B8198F">
        <w:t xml:space="preserve">mutual goals agreed under the </w:t>
      </w:r>
      <w:r w:rsidR="00B8198F" w:rsidRPr="00D3480D">
        <w:rPr>
          <w:i/>
        </w:rPr>
        <w:t>Strategic Partnership for Development</w:t>
      </w:r>
      <w:r w:rsidR="00B8198F">
        <w:t xml:space="preserve"> has been steady. The </w:t>
      </w:r>
      <w:r w:rsidR="007A6ADD">
        <w:t xml:space="preserve">partnership discussions in </w:t>
      </w:r>
      <w:r w:rsidR="00B8198F">
        <w:t>mid-2013 showed we either met or exceeded most areas of mutual agreement</w:t>
      </w:r>
      <w:r>
        <w:t>, especially</w:t>
      </w:r>
      <w:r w:rsidR="00B8198F">
        <w:t xml:space="preserve"> in water, sanitation and hygiene and in agriculture.</w:t>
      </w:r>
      <w:r w:rsidR="00346F84">
        <w:t xml:space="preserve"> Australia</w:t>
      </w:r>
      <w:r w:rsidR="00B8198F">
        <w:t xml:space="preserve"> ha</w:t>
      </w:r>
      <w:r w:rsidR="00346F84">
        <w:t>s</w:t>
      </w:r>
      <w:r w:rsidR="00B8198F">
        <w:t xml:space="preserve"> seen encouraging success in our support to the </w:t>
      </w:r>
      <w:r w:rsidR="001B4EE2">
        <w:t>MoF</w:t>
      </w:r>
      <w:r w:rsidR="00D3480D">
        <w:t xml:space="preserve"> under the work on governance and community driven d</w:t>
      </w:r>
      <w:r w:rsidR="00B8198F">
        <w:t>evelopment.</w:t>
      </w:r>
      <w:r w:rsidR="006F6843">
        <w:t xml:space="preserve"> W</w:t>
      </w:r>
      <w:r>
        <w:t>e have seen less p</w:t>
      </w:r>
      <w:r w:rsidR="00B8198F">
        <w:t xml:space="preserve">rogress </w:t>
      </w:r>
      <w:r>
        <w:t>in</w:t>
      </w:r>
      <w:r w:rsidR="00B8198F">
        <w:t xml:space="preserve"> </w:t>
      </w:r>
      <w:r>
        <w:t xml:space="preserve">mutual goals </w:t>
      </w:r>
      <w:r w:rsidR="006F6843">
        <w:t>in our cooperation with the Ministry of Education</w:t>
      </w:r>
      <w:r w:rsidR="00B8198F">
        <w:t xml:space="preserve">, </w:t>
      </w:r>
      <w:r w:rsidR="006F6843">
        <w:t xml:space="preserve">because of lack of agreement on </w:t>
      </w:r>
      <w:r w:rsidR="00B8198F">
        <w:t>how our support would be delivered.</w:t>
      </w:r>
    </w:p>
    <w:p w:rsidR="00883ADF" w:rsidRPr="00FE2733" w:rsidRDefault="006F6843" w:rsidP="00FE2733">
      <w:pPr>
        <w:pStyle w:val="ListBullet"/>
        <w:numPr>
          <w:ilvl w:val="0"/>
          <w:numId w:val="0"/>
        </w:numPr>
        <w:rPr>
          <w:rFonts w:ascii="Helvetica" w:hAnsi="Helvetica" w:cs="Arial"/>
          <w:color w:val="007FAD"/>
          <w:kern w:val="28"/>
          <w:sz w:val="28"/>
          <w:szCs w:val="28"/>
        </w:rPr>
      </w:pPr>
      <w:r>
        <w:t xml:space="preserve">The development of a new Aid Investment Plan to replace the current </w:t>
      </w:r>
      <w:r w:rsidR="00D3480D">
        <w:t>country s</w:t>
      </w:r>
      <w:r>
        <w:t xml:space="preserve">trategy will provide a good basis for updating mutual goals under the partnership arrangements. Significant redesign work has been undertaken to introduce more flexibility to Australia’s programs and to align the program more closely to improving productivity and participation in Timor-Leste to drive long-term growth away from its current reliance on oil and gas and public investment. </w:t>
      </w:r>
    </w:p>
    <w:p w:rsidR="00AB3D7D" w:rsidRDefault="00AB3D7D" w:rsidP="00AB3D7D">
      <w:pPr>
        <w:pStyle w:val="Heading3"/>
        <w:rPr>
          <w:rStyle w:val="BodyTextChar"/>
          <w:b w:val="0"/>
          <w:color w:val="auto"/>
        </w:rPr>
      </w:pPr>
      <w:r>
        <w:rPr>
          <w:b w:val="0"/>
          <w:color w:val="007FAD"/>
          <w:sz w:val="28"/>
          <w:szCs w:val="28"/>
          <w:lang w:eastAsia="en-AU"/>
        </w:rPr>
        <w:t>Program Quality and Management</w:t>
      </w:r>
      <w:r>
        <w:rPr>
          <w:sz w:val="28"/>
          <w:szCs w:val="28"/>
        </w:rPr>
        <w:t xml:space="preserve"> </w:t>
      </w:r>
    </w:p>
    <w:p w:rsidR="00AB3D7D" w:rsidRDefault="00AB3D7D" w:rsidP="00AB3D7D">
      <w:pPr>
        <w:pStyle w:val="Heading3"/>
      </w:pPr>
      <w:r>
        <w:t>Overview</w:t>
      </w:r>
    </w:p>
    <w:p w:rsidR="00AB3D7D" w:rsidRDefault="00AB3D7D" w:rsidP="00AB3D7D">
      <w:pPr>
        <w:pStyle w:val="BodyText"/>
      </w:pPr>
      <w:r>
        <w:t>The Timor-Les</w:t>
      </w:r>
      <w:r w:rsidR="00FE2733">
        <w:t>te aid p</w:t>
      </w:r>
      <w:r>
        <w:t xml:space="preserve">rogram continued its </w:t>
      </w:r>
      <w:r w:rsidRPr="00FE2733">
        <w:t xml:space="preserve">long-term investment in an Evaluation Capacity Building </w:t>
      </w:r>
      <w:r w:rsidR="009B61CB">
        <w:t xml:space="preserve">(ECB) </w:t>
      </w:r>
      <w:r w:rsidR="00F6357A">
        <w:t>p</w:t>
      </w:r>
      <w:r w:rsidRPr="00FE2733">
        <w:t>rogram</w:t>
      </w:r>
      <w:r>
        <w:t>, to improve the generation and use of credible performance information. This includes systematic appraisals of all key M&amp;E products against DFAT’s M&amp;E Standards; staff training, mentoring, and help desk support based around real tasks they are responsible for; supporting managers to incentivise a focus on M&amp;E; and outreach to implementing partners.</w:t>
      </w:r>
    </w:p>
    <w:p w:rsidR="00AB3D7D" w:rsidRDefault="00880C72" w:rsidP="00AB3D7D">
      <w:pPr>
        <w:pStyle w:val="BodyText"/>
      </w:pPr>
      <w:r>
        <w:rPr>
          <w:noProof/>
        </w:rPr>
        <w:lastRenderedPageBreak/>
        <w:drawing>
          <wp:anchor distT="0" distB="0" distL="114300" distR="114300" simplePos="0" relativeHeight="251699200" behindDoc="0" locked="0" layoutInCell="1" allowOverlap="1" wp14:anchorId="0815C8D6" wp14:editId="46C66739">
            <wp:simplePos x="0" y="0"/>
            <wp:positionH relativeFrom="column">
              <wp:posOffset>15240</wp:posOffset>
            </wp:positionH>
            <wp:positionV relativeFrom="paragraph">
              <wp:posOffset>1250315</wp:posOffset>
            </wp:positionV>
            <wp:extent cx="5200650" cy="2811780"/>
            <wp:effectExtent l="19050" t="19050" r="19050" b="2667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00650" cy="2811780"/>
                    </a:xfrm>
                    <a:prstGeom prst="rect">
                      <a:avLst/>
                    </a:prstGeom>
                    <a:noFill/>
                    <a:ln>
                      <a:solidFill>
                        <a:schemeClr val="accent1">
                          <a:alpha val="95000"/>
                        </a:schemeClr>
                      </a:solidFill>
                    </a:ln>
                  </pic:spPr>
                </pic:pic>
              </a:graphicData>
            </a:graphic>
            <wp14:sizeRelH relativeFrom="page">
              <wp14:pctWidth>0</wp14:pctWidth>
            </wp14:sizeRelH>
            <wp14:sizeRelV relativeFrom="page">
              <wp14:pctHeight>0</wp14:pctHeight>
            </wp14:sizeRelV>
          </wp:anchor>
        </w:drawing>
      </w:r>
      <w:r w:rsidR="00AB3D7D">
        <w:t>Given the scale of design in train,</w:t>
      </w:r>
      <w:r w:rsidR="00FE2733">
        <w:t xml:space="preserve"> support in 2013-14 focused on investment d</w:t>
      </w:r>
      <w:r w:rsidR="009B61CB">
        <w:t>esigns</w:t>
      </w:r>
      <w:r w:rsidR="00AB3D7D">
        <w:t xml:space="preserve"> </w:t>
      </w:r>
      <w:r w:rsidR="00FE2733">
        <w:t>and M&amp;E p</w:t>
      </w:r>
      <w:r w:rsidR="00AB3D7D">
        <w:t xml:space="preserve">lans. A systematic </w:t>
      </w:r>
      <w:r w:rsidR="00AB3D7D" w:rsidRPr="00FE2733">
        <w:t>product appraisal found that the average proportion of DFAT’s M&amp;E standards met or partially met by both products doubled between 2011 and 2013.</w:t>
      </w:r>
      <w:r w:rsidR="00364262" w:rsidRPr="00FE2733">
        <w:rPr>
          <w:rStyle w:val="FootnoteReference"/>
        </w:rPr>
        <w:footnoteReference w:id="2"/>
      </w:r>
      <w:r w:rsidR="00AB3D7D">
        <w:t xml:space="preserve"> Much </w:t>
      </w:r>
      <w:r w:rsidR="00AB3D7D" w:rsidRPr="00F1444F">
        <w:t>work</w:t>
      </w:r>
      <w:r w:rsidR="00AB3D7D">
        <w:t xml:space="preserve"> is</w:t>
      </w:r>
      <w:r w:rsidR="00AB3D7D" w:rsidRPr="00F1444F">
        <w:t xml:space="preserve"> needed to translate these </w:t>
      </w:r>
      <w:r w:rsidR="00FE2733">
        <w:t>designs and M&amp;E plans into progress r</w:t>
      </w:r>
      <w:r w:rsidR="00AB3D7D" w:rsidRPr="00F1444F">
        <w:t xml:space="preserve">eports that </w:t>
      </w:r>
      <w:r w:rsidR="00AB3D7D">
        <w:t>inform better decision-making</w:t>
      </w:r>
      <w:r w:rsidR="00AB3D7D" w:rsidRPr="00F1444F">
        <w:t xml:space="preserve">. </w:t>
      </w:r>
      <w:r w:rsidR="00AB3D7D">
        <w:t>In 2014-15, t</w:t>
      </w:r>
      <w:r w:rsidR="00F6357A">
        <w:t>he ECB p</w:t>
      </w:r>
      <w:r w:rsidR="00AB3D7D" w:rsidRPr="00F1444F">
        <w:t xml:space="preserve">rogram will focus </w:t>
      </w:r>
      <w:r w:rsidR="00FE2733">
        <w:t>on</w:t>
      </w:r>
      <w:r w:rsidR="00AB3D7D" w:rsidRPr="00F1444F">
        <w:t xml:space="preserve"> </w:t>
      </w:r>
      <w:r w:rsidR="00AB3D7D">
        <w:t xml:space="preserve">improving the credibility of </w:t>
      </w:r>
      <w:r w:rsidR="00FE2733">
        <w:t>progress reports, e</w:t>
      </w:r>
      <w:r w:rsidR="00AB3D7D" w:rsidRPr="00F1444F">
        <w:t xml:space="preserve">valuations, and </w:t>
      </w:r>
      <w:r w:rsidR="00AB3D7D">
        <w:t xml:space="preserve">DFAT’s </w:t>
      </w:r>
      <w:r w:rsidR="00FE2733">
        <w:t>m</w:t>
      </w:r>
      <w:r w:rsidR="00AB3D7D" w:rsidRPr="00F1444F">
        <w:t xml:space="preserve">onitoring </w:t>
      </w:r>
      <w:r w:rsidR="00FE2733">
        <w:t>v</w:t>
      </w:r>
      <w:r w:rsidR="00AB3D7D" w:rsidRPr="00F1444F">
        <w:t>isit</w:t>
      </w:r>
      <w:r w:rsidR="00AB3D7D">
        <w:t>s.</w:t>
      </w:r>
    </w:p>
    <w:p w:rsidR="00AB3D7D" w:rsidRDefault="00AB3D7D" w:rsidP="00AB3D7D">
      <w:pPr>
        <w:pStyle w:val="BodyText"/>
      </w:pPr>
      <w:r>
        <w:t xml:space="preserve">Reflecting </w:t>
      </w:r>
      <w:r w:rsidRPr="00FE2733">
        <w:t>ongoing consolidation</w:t>
      </w:r>
      <w:r w:rsidR="00FE2733">
        <w:t xml:space="preserve"> in the Timor-Leste program</w:t>
      </w:r>
      <w:r>
        <w:t>, the n</w:t>
      </w:r>
      <w:r w:rsidR="00FE2733">
        <w:t>umber of investments fell by 22 per cent</w:t>
      </w:r>
      <w:r>
        <w:t xml:space="preserve"> between </w:t>
      </w:r>
      <w:r w:rsidR="00E42816">
        <w:t xml:space="preserve">2012-13 and </w:t>
      </w:r>
      <w:r>
        <w:t>2013-14. This will conti</w:t>
      </w:r>
      <w:r w:rsidR="00FE2733">
        <w:t>nue to fall in 2014-15, as the p</w:t>
      </w:r>
      <w:r>
        <w:t>rogram is re-shaped arou</w:t>
      </w:r>
      <w:r w:rsidR="00E42816">
        <w:t>nd the</w:t>
      </w:r>
      <w:r>
        <w:t xml:space="preserve"> </w:t>
      </w:r>
      <w:r w:rsidR="00E42816">
        <w:t xml:space="preserve">three </w:t>
      </w:r>
      <w:r>
        <w:t>strategic objectives of the new Aid Investment Plan.</w:t>
      </w:r>
    </w:p>
    <w:p w:rsidR="00AB3D7D" w:rsidRDefault="00AB3D7D" w:rsidP="00AB3D7D">
      <w:pPr>
        <w:pStyle w:val="BodyText"/>
      </w:pPr>
      <w:r>
        <w:t xml:space="preserve">Independent </w:t>
      </w:r>
      <w:r w:rsidRPr="00FE2733">
        <w:t>evaluations</w:t>
      </w:r>
      <w:r>
        <w:t xml:space="preserve"> planned for 2013-14 occurred as planned, apart from the National Health Sector Strategic Plan Support Program, for which Australia participated in an evaluation led by the World Bank implementing team.</w:t>
      </w:r>
      <w:r w:rsidRPr="00CC7B1C">
        <w:rPr>
          <w:i/>
        </w:rPr>
        <w:t xml:space="preserve"> </w:t>
      </w:r>
    </w:p>
    <w:p w:rsidR="00AB3D7D" w:rsidRDefault="00AB3D7D" w:rsidP="00AB3D7D">
      <w:pPr>
        <w:pStyle w:val="Heading3"/>
      </w:pPr>
      <w:r>
        <w:t>Analysis of Quality at Implementation Reports</w:t>
      </w:r>
    </w:p>
    <w:p w:rsidR="00AB3D7D" w:rsidRDefault="00AB3D7D" w:rsidP="00FE2733">
      <w:pPr>
        <w:pStyle w:val="BodyText"/>
      </w:pPr>
      <w:r>
        <w:t xml:space="preserve">Investment quality ratings show </w:t>
      </w:r>
      <w:r w:rsidR="00FE2733">
        <w:t>the p</w:t>
      </w:r>
      <w:r>
        <w:t>rogram maint</w:t>
      </w:r>
      <w:r w:rsidR="00FE2733">
        <w:t xml:space="preserve">ained the dramatic reduction in </w:t>
      </w:r>
      <w:r>
        <w:t xml:space="preserve">underperforming investments achieved last year. In addition, purposeful efforts </w:t>
      </w:r>
      <w:r w:rsidR="00FE2733">
        <w:t>M&amp;E</w:t>
      </w:r>
      <w:r>
        <w:t xml:space="preserve"> and gender saw increases in the proportion of investments rated very highly. However, across all criteria, there remains scope to extend several investments from adequate to high performance.</w:t>
      </w:r>
    </w:p>
    <w:p w:rsidR="00714858" w:rsidRDefault="00AB3D7D" w:rsidP="00FE2733">
      <w:pPr>
        <w:pStyle w:val="BodyText"/>
      </w:pPr>
      <w:r w:rsidRPr="00FE2733">
        <w:t>Portfolio relevance remained strong, in stark contrast to two years ago.</w:t>
      </w:r>
      <w:r>
        <w:t xml:space="preserve"> This reflects a suite of recent investment designs with in-built flexibility to adapt to changes in the operating environment. The few investments deemed of low relevance will end in 2014, or be re-designed.</w:t>
      </w:r>
    </w:p>
    <w:p w:rsidR="00880C72" w:rsidRDefault="00880C72" w:rsidP="008D2E38">
      <w:pPr>
        <w:pStyle w:val="BodyText"/>
      </w:pPr>
      <w:r>
        <w:rPr>
          <w:noProof/>
        </w:rPr>
        <w:lastRenderedPageBreak/>
        <w:drawing>
          <wp:anchor distT="0" distB="0" distL="114300" distR="114300" simplePos="0" relativeHeight="251698176" behindDoc="0" locked="0" layoutInCell="1" allowOverlap="1" wp14:anchorId="4472D95D" wp14:editId="05098E98">
            <wp:simplePos x="0" y="0"/>
            <wp:positionH relativeFrom="column">
              <wp:posOffset>-13335</wp:posOffset>
            </wp:positionH>
            <wp:positionV relativeFrom="paragraph">
              <wp:posOffset>704850</wp:posOffset>
            </wp:positionV>
            <wp:extent cx="3990340" cy="2543175"/>
            <wp:effectExtent l="19050" t="19050" r="10160" b="28575"/>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90340" cy="2543175"/>
                    </a:xfrm>
                    <a:prstGeom prst="rect">
                      <a:avLst/>
                    </a:prstGeom>
                    <a:noFill/>
                    <a:ln>
                      <a:solidFill>
                        <a:schemeClr val="accent1">
                          <a:alpha val="95000"/>
                        </a:schemeClr>
                      </a:solidFill>
                    </a:ln>
                  </pic:spPr>
                </pic:pic>
              </a:graphicData>
            </a:graphic>
            <wp14:sizeRelH relativeFrom="page">
              <wp14:pctWidth>0</wp14:pctWidth>
            </wp14:sizeRelH>
            <wp14:sizeRelV relativeFrom="page">
              <wp14:pctHeight>0</wp14:pctHeight>
            </wp14:sizeRelV>
          </wp:anchor>
        </w:drawing>
      </w:r>
      <w:r w:rsidR="00364262" w:rsidRPr="00FE2733">
        <w:t xml:space="preserve">Recent improvements in effectiveness were also maintained. </w:t>
      </w:r>
      <w:r w:rsidR="00364262">
        <w:t xml:space="preserve">Whereas over half of the investments in 2011 were </w:t>
      </w:r>
      <w:r w:rsidR="00364262" w:rsidRPr="004F55AB">
        <w:t>rated unsatisfactory</w:t>
      </w:r>
      <w:r w:rsidR="00FE2733">
        <w:t>, this is now at 11 per cent</w:t>
      </w:r>
      <w:r w:rsidR="00364262" w:rsidRPr="004F55AB">
        <w:t xml:space="preserve">. </w:t>
      </w:r>
      <w:r w:rsidR="00364262">
        <w:t>Half of the portfolio was rated 4, showing opportunities for improvement.</w:t>
      </w:r>
      <w:r>
        <w:t xml:space="preserve"> </w:t>
      </w:r>
    </w:p>
    <w:p w:rsidR="00AB3D7D" w:rsidRDefault="00880C72" w:rsidP="008D2E38">
      <w:pPr>
        <w:pStyle w:val="BodyText"/>
      </w:pPr>
      <w:r>
        <w:t>I</w:t>
      </w:r>
      <w:r w:rsidR="00AB3D7D" w:rsidRPr="00FE2733">
        <w:t>nvestment efficiency</w:t>
      </w:r>
      <w:r w:rsidR="005D5AD4">
        <w:t xml:space="preserve"> and M&amp;E</w:t>
      </w:r>
      <w:r w:rsidR="00AB3D7D" w:rsidRPr="00FE2733">
        <w:t xml:space="preserve"> also improved, but still have a long way to go.</w:t>
      </w:r>
      <w:r w:rsidR="00AB3D7D">
        <w:t xml:space="preserve"> The proportion of inefficient </w:t>
      </w:r>
      <w:r w:rsidR="00FE2733">
        <w:t>investments</w:t>
      </w:r>
      <w:r w:rsidR="00AB3D7D">
        <w:t xml:space="preserve"> dropped by about two thirds over the past two years, while the proportion of investments with weak </w:t>
      </w:r>
      <w:r w:rsidR="00FE2733">
        <w:t>M&amp;E</w:t>
      </w:r>
      <w:r w:rsidR="00AB3D7D">
        <w:t xml:space="preserve"> dropped by about half. </w:t>
      </w:r>
      <w:r w:rsidR="00AB3D7D" w:rsidRPr="004F55AB">
        <w:t>However, the</w:t>
      </w:r>
      <w:r w:rsidR="00AB3D7D">
        <w:t xml:space="preserve">re are still too few </w:t>
      </w:r>
      <w:r w:rsidR="00FE2733">
        <w:t>investments</w:t>
      </w:r>
      <w:r w:rsidR="00AB3D7D">
        <w:t xml:space="preserve"> with high ratings</w:t>
      </w:r>
      <w:r w:rsidR="00FE2733">
        <w:t xml:space="preserve"> for either criterion (about 10 per cent and 20 per cent</w:t>
      </w:r>
      <w:r w:rsidR="00AB3D7D">
        <w:t xml:space="preserve"> respectively). M&amp;E </w:t>
      </w:r>
      <w:r w:rsidR="005D5AD4">
        <w:t>s</w:t>
      </w:r>
      <w:r w:rsidR="00AB3D7D">
        <w:t>ystems that benefited from systematic ap</w:t>
      </w:r>
      <w:r w:rsidR="009B61CB">
        <w:t xml:space="preserve">praisals under the ECB </w:t>
      </w:r>
      <w:r w:rsidR="00F6357A">
        <w:t>p</w:t>
      </w:r>
      <w:r w:rsidR="009B61CB">
        <w:t xml:space="preserve">rogram </w:t>
      </w:r>
      <w:r w:rsidR="00AB3D7D">
        <w:t>rated best.</w:t>
      </w:r>
    </w:p>
    <w:p w:rsidR="00AB3D7D" w:rsidRDefault="00AB3D7D" w:rsidP="00FE2733">
      <w:pPr>
        <w:pStyle w:val="BodyText"/>
      </w:pPr>
      <w:r w:rsidRPr="00FE2733">
        <w:t>Investment sustainability has slightly deteriorated after major gains last year</w:t>
      </w:r>
      <w:r w:rsidRPr="004F55AB">
        <w:t>.</w:t>
      </w:r>
      <w:r w:rsidRPr="00FE2733">
        <w:t xml:space="preserve"> </w:t>
      </w:r>
      <w:r>
        <w:t xml:space="preserve">About a third of initiatives are considered unsustainable – a major improvement on 2011, but worse than 2012, and still too high. Forty-two percent </w:t>
      </w:r>
      <w:r w:rsidRPr="004F55AB">
        <w:t xml:space="preserve">of initiatives are </w:t>
      </w:r>
      <w:r>
        <w:t xml:space="preserve">considered </w:t>
      </w:r>
      <w:r w:rsidRPr="004F55AB">
        <w:t>moderately sustainable.</w:t>
      </w:r>
    </w:p>
    <w:p w:rsidR="00AB3D7D" w:rsidRDefault="00AB3D7D" w:rsidP="00FE2733">
      <w:pPr>
        <w:pStyle w:val="BodyText"/>
      </w:pPr>
      <w:r w:rsidRPr="00FE2733">
        <w:t>There was good progress on gender, but still a way to go.</w:t>
      </w:r>
      <w:r>
        <w:t xml:space="preserve"> </w:t>
      </w:r>
      <w:r w:rsidRPr="004F55AB">
        <w:t xml:space="preserve">In 2012, there was a significant reduction in unsatisfactory </w:t>
      </w:r>
      <w:r w:rsidR="00FE2733">
        <w:t>investments</w:t>
      </w:r>
      <w:r w:rsidRPr="004F55AB">
        <w:t xml:space="preserve">, and this remained steady in 2013. There was also a marked increase in highly rated </w:t>
      </w:r>
      <w:r w:rsidR="00FE2733">
        <w:t>investments this year, to 42 per cent</w:t>
      </w:r>
      <w:r w:rsidRPr="004F55AB">
        <w:t xml:space="preserve">. </w:t>
      </w:r>
      <w:r w:rsidR="00FE2733">
        <w:t>Investments</w:t>
      </w:r>
      <w:r w:rsidRPr="004F55AB">
        <w:t xml:space="preserve"> r</w:t>
      </w:r>
      <w:r w:rsidR="00FE2733">
        <w:t>ated adequate decreased from 30 per cent to 21 per cent</w:t>
      </w:r>
      <w:r w:rsidRPr="004F55AB">
        <w:t>.</w:t>
      </w:r>
    </w:p>
    <w:p w:rsidR="006C4F1D" w:rsidRDefault="00AB3D7D" w:rsidP="008D2E38">
      <w:pPr>
        <w:pStyle w:val="BodyText"/>
      </w:pPr>
      <w:r w:rsidRPr="00FE2733">
        <w:t>There are no ‘Investments Requiring Improvement’ in the portfolio, but there are some weak performers.</w:t>
      </w:r>
      <w:r>
        <w:t xml:space="preserve"> Across all criteria, t</w:t>
      </w:r>
      <w:r w:rsidRPr="004F55AB">
        <w:t xml:space="preserve">he </w:t>
      </w:r>
      <w:r>
        <w:t>most disappointing was the World Bank administered Health Sector Support Program, to which Australia will provide no further funding.</w:t>
      </w:r>
      <w:r w:rsidRPr="00061C80">
        <w:t xml:space="preserve"> </w:t>
      </w:r>
      <w:r>
        <w:t>All investments rated unsatisfactory for more than one criterion will end or be re-designed in 2014.</w:t>
      </w:r>
    </w:p>
    <w:p w:rsidR="00AB3D7D" w:rsidRDefault="00AB3D7D" w:rsidP="00AB3D7D">
      <w:pPr>
        <w:pStyle w:val="Heading3"/>
      </w:pPr>
      <w:r>
        <w:t>Performance of Key Delivery Partners</w:t>
      </w:r>
    </w:p>
    <w:p w:rsidR="00AB3D7D" w:rsidRPr="00FE2733" w:rsidRDefault="00AB3D7D" w:rsidP="00AB3D7D">
      <w:pPr>
        <w:pStyle w:val="BodyText"/>
      </w:pPr>
      <w:r w:rsidRPr="00FE2733">
        <w:t xml:space="preserve">In 2013-14, Australia instituted two country-level arrangements for engaging the World Bank and </w:t>
      </w:r>
      <w:r w:rsidR="00FE2733">
        <w:t>TAF</w:t>
      </w:r>
      <w:r w:rsidRPr="00FE2733">
        <w:t xml:space="preserve"> at a more strategic level, rather than on an investment by investment basis. Priorities are agreed and progress reviewed through country level governance bodies. This has been a welcome shift away from project-level recipient-executed trust funds with the World Bank, to which no further funding disbursements are planned. </w:t>
      </w:r>
    </w:p>
    <w:p w:rsidR="00AB3D7D" w:rsidRPr="00FE2733" w:rsidRDefault="00AB3D7D" w:rsidP="00AB3D7D">
      <w:pPr>
        <w:pStyle w:val="BodyText"/>
        <w:rPr>
          <w:rFonts w:cs="Calibri"/>
          <w:szCs w:val="21"/>
        </w:rPr>
      </w:pPr>
      <w:r w:rsidRPr="00FE2733">
        <w:rPr>
          <w:rFonts w:cs="Calibri"/>
          <w:szCs w:val="21"/>
        </w:rPr>
        <w:t xml:space="preserve">Australia and Timor-Leste agreed to a direct budget support program with </w:t>
      </w:r>
      <w:r w:rsidR="00FE2733">
        <w:rPr>
          <w:rFonts w:cs="Calibri"/>
          <w:szCs w:val="21"/>
        </w:rPr>
        <w:t xml:space="preserve">the </w:t>
      </w:r>
      <w:r w:rsidR="001B4EE2">
        <w:rPr>
          <w:rFonts w:cs="Calibri"/>
          <w:szCs w:val="21"/>
        </w:rPr>
        <w:t>MoF</w:t>
      </w:r>
      <w:r w:rsidRPr="00FE2733">
        <w:rPr>
          <w:rFonts w:cs="Calibri"/>
          <w:szCs w:val="21"/>
        </w:rPr>
        <w:t>. Funding is provided on the basis of MoF delivering on its output targets, drawn directly from its strategic plan. This has changed the conversation from what sort of adviser Australia will hire, to how the Ministry is progressing on their own reforms.</w:t>
      </w:r>
    </w:p>
    <w:p w:rsidR="007B5E12" w:rsidRPr="007B5E12" w:rsidRDefault="00AB3D7D" w:rsidP="002872AF">
      <w:pPr>
        <w:pStyle w:val="BodyText"/>
      </w:pPr>
      <w:r w:rsidRPr="00FE2733">
        <w:rPr>
          <w:rFonts w:cs="Calibri"/>
          <w:szCs w:val="21"/>
        </w:rPr>
        <w:lastRenderedPageBreak/>
        <w:t xml:space="preserve">QAI efficiency scores show good program management by delivery partners for most investments, particularly managing contractors and larger NGOs. </w:t>
      </w:r>
      <w:r w:rsidR="00FE691A">
        <w:rPr>
          <w:rFonts w:cs="Calibri"/>
          <w:szCs w:val="21"/>
        </w:rPr>
        <w:t>But</w:t>
      </w:r>
      <w:r w:rsidRPr="00FE2733">
        <w:rPr>
          <w:rFonts w:cs="Calibri"/>
          <w:szCs w:val="21"/>
        </w:rPr>
        <w:t xml:space="preserve"> there were major concerns about </w:t>
      </w:r>
      <w:r w:rsidR="00FE691A">
        <w:rPr>
          <w:rFonts w:cs="Calibri"/>
          <w:szCs w:val="21"/>
        </w:rPr>
        <w:t>three partners. T</w:t>
      </w:r>
      <w:r w:rsidRPr="00FE2733">
        <w:rPr>
          <w:rFonts w:cs="Calibri"/>
          <w:szCs w:val="21"/>
        </w:rPr>
        <w:t>he World Food Program</w:t>
      </w:r>
      <w:r w:rsidR="00FE691A">
        <w:rPr>
          <w:rFonts w:cs="Calibri"/>
          <w:szCs w:val="21"/>
        </w:rPr>
        <w:t xml:space="preserve"> was unable to demonstrate results in reducing malnutrition</w:t>
      </w:r>
      <w:r w:rsidRPr="00FE2733">
        <w:rPr>
          <w:rFonts w:cs="Calibri"/>
          <w:szCs w:val="21"/>
        </w:rPr>
        <w:t xml:space="preserve"> (investment now complete)</w:t>
      </w:r>
      <w:r w:rsidR="00FE691A">
        <w:rPr>
          <w:rFonts w:cs="Calibri"/>
          <w:szCs w:val="21"/>
        </w:rPr>
        <w:t>.</w:t>
      </w:r>
      <w:r w:rsidRPr="00FE2733">
        <w:rPr>
          <w:rFonts w:cs="Calibri"/>
          <w:szCs w:val="21"/>
        </w:rPr>
        <w:t xml:space="preserve"> </w:t>
      </w:r>
      <w:r w:rsidR="00FE691A">
        <w:rPr>
          <w:rFonts w:cs="Calibri"/>
          <w:szCs w:val="21"/>
        </w:rPr>
        <w:t>T</w:t>
      </w:r>
      <w:r w:rsidRPr="00FE2733">
        <w:rPr>
          <w:rFonts w:cs="Calibri"/>
          <w:szCs w:val="21"/>
        </w:rPr>
        <w:t xml:space="preserve">he </w:t>
      </w:r>
      <w:r w:rsidR="00FE691A">
        <w:t xml:space="preserve">implementing capacity of the </w:t>
      </w:r>
      <w:r w:rsidR="00FE2733">
        <w:t>World Bank’s recipient-</w:t>
      </w:r>
      <w:r w:rsidRPr="00FE2733">
        <w:t xml:space="preserve">executed trust fund in health </w:t>
      </w:r>
      <w:r w:rsidR="00FE691A">
        <w:t xml:space="preserve">was weak </w:t>
      </w:r>
      <w:r w:rsidRPr="00FE2733">
        <w:t>(no further funds will be provided)</w:t>
      </w:r>
      <w:r w:rsidR="00FE691A">
        <w:t xml:space="preserve">. </w:t>
      </w:r>
      <w:r w:rsidR="009E7801">
        <w:t>Finally t</w:t>
      </w:r>
      <w:r w:rsidRPr="00FE2733">
        <w:t>he</w:t>
      </w:r>
      <w:r w:rsidR="00FE691A">
        <w:t>re were issues with the</w:t>
      </w:r>
      <w:r w:rsidRPr="00FE2733">
        <w:t xml:space="preserve"> </w:t>
      </w:r>
      <w:r w:rsidR="007B5E12">
        <w:t>management and sustainability</w:t>
      </w:r>
      <w:r w:rsidR="00FE691A">
        <w:t xml:space="preserve"> of the </w:t>
      </w:r>
      <w:r w:rsidRPr="00FE2733">
        <w:t>Royal Australasian College of Surgeons</w:t>
      </w:r>
      <w:r w:rsidR="00FE691A">
        <w:t>’ work</w:t>
      </w:r>
      <w:r w:rsidR="007B5E12">
        <w:t>, which have</w:t>
      </w:r>
      <w:r w:rsidR="00E61149">
        <w:t xml:space="preserve"> </w:t>
      </w:r>
      <w:r w:rsidRPr="00FE2733">
        <w:t xml:space="preserve">since </w:t>
      </w:r>
      <w:r w:rsidR="009E7801">
        <w:t xml:space="preserve">been </w:t>
      </w:r>
      <w:r w:rsidRPr="00FE2733">
        <w:t>addres</w:t>
      </w:r>
      <w:r w:rsidR="009E7801">
        <w:t>sed through a re-design process</w:t>
      </w:r>
      <w:r w:rsidRPr="00FE2733">
        <w:t>.</w:t>
      </w:r>
      <w:r w:rsidR="007B5E12">
        <w:t xml:space="preserve"> </w:t>
      </w:r>
    </w:p>
    <w:p w:rsidR="0062052E" w:rsidRDefault="0062052E" w:rsidP="0062052E">
      <w:pPr>
        <w:pStyle w:val="Heading3"/>
      </w:pPr>
      <w:r>
        <w:t>Risks</w:t>
      </w:r>
    </w:p>
    <w:p w:rsidR="0062052E" w:rsidRDefault="0062052E" w:rsidP="0062052E">
      <w:pPr>
        <w:pStyle w:val="Caption"/>
      </w:pPr>
      <w:r>
        <w:t>Table 3 Management of key risks to achieving objectives</w:t>
      </w:r>
    </w:p>
    <w:tbl>
      <w:tblPr>
        <w:tblStyle w:val="APPR"/>
        <w:tblW w:w="5000" w:type="pct"/>
        <w:tblLook w:val="0600" w:firstRow="0" w:lastRow="0" w:firstColumn="0" w:lastColumn="0" w:noHBand="1" w:noVBand="1"/>
      </w:tblPr>
      <w:tblGrid>
        <w:gridCol w:w="2679"/>
        <w:gridCol w:w="3266"/>
        <w:gridCol w:w="3354"/>
      </w:tblGrid>
      <w:tr w:rsidR="0062052E" w:rsidTr="0062052E">
        <w:tc>
          <w:tcPr>
            <w:tcW w:w="2422" w:type="dxa"/>
            <w:tcBorders>
              <w:top w:val="nil"/>
              <w:left w:val="nil"/>
              <w:bottom w:val="nil"/>
              <w:right w:val="nil"/>
            </w:tcBorders>
            <w:hideMark/>
          </w:tcPr>
          <w:p w:rsidR="0062052E" w:rsidRDefault="0062052E">
            <w:pPr>
              <w:pStyle w:val="TableTextColumnHeading"/>
              <w:framePr w:wrap="around"/>
            </w:pPr>
            <w:r>
              <w:t>Key risks</w:t>
            </w:r>
          </w:p>
        </w:tc>
        <w:tc>
          <w:tcPr>
            <w:tcW w:w="2974" w:type="dxa"/>
            <w:tcBorders>
              <w:top w:val="nil"/>
              <w:left w:val="nil"/>
              <w:bottom w:val="nil"/>
              <w:right w:val="nil"/>
            </w:tcBorders>
            <w:hideMark/>
          </w:tcPr>
          <w:p w:rsidR="0062052E" w:rsidRDefault="0062052E">
            <w:pPr>
              <w:pStyle w:val="TableTextColumnHeading"/>
              <w:framePr w:wrap="around"/>
            </w:pPr>
            <w:r>
              <w:t>What actions were taken to manage the risks over the past year?</w:t>
            </w:r>
          </w:p>
        </w:tc>
        <w:tc>
          <w:tcPr>
            <w:tcW w:w="3042" w:type="dxa"/>
            <w:tcBorders>
              <w:top w:val="nil"/>
              <w:left w:val="nil"/>
              <w:bottom w:val="nil"/>
              <w:right w:val="nil"/>
            </w:tcBorders>
            <w:hideMark/>
          </w:tcPr>
          <w:p w:rsidR="0062052E" w:rsidRDefault="0062052E">
            <w:pPr>
              <w:pStyle w:val="TableTextColumnHeading"/>
              <w:framePr w:wrap="around"/>
            </w:pPr>
            <w:r>
              <w:t>What further actions will be taken to manage the risks in the coming year?</w:t>
            </w:r>
          </w:p>
        </w:tc>
      </w:tr>
    </w:tbl>
    <w:tbl>
      <w:tblPr>
        <w:tblStyle w:val="APPR"/>
        <w:tblW w:w="5000" w:type="pct"/>
        <w:tblLook w:val="0600" w:firstRow="0" w:lastRow="0" w:firstColumn="0" w:lastColumn="0" w:noHBand="1" w:noVBand="1"/>
      </w:tblPr>
      <w:tblGrid>
        <w:gridCol w:w="2679"/>
        <w:gridCol w:w="3266"/>
        <w:gridCol w:w="3354"/>
      </w:tblGrid>
      <w:tr w:rsidR="0062052E" w:rsidTr="0062052E">
        <w:tc>
          <w:tcPr>
            <w:tcW w:w="2487" w:type="dxa"/>
            <w:tcBorders>
              <w:top w:val="nil"/>
              <w:left w:val="nil"/>
              <w:bottom w:val="nil"/>
              <w:right w:val="nil"/>
            </w:tcBorders>
            <w:hideMark/>
          </w:tcPr>
          <w:p w:rsidR="0062052E" w:rsidRPr="00FE2733" w:rsidRDefault="00DC46EF" w:rsidP="00DC46EF">
            <w:pPr>
              <w:pStyle w:val="ListBullet"/>
              <w:numPr>
                <w:ilvl w:val="0"/>
                <w:numId w:val="0"/>
              </w:numPr>
              <w:tabs>
                <w:tab w:val="left" w:pos="0"/>
              </w:tabs>
              <w:spacing w:after="0" w:line="240" w:lineRule="auto"/>
              <w:rPr>
                <w:sz w:val="18"/>
                <w:szCs w:val="18"/>
              </w:rPr>
            </w:pPr>
            <w:r>
              <w:rPr>
                <w:sz w:val="18"/>
                <w:szCs w:val="18"/>
              </w:rPr>
              <w:t>Political change</w:t>
            </w:r>
            <w:r w:rsidR="0062052E" w:rsidRPr="00FE2733">
              <w:rPr>
                <w:sz w:val="18"/>
                <w:szCs w:val="18"/>
              </w:rPr>
              <w:t xml:space="preserve"> </w:t>
            </w:r>
            <w:r>
              <w:rPr>
                <w:sz w:val="18"/>
                <w:szCs w:val="18"/>
              </w:rPr>
              <w:t>leads to</w:t>
            </w:r>
            <w:r w:rsidR="0062052E" w:rsidRPr="00FE2733">
              <w:rPr>
                <w:sz w:val="18"/>
                <w:szCs w:val="18"/>
              </w:rPr>
              <w:t xml:space="preserve"> delays to implementation</w:t>
            </w:r>
          </w:p>
        </w:tc>
        <w:tc>
          <w:tcPr>
            <w:tcW w:w="3054" w:type="dxa"/>
            <w:tcBorders>
              <w:top w:val="nil"/>
              <w:left w:val="nil"/>
              <w:bottom w:val="nil"/>
              <w:right w:val="nil"/>
            </w:tcBorders>
            <w:hideMark/>
          </w:tcPr>
          <w:p w:rsidR="0062052E" w:rsidRPr="00FE2733" w:rsidRDefault="0062052E">
            <w:pPr>
              <w:pStyle w:val="TableTextEntries"/>
              <w:rPr>
                <w:sz w:val="18"/>
                <w:szCs w:val="18"/>
              </w:rPr>
            </w:pPr>
            <w:r w:rsidRPr="00FE2733">
              <w:rPr>
                <w:rFonts w:cs="Calibri"/>
                <w:sz w:val="18"/>
                <w:szCs w:val="18"/>
              </w:rPr>
              <w:t xml:space="preserve">Broad and continuous engagement with counterpart ministries </w:t>
            </w:r>
            <w:r w:rsidR="00077436" w:rsidRPr="00FE2733">
              <w:rPr>
                <w:rFonts w:cs="Calibri"/>
                <w:sz w:val="18"/>
                <w:szCs w:val="18"/>
              </w:rPr>
              <w:t xml:space="preserve">at a range of levels </w:t>
            </w:r>
            <w:r w:rsidRPr="00FE2733">
              <w:rPr>
                <w:rFonts w:cs="Calibri"/>
                <w:sz w:val="18"/>
                <w:szCs w:val="18"/>
              </w:rPr>
              <w:t>to maintain shared understanding.</w:t>
            </w:r>
            <w:r w:rsidR="00FC2D20" w:rsidRPr="00FE2733">
              <w:rPr>
                <w:rFonts w:cs="Calibri"/>
                <w:sz w:val="18"/>
                <w:szCs w:val="18"/>
              </w:rPr>
              <w:t xml:space="preserve"> </w:t>
            </w:r>
          </w:p>
        </w:tc>
        <w:tc>
          <w:tcPr>
            <w:tcW w:w="3124" w:type="dxa"/>
            <w:tcBorders>
              <w:top w:val="nil"/>
              <w:left w:val="nil"/>
              <w:bottom w:val="nil"/>
              <w:right w:val="nil"/>
            </w:tcBorders>
            <w:hideMark/>
          </w:tcPr>
          <w:p w:rsidR="0062052E" w:rsidRPr="00FE2733" w:rsidRDefault="0062052E">
            <w:pPr>
              <w:pStyle w:val="TableTextEntries"/>
              <w:rPr>
                <w:sz w:val="18"/>
                <w:szCs w:val="18"/>
              </w:rPr>
            </w:pPr>
            <w:r w:rsidRPr="00FE2733">
              <w:rPr>
                <w:rFonts w:cs="Calibri"/>
                <w:color w:val="000000"/>
                <w:sz w:val="18"/>
                <w:szCs w:val="18"/>
              </w:rPr>
              <w:t>Continue existing measures. Aid Program to be aware and ready to respond to change in circumstances.</w:t>
            </w:r>
          </w:p>
        </w:tc>
      </w:tr>
      <w:tr w:rsidR="0062052E" w:rsidTr="0062052E">
        <w:tc>
          <w:tcPr>
            <w:tcW w:w="2487" w:type="dxa"/>
            <w:tcBorders>
              <w:top w:val="nil"/>
              <w:left w:val="nil"/>
              <w:bottom w:val="nil"/>
              <w:right w:val="nil"/>
            </w:tcBorders>
            <w:hideMark/>
          </w:tcPr>
          <w:p w:rsidR="0062052E" w:rsidRPr="00FE2733" w:rsidRDefault="0062052E">
            <w:pPr>
              <w:pStyle w:val="TableTextEntries"/>
              <w:rPr>
                <w:sz w:val="18"/>
                <w:szCs w:val="18"/>
              </w:rPr>
            </w:pPr>
            <w:r w:rsidRPr="00FE2733">
              <w:rPr>
                <w:rFonts w:cs="Calibri"/>
                <w:sz w:val="18"/>
                <w:szCs w:val="18"/>
              </w:rPr>
              <w:t xml:space="preserve">Lack of role/budget clarity in GoTL causes delays and poor or unsustainable results </w:t>
            </w:r>
          </w:p>
        </w:tc>
        <w:tc>
          <w:tcPr>
            <w:tcW w:w="3054" w:type="dxa"/>
            <w:tcBorders>
              <w:top w:val="nil"/>
              <w:left w:val="nil"/>
              <w:bottom w:val="nil"/>
              <w:right w:val="nil"/>
            </w:tcBorders>
            <w:hideMark/>
          </w:tcPr>
          <w:p w:rsidR="0062052E" w:rsidRPr="00FE2733" w:rsidRDefault="0062052E">
            <w:pPr>
              <w:pStyle w:val="TableTextEntries"/>
              <w:rPr>
                <w:sz w:val="18"/>
                <w:szCs w:val="18"/>
              </w:rPr>
            </w:pPr>
            <w:r w:rsidRPr="00FE2733">
              <w:rPr>
                <w:rFonts w:cs="Calibri"/>
                <w:sz w:val="18"/>
                <w:szCs w:val="18"/>
              </w:rPr>
              <w:t xml:space="preserve">Targeted policy engagement around the annual budget processing key ministries. Identification of opportunities for </w:t>
            </w:r>
            <w:r w:rsidR="00FC2D20" w:rsidRPr="00FE2733">
              <w:rPr>
                <w:rFonts w:cs="Calibri"/>
                <w:sz w:val="18"/>
                <w:szCs w:val="18"/>
              </w:rPr>
              <w:t>GfD</w:t>
            </w:r>
            <w:r w:rsidRPr="00FE2733">
              <w:rPr>
                <w:rFonts w:cs="Calibri"/>
                <w:sz w:val="18"/>
                <w:szCs w:val="18"/>
              </w:rPr>
              <w:t xml:space="preserve"> and sector programs to promote coordination between MoF and line ministries.</w:t>
            </w:r>
          </w:p>
        </w:tc>
        <w:tc>
          <w:tcPr>
            <w:tcW w:w="3124" w:type="dxa"/>
            <w:tcBorders>
              <w:top w:val="nil"/>
              <w:left w:val="nil"/>
              <w:bottom w:val="nil"/>
              <w:right w:val="nil"/>
            </w:tcBorders>
            <w:hideMark/>
          </w:tcPr>
          <w:p w:rsidR="0062052E" w:rsidRPr="00FE2733" w:rsidRDefault="0062052E">
            <w:pPr>
              <w:pStyle w:val="TableTextEntries"/>
              <w:rPr>
                <w:sz w:val="18"/>
                <w:szCs w:val="18"/>
              </w:rPr>
            </w:pPr>
            <w:r w:rsidRPr="00FE2733">
              <w:rPr>
                <w:sz w:val="18"/>
                <w:szCs w:val="18"/>
              </w:rPr>
              <w:t xml:space="preserve">Continue policy engagement in budget process, drawing on lessons. Deliver on coordination priorities between </w:t>
            </w:r>
            <w:r w:rsidR="00FC2D20" w:rsidRPr="00FE2733">
              <w:rPr>
                <w:sz w:val="18"/>
                <w:szCs w:val="18"/>
              </w:rPr>
              <w:t>GfD</w:t>
            </w:r>
            <w:r w:rsidRPr="00FE2733">
              <w:rPr>
                <w:sz w:val="18"/>
                <w:szCs w:val="18"/>
              </w:rPr>
              <w:t xml:space="preserve"> and sector programs.</w:t>
            </w:r>
          </w:p>
        </w:tc>
      </w:tr>
      <w:tr w:rsidR="00A462D9" w:rsidTr="0062052E">
        <w:tc>
          <w:tcPr>
            <w:tcW w:w="2487" w:type="dxa"/>
            <w:tcBorders>
              <w:top w:val="nil"/>
              <w:left w:val="nil"/>
              <w:bottom w:val="nil"/>
              <w:right w:val="nil"/>
            </w:tcBorders>
          </w:tcPr>
          <w:p w:rsidR="00A462D9" w:rsidRPr="00FE2733" w:rsidRDefault="00A462D9" w:rsidP="00DC46EF">
            <w:pPr>
              <w:pStyle w:val="TableTextEntries"/>
              <w:rPr>
                <w:sz w:val="18"/>
                <w:szCs w:val="18"/>
              </w:rPr>
            </w:pPr>
            <w:r w:rsidRPr="00FE2733">
              <w:rPr>
                <w:sz w:val="18"/>
                <w:szCs w:val="18"/>
              </w:rPr>
              <w:t>Most sector programs hinge on GoTL’s performance a</w:t>
            </w:r>
            <w:r w:rsidR="00DC46EF">
              <w:rPr>
                <w:sz w:val="18"/>
                <w:szCs w:val="18"/>
              </w:rPr>
              <w:t>nd ownership to varying degrees</w:t>
            </w:r>
            <w:r w:rsidRPr="00FE2733">
              <w:rPr>
                <w:sz w:val="18"/>
                <w:szCs w:val="18"/>
              </w:rPr>
              <w:t>.</w:t>
            </w:r>
          </w:p>
        </w:tc>
        <w:tc>
          <w:tcPr>
            <w:tcW w:w="3054" w:type="dxa"/>
            <w:tcBorders>
              <w:top w:val="nil"/>
              <w:left w:val="nil"/>
              <w:bottom w:val="nil"/>
              <w:right w:val="nil"/>
            </w:tcBorders>
          </w:tcPr>
          <w:p w:rsidR="00A462D9" w:rsidRPr="00FE2733" w:rsidRDefault="006E2839" w:rsidP="006E2839">
            <w:pPr>
              <w:pStyle w:val="TableTextEntries"/>
              <w:rPr>
                <w:rFonts w:cs="Calibri"/>
                <w:sz w:val="18"/>
                <w:szCs w:val="18"/>
              </w:rPr>
            </w:pPr>
            <w:r w:rsidRPr="00FE2733">
              <w:rPr>
                <w:rFonts w:cs="Calibri"/>
                <w:sz w:val="18"/>
                <w:szCs w:val="18"/>
              </w:rPr>
              <w:t>DFAT continued to invest in policy engagement with GoTL in all sector programs</w:t>
            </w:r>
            <w:r w:rsidR="00DA790E" w:rsidRPr="00FE2733">
              <w:rPr>
                <w:rFonts w:cs="Calibri"/>
                <w:sz w:val="18"/>
                <w:szCs w:val="18"/>
              </w:rPr>
              <w:t>, and take a long-term view in programming</w:t>
            </w:r>
            <w:r w:rsidRPr="00FE2733">
              <w:rPr>
                <w:rFonts w:cs="Calibri"/>
                <w:sz w:val="18"/>
                <w:szCs w:val="18"/>
              </w:rPr>
              <w:t xml:space="preserve">. </w:t>
            </w:r>
          </w:p>
        </w:tc>
        <w:tc>
          <w:tcPr>
            <w:tcW w:w="3124" w:type="dxa"/>
            <w:tcBorders>
              <w:top w:val="nil"/>
              <w:left w:val="nil"/>
              <w:bottom w:val="nil"/>
              <w:right w:val="nil"/>
            </w:tcBorders>
          </w:tcPr>
          <w:p w:rsidR="00A462D9" w:rsidRPr="00FE2733" w:rsidRDefault="00E60D26" w:rsidP="00712222">
            <w:pPr>
              <w:pStyle w:val="TableTextEntries"/>
              <w:rPr>
                <w:sz w:val="18"/>
                <w:szCs w:val="18"/>
              </w:rPr>
            </w:pPr>
            <w:r w:rsidRPr="00FE2733">
              <w:rPr>
                <w:sz w:val="18"/>
                <w:szCs w:val="18"/>
              </w:rPr>
              <w:t>Ensure that programs have realistically assessed (and do so on an ongoing basis) how GoTL can contribute to outcomes, and build in sufficient support for government capacity. Ensure an appropriate balance between long timeframes and iterative approaches in programming. Ensure a balance of programs which deliver through GoTL and NGOs</w:t>
            </w:r>
            <w:r w:rsidR="006E2839" w:rsidRPr="00FE2733">
              <w:rPr>
                <w:sz w:val="18"/>
                <w:szCs w:val="18"/>
              </w:rPr>
              <w:t>.</w:t>
            </w:r>
            <w:r w:rsidR="00DA790E" w:rsidRPr="00FE2733">
              <w:rPr>
                <w:sz w:val="18"/>
                <w:szCs w:val="18"/>
              </w:rPr>
              <w:t xml:space="preserve"> </w:t>
            </w:r>
          </w:p>
        </w:tc>
      </w:tr>
      <w:tr w:rsidR="006E2839" w:rsidTr="0062052E">
        <w:tc>
          <w:tcPr>
            <w:tcW w:w="2487" w:type="dxa"/>
            <w:tcBorders>
              <w:top w:val="nil"/>
              <w:left w:val="nil"/>
              <w:bottom w:val="nil"/>
              <w:right w:val="nil"/>
            </w:tcBorders>
          </w:tcPr>
          <w:p w:rsidR="006E2839" w:rsidRPr="00FE2733" w:rsidRDefault="006E2839" w:rsidP="008A4D86">
            <w:pPr>
              <w:pStyle w:val="TableTextEntries"/>
              <w:rPr>
                <w:sz w:val="18"/>
                <w:szCs w:val="18"/>
              </w:rPr>
            </w:pPr>
            <w:r w:rsidRPr="00FE2733">
              <w:rPr>
                <w:sz w:val="18"/>
                <w:szCs w:val="18"/>
              </w:rPr>
              <w:t>Reduced access to professional development limits staff retention and effectiveness</w:t>
            </w:r>
          </w:p>
        </w:tc>
        <w:tc>
          <w:tcPr>
            <w:tcW w:w="3054" w:type="dxa"/>
            <w:tcBorders>
              <w:top w:val="nil"/>
              <w:left w:val="nil"/>
              <w:bottom w:val="nil"/>
              <w:right w:val="nil"/>
            </w:tcBorders>
          </w:tcPr>
          <w:p w:rsidR="006E2839" w:rsidRPr="00FE2733" w:rsidRDefault="006E2839" w:rsidP="008A4D86">
            <w:pPr>
              <w:pStyle w:val="TableTextEntries"/>
              <w:rPr>
                <w:sz w:val="18"/>
                <w:szCs w:val="18"/>
              </w:rPr>
            </w:pPr>
            <w:r w:rsidRPr="00FE2733">
              <w:rPr>
                <w:rFonts w:cs="Calibri"/>
                <w:sz w:val="18"/>
                <w:szCs w:val="18"/>
              </w:rPr>
              <w:t xml:space="preserve">Management ensured all staff attended organised training and career development where applicable. This was identified through the IPP process. Post-merger, proposals were developed for more cost-effective means of meeting these needs. </w:t>
            </w:r>
          </w:p>
        </w:tc>
        <w:tc>
          <w:tcPr>
            <w:tcW w:w="3124" w:type="dxa"/>
            <w:tcBorders>
              <w:top w:val="nil"/>
              <w:left w:val="nil"/>
              <w:bottom w:val="nil"/>
              <w:right w:val="nil"/>
            </w:tcBorders>
          </w:tcPr>
          <w:p w:rsidR="006E2839" w:rsidRPr="00FE2733" w:rsidRDefault="006E2839" w:rsidP="008A4D86">
            <w:pPr>
              <w:pStyle w:val="TableTextEntries"/>
              <w:rPr>
                <w:sz w:val="18"/>
                <w:szCs w:val="18"/>
              </w:rPr>
            </w:pPr>
            <w:r w:rsidRPr="00FE2733">
              <w:rPr>
                <w:sz w:val="18"/>
                <w:szCs w:val="18"/>
              </w:rPr>
              <w:t>Implement a Learning and Development Plan, including peer to peer learning, locally contracted training, systematic mentoring, and targeted attendance at overseas professional development opportunities.</w:t>
            </w:r>
          </w:p>
        </w:tc>
      </w:tr>
    </w:tbl>
    <w:p w:rsidR="006C4F1D" w:rsidRPr="003275D0" w:rsidRDefault="006C4F1D" w:rsidP="006C4F1D">
      <w:pPr>
        <w:pStyle w:val="Heading3"/>
        <w:rPr>
          <w:rStyle w:val="BodyTextChar"/>
          <w:b w:val="0"/>
          <w:color w:val="auto"/>
        </w:rPr>
      </w:pPr>
      <w:r w:rsidRPr="009E38C1">
        <w:rPr>
          <w:b w:val="0"/>
          <w:color w:val="007FAD"/>
          <w:sz w:val="32"/>
          <w:szCs w:val="32"/>
          <w:lang w:eastAsia="en-AU"/>
        </w:rPr>
        <w:t>Management Responses</w:t>
      </w:r>
      <w:r w:rsidRPr="009E38C1">
        <w:rPr>
          <w:b w:val="0"/>
          <w:color w:val="007FAD"/>
          <w:sz w:val="32"/>
          <w:szCs w:val="32"/>
          <w:lang w:eastAsia="en-AU"/>
        </w:rPr>
        <w:tab/>
      </w:r>
    </w:p>
    <w:p w:rsidR="00660990" w:rsidRDefault="00660990" w:rsidP="00660990">
      <w:pPr>
        <w:pStyle w:val="BodyText"/>
      </w:pPr>
      <w:r>
        <w:t>The Program Management Team</w:t>
      </w:r>
      <w:r w:rsidRPr="00D1508C">
        <w:rPr>
          <w:vertAlign w:val="superscript"/>
        </w:rPr>
        <w:footnoteReference w:id="3"/>
      </w:r>
      <w:r>
        <w:t xml:space="preserve"> will focus on the following key management issues in response to program-wide opportunities, challenges and risks:</w:t>
      </w:r>
    </w:p>
    <w:p w:rsidR="00660990" w:rsidRDefault="00660990" w:rsidP="00631D1D">
      <w:pPr>
        <w:pStyle w:val="ListBullet"/>
        <w:numPr>
          <w:ilvl w:val="0"/>
          <w:numId w:val="26"/>
        </w:numPr>
        <w:tabs>
          <w:tab w:val="clear" w:pos="284"/>
        </w:tabs>
        <w:spacing w:after="0"/>
      </w:pPr>
      <w:r>
        <w:t>The Post</w:t>
      </w:r>
      <w:r w:rsidRPr="005E19C0">
        <w:t xml:space="preserve"> will </w:t>
      </w:r>
      <w:r>
        <w:t xml:space="preserve">engage the </w:t>
      </w:r>
      <w:r w:rsidRPr="005E19C0">
        <w:t xml:space="preserve">GoTL </w:t>
      </w:r>
      <w:r>
        <w:t xml:space="preserve">on the new Aid Investment Plan for Timor-Leste and negotiate new mutual obligations under the existing </w:t>
      </w:r>
      <w:r w:rsidRPr="00D1508C">
        <w:rPr>
          <w:i/>
        </w:rPr>
        <w:t>Strategic Partnership Agreement for Development</w:t>
      </w:r>
      <w:r>
        <w:t xml:space="preserve"> arrangements.</w:t>
      </w:r>
      <w:r w:rsidRPr="005E19C0">
        <w:t xml:space="preserve"> </w:t>
      </w:r>
    </w:p>
    <w:p w:rsidR="00660990" w:rsidRDefault="00660990" w:rsidP="00631D1D">
      <w:pPr>
        <w:pStyle w:val="ListBullet"/>
        <w:numPr>
          <w:ilvl w:val="0"/>
          <w:numId w:val="26"/>
        </w:numPr>
        <w:tabs>
          <w:tab w:val="clear" w:pos="284"/>
        </w:tabs>
        <w:spacing w:after="0"/>
      </w:pPr>
      <w:r>
        <w:lastRenderedPageBreak/>
        <w:t xml:space="preserve">The Post will continue to emphasise the importance of robust and evidence based analysis to underpin investment decisions while at the same time ensuring we are thinking and working politically, including by being responsive to key political developments. </w:t>
      </w:r>
    </w:p>
    <w:p w:rsidR="00660990" w:rsidRDefault="00660990" w:rsidP="00631D1D">
      <w:pPr>
        <w:pStyle w:val="ListBullet"/>
        <w:numPr>
          <w:ilvl w:val="0"/>
          <w:numId w:val="41"/>
        </w:numPr>
        <w:tabs>
          <w:tab w:val="clear" w:pos="284"/>
          <w:tab w:val="left" w:pos="0"/>
        </w:tabs>
      </w:pPr>
      <w:r>
        <w:t>This will include political economy training for staff and inputs by the Principal Sector Specialist for Governance to sector programs on constraints to improved governance.</w:t>
      </w:r>
    </w:p>
    <w:p w:rsidR="00660990" w:rsidRPr="00631D1D" w:rsidRDefault="00660990" w:rsidP="00631D1D">
      <w:pPr>
        <w:pStyle w:val="ListBullet"/>
        <w:numPr>
          <w:ilvl w:val="0"/>
          <w:numId w:val="26"/>
        </w:numPr>
        <w:tabs>
          <w:tab w:val="clear" w:pos="284"/>
        </w:tabs>
        <w:spacing w:after="0"/>
      </w:pPr>
      <w:r w:rsidRPr="00631D1D">
        <w:t xml:space="preserve">The Post will engage the GoTL on key policy challenges including economic diversification, decentralisation, access to and quality of basic services, and sustainable government finances through improved public financial management. </w:t>
      </w:r>
    </w:p>
    <w:p w:rsidR="00660990" w:rsidRPr="00631D1D" w:rsidRDefault="00660990" w:rsidP="00631D1D">
      <w:pPr>
        <w:pStyle w:val="ListBullet"/>
        <w:numPr>
          <w:ilvl w:val="0"/>
          <w:numId w:val="41"/>
        </w:numPr>
        <w:tabs>
          <w:tab w:val="clear" w:pos="284"/>
          <w:tab w:val="left" w:pos="0"/>
        </w:tabs>
      </w:pPr>
      <w:r w:rsidRPr="00631D1D">
        <w:t>This will include continued efforts to engage the GoTL on the national budget process, linking line ministry priorities into national planning and helping the GoTL plan for and implement its decentralised local government model using a coordinated approach from all our programs.</w:t>
      </w:r>
    </w:p>
    <w:p w:rsidR="00660990" w:rsidRPr="00631D1D" w:rsidRDefault="00660990" w:rsidP="00631D1D">
      <w:pPr>
        <w:pStyle w:val="ListBullet"/>
        <w:numPr>
          <w:ilvl w:val="0"/>
          <w:numId w:val="26"/>
        </w:numPr>
        <w:tabs>
          <w:tab w:val="clear" w:pos="284"/>
        </w:tabs>
        <w:spacing w:after="0"/>
      </w:pPr>
      <w:r w:rsidRPr="00631D1D">
        <w:t xml:space="preserve">The Post will continue to focus on three key cross-cutting issues: women’s empowerment, nutrition and inclusive development. </w:t>
      </w:r>
    </w:p>
    <w:p w:rsidR="00660990" w:rsidRPr="00631D1D" w:rsidRDefault="00660990" w:rsidP="00631D1D">
      <w:pPr>
        <w:pStyle w:val="ListBullet"/>
        <w:numPr>
          <w:ilvl w:val="0"/>
          <w:numId w:val="41"/>
        </w:numPr>
        <w:tabs>
          <w:tab w:val="clear" w:pos="284"/>
          <w:tab w:val="left" w:pos="0"/>
        </w:tabs>
      </w:pPr>
      <w:r w:rsidRPr="00631D1D">
        <w:t>The program will sustain our strong focus on women’s empowerment across all sector programs through dedicated leadership by the Deputy Head of Mission of the existing internal gender working group. All sector programs will be required to implement the gender action plan endorsed by the Head of Mission in September 2014. A review mission to assess progress will be undertaken by June 2015.</w:t>
      </w:r>
    </w:p>
    <w:p w:rsidR="00660990" w:rsidRPr="009F2C47" w:rsidRDefault="00660990" w:rsidP="00631D1D">
      <w:pPr>
        <w:pStyle w:val="ListBullet"/>
        <w:numPr>
          <w:ilvl w:val="0"/>
          <w:numId w:val="41"/>
        </w:numPr>
        <w:tabs>
          <w:tab w:val="clear" w:pos="284"/>
          <w:tab w:val="left" w:pos="0"/>
        </w:tabs>
      </w:pPr>
      <w:r>
        <w:t xml:space="preserve">The program will support GoTL leadership on nutrition through the Zero Hunger Action Plan and sharpen the nutrition focus of sector programs including </w:t>
      </w:r>
      <w:r w:rsidRPr="00631D1D">
        <w:t xml:space="preserve">health, education, water and sanitation, and agriculture through the existing internal nutrition working group. Impacts across the program will be tracked, including through a nutrition benchmark in the Aid Investment Plan. </w:t>
      </w:r>
    </w:p>
    <w:p w:rsidR="00660990" w:rsidRDefault="00660990" w:rsidP="00631D1D">
      <w:pPr>
        <w:pStyle w:val="ListBullet"/>
        <w:numPr>
          <w:ilvl w:val="0"/>
          <w:numId w:val="41"/>
        </w:numPr>
        <w:tabs>
          <w:tab w:val="clear" w:pos="284"/>
          <w:tab w:val="left" w:pos="0"/>
        </w:tabs>
      </w:pPr>
      <w:r w:rsidRPr="00631D1D">
        <w:t>The program will continue to work with local disability organisations to build capacity. We will also improve the performance of sector programs in line with the broader Australian Government strategy on inclusive development through a dedicated disability working group.</w:t>
      </w:r>
    </w:p>
    <w:p w:rsidR="00660990" w:rsidRPr="00631D1D" w:rsidRDefault="00631D1D" w:rsidP="00631D1D">
      <w:pPr>
        <w:pStyle w:val="ListBullet"/>
        <w:numPr>
          <w:ilvl w:val="0"/>
          <w:numId w:val="26"/>
        </w:numPr>
        <w:tabs>
          <w:tab w:val="clear" w:pos="284"/>
        </w:tabs>
        <w:spacing w:after="0"/>
      </w:pPr>
      <w:r>
        <w:t>The P</w:t>
      </w:r>
      <w:r w:rsidR="00660990" w:rsidRPr="00631D1D">
        <w:t>ost will ensure 90 per cent of priority M&amp;E products are quality assured through the ECB program. A particular focus will be given to improving the credibility of progress reports and evaluations – including a baseline and follow-up study to assess whether this is improving.</w:t>
      </w:r>
    </w:p>
    <w:p w:rsidR="00660990" w:rsidRDefault="00660990" w:rsidP="00660990"/>
    <w:p w:rsidR="009B6B75" w:rsidRDefault="009B6B75" w:rsidP="000D733F">
      <w:pPr>
        <w:pStyle w:val="ListBullet"/>
        <w:numPr>
          <w:ilvl w:val="0"/>
          <w:numId w:val="0"/>
        </w:numPr>
        <w:ind w:left="360" w:hanging="360"/>
        <w:rPr>
          <w:rFonts w:ascii="Helvetica" w:hAnsi="Helvetica" w:cs="Arial"/>
          <w:color w:val="124486"/>
          <w:spacing w:val="-10"/>
          <w:kern w:val="28"/>
          <w:sz w:val="32"/>
          <w:szCs w:val="32"/>
        </w:rPr>
        <w:sectPr w:rsidR="009B6B75" w:rsidSect="00D1508C">
          <w:headerReference w:type="default" r:id="rId19"/>
          <w:type w:val="continuous"/>
          <w:pgSz w:w="11907" w:h="16840" w:code="9"/>
          <w:pgMar w:top="1440" w:right="1440" w:bottom="1440" w:left="1440" w:header="851" w:footer="567" w:gutter="0"/>
          <w:pgNumType w:start="1"/>
          <w:cols w:space="720"/>
          <w:docGrid w:linePitch="326"/>
        </w:sectPr>
      </w:pPr>
    </w:p>
    <w:p w:rsidR="000D733F" w:rsidRPr="009E38C1" w:rsidRDefault="000D733F" w:rsidP="000D733F">
      <w:pPr>
        <w:pStyle w:val="Heading2"/>
        <w:rPr>
          <w:sz w:val="28"/>
        </w:rPr>
      </w:pPr>
      <w:r w:rsidRPr="009E38C1">
        <w:rPr>
          <w:sz w:val="28"/>
        </w:rPr>
        <w:lastRenderedPageBreak/>
        <w:t xml:space="preserve">Annex A </w:t>
      </w:r>
    </w:p>
    <w:p w:rsidR="00DF35FA" w:rsidRPr="001909AE" w:rsidRDefault="000D733F" w:rsidP="001909AE">
      <w:pPr>
        <w:pStyle w:val="Heading2"/>
        <w:rPr>
          <w:sz w:val="28"/>
        </w:rPr>
      </w:pPr>
      <w:r w:rsidRPr="009E38C1">
        <w:rPr>
          <w:sz w:val="28"/>
        </w:rPr>
        <w:t xml:space="preserve">Progress in addressing 2012-13 management </w:t>
      </w:r>
      <w:r w:rsidR="00805ADD" w:rsidRPr="009E38C1">
        <w:rPr>
          <w:sz w:val="28"/>
        </w:rPr>
        <w:t>responses</w:t>
      </w:r>
    </w:p>
    <w:tbl>
      <w:tblPr>
        <w:tblStyle w:val="APPR"/>
        <w:tblpPr w:leftFromText="180" w:rightFromText="180" w:vertAnchor="text" w:tblpY="1"/>
        <w:tblW w:w="4984" w:type="pct"/>
        <w:tblBorders>
          <w:top w:val="single" w:sz="12" w:space="0" w:color="D9D9D9" w:themeColor="background1" w:themeShade="D9"/>
          <w:left w:val="single" w:sz="12" w:space="0" w:color="D9D9D9" w:themeColor="background1" w:themeShade="D9"/>
          <w:bottom w:val="single" w:sz="12" w:space="0" w:color="D9D9D9" w:themeColor="background1" w:themeShade="D9"/>
          <w:right w:val="single" w:sz="12" w:space="0" w:color="D9D9D9" w:themeColor="background1" w:themeShade="D9"/>
          <w:insideH w:val="single" w:sz="12" w:space="0" w:color="D9D9D9" w:themeColor="background1" w:themeShade="D9"/>
          <w:insideV w:val="single" w:sz="12" w:space="0" w:color="D9D9D9" w:themeColor="background1" w:themeShade="D9"/>
        </w:tblBorders>
        <w:tblLayout w:type="fixed"/>
        <w:tblLook w:val="0000" w:firstRow="0" w:lastRow="0" w:firstColumn="0" w:lastColumn="0" w:noHBand="0" w:noVBand="0"/>
      </w:tblPr>
      <w:tblGrid>
        <w:gridCol w:w="6497"/>
        <w:gridCol w:w="44"/>
        <w:gridCol w:w="952"/>
        <w:gridCol w:w="44"/>
        <w:gridCol w:w="6805"/>
        <w:gridCol w:w="117"/>
      </w:tblGrid>
      <w:tr w:rsidR="000D733F" w:rsidRPr="00180B19" w:rsidTr="00C90E8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733F" w:rsidRPr="00180B19" w:rsidRDefault="000D733F" w:rsidP="007A1F55">
            <w:pPr>
              <w:pStyle w:val="TableTextColumnHeading"/>
              <w:framePr w:hSpace="0" w:wrap="auto" w:vAnchor="margin" w:yAlign="inline"/>
            </w:pPr>
            <w:r w:rsidRPr="00FE4491">
              <w:t>Management consequences identified in 201</w:t>
            </w:r>
            <w:r>
              <w:t>2-13</w:t>
            </w:r>
            <w:r w:rsidRPr="00FE4491">
              <w:t xml:space="preserve"> </w:t>
            </w:r>
            <w:r>
              <w:t>APPR</w:t>
            </w:r>
            <w:r>
              <w:tab/>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733F" w:rsidRPr="00180B19" w:rsidRDefault="000D733F" w:rsidP="007A1F55">
            <w:pPr>
              <w:pStyle w:val="TableTextColumnHeading"/>
              <w:framePr w:hSpace="0" w:wrap="auto" w:vAnchor="margin" w:yAlign="inline"/>
            </w:pPr>
            <w:r w:rsidRPr="00FE4491">
              <w:t>Rating</w:t>
            </w: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0D733F" w:rsidRPr="007A1F55" w:rsidRDefault="000D733F" w:rsidP="007A1F55">
            <w:pPr>
              <w:pStyle w:val="TableTextColumnHeading"/>
              <w:framePr w:hSpace="0" w:wrap="auto" w:vAnchor="margin" w:yAlign="inline"/>
            </w:pPr>
            <w:r w:rsidRPr="007A1F55">
              <w:t>Progress made in 2013-14</w:t>
            </w:r>
          </w:p>
        </w:tc>
      </w:tr>
      <w:tr w:rsidR="00C90E84" w:rsidRPr="00180B19" w:rsidTr="009D2E21">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C90E84" w:rsidRPr="00855CC4" w:rsidRDefault="00C90E84" w:rsidP="00C90E84">
            <w:pPr>
              <w:pStyle w:val="TableTextEntries"/>
              <w:rPr>
                <w:bCs/>
              </w:rPr>
            </w:pPr>
            <w:r w:rsidRPr="00855CC4">
              <w:rPr>
                <w:bCs/>
              </w:rPr>
              <w:t>Finalise a country strategy and performance framework by December 2013.</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tcPr>
          <w:p w:rsidR="00C90E84" w:rsidRPr="009D2E21" w:rsidRDefault="00C90E84" w:rsidP="00C90E84">
            <w:pPr>
              <w:pStyle w:val="TableTextEntries"/>
              <w:jc w:val="center"/>
              <w:rPr>
                <w:bCs/>
                <w:color w:val="FFFFFF"/>
              </w:rPr>
            </w:pPr>
            <w:r w:rsidRPr="009D2E21">
              <w:rPr>
                <w:bCs/>
                <w:color w:val="FFFFFF"/>
              </w:rPr>
              <w:t>Partly achieved</w:t>
            </w: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90E84" w:rsidRPr="00855CC4" w:rsidRDefault="00E1480E" w:rsidP="00E1480E">
            <w:pPr>
              <w:pStyle w:val="TableTextEntries"/>
              <w:rPr>
                <w:bCs/>
              </w:rPr>
            </w:pPr>
            <w:r>
              <w:rPr>
                <w:bCs/>
              </w:rPr>
              <w:t>D</w:t>
            </w:r>
            <w:r w:rsidR="00C90E84" w:rsidRPr="00855CC4">
              <w:rPr>
                <w:bCs/>
              </w:rPr>
              <w:t>e</w:t>
            </w:r>
            <w:r>
              <w:rPr>
                <w:bCs/>
              </w:rPr>
              <w:t>velopment of an Aid Investment Plan (AIP) and accompanying Performance Assessment Framework (PAF) continued, through ongoing analysis and active internal working groups. Finalisation of the draft was de</w:t>
            </w:r>
            <w:r w:rsidR="00C90E84" w:rsidRPr="00855CC4">
              <w:rPr>
                <w:bCs/>
              </w:rPr>
              <w:t>layed to ensure alignment with new Aid Policy</w:t>
            </w:r>
            <w:r>
              <w:rPr>
                <w:bCs/>
              </w:rPr>
              <w:t>, released in June 2014</w:t>
            </w:r>
            <w:r w:rsidR="00C90E84" w:rsidRPr="00855CC4">
              <w:rPr>
                <w:bCs/>
              </w:rPr>
              <w:t xml:space="preserve">. </w:t>
            </w:r>
            <w:r>
              <w:rPr>
                <w:bCs/>
              </w:rPr>
              <w:t>The Aid Investment Plan w</w:t>
            </w:r>
            <w:r w:rsidR="00C90E84" w:rsidRPr="00855CC4">
              <w:rPr>
                <w:bCs/>
              </w:rPr>
              <w:t xml:space="preserve">ill be finalised by </w:t>
            </w:r>
            <w:r>
              <w:rPr>
                <w:bCs/>
              </w:rPr>
              <w:t xml:space="preserve">the </w:t>
            </w:r>
            <w:r w:rsidR="00C90E84" w:rsidRPr="00855CC4">
              <w:rPr>
                <w:bCs/>
              </w:rPr>
              <w:t>end</w:t>
            </w:r>
            <w:r>
              <w:rPr>
                <w:bCs/>
              </w:rPr>
              <w:t xml:space="preserve"> of</w:t>
            </w:r>
            <w:r w:rsidR="00C90E84" w:rsidRPr="00855CC4">
              <w:rPr>
                <w:bCs/>
              </w:rPr>
              <w:t xml:space="preserve"> 2014.</w:t>
            </w:r>
          </w:p>
        </w:tc>
      </w:tr>
      <w:tr w:rsidR="00C90E84" w:rsidRPr="00180B19" w:rsidTr="009D2E21">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C90E84" w:rsidRPr="00855CC4" w:rsidRDefault="00C90E84" w:rsidP="00C90E84">
            <w:pPr>
              <w:pStyle w:val="TableTextEntries"/>
              <w:rPr>
                <w:bCs/>
              </w:rPr>
            </w:pPr>
            <w:r w:rsidRPr="00855CC4">
              <w:rPr>
                <w:bCs/>
              </w:rPr>
              <w:t>High-level partnership talks between Australia and Timor-Leste, which review achievements and agree annual targets.</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BBB59" w:themeFill="accent3"/>
          </w:tcPr>
          <w:p w:rsidR="00C90E84" w:rsidRPr="009D2E21" w:rsidRDefault="00C90E84" w:rsidP="00C90E84">
            <w:pPr>
              <w:pStyle w:val="TableTextEntries"/>
              <w:jc w:val="center"/>
              <w:rPr>
                <w:bCs/>
                <w:color w:val="FFFFFF"/>
              </w:rPr>
            </w:pPr>
            <w:r w:rsidRPr="009D2E21">
              <w:rPr>
                <w:bCs/>
                <w:color w:val="FFFFFF"/>
                <w:shd w:val="clear" w:color="auto" w:fill="9BBB59"/>
              </w:rPr>
              <w:t>Achieved</w:t>
            </w: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90E84" w:rsidRPr="00855CC4" w:rsidRDefault="00057496" w:rsidP="00C90E84">
            <w:pPr>
              <w:pStyle w:val="TableTextEntries"/>
              <w:rPr>
                <w:bCs/>
              </w:rPr>
            </w:pPr>
            <w:r>
              <w:rPr>
                <w:bCs/>
              </w:rPr>
              <w:t>Completed</w:t>
            </w:r>
            <w:r w:rsidRPr="00855CC4">
              <w:rPr>
                <w:bCs/>
              </w:rPr>
              <w:t xml:space="preserve"> </w:t>
            </w:r>
            <w:r w:rsidR="00C90E84" w:rsidRPr="00855CC4">
              <w:rPr>
                <w:bCs/>
              </w:rPr>
              <w:t>in June 2013</w:t>
            </w:r>
            <w:r>
              <w:rPr>
                <w:bCs/>
              </w:rPr>
              <w:t>.</w:t>
            </w:r>
          </w:p>
        </w:tc>
      </w:tr>
      <w:tr w:rsidR="00C90E84" w:rsidRPr="00180B19" w:rsidTr="00855CC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C90E84" w:rsidRPr="00855CC4" w:rsidRDefault="00C90E84" w:rsidP="00C90E84">
            <w:pPr>
              <w:pStyle w:val="TableTextEntries"/>
              <w:rPr>
                <w:bCs/>
              </w:rPr>
            </w:pPr>
            <w:r w:rsidRPr="00855CC4">
              <w:rPr>
                <w:bCs/>
              </w:rPr>
              <w:t>Achievement of basic standards for adviser recruitment and management as described in the 2010 Timor-Leste Adviser Review.</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tcPr>
          <w:p w:rsidR="00C90E84" w:rsidRPr="009D2E21" w:rsidRDefault="00855CC4" w:rsidP="00855CC4">
            <w:pPr>
              <w:pStyle w:val="TableTextEntries"/>
              <w:jc w:val="center"/>
              <w:rPr>
                <w:bCs/>
                <w:color w:val="FFFFFF"/>
              </w:rPr>
            </w:pPr>
            <w:r>
              <w:rPr>
                <w:bCs/>
                <w:color w:val="FFFFFF"/>
              </w:rPr>
              <w:t>Partly achie</w:t>
            </w:r>
            <w:r w:rsidR="00C90E84" w:rsidRPr="009D2E21">
              <w:rPr>
                <w:bCs/>
                <w:color w:val="FFFFFF"/>
              </w:rPr>
              <w:t>ved</w:t>
            </w: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968A7" w:rsidRPr="00855CC4" w:rsidRDefault="00C90E84" w:rsidP="00573F0F">
            <w:pPr>
              <w:pStyle w:val="TableTextEntries"/>
              <w:rPr>
                <w:bCs/>
              </w:rPr>
            </w:pPr>
            <w:r w:rsidRPr="00855CC4">
              <w:rPr>
                <w:bCs/>
              </w:rPr>
              <w:t xml:space="preserve">Some programs, e.g. </w:t>
            </w:r>
            <w:r w:rsidR="00FC2D20">
              <w:rPr>
                <w:bCs/>
              </w:rPr>
              <w:t>GfD</w:t>
            </w:r>
            <w:r w:rsidRPr="00855CC4">
              <w:rPr>
                <w:bCs/>
              </w:rPr>
              <w:t>, introduced more rigorous approaches to adviser recruitment and management. However, country level system for monit</w:t>
            </w:r>
            <w:r w:rsidR="00855CC4">
              <w:rPr>
                <w:bCs/>
              </w:rPr>
              <w:t xml:space="preserve">oring adherence not developed. This has been included as a </w:t>
            </w:r>
            <w:r w:rsidRPr="00855CC4">
              <w:rPr>
                <w:bCs/>
              </w:rPr>
              <w:t xml:space="preserve">priority in </w:t>
            </w:r>
            <w:r w:rsidR="00855CC4">
              <w:rPr>
                <w:bCs/>
              </w:rPr>
              <w:t xml:space="preserve">the draft </w:t>
            </w:r>
            <w:r w:rsidRPr="00855CC4">
              <w:rPr>
                <w:bCs/>
              </w:rPr>
              <w:t>A</w:t>
            </w:r>
            <w:r w:rsidR="00855CC4">
              <w:rPr>
                <w:bCs/>
              </w:rPr>
              <w:t xml:space="preserve">id </w:t>
            </w:r>
            <w:r w:rsidRPr="00855CC4">
              <w:rPr>
                <w:bCs/>
              </w:rPr>
              <w:t>I</w:t>
            </w:r>
            <w:r w:rsidR="00855CC4">
              <w:rPr>
                <w:bCs/>
              </w:rPr>
              <w:t xml:space="preserve">nvestment </w:t>
            </w:r>
            <w:r w:rsidRPr="00855CC4">
              <w:rPr>
                <w:bCs/>
              </w:rPr>
              <w:t>P</w:t>
            </w:r>
            <w:r w:rsidR="00855CC4">
              <w:rPr>
                <w:bCs/>
              </w:rPr>
              <w:t>lan</w:t>
            </w:r>
            <w:r w:rsidR="00C968A7">
              <w:rPr>
                <w:bCs/>
              </w:rPr>
              <w:t xml:space="preserve"> and this APPR’s cross-program management responses (above</w:t>
            </w:r>
            <w:r w:rsidR="00573F0F">
              <w:rPr>
                <w:bCs/>
              </w:rPr>
              <w:t>)</w:t>
            </w:r>
          </w:p>
        </w:tc>
      </w:tr>
      <w:tr w:rsidR="00C90E84" w:rsidRPr="00180B19" w:rsidTr="00855CC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C90E84" w:rsidRPr="00855CC4" w:rsidRDefault="00C90E84" w:rsidP="00C90E84">
            <w:pPr>
              <w:pStyle w:val="TableTextEntries"/>
              <w:rPr>
                <w:bCs/>
              </w:rPr>
            </w:pPr>
            <w:r w:rsidRPr="00855CC4">
              <w:rPr>
                <w:bCs/>
              </w:rPr>
              <w:t>Develop a coherent approach to food and nutrition security that exploits linkages between our health, education, water and sanitation, and agriculture programs. Refocus our major programs to directly benefit nutrition. Support National Nutrition Survey and advocacy.</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tcPr>
          <w:p w:rsidR="00C90E84" w:rsidRPr="009D2E21" w:rsidRDefault="00C90E84" w:rsidP="00C90E84">
            <w:pPr>
              <w:pStyle w:val="TableTextEntries"/>
              <w:jc w:val="center"/>
              <w:rPr>
                <w:bCs/>
                <w:color w:val="FFFFFF"/>
              </w:rPr>
            </w:pPr>
            <w:r w:rsidRPr="009D2E21">
              <w:rPr>
                <w:bCs/>
                <w:color w:val="FFFFFF"/>
              </w:rPr>
              <w:t>Partly achieved</w:t>
            </w: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90E84" w:rsidRPr="00855CC4" w:rsidRDefault="00C90E84" w:rsidP="00D645A6">
            <w:pPr>
              <w:pStyle w:val="TableTextEntries"/>
              <w:rPr>
                <w:bCs/>
              </w:rPr>
            </w:pPr>
            <w:r w:rsidRPr="00855CC4">
              <w:rPr>
                <w:bCs/>
              </w:rPr>
              <w:t xml:space="preserve">Support provided to National Nutrition Survey and dissemination, as well as establishment of Presidents Nutrition Awards. Design process for new rural livelihoods program commenced, with strong focus on food and nutrition security. Stunting recorded as benchmark in </w:t>
            </w:r>
            <w:r w:rsidR="00573F0F">
              <w:rPr>
                <w:bCs/>
              </w:rPr>
              <w:t xml:space="preserve">the draft </w:t>
            </w:r>
            <w:r w:rsidRPr="00855CC4">
              <w:rPr>
                <w:bCs/>
              </w:rPr>
              <w:t xml:space="preserve">AIP. </w:t>
            </w:r>
            <w:r w:rsidR="00AC5D9E">
              <w:rPr>
                <w:bCs/>
              </w:rPr>
              <w:t xml:space="preserve">However, </w:t>
            </w:r>
            <w:r w:rsidR="00D645A6">
              <w:rPr>
                <w:bCs/>
              </w:rPr>
              <w:t xml:space="preserve">a coherent, cross-program approach. A </w:t>
            </w:r>
            <w:r w:rsidRPr="00855CC4">
              <w:rPr>
                <w:bCs/>
              </w:rPr>
              <w:t xml:space="preserve">Nutrition Specialist </w:t>
            </w:r>
            <w:r w:rsidR="00D645A6">
              <w:rPr>
                <w:bCs/>
              </w:rPr>
              <w:t xml:space="preserve">was </w:t>
            </w:r>
            <w:r w:rsidRPr="00855CC4">
              <w:rPr>
                <w:bCs/>
              </w:rPr>
              <w:t xml:space="preserve">recruited in late 2013-14, </w:t>
            </w:r>
            <w:r w:rsidR="00D645A6">
              <w:rPr>
                <w:bCs/>
              </w:rPr>
              <w:t>who</w:t>
            </w:r>
            <w:r w:rsidR="00D645A6" w:rsidRPr="00855CC4">
              <w:rPr>
                <w:bCs/>
              </w:rPr>
              <w:t xml:space="preserve"> </w:t>
            </w:r>
            <w:r w:rsidRPr="00855CC4">
              <w:rPr>
                <w:bCs/>
              </w:rPr>
              <w:t xml:space="preserve">will </w:t>
            </w:r>
            <w:r w:rsidR="00D645A6">
              <w:rPr>
                <w:bCs/>
              </w:rPr>
              <w:t>help</w:t>
            </w:r>
            <w:r w:rsidR="00D645A6">
              <w:t xml:space="preserve"> sharpen the nutrition focus of relevant sector programs</w:t>
            </w:r>
            <w:r w:rsidR="00D645A6">
              <w:rPr>
                <w:bCs/>
              </w:rPr>
              <w:t xml:space="preserve"> as noted in this APPR’s management response (above)</w:t>
            </w:r>
          </w:p>
        </w:tc>
      </w:tr>
      <w:tr w:rsidR="00C90E84" w:rsidRPr="00180B19" w:rsidTr="00855CC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C90E84" w:rsidRPr="00855CC4" w:rsidRDefault="00C90E84" w:rsidP="00C90E84">
            <w:pPr>
              <w:pStyle w:val="TableTextEntries"/>
              <w:rPr>
                <w:bCs/>
              </w:rPr>
            </w:pPr>
            <w:r w:rsidRPr="00855CC4">
              <w:rPr>
                <w:bCs/>
              </w:rPr>
              <w:t>Develop a budget engagement strategy. Finalise the policy enabling delivery strategy by August 2013, then agree and resource an activity plan by December 2013.</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tcPr>
          <w:p w:rsidR="00C90E84" w:rsidRPr="009D2E21" w:rsidRDefault="00C90E84" w:rsidP="00C90E84">
            <w:pPr>
              <w:pStyle w:val="TableTextEntries"/>
              <w:jc w:val="center"/>
              <w:rPr>
                <w:bCs/>
                <w:color w:val="FFFFFF"/>
              </w:rPr>
            </w:pPr>
            <w:r w:rsidRPr="009D2E21">
              <w:rPr>
                <w:bCs/>
                <w:color w:val="FFFFFF"/>
              </w:rPr>
              <w:t>Partly achieved</w:t>
            </w: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90E84" w:rsidRPr="00855CC4" w:rsidRDefault="00C90E84" w:rsidP="00AC5D9E">
            <w:pPr>
              <w:pStyle w:val="TableTextEntries"/>
              <w:rPr>
                <w:bCs/>
              </w:rPr>
            </w:pPr>
            <w:r w:rsidRPr="00855CC4">
              <w:rPr>
                <w:bCs/>
              </w:rPr>
              <w:t xml:space="preserve">Budget engagement principles agreed. Policy enabling delivery strategy principles </w:t>
            </w:r>
            <w:r w:rsidR="00E1480E">
              <w:rPr>
                <w:bCs/>
              </w:rPr>
              <w:t xml:space="preserve">were </w:t>
            </w:r>
            <w:r w:rsidRPr="00855CC4">
              <w:rPr>
                <w:bCs/>
              </w:rPr>
              <w:t xml:space="preserve">included in </w:t>
            </w:r>
            <w:r w:rsidR="00E1480E">
              <w:rPr>
                <w:bCs/>
              </w:rPr>
              <w:t xml:space="preserve">draft </w:t>
            </w:r>
            <w:r w:rsidRPr="00855CC4">
              <w:rPr>
                <w:bCs/>
              </w:rPr>
              <w:t>AIP Implementation Approaches. Yet to be operationalised systematically across Country Program</w:t>
            </w:r>
            <w:r w:rsidR="00AC5D9E">
              <w:rPr>
                <w:bCs/>
              </w:rPr>
              <w:t xml:space="preserve"> and work is ongoing across the program (led by GfD) towards this</w:t>
            </w:r>
            <w:r w:rsidRPr="00855CC4">
              <w:rPr>
                <w:bCs/>
              </w:rPr>
              <w:t>.</w:t>
            </w:r>
          </w:p>
        </w:tc>
      </w:tr>
      <w:tr w:rsidR="00153855" w:rsidRPr="00180B19" w:rsidTr="00153855">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Pr>
          <w:p w:rsidR="00C90E84" w:rsidRPr="00855CC4" w:rsidRDefault="00C90E84" w:rsidP="00C90E84">
            <w:pPr>
              <w:pStyle w:val="TableTextEntries"/>
              <w:rPr>
                <w:bCs/>
              </w:rPr>
            </w:pPr>
            <w:r w:rsidRPr="00855CC4">
              <w:rPr>
                <w:bCs/>
              </w:rPr>
              <w:t xml:space="preserve">Undertake a gender stocktake and action plan by December 2013 linked to a gender outcome in the new country strategy by 2014. Continue inclusive development analysis to understand barriers to people with disability to influence design and implementation of programs. </w:t>
            </w:r>
          </w:p>
        </w:tc>
        <w:tc>
          <w:tcPr>
            <w:tcW w:w="968" w:type="dxa"/>
            <w:gridSpan w:val="2"/>
            <w:shd w:val="clear" w:color="auto" w:fill="9BBB59" w:themeFill="accent3"/>
          </w:tcPr>
          <w:p w:rsidR="00C90E84" w:rsidRPr="009D2E21" w:rsidRDefault="00585AA4" w:rsidP="00585AA4">
            <w:pPr>
              <w:pStyle w:val="TableTextEntries"/>
              <w:jc w:val="center"/>
              <w:rPr>
                <w:bCs/>
                <w:color w:val="FFFFFF"/>
              </w:rPr>
            </w:pPr>
            <w:r>
              <w:rPr>
                <w:bCs/>
                <w:color w:val="FFFFFF"/>
              </w:rPr>
              <w:t>A</w:t>
            </w:r>
            <w:r w:rsidR="00C90E84" w:rsidRPr="009D2E21">
              <w:rPr>
                <w:bCs/>
                <w:color w:val="FFFFFF"/>
              </w:rPr>
              <w:t>chieved</w:t>
            </w:r>
          </w:p>
        </w:tc>
        <w:tc>
          <w:tcPr>
            <w:tcW w:w="6777" w:type="dxa"/>
          </w:tcPr>
          <w:p w:rsidR="00AC326A" w:rsidRPr="00855CC4" w:rsidRDefault="001909AE" w:rsidP="00585AA4">
            <w:pPr>
              <w:pStyle w:val="TableTextEntries"/>
              <w:rPr>
                <w:bCs/>
              </w:rPr>
            </w:pPr>
            <w:r>
              <w:rPr>
                <w:bCs/>
              </w:rPr>
              <w:t>A g</w:t>
            </w:r>
            <w:r w:rsidR="00C90E84" w:rsidRPr="00855CC4">
              <w:rPr>
                <w:bCs/>
              </w:rPr>
              <w:t xml:space="preserve">ender </w:t>
            </w:r>
            <w:r>
              <w:rPr>
                <w:bCs/>
              </w:rPr>
              <w:t>stocktake was conducted and a gender action p</w:t>
            </w:r>
            <w:r w:rsidR="00C90E84" w:rsidRPr="00855CC4">
              <w:rPr>
                <w:bCs/>
              </w:rPr>
              <w:t xml:space="preserve">lan was </w:t>
            </w:r>
            <w:r>
              <w:rPr>
                <w:bCs/>
              </w:rPr>
              <w:t>developed – implementation of which has commenced</w:t>
            </w:r>
            <w:r w:rsidR="00C90E84" w:rsidRPr="00855CC4">
              <w:rPr>
                <w:bCs/>
              </w:rPr>
              <w:t xml:space="preserve">. </w:t>
            </w:r>
            <w:r>
              <w:rPr>
                <w:bCs/>
              </w:rPr>
              <w:t>T</w:t>
            </w:r>
            <w:r w:rsidR="00C90E84" w:rsidRPr="00855CC4">
              <w:rPr>
                <w:bCs/>
              </w:rPr>
              <w:t xml:space="preserve">he </w:t>
            </w:r>
            <w:r>
              <w:rPr>
                <w:bCs/>
              </w:rPr>
              <w:t xml:space="preserve">draft </w:t>
            </w:r>
            <w:r w:rsidR="00C90E84" w:rsidRPr="00855CC4">
              <w:rPr>
                <w:bCs/>
              </w:rPr>
              <w:t>Aid Investment Plan requires gender to be addressed in every investment</w:t>
            </w:r>
            <w:r>
              <w:rPr>
                <w:bCs/>
              </w:rPr>
              <w:t xml:space="preserve"> (with a benchmark on addressing violence against women)</w:t>
            </w:r>
            <w:r w:rsidR="00C90E84" w:rsidRPr="00855CC4">
              <w:rPr>
                <w:bCs/>
              </w:rPr>
              <w:t xml:space="preserve">. </w:t>
            </w:r>
            <w:r w:rsidR="00AC326A" w:rsidRPr="00AC326A">
              <w:rPr>
                <w:bCs/>
              </w:rPr>
              <w:t xml:space="preserve">Disability was considered in all new designs. DFAT’s internal disability working group continued to promote disability-inclusive development </w:t>
            </w:r>
            <w:r w:rsidR="00585AA4">
              <w:rPr>
                <w:bCs/>
              </w:rPr>
              <w:t>but</w:t>
            </w:r>
            <w:r w:rsidR="00585AA4" w:rsidRPr="00AC326A">
              <w:rPr>
                <w:bCs/>
              </w:rPr>
              <w:t xml:space="preserve"> </w:t>
            </w:r>
            <w:r w:rsidR="00AC326A" w:rsidRPr="00AC326A">
              <w:rPr>
                <w:bCs/>
              </w:rPr>
              <w:t>more work remains to be done in sector programs.</w:t>
            </w:r>
          </w:p>
        </w:tc>
      </w:tr>
      <w:tr w:rsidR="00C90E84" w:rsidRPr="00180B19" w:rsidTr="00855CC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C90E84" w:rsidRPr="00855CC4" w:rsidRDefault="00C90E84" w:rsidP="00C90E84">
            <w:pPr>
              <w:pStyle w:val="TableTextEntries"/>
              <w:rPr>
                <w:bCs/>
              </w:rPr>
            </w:pPr>
            <w:r w:rsidRPr="00855CC4">
              <w:rPr>
                <w:bCs/>
              </w:rPr>
              <w:t>90 per cent of priority monitoring and evaluation products quality assured by the Evaluation Capacity Building Program during 2013–14.</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tcPr>
          <w:p w:rsidR="00C90E84" w:rsidRPr="009D2E21" w:rsidRDefault="00C90E84" w:rsidP="00C90E84">
            <w:pPr>
              <w:pStyle w:val="TableTextEntries"/>
              <w:jc w:val="center"/>
              <w:rPr>
                <w:bCs/>
                <w:color w:val="FFFFFF"/>
              </w:rPr>
            </w:pPr>
            <w:r w:rsidRPr="009D2E21">
              <w:rPr>
                <w:bCs/>
                <w:color w:val="FFFFFF"/>
              </w:rPr>
              <w:t>Partly achieved</w:t>
            </w: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C90E84" w:rsidRDefault="00C90E84" w:rsidP="00C90E84">
            <w:pPr>
              <w:rPr>
                <w:rFonts w:ascii="Calibri" w:eastAsiaTheme="minorHAnsi" w:hAnsi="Calibri" w:cs="Calibri"/>
                <w:b/>
                <w:bCs/>
                <w:color w:val="1F497D"/>
                <w:sz w:val="22"/>
                <w:szCs w:val="22"/>
                <w:lang w:eastAsia="en-US"/>
              </w:rPr>
            </w:pPr>
            <w:r w:rsidRPr="00855CC4">
              <w:rPr>
                <w:rFonts w:ascii="Franklin Gothic Book" w:eastAsia="Times New Roman" w:hAnsi="Franklin Gothic Book"/>
                <w:bCs/>
                <w:iCs/>
                <w:sz w:val="17"/>
                <w:szCs w:val="17"/>
                <w:lang w:eastAsia="en-US"/>
              </w:rPr>
              <w:t>81% of priority monitoring and evaluation products were quality assured by the Evaluation Capacity Building Program (including 100% of priority Investment Designs and M&amp;E Plans). Priority products are those nominated by management for quality assurance at the beginning of each year.</w:t>
            </w:r>
          </w:p>
        </w:tc>
      </w:tr>
      <w:tr w:rsidR="00153855" w:rsidRPr="00180B19" w:rsidTr="00153855">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Pr>
          <w:p w:rsidR="00855CC4" w:rsidRPr="00855CC4" w:rsidRDefault="00855CC4" w:rsidP="00C90E84">
            <w:pPr>
              <w:pStyle w:val="TableTextEntries"/>
              <w:rPr>
                <w:bCs/>
              </w:rPr>
            </w:pPr>
            <w:r>
              <w:rPr>
                <w:bCs/>
              </w:rPr>
              <w:lastRenderedPageBreak/>
              <w:t>Finalise the 2012 independent civil society organisation review and implement key recommendations</w:t>
            </w:r>
          </w:p>
        </w:tc>
        <w:tc>
          <w:tcPr>
            <w:tcW w:w="968" w:type="dxa"/>
            <w:gridSpan w:val="2"/>
            <w:tcBorders>
              <w:top w:val="single" w:sz="12" w:space="0" w:color="D9D9D9" w:themeColor="background1" w:themeShade="D9"/>
              <w:bottom w:val="single" w:sz="12" w:space="0" w:color="D9D9D9" w:themeColor="background1" w:themeShade="D9"/>
            </w:tcBorders>
            <w:shd w:val="clear" w:color="auto" w:fill="9BBB59" w:themeFill="accent3"/>
          </w:tcPr>
          <w:p w:rsidR="00855CC4" w:rsidRPr="009D2E21" w:rsidRDefault="00AC5D9E" w:rsidP="00C90E84">
            <w:pPr>
              <w:pStyle w:val="TableTextEntries"/>
              <w:jc w:val="center"/>
              <w:rPr>
                <w:bCs/>
                <w:color w:val="FFFFFF"/>
              </w:rPr>
            </w:pPr>
            <w:r>
              <w:rPr>
                <w:bCs/>
                <w:color w:val="FFFFFF"/>
              </w:rPr>
              <w:t>A</w:t>
            </w:r>
            <w:r w:rsidR="00855CC4">
              <w:rPr>
                <w:bCs/>
                <w:color w:val="FFFFFF"/>
              </w:rPr>
              <w:t>chieved</w:t>
            </w:r>
          </w:p>
        </w:tc>
        <w:tc>
          <w:tcPr>
            <w:tcW w:w="6777" w:type="dxa"/>
          </w:tcPr>
          <w:p w:rsidR="001E2E73" w:rsidRDefault="001E2E73" w:rsidP="00871C2C">
            <w:pPr>
              <w:rPr>
                <w:rFonts w:ascii="Franklin Gothic Book" w:eastAsia="Times New Roman" w:hAnsi="Franklin Gothic Book"/>
                <w:bCs/>
                <w:iCs/>
                <w:sz w:val="17"/>
                <w:szCs w:val="17"/>
                <w:lang w:eastAsia="en-US"/>
              </w:rPr>
            </w:pPr>
            <w:r w:rsidRPr="001E2E73">
              <w:rPr>
                <w:rFonts w:ascii="Franklin Gothic Book" w:eastAsia="Times New Roman" w:hAnsi="Franklin Gothic Book"/>
                <w:bCs/>
                <w:iCs/>
                <w:sz w:val="17"/>
                <w:szCs w:val="17"/>
                <w:lang w:eastAsia="en-US"/>
              </w:rPr>
              <w:t>The review has been finalised and key recommendations will be incorporated into the new aid investment plan and in the design and implementation of new programs.</w:t>
            </w:r>
          </w:p>
          <w:p w:rsidR="00855CC4" w:rsidRPr="00855CC4" w:rsidRDefault="00871C2C" w:rsidP="00871C2C">
            <w:pPr>
              <w:rPr>
                <w:rFonts w:ascii="Franklin Gothic Book" w:eastAsia="Times New Roman" w:hAnsi="Franklin Gothic Book"/>
                <w:bCs/>
                <w:iCs/>
                <w:sz w:val="17"/>
                <w:szCs w:val="17"/>
                <w:lang w:eastAsia="en-US"/>
              </w:rPr>
            </w:pPr>
            <w:r>
              <w:rPr>
                <w:rFonts w:ascii="Franklin Gothic Book" w:eastAsia="Times New Roman" w:hAnsi="Franklin Gothic Book"/>
                <w:bCs/>
                <w:iCs/>
                <w:sz w:val="17"/>
                <w:szCs w:val="17"/>
                <w:lang w:eastAsia="en-US"/>
              </w:rPr>
              <w:t>Some internal principles for engagement with civil society have been developed.</w:t>
            </w:r>
          </w:p>
        </w:tc>
      </w:tr>
      <w:tr w:rsidR="00DF35FA" w:rsidRPr="00180B19" w:rsidTr="00C90E8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DF35FA" w:rsidRDefault="00DF35FA" w:rsidP="00DF35FA">
            <w:pPr>
              <w:pStyle w:val="TableTextEntries"/>
              <w:rPr>
                <w:b/>
              </w:rPr>
            </w:pPr>
            <w:r w:rsidRPr="00DF35FA">
              <w:rPr>
                <w:rFonts w:eastAsia="SimSun"/>
                <w:b/>
              </w:rPr>
              <w:t>Objective 1: Water, sanitation and hygiene</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DF35FA" w:rsidRPr="004C0722" w:rsidRDefault="00DF35FA" w:rsidP="000D733F">
            <w:pPr>
              <w:pStyle w:val="TableTextEntries"/>
              <w:jc w:val="center"/>
              <w:rPr>
                <w:color w:val="FFFFFF" w:themeColor="background1"/>
              </w:rPr>
            </w:pP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7A1F55" w:rsidRDefault="00DF35FA" w:rsidP="000D733F">
            <w:pPr>
              <w:pStyle w:val="TableTextEntries"/>
            </w:pPr>
          </w:p>
        </w:tc>
      </w:tr>
      <w:tr w:rsidR="00DF35FA" w:rsidRPr="00180B19" w:rsidTr="00C90E8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C14AA8" w:rsidRDefault="00DF35FA" w:rsidP="00DF35FA">
            <w:pPr>
              <w:pStyle w:val="TableTextEntries"/>
            </w:pPr>
            <w:r w:rsidRPr="00C14AA8">
              <w:rPr>
                <w:rFonts w:eastAsia="SimSun"/>
              </w:rPr>
              <w:t>BESIK will work closely with the Timor-Leste Government to institutionalise operation and maintenance by increasing community and government capacity to prevent and respond to breakdowns in a timely manner. BESIK will work with government and stakeholders on communication campaigns around household responsibility to build a toilet and have affordable sanitation products available in rural areas.</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tcPr>
          <w:p w:rsidR="00DF35FA" w:rsidRPr="004C0722" w:rsidRDefault="004C0722" w:rsidP="000D733F">
            <w:pPr>
              <w:pStyle w:val="TableTextEntries"/>
              <w:jc w:val="center"/>
              <w:rPr>
                <w:color w:val="FFFFFF" w:themeColor="background1"/>
              </w:rPr>
            </w:pPr>
            <w:r>
              <w:rPr>
                <w:rFonts w:eastAsia="SimSun"/>
                <w:color w:val="FFFFFF" w:themeColor="background1"/>
              </w:rPr>
              <w:t>Partly</w:t>
            </w:r>
            <w:r w:rsidR="0081154A" w:rsidRPr="004C0722">
              <w:rPr>
                <w:rFonts w:eastAsia="SimSun"/>
                <w:color w:val="FFFFFF" w:themeColor="background1"/>
              </w:rPr>
              <w:t xml:space="preserve"> achieved</w:t>
            </w: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7A1F55" w:rsidRDefault="0081154A" w:rsidP="000D733F">
            <w:pPr>
              <w:pStyle w:val="TableTextEntries"/>
            </w:pPr>
            <w:r w:rsidRPr="007A1F55">
              <w:rPr>
                <w:rFonts w:eastAsia="SimSun"/>
              </w:rPr>
              <w:t>Securing government funding for O&amp;M continues to be a challenge, with better prospects for policy dialogue in 2014-15 with a permanent Program Director appointed.</w:t>
            </w:r>
            <w:r w:rsidR="00FC2D20">
              <w:rPr>
                <w:rFonts w:eastAsia="SimSun"/>
              </w:rPr>
              <w:t xml:space="preserve"> </w:t>
            </w:r>
            <w:r w:rsidRPr="007A1F55">
              <w:rPr>
                <w:rFonts w:eastAsia="SimSun"/>
              </w:rPr>
              <w:t>The number of community water user groups has grown with our support, and sanitation pilots are trialling new ways to reach communities with affordable sanitation products.</w:t>
            </w:r>
          </w:p>
        </w:tc>
      </w:tr>
      <w:tr w:rsidR="00153855" w:rsidRPr="00180B19" w:rsidTr="00153855">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Pr>
          <w:p w:rsidR="00DF35FA" w:rsidRPr="00C14AA8" w:rsidRDefault="00DF35FA" w:rsidP="00DF35FA">
            <w:pPr>
              <w:pStyle w:val="TableTextEntries"/>
            </w:pPr>
            <w:r w:rsidRPr="00C14AA8">
              <w:rPr>
                <w:rFonts w:eastAsia="SimSun"/>
              </w:rPr>
              <w:t>BESIK will be analytical in identifying the bottlenecks, barriers and de-motivating factors and through policy dialogue with government – including central agencies – and building partnerships –including resourcing for civil servants –and through gaining recognition for their work.</w:t>
            </w:r>
            <w:r w:rsidRPr="00C14AA8">
              <w:t xml:space="preserve"> </w:t>
            </w:r>
          </w:p>
        </w:tc>
        <w:tc>
          <w:tcPr>
            <w:tcW w:w="968" w:type="dxa"/>
            <w:gridSpan w:val="2"/>
            <w:shd w:val="clear" w:color="auto" w:fill="9BBB59" w:themeFill="accent3"/>
          </w:tcPr>
          <w:p w:rsidR="00DF35FA" w:rsidRPr="004C0722" w:rsidRDefault="00AC5D9E" w:rsidP="000D733F">
            <w:pPr>
              <w:pStyle w:val="TableTextEntries"/>
              <w:jc w:val="center"/>
              <w:rPr>
                <w:color w:val="FFFFFF" w:themeColor="background1"/>
              </w:rPr>
            </w:pPr>
            <w:r>
              <w:rPr>
                <w:rFonts w:eastAsia="SimSun"/>
                <w:color w:val="FFFFFF" w:themeColor="background1"/>
              </w:rPr>
              <w:t>A</w:t>
            </w:r>
            <w:r w:rsidR="0081154A" w:rsidRPr="004C0722">
              <w:rPr>
                <w:rFonts w:eastAsia="SimSun"/>
                <w:color w:val="FFFFFF" w:themeColor="background1"/>
              </w:rPr>
              <w:t>chieved</w:t>
            </w:r>
          </w:p>
        </w:tc>
        <w:tc>
          <w:tcPr>
            <w:tcW w:w="6777" w:type="dxa"/>
          </w:tcPr>
          <w:p w:rsidR="00DF35FA" w:rsidRPr="007A1F55" w:rsidRDefault="0081154A" w:rsidP="000D733F">
            <w:pPr>
              <w:pStyle w:val="TableTextEntries"/>
            </w:pPr>
            <w:r w:rsidRPr="007A1F55">
              <w:rPr>
                <w:rFonts w:eastAsia="SimSun"/>
              </w:rPr>
              <w:t>BESIK has taken positive steps forward in refining its approach to capacity building to support the under-resourced ministries it works in, based on analysis of the most realistic way to make progress in a challenging sector.</w:t>
            </w:r>
            <w:r w:rsidR="00FC2D20">
              <w:rPr>
                <w:rFonts w:eastAsia="SimSun"/>
              </w:rPr>
              <w:t xml:space="preserve"> </w:t>
            </w:r>
            <w:r w:rsidRPr="007A1F55">
              <w:rPr>
                <w:rFonts w:eastAsia="SimSun"/>
              </w:rPr>
              <w:t>This means being more selective about the areas we engage in.</w:t>
            </w:r>
          </w:p>
        </w:tc>
      </w:tr>
      <w:tr w:rsidR="00DF35FA" w:rsidRPr="00180B19" w:rsidTr="00C90E8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DF35FA" w:rsidRDefault="00DF35FA" w:rsidP="00DF35FA">
            <w:pPr>
              <w:pStyle w:val="TableTextEntries"/>
              <w:rPr>
                <w:b/>
              </w:rPr>
            </w:pPr>
            <w:r w:rsidRPr="00DF35FA">
              <w:rPr>
                <w:rFonts w:eastAsia="SimSun"/>
                <w:b/>
              </w:rPr>
              <w:t>Objective 2: Rural roads</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DF35FA" w:rsidRPr="004C0722" w:rsidRDefault="00DF35FA" w:rsidP="000D733F">
            <w:pPr>
              <w:pStyle w:val="TableTextEntries"/>
              <w:jc w:val="center"/>
              <w:rPr>
                <w:color w:val="FFFFFF" w:themeColor="background1"/>
              </w:rPr>
            </w:pP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7A1F55" w:rsidRDefault="00DF35FA" w:rsidP="000D733F">
            <w:pPr>
              <w:pStyle w:val="TableTextEntries"/>
            </w:pPr>
          </w:p>
        </w:tc>
      </w:tr>
      <w:tr w:rsidR="00DF35FA" w:rsidRPr="00180B19" w:rsidTr="00C90E8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C14AA8" w:rsidRDefault="00DF35FA" w:rsidP="00DF35FA">
            <w:pPr>
              <w:pStyle w:val="TableTextEntries"/>
            </w:pPr>
            <w:r w:rsidRPr="00C14AA8">
              <w:rPr>
                <w:rFonts w:eastAsia="SimSun"/>
              </w:rPr>
              <w:t>Australia Minister Counsellor and International Labour Organization Country Head continue to intensify engagement with the Minister of Public Works. This will include a meeting in 2013 to discuss the recommendations of the first independent monitoring group and formation of the program steering committee. Identify through policy dialogue at the working level actions to improve effectiveness of coordination.</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tcPr>
          <w:p w:rsidR="00DF35FA" w:rsidRPr="004C0722" w:rsidRDefault="004C0722" w:rsidP="000D733F">
            <w:pPr>
              <w:pStyle w:val="TableTextEntries"/>
              <w:jc w:val="center"/>
              <w:rPr>
                <w:color w:val="FFFFFF" w:themeColor="background1"/>
              </w:rPr>
            </w:pPr>
            <w:r>
              <w:rPr>
                <w:rFonts w:eastAsia="SimSun"/>
                <w:color w:val="FFFFFF" w:themeColor="background1"/>
              </w:rPr>
              <w:t>Part</w:t>
            </w:r>
            <w:r w:rsidR="0081154A" w:rsidRPr="004C0722">
              <w:rPr>
                <w:rFonts w:eastAsia="SimSun"/>
                <w:color w:val="FFFFFF" w:themeColor="background1"/>
              </w:rPr>
              <w:t>ly achieved</w:t>
            </w: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7A1F55" w:rsidRDefault="0081154A" w:rsidP="000D733F">
            <w:pPr>
              <w:pStyle w:val="TableTextEntries"/>
            </w:pPr>
            <w:r w:rsidRPr="007A1F55">
              <w:rPr>
                <w:rFonts w:eastAsia="SimSun"/>
              </w:rPr>
              <w:t>$1.5 million of a requested $14 million has been allocated to the Ministry of Public Works for rural roads.</w:t>
            </w:r>
            <w:r w:rsidR="00FC2D20">
              <w:rPr>
                <w:rFonts w:eastAsia="SimSun"/>
              </w:rPr>
              <w:t xml:space="preserve"> </w:t>
            </w:r>
            <w:r w:rsidRPr="007A1F55">
              <w:rPr>
                <w:rFonts w:eastAsia="SimSun"/>
              </w:rPr>
              <w:t xml:space="preserve">While this is </w:t>
            </w:r>
            <w:r w:rsidR="00AC5D9E">
              <w:rPr>
                <w:rFonts w:eastAsia="SimSun"/>
              </w:rPr>
              <w:t xml:space="preserve">far </w:t>
            </w:r>
            <w:r w:rsidRPr="007A1F55">
              <w:rPr>
                <w:rFonts w:eastAsia="SimSun"/>
              </w:rPr>
              <w:t xml:space="preserve">below what is needed, it is evidence of incremental gains of policy dialogue around budget and the role of </w:t>
            </w:r>
            <w:r w:rsidR="00AC5D9E">
              <w:rPr>
                <w:rFonts w:eastAsia="SimSun"/>
              </w:rPr>
              <w:t xml:space="preserve">the Ministry of </w:t>
            </w:r>
            <w:r w:rsidRPr="007A1F55">
              <w:rPr>
                <w:rFonts w:eastAsia="SimSun"/>
              </w:rPr>
              <w:t>Public Works.</w:t>
            </w:r>
          </w:p>
        </w:tc>
      </w:tr>
      <w:tr w:rsidR="00DF35FA" w:rsidRPr="00180B19" w:rsidTr="00C90E8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C14AA8" w:rsidRDefault="00DF35FA" w:rsidP="00DF35FA">
            <w:pPr>
              <w:pStyle w:val="TableTextEntries"/>
            </w:pPr>
            <w:r w:rsidRPr="00C14AA8">
              <w:rPr>
                <w:rFonts w:eastAsia="SimSun"/>
              </w:rPr>
              <w:t>R4D implements a staged approach to support Ministry of Public Works</w:t>
            </w:r>
            <w:r w:rsidRPr="00C14AA8" w:rsidDel="00425C32">
              <w:rPr>
                <w:rFonts w:eastAsia="SimSun"/>
              </w:rPr>
              <w:t xml:space="preserve"> </w:t>
            </w:r>
            <w:r w:rsidRPr="00C14AA8">
              <w:rPr>
                <w:rFonts w:eastAsia="SimSun"/>
              </w:rPr>
              <w:t>development, and reviews its contractor training modules after the first cycle of road works in 2013.</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BBB59" w:themeFill="accent3"/>
          </w:tcPr>
          <w:p w:rsidR="0081154A" w:rsidRPr="004C0722" w:rsidRDefault="0081154A" w:rsidP="000D733F">
            <w:pPr>
              <w:pStyle w:val="TableTextEntries"/>
              <w:jc w:val="center"/>
              <w:rPr>
                <w:color w:val="FFFFFF" w:themeColor="background1"/>
              </w:rPr>
            </w:pPr>
            <w:r w:rsidRPr="004C0722">
              <w:rPr>
                <w:rFonts w:eastAsia="SimSun"/>
                <w:color w:val="FFFFFF" w:themeColor="background1"/>
              </w:rPr>
              <w:t>Achieved</w:t>
            </w:r>
          </w:p>
          <w:p w:rsidR="00DF35FA" w:rsidRPr="004C0722" w:rsidRDefault="00DF35FA" w:rsidP="0081154A">
            <w:pPr>
              <w:rPr>
                <w:color w:val="FFFFFF" w:themeColor="background1"/>
                <w:lang w:eastAsia="en-US"/>
              </w:rPr>
            </w:pP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7A1F55" w:rsidRDefault="0081154A" w:rsidP="000D733F">
            <w:pPr>
              <w:pStyle w:val="TableTextEntries"/>
            </w:pPr>
            <w:r w:rsidRPr="007A1F55">
              <w:rPr>
                <w:rFonts w:eastAsia="SimSun"/>
              </w:rPr>
              <w:t>A training plan was finalised in July 2013 and is being implemented with a focus on practical skills training for local MPW staff and contractors directly relevant to road works.</w:t>
            </w:r>
            <w:r w:rsidR="00FC2D20">
              <w:rPr>
                <w:rFonts w:eastAsia="SimSun"/>
              </w:rPr>
              <w:t xml:space="preserve"> </w:t>
            </w:r>
            <w:r w:rsidRPr="007A1F55">
              <w:rPr>
                <w:rFonts w:eastAsia="SimSun"/>
              </w:rPr>
              <w:t>Findings of reviews of training modules are progressively being incorporated into the program.</w:t>
            </w:r>
          </w:p>
        </w:tc>
      </w:tr>
      <w:tr w:rsidR="00DF35FA" w:rsidRPr="00180B19" w:rsidTr="00C90E8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DF35FA" w:rsidRDefault="00DF35FA" w:rsidP="00DF35FA">
            <w:pPr>
              <w:pStyle w:val="TableTextEntries"/>
              <w:rPr>
                <w:b/>
              </w:rPr>
            </w:pPr>
            <w:r w:rsidRPr="00DF35FA">
              <w:rPr>
                <w:rFonts w:eastAsia="SimSun"/>
                <w:b/>
              </w:rPr>
              <w:t>Objective 3: Agriculture</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DF35FA" w:rsidRPr="004C0722" w:rsidRDefault="00DF35FA" w:rsidP="000D733F">
            <w:pPr>
              <w:pStyle w:val="TableTextEntries"/>
              <w:jc w:val="center"/>
              <w:rPr>
                <w:color w:val="FFFFFF" w:themeColor="background1"/>
              </w:rPr>
            </w:pP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7A1F55" w:rsidRDefault="00DF35FA" w:rsidP="000D733F">
            <w:pPr>
              <w:pStyle w:val="TableTextEntries"/>
            </w:pPr>
          </w:p>
        </w:tc>
      </w:tr>
      <w:tr w:rsidR="00DF35FA" w:rsidRPr="00180B19" w:rsidTr="00C90E8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C14AA8" w:rsidRDefault="00DF35FA" w:rsidP="00DF35FA">
            <w:pPr>
              <w:pStyle w:val="TableTextEntries"/>
            </w:pPr>
            <w:r>
              <w:rPr>
                <w:rFonts w:eastAsia="SimSun"/>
              </w:rPr>
              <w:t>The department</w:t>
            </w:r>
            <w:r w:rsidRPr="00C14AA8">
              <w:rPr>
                <w:rFonts w:eastAsia="SimSun"/>
              </w:rPr>
              <w:t xml:space="preserve"> will increase engagement with the ministry on budget planning in 2014. Seeds of Life team leader to continue regular engagement with the ministry’s director general to ensure sufficient inputs provided for the 2014 budget planning process.</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BBB59" w:themeFill="accent3"/>
          </w:tcPr>
          <w:p w:rsidR="00DF35FA" w:rsidRPr="004C0722" w:rsidRDefault="0019190B" w:rsidP="000D733F">
            <w:pPr>
              <w:pStyle w:val="TableTextEntries"/>
              <w:jc w:val="center"/>
              <w:rPr>
                <w:color w:val="FFFFFF" w:themeColor="background1"/>
              </w:rPr>
            </w:pPr>
            <w:r w:rsidRPr="004C0722">
              <w:rPr>
                <w:color w:val="FFFFFF" w:themeColor="background1"/>
              </w:rPr>
              <w:t>Achieved</w:t>
            </w: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7A1F55" w:rsidRDefault="00AC5D9E" w:rsidP="000D733F">
            <w:pPr>
              <w:pStyle w:val="TableTextEntries"/>
            </w:pPr>
            <w:r>
              <w:rPr>
                <w:rFonts w:eastAsia="SimSun"/>
              </w:rPr>
              <w:t>Due</w:t>
            </w:r>
            <w:r w:rsidRPr="007A1F55">
              <w:rPr>
                <w:rFonts w:eastAsia="SimSun"/>
              </w:rPr>
              <w:t xml:space="preserve"> </w:t>
            </w:r>
            <w:r w:rsidR="0019190B" w:rsidRPr="007A1F55">
              <w:rPr>
                <w:rFonts w:eastAsia="SimSun"/>
              </w:rPr>
              <w:t>to DFAT and SOL</w:t>
            </w:r>
            <w:r>
              <w:rPr>
                <w:rFonts w:eastAsia="SimSun"/>
              </w:rPr>
              <w:t>’s</w:t>
            </w:r>
            <w:r w:rsidR="0019190B" w:rsidRPr="007A1F55">
              <w:rPr>
                <w:rFonts w:eastAsia="SimSun"/>
              </w:rPr>
              <w:t xml:space="preserve"> advocacy</w:t>
            </w:r>
            <w:r>
              <w:rPr>
                <w:rFonts w:eastAsia="SimSun"/>
              </w:rPr>
              <w:t xml:space="preserve"> efforts</w:t>
            </w:r>
            <w:r w:rsidR="0019190B" w:rsidRPr="007A1F55">
              <w:rPr>
                <w:rFonts w:eastAsia="SimSun"/>
              </w:rPr>
              <w:t>, some recurrent budget to absorb SOL components was secured through the GoTL budget.</w:t>
            </w:r>
            <w:r w:rsidR="00FC2D20">
              <w:rPr>
                <w:rFonts w:eastAsia="SimSun"/>
              </w:rPr>
              <w:t xml:space="preserve"> </w:t>
            </w:r>
            <w:r w:rsidR="0019190B" w:rsidRPr="007A1F55">
              <w:rPr>
                <w:rFonts w:eastAsia="SimSun"/>
              </w:rPr>
              <w:t>A draft transition plan has been written and transition activities are well underway.</w:t>
            </w:r>
          </w:p>
        </w:tc>
      </w:tr>
      <w:tr w:rsidR="00DF35FA" w:rsidRPr="00180B19" w:rsidTr="00C90E8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C14AA8" w:rsidRDefault="00DF35FA" w:rsidP="00DF35FA">
            <w:pPr>
              <w:pStyle w:val="TableTextEntries"/>
            </w:pPr>
            <w:r w:rsidRPr="00C14AA8">
              <w:rPr>
                <w:rFonts w:eastAsia="SimSun"/>
              </w:rPr>
              <w:t>Commence design theory of change first quarter 2013–14.</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BBB59" w:themeFill="accent3"/>
          </w:tcPr>
          <w:p w:rsidR="00DF35FA" w:rsidRPr="004C0722" w:rsidRDefault="0019190B" w:rsidP="000D733F">
            <w:pPr>
              <w:pStyle w:val="TableTextEntries"/>
              <w:jc w:val="center"/>
              <w:rPr>
                <w:color w:val="FFFFFF" w:themeColor="background1"/>
              </w:rPr>
            </w:pPr>
            <w:r w:rsidRPr="004C0722">
              <w:rPr>
                <w:color w:val="FFFFFF" w:themeColor="background1"/>
              </w:rPr>
              <w:t>Achieved</w:t>
            </w: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7A1F55" w:rsidRDefault="0019190B" w:rsidP="000D733F">
            <w:pPr>
              <w:pStyle w:val="TableTextEntries"/>
            </w:pPr>
            <w:r w:rsidRPr="007A1F55">
              <w:rPr>
                <w:rFonts w:eastAsia="SimSun"/>
              </w:rPr>
              <w:t>DFAT has engaged a rural development specialist to support its transition from Seeds of Life to a new investment that addresses key development challenges in the sector.</w:t>
            </w:r>
            <w:r w:rsidR="00FC2D20">
              <w:rPr>
                <w:rFonts w:eastAsia="SimSun"/>
              </w:rPr>
              <w:t xml:space="preserve"> </w:t>
            </w:r>
            <w:r w:rsidRPr="007A1F55">
              <w:rPr>
                <w:rFonts w:eastAsia="SimSun"/>
              </w:rPr>
              <w:t>A design will be completed in 2014-15</w:t>
            </w:r>
          </w:p>
        </w:tc>
      </w:tr>
      <w:tr w:rsidR="00DF35FA" w:rsidRPr="00180B19" w:rsidTr="00C90E8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DF35FA" w:rsidRDefault="00DF35FA" w:rsidP="00DF35FA">
            <w:pPr>
              <w:pStyle w:val="TableTextEntries"/>
              <w:rPr>
                <w:b/>
              </w:rPr>
            </w:pPr>
            <w:r w:rsidRPr="00DF35FA">
              <w:rPr>
                <w:rFonts w:eastAsia="SimSun"/>
                <w:b/>
              </w:rPr>
              <w:t>Objective 4: Education and training</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DF35FA" w:rsidRPr="004C0722" w:rsidRDefault="00DF35FA" w:rsidP="000D733F">
            <w:pPr>
              <w:pStyle w:val="TableTextEntries"/>
              <w:jc w:val="center"/>
              <w:rPr>
                <w:color w:val="FFFFFF" w:themeColor="background1"/>
              </w:rPr>
            </w:pP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7A1F55" w:rsidRDefault="00DF35FA" w:rsidP="000D733F">
            <w:pPr>
              <w:pStyle w:val="TableTextEntries"/>
            </w:pPr>
          </w:p>
        </w:tc>
      </w:tr>
      <w:tr w:rsidR="00DF35FA" w:rsidRPr="00180B19" w:rsidTr="00C90E8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C14AA8" w:rsidRDefault="00DF35FA" w:rsidP="00DF35FA">
            <w:pPr>
              <w:pStyle w:val="TableTextEntries"/>
            </w:pPr>
            <w:r w:rsidRPr="00C14AA8">
              <w:rPr>
                <w:rFonts w:eastAsia="SimSun"/>
              </w:rPr>
              <w:t xml:space="preserve">In 2013 </w:t>
            </w:r>
            <w:r>
              <w:rPr>
                <w:rFonts w:eastAsia="SimSun"/>
              </w:rPr>
              <w:t>the department</w:t>
            </w:r>
            <w:r w:rsidRPr="00C14AA8">
              <w:rPr>
                <w:rFonts w:eastAsia="SimSun"/>
              </w:rPr>
              <w:t xml:space="preserve"> will develop a comprehensive and rigorous monitoring and evaluation framework for the education and training program to identify issues early.</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tcPr>
          <w:p w:rsidR="00DF35FA" w:rsidRPr="004C0722" w:rsidRDefault="004C0722" w:rsidP="000D733F">
            <w:pPr>
              <w:pStyle w:val="TableTextEntries"/>
              <w:jc w:val="center"/>
              <w:rPr>
                <w:color w:val="FFFFFF" w:themeColor="background1"/>
              </w:rPr>
            </w:pPr>
            <w:r>
              <w:rPr>
                <w:rFonts w:eastAsia="SimSun"/>
                <w:color w:val="FFFFFF" w:themeColor="background1"/>
              </w:rPr>
              <w:t>Part</w:t>
            </w:r>
            <w:r w:rsidR="0081154A" w:rsidRPr="004C0722">
              <w:rPr>
                <w:rFonts w:eastAsia="SimSun"/>
                <w:color w:val="FFFFFF" w:themeColor="background1"/>
              </w:rPr>
              <w:t>ly achieved</w:t>
            </w: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7A1F55" w:rsidRDefault="0081154A" w:rsidP="000D733F">
            <w:pPr>
              <w:pStyle w:val="TableTextEntries"/>
            </w:pPr>
            <w:r w:rsidRPr="007A1F55">
              <w:t>DFAT continued to develop the Delivery Strategy for the education sector with a comprehensive monitoring and evaluation framework.</w:t>
            </w:r>
          </w:p>
        </w:tc>
      </w:tr>
      <w:tr w:rsidR="00DF35FA" w:rsidRPr="00180B19" w:rsidTr="00C90E8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C14AA8" w:rsidRDefault="00DF35FA" w:rsidP="00DF35FA">
            <w:pPr>
              <w:pStyle w:val="TableTextEntries"/>
            </w:pPr>
            <w:r>
              <w:rPr>
                <w:rFonts w:eastAsia="SimSun"/>
              </w:rPr>
              <w:lastRenderedPageBreak/>
              <w:t>DFAT</w:t>
            </w:r>
            <w:r w:rsidRPr="00C14AA8">
              <w:rPr>
                <w:rFonts w:eastAsia="SimSun"/>
              </w:rPr>
              <w:t xml:space="preserve"> will better communicate the work of Australia with the government, partners and communities, and engage with the government to identify key priorities and challenges.</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tcPr>
          <w:p w:rsidR="00DF35FA" w:rsidRPr="004C0722" w:rsidRDefault="004C0722" w:rsidP="000D733F">
            <w:pPr>
              <w:pStyle w:val="TableTextEntries"/>
              <w:jc w:val="center"/>
              <w:rPr>
                <w:color w:val="FFFFFF" w:themeColor="background1"/>
              </w:rPr>
            </w:pPr>
            <w:r>
              <w:rPr>
                <w:rFonts w:eastAsia="SimSun"/>
                <w:color w:val="FFFFFF" w:themeColor="background1"/>
              </w:rPr>
              <w:t>Part</w:t>
            </w:r>
            <w:r w:rsidR="0081154A" w:rsidRPr="004C0722">
              <w:rPr>
                <w:rFonts w:eastAsia="SimSun"/>
                <w:color w:val="FFFFFF" w:themeColor="background1"/>
              </w:rPr>
              <w:t>ly achieved</w:t>
            </w: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7A1F55" w:rsidRDefault="0081154A" w:rsidP="000D733F">
            <w:pPr>
              <w:pStyle w:val="TableTextEntries"/>
            </w:pPr>
            <w:r w:rsidRPr="007A1F55">
              <w:t>DFAT engaged in ongoing policy dialogue with the government, partners and communities on education.</w:t>
            </w:r>
          </w:p>
        </w:tc>
      </w:tr>
      <w:tr w:rsidR="00DF35FA" w:rsidRPr="00180B19" w:rsidTr="00C90E8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C14AA8" w:rsidRDefault="00DF35FA" w:rsidP="00103D94">
            <w:pPr>
              <w:pStyle w:val="TableTextEntries"/>
            </w:pPr>
            <w:r>
              <w:rPr>
                <w:rFonts w:eastAsia="SimSun"/>
              </w:rPr>
              <w:t>DFAT</w:t>
            </w:r>
            <w:r w:rsidRPr="00C14AA8">
              <w:rPr>
                <w:rFonts w:eastAsia="SimSun"/>
              </w:rPr>
              <w:t xml:space="preserve"> will devise a budget engagement strategy, and undertake regular analysis to inform discussions. </w:t>
            </w:r>
            <w:r>
              <w:rPr>
                <w:rFonts w:eastAsia="SimSun"/>
              </w:rPr>
              <w:t>DFAT</w:t>
            </w:r>
            <w:r w:rsidRPr="00C14AA8">
              <w:rPr>
                <w:rFonts w:eastAsia="SimSun"/>
              </w:rPr>
              <w:t xml:space="preserve"> will support Ministry of Education and </w:t>
            </w:r>
            <w:r w:rsidR="00103D94" w:rsidRPr="00103D94">
              <w:t xml:space="preserve">Secretariat of State for Professional Training and Employment Policy </w:t>
            </w:r>
            <w:r w:rsidR="00103D94">
              <w:t xml:space="preserve"> </w:t>
            </w:r>
            <w:r w:rsidRPr="00C14AA8">
              <w:rPr>
                <w:rFonts w:eastAsia="SimSun"/>
              </w:rPr>
              <w:t xml:space="preserve">to engage with the </w:t>
            </w:r>
            <w:r w:rsidR="001B4EE2">
              <w:rPr>
                <w:rFonts w:eastAsia="SimSun"/>
              </w:rPr>
              <w:t>MoF</w:t>
            </w:r>
            <w:r w:rsidRPr="00C14AA8">
              <w:rPr>
                <w:rFonts w:eastAsia="SimSun"/>
              </w:rPr>
              <w:t>.</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tcPr>
          <w:p w:rsidR="00DF35FA" w:rsidRPr="004C0722" w:rsidRDefault="004C0722" w:rsidP="000D733F">
            <w:pPr>
              <w:pStyle w:val="TableTextEntries"/>
              <w:jc w:val="center"/>
              <w:rPr>
                <w:color w:val="FFFFFF" w:themeColor="background1"/>
              </w:rPr>
            </w:pPr>
            <w:r>
              <w:rPr>
                <w:rFonts w:eastAsia="SimSun"/>
                <w:color w:val="FFFFFF" w:themeColor="background1"/>
              </w:rPr>
              <w:t>Part</w:t>
            </w:r>
            <w:r w:rsidR="0081154A" w:rsidRPr="004C0722">
              <w:rPr>
                <w:rFonts w:eastAsia="SimSun"/>
                <w:color w:val="FFFFFF" w:themeColor="background1"/>
              </w:rPr>
              <w:t>ly achieved</w:t>
            </w: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7A1F55" w:rsidRDefault="0081154A" w:rsidP="00103D94">
            <w:pPr>
              <w:pStyle w:val="TableTextEntries"/>
            </w:pPr>
            <w:r w:rsidRPr="007A1F55">
              <w:t>DFAT continued to undertake analysis of Timor-Leste budget allocations for basic education and engaged in dialogue with the</w:t>
            </w:r>
            <w:r w:rsidR="00103D94">
              <w:t xml:space="preserve"> </w:t>
            </w:r>
            <w:r w:rsidR="00103D94" w:rsidRPr="00103D94">
              <w:t xml:space="preserve">Secretariat of State for Professional Training and Employment Policy </w:t>
            </w:r>
            <w:r w:rsidRPr="007A1F55">
              <w:t>on the decreasing budget for training.</w:t>
            </w:r>
            <w:r w:rsidR="00FC2D20">
              <w:t xml:space="preserve"> </w:t>
            </w:r>
            <w:r w:rsidRPr="007A1F55">
              <w:t xml:space="preserve"> </w:t>
            </w:r>
          </w:p>
        </w:tc>
      </w:tr>
      <w:tr w:rsidR="00DF35FA" w:rsidRPr="00180B19" w:rsidTr="00C90E8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DF35FA" w:rsidRDefault="00DF35FA" w:rsidP="00DF35FA">
            <w:pPr>
              <w:pStyle w:val="TableTextEntries"/>
              <w:rPr>
                <w:b/>
              </w:rPr>
            </w:pPr>
            <w:r w:rsidRPr="00DF35FA">
              <w:rPr>
                <w:rFonts w:eastAsia="SimSun"/>
                <w:b/>
              </w:rPr>
              <w:t>Objective 5: Health</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DF35FA" w:rsidRPr="004C0722" w:rsidRDefault="00DF35FA" w:rsidP="000D733F">
            <w:pPr>
              <w:pStyle w:val="TableTextEntries"/>
              <w:jc w:val="center"/>
              <w:rPr>
                <w:color w:val="FFFFFF" w:themeColor="background1"/>
              </w:rPr>
            </w:pP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7A1F55" w:rsidRDefault="00DF35FA" w:rsidP="000D733F">
            <w:pPr>
              <w:pStyle w:val="TableTextEntries"/>
            </w:pPr>
          </w:p>
        </w:tc>
      </w:tr>
      <w:tr w:rsidR="00DF35FA" w:rsidRPr="00180B19" w:rsidTr="00C90E8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C14AA8" w:rsidRDefault="00DF35FA" w:rsidP="00DF35FA">
            <w:pPr>
              <w:pStyle w:val="TableTextEntries"/>
            </w:pPr>
            <w:r w:rsidRPr="00C14AA8">
              <w:rPr>
                <w:rFonts w:eastAsia="SimSun"/>
              </w:rPr>
              <w:t>The Director Health and Education and the Senior Health Specialist jointly design the new health program with ministry staff.</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BBB59" w:themeFill="accent3"/>
          </w:tcPr>
          <w:p w:rsidR="00DF35FA" w:rsidRPr="004C0722" w:rsidRDefault="0081154A" w:rsidP="000D733F">
            <w:pPr>
              <w:pStyle w:val="TableTextEntries"/>
              <w:jc w:val="center"/>
              <w:rPr>
                <w:color w:val="FFFFFF" w:themeColor="background1"/>
              </w:rPr>
            </w:pPr>
            <w:r w:rsidRPr="004C0722">
              <w:rPr>
                <w:color w:val="FFFFFF" w:themeColor="background1"/>
              </w:rPr>
              <w:t>Achieved</w:t>
            </w: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81154A" w:rsidRPr="007A1F55" w:rsidRDefault="0081154A" w:rsidP="0081154A">
            <w:pPr>
              <w:pStyle w:val="TableTextEntries"/>
            </w:pPr>
            <w:r w:rsidRPr="007A1F55">
              <w:t xml:space="preserve">The Timor-Leste Minister for Health endorsed the Health Program on 4 November 2013, after 18 months of consultations. </w:t>
            </w:r>
          </w:p>
          <w:p w:rsidR="00DF35FA" w:rsidRPr="007A1F55" w:rsidRDefault="00DF35FA" w:rsidP="000D733F">
            <w:pPr>
              <w:pStyle w:val="TableTextEntries"/>
            </w:pPr>
          </w:p>
        </w:tc>
      </w:tr>
      <w:tr w:rsidR="00DF35FA" w:rsidRPr="00180B19" w:rsidTr="00C90E8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C14AA8" w:rsidRDefault="00DF35FA" w:rsidP="00DF35FA">
            <w:pPr>
              <w:pStyle w:val="TableTextEntries"/>
            </w:pPr>
            <w:r w:rsidRPr="00C14AA8">
              <w:rPr>
                <w:rFonts w:eastAsia="SimSun"/>
              </w:rPr>
              <w:t xml:space="preserve">The </w:t>
            </w:r>
            <w:r>
              <w:rPr>
                <w:rFonts w:eastAsia="SimSun"/>
              </w:rPr>
              <w:t>DFAT</w:t>
            </w:r>
            <w:r w:rsidRPr="00C14AA8">
              <w:rPr>
                <w:rFonts w:eastAsia="SimSun"/>
              </w:rPr>
              <w:t xml:space="preserve"> health design team and the nutrition, disability and gender focal points will participate in cross-cutting working groups and coordinate with other sectors to improve nutrition, gender equality and disability. The team will work with the government and development partners to raise the profile of these cross-cutting issues and advocate for evidence based interventions.</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tcPr>
          <w:p w:rsidR="00DF35FA" w:rsidRPr="004C0722" w:rsidRDefault="00FE5435" w:rsidP="000D733F">
            <w:pPr>
              <w:pStyle w:val="TableTextEntries"/>
              <w:jc w:val="center"/>
              <w:rPr>
                <w:color w:val="FFFFFF" w:themeColor="background1"/>
              </w:rPr>
            </w:pPr>
            <w:r w:rsidRPr="004C0722">
              <w:rPr>
                <w:rFonts w:eastAsia="SimSun"/>
                <w:color w:val="FFFFFF" w:themeColor="background1"/>
              </w:rPr>
              <w:t>Partly Achieved</w:t>
            </w: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7A1F55" w:rsidRDefault="0081154A" w:rsidP="000D733F">
            <w:pPr>
              <w:pStyle w:val="TableTextEntries"/>
            </w:pPr>
            <w:r w:rsidRPr="007A1F55">
              <w:t>The Australian Embassy health team will recruit disability and gender advisers in the next 12 months, as well as the new Nutrition Specialist, to ensure the new health program is inclusive of people with disability and gender-sensitive. We will continue participating in Government of Timor-Leste working groups.</w:t>
            </w:r>
          </w:p>
        </w:tc>
      </w:tr>
      <w:tr w:rsidR="00DF35FA" w:rsidRPr="00180B19" w:rsidTr="00C90E8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C14AA8" w:rsidRDefault="00DF35FA" w:rsidP="00DF35FA">
            <w:pPr>
              <w:pStyle w:val="TableTextEntries"/>
            </w:pPr>
            <w:r w:rsidRPr="00C14AA8">
              <w:rPr>
                <w:rFonts w:eastAsia="SimSun"/>
              </w:rPr>
              <w:t>We will strengthen monitoring and evaluation to improve performance. We will use monitoring and evaluation to encourage the Ministry of Health to use the sector monitoring and evaluation framework to make informed decisions. We will support development of monitoring and evaluation skills through the Evaluation Capacity Building Program.</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tcPr>
          <w:p w:rsidR="00DF35FA" w:rsidRPr="004C0722" w:rsidRDefault="00FE5435" w:rsidP="000D733F">
            <w:pPr>
              <w:pStyle w:val="TableTextEntries"/>
              <w:jc w:val="center"/>
              <w:rPr>
                <w:color w:val="FFFFFF" w:themeColor="background1"/>
              </w:rPr>
            </w:pPr>
            <w:r w:rsidRPr="004C0722">
              <w:rPr>
                <w:rFonts w:eastAsia="SimSun"/>
                <w:color w:val="FFFFFF" w:themeColor="background1"/>
              </w:rPr>
              <w:t>Partly Achieved</w:t>
            </w: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7A1F55" w:rsidRDefault="00FE5435" w:rsidP="000D733F">
            <w:pPr>
              <w:pStyle w:val="TableTextEntries"/>
            </w:pPr>
            <w:r w:rsidRPr="007A1F55">
              <w:t>The Australian Embassy health team worked with partners to improve their monitoring and evaluation, although there were delays in finalising documentation. We will continue looking for opportunities to encourage the Ministry to use the sector monitoring and evaluation framework. Staff have continued to participate in the Evaluation Capacity Building Program.</w:t>
            </w:r>
          </w:p>
        </w:tc>
      </w:tr>
      <w:tr w:rsidR="00DF35FA" w:rsidRPr="00180B19" w:rsidTr="00C90E8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C14AA8" w:rsidRDefault="00DF35FA" w:rsidP="00DF35FA">
            <w:pPr>
              <w:pStyle w:val="TableTextEntries"/>
            </w:pPr>
            <w:r w:rsidRPr="00C14AA8">
              <w:t>Close monitoring of these programs, identify management issues, undertake policy dialogue with the Ministry of Health to improve adequacy of progress.</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DF35FA" w:rsidRDefault="00FE5435" w:rsidP="000D733F">
            <w:pPr>
              <w:pStyle w:val="TableTextEntries"/>
              <w:jc w:val="center"/>
              <w:rPr>
                <w:color w:val="FFFFFF" w:themeColor="background1"/>
              </w:rPr>
            </w:pPr>
            <w:r w:rsidRPr="00FE5435">
              <w:t>N/A</w:t>
            </w: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FE5435" w:rsidRPr="007A1F55" w:rsidRDefault="00FE5435" w:rsidP="00FE5435">
            <w:pPr>
              <w:pStyle w:val="TableTextEntries"/>
              <w:rPr>
                <w:lang w:eastAsia="en-AU"/>
              </w:rPr>
            </w:pPr>
            <w:r w:rsidRPr="007A1F55">
              <w:rPr>
                <w:lang w:eastAsia="en-AU"/>
              </w:rPr>
              <w:t>In responding to Ministry of Health’s urgent priority, the Royal Australasian College of Surgeons (RACS) have reprioritised their support to focus on secondary skills development for junior Timorese doctors. Together with Ministry of Health, RACS is implementing a two year course (Family Medicine Program) focussed on developing basic secondary skills to approximately 200 junior doctors at Community Health Centres.</w:t>
            </w:r>
            <w:r w:rsidR="00FC2D20">
              <w:rPr>
                <w:lang w:eastAsia="en-AU"/>
              </w:rPr>
              <w:t xml:space="preserve"> </w:t>
            </w:r>
            <w:r w:rsidRPr="007A1F55">
              <w:rPr>
                <w:lang w:eastAsia="en-AU"/>
              </w:rPr>
              <w:t>The program was designed and implemented in close collaboration with the Cuban Brigade and other relevant partners.</w:t>
            </w:r>
          </w:p>
          <w:p w:rsidR="00DF35FA" w:rsidRPr="007A1F55" w:rsidRDefault="00DF35FA" w:rsidP="000D733F">
            <w:pPr>
              <w:pStyle w:val="TableTextEntries"/>
            </w:pPr>
          </w:p>
        </w:tc>
      </w:tr>
      <w:tr w:rsidR="00DF35FA" w:rsidRPr="00180B19" w:rsidTr="00C90E84">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DF35FA" w:rsidRDefault="00DF35FA" w:rsidP="00DF35FA">
            <w:pPr>
              <w:pStyle w:val="TableTextEntries"/>
              <w:rPr>
                <w:b/>
              </w:rPr>
            </w:pPr>
            <w:r w:rsidRPr="00DF35FA">
              <w:rPr>
                <w:rFonts w:eastAsia="SimSun"/>
                <w:b/>
              </w:rPr>
              <w:t>Objective 6: Security</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DF35FA" w:rsidRDefault="00DF35FA" w:rsidP="000D733F">
            <w:pPr>
              <w:pStyle w:val="TableTextEntries"/>
              <w:jc w:val="center"/>
              <w:rPr>
                <w:color w:val="FFFFFF" w:themeColor="background1"/>
              </w:rPr>
            </w:pP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7A1F55" w:rsidRDefault="00DF35FA" w:rsidP="000D733F">
            <w:pPr>
              <w:pStyle w:val="TableTextEntries"/>
            </w:pPr>
          </w:p>
        </w:tc>
      </w:tr>
      <w:tr w:rsidR="0019190B" w:rsidRPr="00180B19" w:rsidTr="009D2E21">
        <w:trPr>
          <w:gridAfter w:val="1"/>
          <w:cnfStyle w:val="000000010000" w:firstRow="0" w:lastRow="0" w:firstColumn="0" w:lastColumn="0" w:oddVBand="0" w:evenVBand="0" w:oddHBand="0" w:evenHBand="1" w:firstRowFirstColumn="0" w:firstRowLastColumn="0" w:lastRowFirstColumn="0" w:lastRowLastColumn="0"/>
          <w:wAfter w:w="75" w:type="dxa"/>
          <w:trHeight w:val="2790"/>
        </w:trPr>
        <w:tc>
          <w:tcPr>
            <w:tcW w:w="6499" w:type="dxa"/>
            <w:gridSpan w:val="2"/>
          </w:tcPr>
          <w:p w:rsidR="0019190B" w:rsidRPr="00C14AA8" w:rsidRDefault="0019190B" w:rsidP="00DF35FA">
            <w:pPr>
              <w:pStyle w:val="TableTextEntries"/>
            </w:pPr>
            <w:r w:rsidRPr="00C14AA8">
              <w:lastRenderedPageBreak/>
              <w:t>Continue evaluating Policia Nacional de Timor-Leste progress and AFP-TLPDP effectiveness. This includes continuous improvement processes through reassessment of activity plans, quarterly evaluations and reviewing alignment of the program with the Timor-Leste Government. AFP-TLPDP will conduct an independent review of the current program in 2013, to inform its design for the new funding cycle in 2014.</w:t>
            </w:r>
          </w:p>
          <w:p w:rsidR="0019190B" w:rsidRPr="00C14AA8" w:rsidRDefault="0019190B" w:rsidP="00DF35FA">
            <w:pPr>
              <w:pStyle w:val="TableTextEntries"/>
            </w:pPr>
            <w:r w:rsidRPr="00C14AA8">
              <w:t>Continue to advocate for Policia Nacional de Timor-Leste commitment to higher levels of management training and maintain appointment of AFP-TLPDP advisors to assist with the provision of management skills.</w:t>
            </w:r>
          </w:p>
          <w:p w:rsidR="0019190B" w:rsidRPr="00C14AA8" w:rsidRDefault="0019190B" w:rsidP="00402782">
            <w:pPr>
              <w:pStyle w:val="TableTextEntries"/>
            </w:pPr>
            <w:r w:rsidRPr="00C14AA8">
              <w:t>Conduct executive police management programs, three levels of investigations training, complete ongoing training centre infrastructure development, strengthen key areas in governance, and accreditation of the police training centre and its programs, further strengthen the incident management system, and implement and deliver gender equality programs.</w:t>
            </w:r>
          </w:p>
        </w:tc>
        <w:tc>
          <w:tcPr>
            <w:tcW w:w="968" w:type="dxa"/>
            <w:gridSpan w:val="2"/>
            <w:tcBorders>
              <w:top w:val="single" w:sz="12" w:space="0" w:color="D9D9D9" w:themeColor="background1" w:themeShade="D9"/>
              <w:bottom w:val="single" w:sz="12" w:space="0" w:color="D9D9D9" w:themeColor="background1" w:themeShade="D9"/>
            </w:tcBorders>
            <w:shd w:val="clear" w:color="auto" w:fill="F79646" w:themeFill="accent6"/>
          </w:tcPr>
          <w:p w:rsidR="0019190B" w:rsidRDefault="0019190B" w:rsidP="009D2E21">
            <w:pPr>
              <w:pStyle w:val="TableTextEntries"/>
              <w:jc w:val="center"/>
              <w:rPr>
                <w:color w:val="FFFFFF" w:themeColor="background1"/>
              </w:rPr>
            </w:pPr>
            <w:r w:rsidRPr="004C0722">
              <w:rPr>
                <w:color w:val="FFFFFF" w:themeColor="background1"/>
                <w:sz w:val="18"/>
                <w:szCs w:val="18"/>
              </w:rPr>
              <w:t xml:space="preserve">Partly Achieved </w:t>
            </w:r>
          </w:p>
        </w:tc>
        <w:tc>
          <w:tcPr>
            <w:tcW w:w="6777" w:type="dxa"/>
          </w:tcPr>
          <w:p w:rsidR="0019190B" w:rsidRPr="004A2526" w:rsidRDefault="0019190B" w:rsidP="0019190B">
            <w:pPr>
              <w:rPr>
                <w:rFonts w:ascii="Franklin Gothic Book" w:hAnsi="Franklin Gothic Book"/>
                <w:sz w:val="18"/>
                <w:szCs w:val="18"/>
              </w:rPr>
            </w:pPr>
            <w:r w:rsidRPr="004A2526">
              <w:rPr>
                <w:rFonts w:ascii="Franklin Gothic Book" w:hAnsi="Franklin Gothic Book"/>
                <w:sz w:val="18"/>
                <w:szCs w:val="18"/>
              </w:rPr>
              <w:t>An independent review of TLPDP was conducted in 2013.</w:t>
            </w:r>
            <w:r w:rsidR="00FC2D20">
              <w:rPr>
                <w:rFonts w:ascii="Franklin Gothic Book" w:hAnsi="Franklin Gothic Book"/>
                <w:sz w:val="18"/>
                <w:szCs w:val="18"/>
              </w:rPr>
              <w:t xml:space="preserve"> </w:t>
            </w:r>
            <w:r w:rsidRPr="004A2526">
              <w:rPr>
                <w:rFonts w:ascii="Franklin Gothic Book" w:hAnsi="Franklin Gothic Book"/>
                <w:sz w:val="18"/>
                <w:szCs w:val="18"/>
              </w:rPr>
              <w:t xml:space="preserve">The outcomes of the review were considered in structuring the </w:t>
            </w:r>
            <w:r w:rsidRPr="004A2526">
              <w:rPr>
                <w:rFonts w:ascii="Franklin Gothic Book" w:hAnsi="Franklin Gothic Book"/>
                <w:i/>
                <w:sz w:val="18"/>
                <w:szCs w:val="18"/>
              </w:rPr>
              <w:t>TLPDP – First Phase of Drawdown</w:t>
            </w:r>
            <w:r w:rsidRPr="004A2526">
              <w:rPr>
                <w:rFonts w:ascii="Franklin Gothic Book" w:hAnsi="Franklin Gothic Book"/>
                <w:sz w:val="18"/>
                <w:szCs w:val="18"/>
              </w:rPr>
              <w:t xml:space="preserve"> NPP (2014</w:t>
            </w:r>
            <w:r w:rsidRPr="004A2526">
              <w:rPr>
                <w:rFonts w:ascii="Franklin Gothic Book" w:hAnsi="Franklin Gothic Book"/>
                <w:sz w:val="18"/>
                <w:szCs w:val="18"/>
              </w:rPr>
              <w:noBreakHyphen/>
              <w:t>2018).</w:t>
            </w:r>
            <w:r w:rsidR="00FC2D20">
              <w:rPr>
                <w:rFonts w:ascii="Franklin Gothic Book" w:hAnsi="Franklin Gothic Book"/>
                <w:sz w:val="18"/>
                <w:szCs w:val="18"/>
              </w:rPr>
              <w:t xml:space="preserve"> </w:t>
            </w:r>
            <w:r w:rsidRPr="004A2526">
              <w:rPr>
                <w:rFonts w:ascii="Franklin Gothic Book" w:hAnsi="Franklin Gothic Book"/>
                <w:sz w:val="18"/>
                <w:szCs w:val="18"/>
              </w:rPr>
              <w:t xml:space="preserve">Implementation of this NPP commenced on 1 July 2014. </w:t>
            </w:r>
          </w:p>
          <w:p w:rsidR="0019190B" w:rsidRPr="004A2526" w:rsidRDefault="0019190B" w:rsidP="0019190B">
            <w:pPr>
              <w:rPr>
                <w:rFonts w:ascii="Franklin Gothic Book" w:hAnsi="Franklin Gothic Book"/>
                <w:sz w:val="18"/>
                <w:szCs w:val="18"/>
              </w:rPr>
            </w:pPr>
          </w:p>
          <w:p w:rsidR="0019190B" w:rsidRPr="007A1F55" w:rsidRDefault="0019190B" w:rsidP="0019190B">
            <w:pPr>
              <w:pStyle w:val="TableTextEntries"/>
            </w:pPr>
            <w:r w:rsidRPr="004A2526">
              <w:rPr>
                <w:sz w:val="18"/>
                <w:szCs w:val="18"/>
              </w:rPr>
              <w:t xml:space="preserve">TLPDP conducted Police Management training and Investigations training and supported PNTL governance including the development of PNTL’s </w:t>
            </w:r>
            <w:r w:rsidRPr="004A2526">
              <w:rPr>
                <w:i/>
                <w:sz w:val="18"/>
                <w:szCs w:val="18"/>
              </w:rPr>
              <w:t>Strategic Plan 2014-18</w:t>
            </w:r>
            <w:r w:rsidRPr="004A2526">
              <w:rPr>
                <w:sz w:val="18"/>
                <w:szCs w:val="18"/>
              </w:rPr>
              <w:t>. The Police Training Centre has been positioned for accreditation as a nationally recognised higher education learning institution.</w:t>
            </w:r>
            <w:r w:rsidR="00FC2D20">
              <w:rPr>
                <w:sz w:val="18"/>
                <w:szCs w:val="18"/>
              </w:rPr>
              <w:t xml:space="preserve"> </w:t>
            </w:r>
            <w:r w:rsidRPr="004A2526">
              <w:rPr>
                <w:sz w:val="18"/>
                <w:szCs w:val="18"/>
              </w:rPr>
              <w:t>TLPDP has supported the expansion of the PNTL Incident Management System with ongoing training in its use. TLPDP has also provided IT infrastructure support for the PNTL Incident Management System</w:t>
            </w:r>
          </w:p>
        </w:tc>
      </w:tr>
      <w:tr w:rsidR="00DF35FA" w:rsidRPr="00180B19" w:rsidTr="009D2E21">
        <w:trPr>
          <w:gridAfter w:val="1"/>
          <w:cnfStyle w:val="000000010000" w:firstRow="0" w:lastRow="0" w:firstColumn="0" w:lastColumn="0" w:oddVBand="0" w:evenVBand="0" w:oddHBand="0" w:evenHBand="1" w:firstRowFirstColumn="0" w:firstRowLastColumn="0" w:lastRowFirstColumn="0" w:lastRowLastColumn="0"/>
          <w:wAfter w:w="75" w:type="dxa"/>
        </w:trPr>
        <w:tc>
          <w:tcPr>
            <w:tcW w:w="6499"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4C4A3E" w:rsidRDefault="00DF35FA" w:rsidP="00DF35FA">
            <w:pPr>
              <w:pStyle w:val="TableTextEntries"/>
            </w:pPr>
            <w:r w:rsidRPr="00C14AA8">
              <w:t>Work with National Directorate of Aid Effectiveness and other development partners to look at new structures for effective donor coordination. AFP-TLPDP meets weekly/monthly with other donors and the government to coordinate delivery of aid to police.</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F79646" w:themeFill="accent6"/>
          </w:tcPr>
          <w:p w:rsidR="00DF35FA" w:rsidRDefault="0019190B" w:rsidP="009D2E21">
            <w:pPr>
              <w:pStyle w:val="TableTextEntries"/>
              <w:jc w:val="center"/>
              <w:rPr>
                <w:color w:val="FFFFFF" w:themeColor="background1"/>
              </w:rPr>
            </w:pPr>
            <w:r w:rsidRPr="004C0722">
              <w:rPr>
                <w:color w:val="FFFFFF" w:themeColor="background1"/>
                <w:sz w:val="18"/>
                <w:szCs w:val="18"/>
              </w:rPr>
              <w:t xml:space="preserve">Partly Achieved </w:t>
            </w:r>
          </w:p>
        </w:tc>
        <w:tc>
          <w:tcPr>
            <w:tcW w:w="6777"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B30E77" w:rsidRDefault="0019190B" w:rsidP="000D733F">
            <w:pPr>
              <w:pStyle w:val="TableTextEntries"/>
              <w:rPr>
                <w:color w:val="F79646" w:themeColor="accent6"/>
              </w:rPr>
            </w:pPr>
            <w:r>
              <w:rPr>
                <w:sz w:val="18"/>
                <w:szCs w:val="18"/>
              </w:rPr>
              <w:t xml:space="preserve">TLPDP participated in GoTL’s Development Policy Coordination Mechanism ensuring the application of aid was in line with GoTL priorities. TLPDP participated in a joint project with </w:t>
            </w:r>
            <w:r w:rsidRPr="004D51B9">
              <w:rPr>
                <w:sz w:val="18"/>
                <w:szCs w:val="18"/>
              </w:rPr>
              <w:t>United Nations Development Program</w:t>
            </w:r>
            <w:r>
              <w:rPr>
                <w:sz w:val="18"/>
                <w:szCs w:val="18"/>
              </w:rPr>
              <w:t xml:space="preserve"> to develop the governance systems within PNTL.</w:t>
            </w:r>
            <w:r w:rsidR="00FC2D20">
              <w:rPr>
                <w:sz w:val="18"/>
                <w:szCs w:val="18"/>
              </w:rPr>
              <w:t xml:space="preserve"> </w:t>
            </w:r>
            <w:r>
              <w:rPr>
                <w:sz w:val="18"/>
                <w:szCs w:val="18"/>
              </w:rPr>
              <w:t>TLPDP has conducted regular meetings with other donors to ensure a coordinated approach to aid program delivery.</w:t>
            </w:r>
            <w:r w:rsidR="00FC2D20">
              <w:rPr>
                <w:sz w:val="18"/>
                <w:szCs w:val="18"/>
              </w:rPr>
              <w:t xml:space="preserve"> </w:t>
            </w:r>
          </w:p>
        </w:tc>
      </w:tr>
      <w:tr w:rsidR="00DF35FA" w:rsidRPr="00180B19" w:rsidTr="00C90E84">
        <w:trPr>
          <w:cnfStyle w:val="000000010000" w:firstRow="0" w:lastRow="0" w:firstColumn="0" w:lastColumn="0" w:oddVBand="0" w:evenVBand="0" w:oddHBand="0" w:evenHBand="1" w:firstRowFirstColumn="0" w:firstRowLastColumn="0" w:lastRowFirstColumn="0" w:lastRowLastColumn="0"/>
        </w:trPr>
        <w:tc>
          <w:tcPr>
            <w:tcW w:w="6455" w:type="dxa"/>
            <w:tcBorders>
              <w:top w:val="none" w:sz="0" w:space="0" w:color="auto"/>
              <w:left w:val="none" w:sz="0" w:space="0" w:color="auto"/>
              <w:bottom w:val="none" w:sz="0" w:space="0" w:color="auto"/>
              <w:right w:val="none" w:sz="0" w:space="0" w:color="auto"/>
              <w:tl2br w:val="none" w:sz="0" w:space="0" w:color="auto"/>
              <w:tr2bl w:val="none" w:sz="0" w:space="0" w:color="auto"/>
            </w:tcBorders>
          </w:tcPr>
          <w:p w:rsidR="00DF35FA" w:rsidRPr="00C14AA8" w:rsidRDefault="00DF35FA" w:rsidP="00DF35FA">
            <w:pPr>
              <w:pStyle w:val="TableTextEntries"/>
            </w:pPr>
            <w:r w:rsidRPr="00CB674A">
              <w:t>Implement a new program of support for ending violence against women. Align th</w:t>
            </w:r>
            <w:r>
              <w:t>is</w:t>
            </w:r>
            <w:r w:rsidRPr="00CB674A">
              <w:t xml:space="preserve"> with the objectives of Timor-Leste’s National Action Plan on Gender-Based Violence. Better reflect the Australian aid program’s commitment to gender equality and women’s empowerment in the </w:t>
            </w:r>
            <w:r>
              <w:t>p</w:t>
            </w:r>
            <w:r w:rsidRPr="00CB674A">
              <w:t xml:space="preserve">artnership </w:t>
            </w:r>
            <w:r>
              <w:t>a</w:t>
            </w:r>
            <w:r w:rsidRPr="00CB674A">
              <w:t>greement.</w:t>
            </w:r>
          </w:p>
        </w:tc>
        <w:tc>
          <w:tcPr>
            <w:tcW w:w="968" w:type="dxa"/>
            <w:gridSpan w:val="2"/>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9BBB59" w:themeFill="accent3"/>
          </w:tcPr>
          <w:p w:rsidR="00DF35FA" w:rsidRDefault="004C0722" w:rsidP="000D733F">
            <w:pPr>
              <w:pStyle w:val="TableTextEntries"/>
              <w:jc w:val="center"/>
              <w:rPr>
                <w:color w:val="FFFFFF" w:themeColor="background1"/>
              </w:rPr>
            </w:pPr>
            <w:r w:rsidRPr="004C0722">
              <w:rPr>
                <w:color w:val="FFFFFF" w:themeColor="background1"/>
              </w:rPr>
              <w:t>Achieved</w:t>
            </w:r>
          </w:p>
        </w:tc>
        <w:tc>
          <w:tcPr>
            <w:tcW w:w="6924"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tcPr>
          <w:p w:rsidR="00DF35FA" w:rsidRPr="004A2526" w:rsidRDefault="008478A1" w:rsidP="000D733F">
            <w:pPr>
              <w:pStyle w:val="TableTextEntries"/>
              <w:rPr>
                <w:rFonts w:eastAsia="SimSun"/>
                <w:szCs w:val="22"/>
              </w:rPr>
            </w:pPr>
            <w:r w:rsidRPr="004A2526">
              <w:rPr>
                <w:rFonts w:eastAsia="SimSun"/>
                <w:szCs w:val="22"/>
              </w:rPr>
              <w:t>New $20m three-year program addressing violence against women launched in April 2014, structured around the three pillars of the Timor-Leste Government’s National Action Plan: prevention, services and access to justice.</w:t>
            </w:r>
          </w:p>
          <w:p w:rsidR="0019190B" w:rsidRPr="004A2526" w:rsidRDefault="008478A1" w:rsidP="000D733F">
            <w:pPr>
              <w:pStyle w:val="TableTextEntries"/>
              <w:rPr>
                <w:rFonts w:eastAsia="SimSun"/>
                <w:szCs w:val="22"/>
              </w:rPr>
            </w:pPr>
            <w:r w:rsidRPr="004A2526">
              <w:rPr>
                <w:rFonts w:eastAsia="SimSun"/>
                <w:szCs w:val="22"/>
              </w:rPr>
              <w:t>The draft 2014/15-17/18 Aid Investment Plan places a high priority on gender equality and women’s empowerment. This will be reflected in updates to the Strategic Planning Agreement.</w:t>
            </w:r>
          </w:p>
          <w:p w:rsidR="0019190B" w:rsidRPr="00B30E77" w:rsidRDefault="0019190B" w:rsidP="000D733F">
            <w:pPr>
              <w:pStyle w:val="TableTextEntries"/>
              <w:rPr>
                <w:color w:val="F79646" w:themeColor="accent6"/>
              </w:rPr>
            </w:pPr>
            <w:r>
              <w:rPr>
                <w:sz w:val="18"/>
                <w:szCs w:val="18"/>
              </w:rPr>
              <w:t xml:space="preserve">TLPDP assisted in the development of DFAT’s Ending Violence Against Women program, ensuing coordination with TLPDP strategic gender priorities and aligning to GoTL’s </w:t>
            </w:r>
            <w:r w:rsidRPr="00903A9E">
              <w:rPr>
                <w:i/>
                <w:sz w:val="18"/>
                <w:szCs w:val="18"/>
              </w:rPr>
              <w:t>National Action Plan on Gender-Based Violence</w:t>
            </w:r>
            <w:r>
              <w:rPr>
                <w:sz w:val="18"/>
                <w:szCs w:val="18"/>
              </w:rPr>
              <w:t>.</w:t>
            </w:r>
            <w:r w:rsidR="00FC2D20">
              <w:rPr>
                <w:sz w:val="18"/>
                <w:szCs w:val="18"/>
              </w:rPr>
              <w:t xml:space="preserve"> </w:t>
            </w:r>
          </w:p>
        </w:tc>
      </w:tr>
      <w:tr w:rsidR="00DE4C2A" w:rsidRPr="00180B19" w:rsidTr="007942AA">
        <w:trPr>
          <w:cnfStyle w:val="000000010000" w:firstRow="0" w:lastRow="0" w:firstColumn="0" w:lastColumn="0" w:oddVBand="0" w:evenVBand="0" w:oddHBand="0" w:evenHBand="1" w:firstRowFirstColumn="0" w:firstRowLastColumn="0" w:lastRowFirstColumn="0" w:lastRowLastColumn="0"/>
        </w:trPr>
        <w:tc>
          <w:tcPr>
            <w:tcW w:w="6455" w:type="dxa"/>
          </w:tcPr>
          <w:p w:rsidR="00DE4C2A" w:rsidRPr="007942AA" w:rsidRDefault="00DE4C2A" w:rsidP="00DF35FA">
            <w:pPr>
              <w:pStyle w:val="TableTextEntries"/>
              <w:rPr>
                <w:b/>
              </w:rPr>
            </w:pPr>
            <w:r w:rsidRPr="007942AA">
              <w:rPr>
                <w:b/>
              </w:rPr>
              <w:t>Objective 7: Public sector management and good governance</w:t>
            </w:r>
          </w:p>
        </w:tc>
        <w:tc>
          <w:tcPr>
            <w:tcW w:w="968" w:type="dxa"/>
            <w:gridSpan w:val="2"/>
            <w:tcBorders>
              <w:top w:val="single" w:sz="12" w:space="0" w:color="D9D9D9" w:themeColor="background1" w:themeShade="D9"/>
            </w:tcBorders>
            <w:shd w:val="clear" w:color="auto" w:fill="auto"/>
          </w:tcPr>
          <w:p w:rsidR="00DE4C2A" w:rsidRPr="004C0722" w:rsidRDefault="00FC2D20" w:rsidP="000D733F">
            <w:pPr>
              <w:pStyle w:val="TableTextEntries"/>
              <w:jc w:val="center"/>
              <w:rPr>
                <w:color w:val="FFFFFF" w:themeColor="background1"/>
              </w:rPr>
            </w:pPr>
            <w:r>
              <w:rPr>
                <w:color w:val="FFFFFF" w:themeColor="background1"/>
              </w:rPr>
              <w:t xml:space="preserve"> </w:t>
            </w:r>
          </w:p>
        </w:tc>
        <w:tc>
          <w:tcPr>
            <w:tcW w:w="6924" w:type="dxa"/>
            <w:gridSpan w:val="3"/>
            <w:shd w:val="clear" w:color="auto" w:fill="auto"/>
          </w:tcPr>
          <w:p w:rsidR="00DE4C2A" w:rsidRPr="004A2526" w:rsidRDefault="00DE4C2A" w:rsidP="000D733F">
            <w:pPr>
              <w:pStyle w:val="TableTextEntries"/>
              <w:rPr>
                <w:rFonts w:eastAsia="SimSun"/>
                <w:szCs w:val="22"/>
              </w:rPr>
            </w:pPr>
          </w:p>
        </w:tc>
      </w:tr>
      <w:tr w:rsidR="00DE4C2A" w:rsidRPr="00180B19" w:rsidTr="007942AA">
        <w:trPr>
          <w:cnfStyle w:val="000000010000" w:firstRow="0" w:lastRow="0" w:firstColumn="0" w:lastColumn="0" w:oddVBand="0" w:evenVBand="0" w:oddHBand="0" w:evenHBand="1" w:firstRowFirstColumn="0" w:firstRowLastColumn="0" w:lastRowFirstColumn="0" w:lastRowLastColumn="0"/>
        </w:trPr>
        <w:tc>
          <w:tcPr>
            <w:tcW w:w="6455" w:type="dxa"/>
          </w:tcPr>
          <w:p w:rsidR="00DE4C2A" w:rsidRPr="00CB674A" w:rsidRDefault="007942AA" w:rsidP="00DF35FA">
            <w:pPr>
              <w:pStyle w:val="TableTextEntries"/>
            </w:pPr>
            <w:r>
              <w:t xml:space="preserve">Ensure that </w:t>
            </w:r>
            <w:r>
              <w:rPr>
                <w:rFonts w:eastAsia="SimSun"/>
              </w:rPr>
              <w:t xml:space="preserve">Governance for Development </w:t>
            </w:r>
            <w:r>
              <w:t>prioritises this request [support for the new Economic Planning and Investment Agency, EPIA] and dedicates sufficient and appropriate resources to effectively meet this.</w:t>
            </w:r>
          </w:p>
        </w:tc>
        <w:tc>
          <w:tcPr>
            <w:tcW w:w="968" w:type="dxa"/>
            <w:gridSpan w:val="2"/>
            <w:shd w:val="clear" w:color="auto" w:fill="F79646" w:themeFill="accent6"/>
          </w:tcPr>
          <w:p w:rsidR="00DE4C2A" w:rsidRPr="004C0722" w:rsidRDefault="007942AA" w:rsidP="000D733F">
            <w:pPr>
              <w:pStyle w:val="TableTextEntries"/>
              <w:jc w:val="center"/>
              <w:rPr>
                <w:color w:val="FFFFFF" w:themeColor="background1"/>
              </w:rPr>
            </w:pPr>
            <w:r>
              <w:rPr>
                <w:color w:val="FFFFFF" w:themeColor="background1"/>
              </w:rPr>
              <w:t>Partly Achieved</w:t>
            </w:r>
          </w:p>
        </w:tc>
        <w:tc>
          <w:tcPr>
            <w:tcW w:w="6924" w:type="dxa"/>
            <w:gridSpan w:val="3"/>
            <w:shd w:val="clear" w:color="auto" w:fill="auto"/>
          </w:tcPr>
          <w:p w:rsidR="00DE4C2A" w:rsidRPr="004A2526" w:rsidRDefault="00FC2D20" w:rsidP="000D733F">
            <w:pPr>
              <w:pStyle w:val="TableTextEntries"/>
              <w:rPr>
                <w:rFonts w:eastAsia="SimSun"/>
                <w:szCs w:val="22"/>
              </w:rPr>
            </w:pPr>
            <w:r>
              <w:t>GfD</w:t>
            </w:r>
            <w:r w:rsidR="007942AA">
              <w:t xml:space="preserve"> undertook an institutional analysis of the existing National Development Agency and discussions about the implications of that analysis continue. However, It is not clear whether the Government remains committed to establish EPIA from the existing National Development Agency. There has been no public discussion of its implementation for over a year. That said, the capacity of the </w:t>
            </w:r>
            <w:r w:rsidR="001B4EE2">
              <w:t>MoF</w:t>
            </w:r>
            <w:r w:rsidR="007942AA">
              <w:t xml:space="preserve">’s Economic Policy Unit, supported by </w:t>
            </w:r>
            <w:r>
              <w:t>GfD</w:t>
            </w:r>
            <w:r w:rsidR="007942AA">
              <w:t>, has expanded and it has become much more prominent in debates about fiscal policy and some structural policy</w:t>
            </w:r>
          </w:p>
        </w:tc>
      </w:tr>
      <w:tr w:rsidR="007942AA" w:rsidRPr="00180B19" w:rsidTr="00C90E84">
        <w:trPr>
          <w:cnfStyle w:val="000000010000" w:firstRow="0" w:lastRow="0" w:firstColumn="0" w:lastColumn="0" w:oddVBand="0" w:evenVBand="0" w:oddHBand="0" w:evenHBand="1" w:firstRowFirstColumn="0" w:firstRowLastColumn="0" w:lastRowFirstColumn="0" w:lastRowLastColumn="0"/>
        </w:trPr>
        <w:tc>
          <w:tcPr>
            <w:tcW w:w="6455" w:type="dxa"/>
          </w:tcPr>
          <w:p w:rsidR="007942AA" w:rsidRDefault="007942AA" w:rsidP="007942AA">
            <w:pPr>
              <w:pStyle w:val="TableTextEntries"/>
              <w:rPr>
                <w:rFonts w:cstheme="minorBidi"/>
              </w:rPr>
            </w:pPr>
            <w:r>
              <w:t>DFAT management will work with the internal workforce planning area to develop strategies for a pipeline of appropriately skilled and experienced personnel to implement the new governance programs.</w:t>
            </w:r>
          </w:p>
          <w:p w:rsidR="007942AA" w:rsidRDefault="007942AA" w:rsidP="00DF35FA">
            <w:pPr>
              <w:pStyle w:val="TableTextEntries"/>
            </w:pPr>
          </w:p>
        </w:tc>
        <w:tc>
          <w:tcPr>
            <w:tcW w:w="968" w:type="dxa"/>
            <w:gridSpan w:val="2"/>
            <w:shd w:val="clear" w:color="auto" w:fill="9BBB59" w:themeFill="accent3"/>
          </w:tcPr>
          <w:p w:rsidR="007942AA" w:rsidRDefault="007942AA" w:rsidP="000D733F">
            <w:pPr>
              <w:pStyle w:val="TableTextEntries"/>
              <w:jc w:val="center"/>
              <w:rPr>
                <w:color w:val="FFFFFF" w:themeColor="background1"/>
              </w:rPr>
            </w:pPr>
            <w:r>
              <w:rPr>
                <w:color w:val="FFFFFF" w:themeColor="background1"/>
              </w:rPr>
              <w:t>Achieved</w:t>
            </w:r>
          </w:p>
        </w:tc>
        <w:tc>
          <w:tcPr>
            <w:tcW w:w="6924" w:type="dxa"/>
            <w:gridSpan w:val="3"/>
            <w:shd w:val="clear" w:color="auto" w:fill="auto"/>
          </w:tcPr>
          <w:p w:rsidR="007942AA" w:rsidRDefault="007942AA" w:rsidP="007942AA">
            <w:pPr>
              <w:pStyle w:val="TableTextEntries"/>
              <w:rPr>
                <w:rFonts w:eastAsiaTheme="minorHAnsi" w:cstheme="minorBidi"/>
              </w:rPr>
            </w:pPr>
            <w:r>
              <w:rPr>
                <w:rFonts w:eastAsiaTheme="minorHAnsi" w:cstheme="minorBidi"/>
              </w:rPr>
              <w:t>Appropriately skilled personnel were recruited and the program has the right mix of skills covering public financial management, public administration, economic analysis and in program implementation.</w:t>
            </w:r>
          </w:p>
          <w:p w:rsidR="007942AA" w:rsidRDefault="007942AA" w:rsidP="000D733F">
            <w:pPr>
              <w:pStyle w:val="TableTextEntries"/>
            </w:pPr>
          </w:p>
        </w:tc>
      </w:tr>
      <w:tr w:rsidR="007942AA" w:rsidRPr="00180B19" w:rsidTr="007942AA">
        <w:trPr>
          <w:cnfStyle w:val="000000010000" w:firstRow="0" w:lastRow="0" w:firstColumn="0" w:lastColumn="0" w:oddVBand="0" w:evenVBand="0" w:oddHBand="0" w:evenHBand="1" w:firstRowFirstColumn="0" w:firstRowLastColumn="0" w:lastRowFirstColumn="0" w:lastRowLastColumn="0"/>
        </w:trPr>
        <w:tc>
          <w:tcPr>
            <w:tcW w:w="6455" w:type="dxa"/>
          </w:tcPr>
          <w:p w:rsidR="007942AA" w:rsidRDefault="007942AA" w:rsidP="007942AA">
            <w:pPr>
              <w:pStyle w:val="TableTextEntries"/>
            </w:pPr>
            <w:r>
              <w:lastRenderedPageBreak/>
              <w:t xml:space="preserve">Australia’s </w:t>
            </w:r>
            <w:r>
              <w:rPr>
                <w:rFonts w:eastAsia="SimSun"/>
              </w:rPr>
              <w:t xml:space="preserve">Governance for Development </w:t>
            </w:r>
            <w:r>
              <w:t>Program will support new partnerships in 2013 with the World Bank and The Asia Foundation to build our understanding of the Timorese context and secure relevant expertise to the country program.</w:t>
            </w:r>
          </w:p>
        </w:tc>
        <w:tc>
          <w:tcPr>
            <w:tcW w:w="968" w:type="dxa"/>
            <w:gridSpan w:val="2"/>
            <w:shd w:val="clear" w:color="auto" w:fill="F79646" w:themeFill="accent6"/>
          </w:tcPr>
          <w:p w:rsidR="007942AA" w:rsidRPr="007942AA" w:rsidRDefault="007942AA" w:rsidP="007942AA">
            <w:pPr>
              <w:pStyle w:val="TableTextEntries"/>
              <w:jc w:val="center"/>
              <w:rPr>
                <w:color w:val="FFFFFF" w:themeColor="background1"/>
              </w:rPr>
            </w:pPr>
            <w:r>
              <w:rPr>
                <w:color w:val="FFFFFF" w:themeColor="background1"/>
              </w:rPr>
              <w:t>Partly Achieved</w:t>
            </w:r>
          </w:p>
        </w:tc>
        <w:tc>
          <w:tcPr>
            <w:tcW w:w="6924" w:type="dxa"/>
            <w:gridSpan w:val="3"/>
            <w:shd w:val="clear" w:color="auto" w:fill="auto"/>
          </w:tcPr>
          <w:p w:rsidR="007942AA" w:rsidRDefault="007942AA" w:rsidP="007942AA">
            <w:pPr>
              <w:pStyle w:val="TableTextEntries"/>
              <w:rPr>
                <w:rFonts w:eastAsiaTheme="minorHAnsi" w:cstheme="minorBidi"/>
              </w:rPr>
            </w:pPr>
            <w:r>
              <w:t>Mechanisms were established with these bodies and initial programs of work were set. More work needs to be done to ensure the outputs are appropriate and have a link back to policymakers.</w:t>
            </w:r>
          </w:p>
        </w:tc>
      </w:tr>
      <w:tr w:rsidR="007942AA" w:rsidRPr="00180B19" w:rsidTr="00C90E84">
        <w:trPr>
          <w:cnfStyle w:val="000000010000" w:firstRow="0" w:lastRow="0" w:firstColumn="0" w:lastColumn="0" w:oddVBand="0" w:evenVBand="0" w:oddHBand="0" w:evenHBand="1" w:firstRowFirstColumn="0" w:firstRowLastColumn="0" w:lastRowFirstColumn="0" w:lastRowLastColumn="0"/>
        </w:trPr>
        <w:tc>
          <w:tcPr>
            <w:tcW w:w="6455" w:type="dxa"/>
          </w:tcPr>
          <w:p w:rsidR="007942AA" w:rsidRDefault="007942AA" w:rsidP="007942AA">
            <w:pPr>
              <w:pStyle w:val="TableTextEntries"/>
            </w:pPr>
            <w:r>
              <w:t>Australia will monitor decentralisation developments closely to ensure the aid program is well placed to respond to potentially rapid reforms to decentralisation.</w:t>
            </w:r>
          </w:p>
        </w:tc>
        <w:tc>
          <w:tcPr>
            <w:tcW w:w="968" w:type="dxa"/>
            <w:gridSpan w:val="2"/>
            <w:shd w:val="clear" w:color="auto" w:fill="9BBB59" w:themeFill="accent3"/>
          </w:tcPr>
          <w:p w:rsidR="007942AA" w:rsidRDefault="007942AA" w:rsidP="000D733F">
            <w:pPr>
              <w:pStyle w:val="TableTextEntries"/>
              <w:jc w:val="center"/>
              <w:rPr>
                <w:color w:val="FFFFFF" w:themeColor="background1"/>
              </w:rPr>
            </w:pPr>
            <w:r>
              <w:rPr>
                <w:color w:val="FFFFFF" w:themeColor="background1"/>
              </w:rPr>
              <w:t>Achieved</w:t>
            </w:r>
          </w:p>
        </w:tc>
        <w:tc>
          <w:tcPr>
            <w:tcW w:w="6924" w:type="dxa"/>
            <w:gridSpan w:val="3"/>
            <w:shd w:val="clear" w:color="auto" w:fill="auto"/>
          </w:tcPr>
          <w:p w:rsidR="007942AA" w:rsidRDefault="007942AA" w:rsidP="007942AA">
            <w:pPr>
              <w:pStyle w:val="TableTextEntries"/>
              <w:rPr>
                <w:rFonts w:eastAsiaTheme="minorHAnsi" w:cstheme="minorBidi"/>
              </w:rPr>
            </w:pPr>
            <w:r>
              <w:t>The program provided ad hoc support to the policy development process for decentralisation during 2013. When the Government settled on a policy, the program rapidly responded to its technical needs with a small policy team placed in the Ministry of State Administration in mid-2014.</w:t>
            </w:r>
          </w:p>
        </w:tc>
      </w:tr>
    </w:tbl>
    <w:p w:rsidR="000D733F" w:rsidRPr="00FE4491" w:rsidRDefault="000D733F" w:rsidP="000D733F">
      <w:pPr>
        <w:pStyle w:val="Note"/>
      </w:pPr>
      <w:r w:rsidRPr="00FE4491">
        <w:t xml:space="preserve">Note: </w:t>
      </w:r>
    </w:p>
    <w:p w:rsidR="000D733F" w:rsidRPr="00671434" w:rsidRDefault="000D733F" w:rsidP="000D733F">
      <w:pPr>
        <w:pStyle w:val="Note"/>
      </w:pPr>
      <w:r w:rsidRPr="0075352D">
        <w:rPr>
          <w:color w:val="72AF2F"/>
        </w:rPr>
        <w:sym w:font="Webdings" w:char="F067"/>
      </w:r>
      <w:r w:rsidRPr="00FE4491">
        <w:t> </w:t>
      </w:r>
      <w:r w:rsidRPr="00FE4491">
        <w:t xml:space="preserve"> </w:t>
      </w:r>
      <w:r w:rsidRPr="00EA3BAD">
        <w:t>Achieved.</w:t>
      </w:r>
      <w:r w:rsidR="00FC2D20">
        <w:t xml:space="preserve"> </w:t>
      </w:r>
      <w:r w:rsidRPr="00706D30">
        <w:t xml:space="preserve">Significant progress has been made in addressing </w:t>
      </w:r>
      <w:r>
        <w:t xml:space="preserve">the issue </w:t>
      </w:r>
    </w:p>
    <w:p w:rsidR="000D733F" w:rsidRPr="00EA3BAD" w:rsidRDefault="000D733F" w:rsidP="000D733F">
      <w:pPr>
        <w:pStyle w:val="Note"/>
      </w:pPr>
      <w:r w:rsidRPr="00EA3BAD">
        <w:rPr>
          <w:color w:val="E36C0A"/>
        </w:rPr>
        <w:sym w:font="Webdings" w:char="F067"/>
      </w:r>
      <w:r w:rsidRPr="00EA3BAD">
        <w:t> </w:t>
      </w:r>
      <w:r w:rsidRPr="00EA3BAD">
        <w:t xml:space="preserve"> Partly achieved.</w:t>
      </w:r>
      <w:r w:rsidR="00FC2D20">
        <w:t xml:space="preserve"> </w:t>
      </w:r>
      <w:r>
        <w:t>Some pr</w:t>
      </w:r>
      <w:r w:rsidRPr="00EA3BAD">
        <w:t xml:space="preserve">ogress </w:t>
      </w:r>
      <w:r>
        <w:t xml:space="preserve">has been made in addressing the issue, but the issue has not been resolved </w:t>
      </w:r>
    </w:p>
    <w:p w:rsidR="000D733F" w:rsidRDefault="000D733F" w:rsidP="000D733F">
      <w:pPr>
        <w:pStyle w:val="Note"/>
      </w:pPr>
      <w:r w:rsidRPr="00EA3BAD">
        <w:rPr>
          <w:color w:val="FF0000"/>
        </w:rPr>
        <w:sym w:font="Webdings" w:char="F067"/>
      </w:r>
      <w:r w:rsidRPr="00EA3BAD">
        <w:t> </w:t>
      </w:r>
      <w:r w:rsidRPr="00EA3BAD">
        <w:t xml:space="preserve"> Not achieved. Progress </w:t>
      </w:r>
      <w:r>
        <w:t xml:space="preserve">in addressing the issue </w:t>
      </w:r>
      <w:r w:rsidRPr="00EA3BAD">
        <w:t>has been significantly below expectations</w:t>
      </w:r>
    </w:p>
    <w:p w:rsidR="000D733F" w:rsidRDefault="000D733F" w:rsidP="000D733F">
      <w:pPr>
        <w:pStyle w:val="BodyText"/>
      </w:pPr>
    </w:p>
    <w:p w:rsidR="000D733F" w:rsidRDefault="000D733F" w:rsidP="000D733F">
      <w:pPr>
        <w:spacing w:after="200" w:line="276" w:lineRule="auto"/>
        <w:rPr>
          <w:rFonts w:ascii="Franklin Gothic Book" w:hAnsi="Franklin Gothic Book"/>
          <w:sz w:val="21"/>
        </w:rPr>
      </w:pPr>
      <w:r>
        <w:br w:type="page"/>
      </w:r>
    </w:p>
    <w:p w:rsidR="000D733F" w:rsidRPr="009E38C1" w:rsidRDefault="000D733F" w:rsidP="000D733F">
      <w:pPr>
        <w:pStyle w:val="Heading2"/>
        <w:tabs>
          <w:tab w:val="left" w:pos="1560"/>
        </w:tabs>
        <w:rPr>
          <w:sz w:val="28"/>
        </w:rPr>
      </w:pPr>
      <w:r w:rsidRPr="009E38C1">
        <w:rPr>
          <w:sz w:val="28"/>
        </w:rPr>
        <w:lastRenderedPageBreak/>
        <w:t xml:space="preserve">Annex B </w:t>
      </w:r>
      <w:r w:rsidRPr="009E38C1">
        <w:rPr>
          <w:sz w:val="28"/>
        </w:rPr>
        <w:tab/>
      </w:r>
    </w:p>
    <w:p w:rsidR="001B1868" w:rsidRPr="001B1868" w:rsidRDefault="001B1868" w:rsidP="001B1868">
      <w:pPr>
        <w:pStyle w:val="Heading2"/>
        <w:rPr>
          <w:sz w:val="28"/>
        </w:rPr>
      </w:pPr>
      <w:r w:rsidRPr="009E38C1">
        <w:rPr>
          <w:sz w:val="28"/>
        </w:rPr>
        <w:t>Quality at Implementation ratings</w:t>
      </w:r>
    </w:p>
    <w:tbl>
      <w:tblPr>
        <w:tblStyle w:val="APPR"/>
        <w:tblW w:w="4280" w:type="pct"/>
        <w:tblInd w:w="-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ayout w:type="fixed"/>
        <w:tblLook w:val="0000" w:firstRow="0" w:lastRow="0" w:firstColumn="0" w:lastColumn="0" w:noHBand="0" w:noVBand="0"/>
      </w:tblPr>
      <w:tblGrid>
        <w:gridCol w:w="2376"/>
        <w:gridCol w:w="1714"/>
        <w:gridCol w:w="2340"/>
        <w:gridCol w:w="1001"/>
        <w:gridCol w:w="975"/>
        <w:gridCol w:w="975"/>
        <w:gridCol w:w="1058"/>
        <w:gridCol w:w="949"/>
        <w:gridCol w:w="977"/>
      </w:tblGrid>
      <w:tr w:rsidR="003335A7" w:rsidRPr="009D53C4" w:rsidTr="003335A7">
        <w:trPr>
          <w:cnfStyle w:val="000000010000" w:firstRow="0" w:lastRow="0" w:firstColumn="0" w:lastColumn="0" w:oddVBand="0" w:evenVBand="0" w:oddHBand="0" w:evenHBand="1" w:firstRowFirstColumn="0" w:firstRowLastColumn="0" w:lastRowFirstColumn="0" w:lastRowLastColumn="0"/>
          <w:trHeight w:val="1413"/>
        </w:trPr>
        <w:tc>
          <w:tcPr>
            <w:tcW w:w="944" w:type="pct"/>
          </w:tcPr>
          <w:p w:rsidR="001B1868" w:rsidRPr="00FE4491" w:rsidRDefault="001B1868" w:rsidP="00855CC4">
            <w:pPr>
              <w:pStyle w:val="TableTextColumnHeading"/>
              <w:framePr w:wrap="around"/>
            </w:pPr>
            <w:r w:rsidRPr="00FE4491">
              <w:rPr>
                <w:noProof/>
                <w:lang w:eastAsia="en-AU"/>
              </w:rPr>
              <w:drawing>
                <wp:anchor distT="0" distB="0" distL="114300" distR="114300" simplePos="0" relativeHeight="251695104" behindDoc="0" locked="0" layoutInCell="1" allowOverlap="1" wp14:anchorId="5AB00D79" wp14:editId="2F01B3E6">
                  <wp:simplePos x="0" y="0"/>
                  <wp:positionH relativeFrom="column">
                    <wp:posOffset>0</wp:posOffset>
                  </wp:positionH>
                  <wp:positionV relativeFrom="paragraph">
                    <wp:posOffset>0</wp:posOffset>
                  </wp:positionV>
                  <wp:extent cx="1857375" cy="228600"/>
                  <wp:effectExtent l="0" t="0" r="9525" b="0"/>
                  <wp:wrapNone/>
                  <wp:docPr id="4" name="Picture 4" hidden="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t>Investment</w:t>
            </w:r>
            <w:r w:rsidRPr="00FE4491">
              <w:t xml:space="preserve"> name</w:t>
            </w:r>
          </w:p>
        </w:tc>
        <w:tc>
          <w:tcPr>
            <w:tcW w:w="682" w:type="pct"/>
            <w:textDirection w:val="btLr"/>
          </w:tcPr>
          <w:p w:rsidR="001B1868" w:rsidRPr="00FE4491" w:rsidRDefault="001B1868" w:rsidP="00855CC4">
            <w:pPr>
              <w:pStyle w:val="TableTextColumnHeading"/>
              <w:framePr w:wrap="around"/>
            </w:pPr>
            <w:r w:rsidRPr="00FE4491">
              <w:t>Approved budget and duration</w:t>
            </w:r>
          </w:p>
        </w:tc>
        <w:tc>
          <w:tcPr>
            <w:tcW w:w="936" w:type="pct"/>
            <w:textDirection w:val="btLr"/>
          </w:tcPr>
          <w:p w:rsidR="001B1868" w:rsidRPr="00FE4491" w:rsidRDefault="001B1868" w:rsidP="00855CC4">
            <w:pPr>
              <w:pStyle w:val="TableTextColumnHeading"/>
              <w:framePr w:wrap="around"/>
            </w:pPr>
            <w:r w:rsidRPr="00FE4491">
              <w:t>QaI year</w:t>
            </w:r>
          </w:p>
        </w:tc>
        <w:tc>
          <w:tcPr>
            <w:tcW w:w="394" w:type="pct"/>
            <w:textDirection w:val="btLr"/>
          </w:tcPr>
          <w:p w:rsidR="001B1868" w:rsidRPr="00FE4491" w:rsidRDefault="001B1868" w:rsidP="00855CC4">
            <w:pPr>
              <w:pStyle w:val="TableTextColumnHeading"/>
              <w:framePr w:wrap="around"/>
            </w:pPr>
            <w:r w:rsidRPr="00FE4491">
              <w:t>Relevance</w:t>
            </w:r>
          </w:p>
        </w:tc>
        <w:tc>
          <w:tcPr>
            <w:tcW w:w="383" w:type="pct"/>
            <w:textDirection w:val="btLr"/>
          </w:tcPr>
          <w:p w:rsidR="001B1868" w:rsidRPr="00FE4491" w:rsidRDefault="001B1868" w:rsidP="00855CC4">
            <w:pPr>
              <w:pStyle w:val="TableTextColumnHeading"/>
              <w:framePr w:wrap="around"/>
            </w:pPr>
            <w:r w:rsidRPr="00FE4491">
              <w:t>Effectiveness</w:t>
            </w:r>
          </w:p>
        </w:tc>
        <w:tc>
          <w:tcPr>
            <w:tcW w:w="383" w:type="pct"/>
            <w:textDirection w:val="btLr"/>
          </w:tcPr>
          <w:p w:rsidR="001B1868" w:rsidRPr="00FE4491" w:rsidRDefault="001B1868" w:rsidP="00855CC4">
            <w:pPr>
              <w:pStyle w:val="TableTextColumnHeading"/>
              <w:framePr w:wrap="around"/>
            </w:pPr>
            <w:r w:rsidRPr="00FE4491">
              <w:t>Efficiency</w:t>
            </w:r>
          </w:p>
        </w:tc>
        <w:tc>
          <w:tcPr>
            <w:tcW w:w="416" w:type="pct"/>
            <w:textDirection w:val="btLr"/>
          </w:tcPr>
          <w:p w:rsidR="001B1868" w:rsidRPr="00FE4491" w:rsidRDefault="001B1868" w:rsidP="00855CC4">
            <w:pPr>
              <w:pStyle w:val="TableTextColumnHeading"/>
              <w:framePr w:wrap="around"/>
            </w:pPr>
            <w:r w:rsidRPr="00FE4491">
              <w:t>Monitoring and Evaluation</w:t>
            </w:r>
          </w:p>
        </w:tc>
        <w:tc>
          <w:tcPr>
            <w:tcW w:w="372" w:type="pct"/>
            <w:textDirection w:val="btLr"/>
          </w:tcPr>
          <w:p w:rsidR="001B1868" w:rsidRPr="00FE4491" w:rsidRDefault="001B1868" w:rsidP="00855CC4">
            <w:pPr>
              <w:pStyle w:val="TableTextColumnHeading"/>
              <w:framePr w:wrap="around"/>
            </w:pPr>
            <w:r w:rsidRPr="00FE4491">
              <w:t>Sustainability</w:t>
            </w:r>
          </w:p>
        </w:tc>
        <w:tc>
          <w:tcPr>
            <w:tcW w:w="378" w:type="pct"/>
            <w:textDirection w:val="btLr"/>
          </w:tcPr>
          <w:p w:rsidR="001B1868" w:rsidRPr="00FE4491" w:rsidRDefault="001B1868" w:rsidP="00855CC4">
            <w:pPr>
              <w:pStyle w:val="TableTextColumnHeading"/>
              <w:framePr w:wrap="around"/>
            </w:pPr>
            <w:r w:rsidRPr="00FE4491">
              <w:t>Gender equality</w:t>
            </w:r>
          </w:p>
        </w:tc>
      </w:tr>
    </w:tbl>
    <w:tbl>
      <w:tblPr>
        <w:tblStyle w:val="APPR"/>
        <w:tblW w:w="4280" w:type="pct"/>
        <w:tblInd w:w="-6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6" w:space="0" w:color="D9D9D9" w:themeColor="background1" w:themeShade="D9"/>
          <w:insideV w:val="single" w:sz="6" w:space="0" w:color="D9D9D9" w:themeColor="background1" w:themeShade="D9"/>
        </w:tblBorders>
        <w:tblLayout w:type="fixed"/>
        <w:tblLook w:val="0000" w:firstRow="0" w:lastRow="0" w:firstColumn="0" w:lastColumn="0" w:noHBand="0" w:noVBand="0"/>
      </w:tblPr>
      <w:tblGrid>
        <w:gridCol w:w="2376"/>
        <w:gridCol w:w="1714"/>
        <w:gridCol w:w="2341"/>
        <w:gridCol w:w="1000"/>
        <w:gridCol w:w="975"/>
        <w:gridCol w:w="975"/>
        <w:gridCol w:w="1058"/>
        <w:gridCol w:w="949"/>
        <w:gridCol w:w="977"/>
      </w:tblGrid>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tcPr>
          <w:p w:rsidR="001B1868" w:rsidRPr="002B51BC" w:rsidRDefault="001B1868" w:rsidP="00855CC4">
            <w:pPr>
              <w:pStyle w:val="TableTextEntries"/>
            </w:pPr>
            <w:r w:rsidRPr="00DF35FA">
              <w:rPr>
                <w:rFonts w:eastAsia="SimSun"/>
                <w:b/>
              </w:rPr>
              <w:t>Objective 1: Water, sanitation and hygiene</w:t>
            </w:r>
          </w:p>
        </w:tc>
        <w:tc>
          <w:tcPr>
            <w:tcW w:w="682" w:type="pct"/>
          </w:tcPr>
          <w:p w:rsidR="001B1868" w:rsidRPr="00FE4491" w:rsidRDefault="001B1868" w:rsidP="00855CC4">
            <w:pPr>
              <w:pStyle w:val="TableTextEntries"/>
            </w:pPr>
          </w:p>
        </w:tc>
        <w:tc>
          <w:tcPr>
            <w:tcW w:w="935" w:type="pct"/>
          </w:tcPr>
          <w:p w:rsidR="001B1868" w:rsidRPr="00FE4491" w:rsidRDefault="001B1868" w:rsidP="00855CC4">
            <w:pPr>
              <w:pStyle w:val="TableTextEntries"/>
            </w:pPr>
          </w:p>
        </w:tc>
        <w:tc>
          <w:tcPr>
            <w:tcW w:w="393" w:type="pct"/>
            <w:noWrap/>
          </w:tcPr>
          <w:p w:rsidR="001B1868" w:rsidRPr="00FE4491" w:rsidRDefault="001B1868" w:rsidP="00855CC4">
            <w:pPr>
              <w:pStyle w:val="TableTextEntries"/>
              <w:jc w:val="center"/>
            </w:pPr>
          </w:p>
        </w:tc>
        <w:tc>
          <w:tcPr>
            <w:tcW w:w="383" w:type="pct"/>
            <w:noWrap/>
          </w:tcPr>
          <w:p w:rsidR="001B1868" w:rsidRPr="00FE4491" w:rsidRDefault="001B1868" w:rsidP="00855CC4">
            <w:pPr>
              <w:pStyle w:val="TableTextEntries"/>
              <w:jc w:val="center"/>
            </w:pPr>
          </w:p>
        </w:tc>
        <w:tc>
          <w:tcPr>
            <w:tcW w:w="383" w:type="pct"/>
            <w:noWrap/>
          </w:tcPr>
          <w:p w:rsidR="001B1868" w:rsidRPr="00FE4491" w:rsidRDefault="001B1868" w:rsidP="00855CC4">
            <w:pPr>
              <w:pStyle w:val="TableTextEntries"/>
              <w:jc w:val="center"/>
            </w:pPr>
          </w:p>
        </w:tc>
        <w:tc>
          <w:tcPr>
            <w:tcW w:w="416" w:type="pct"/>
            <w:noWrap/>
          </w:tcPr>
          <w:p w:rsidR="001B1868" w:rsidRPr="00FE4491" w:rsidRDefault="001B1868" w:rsidP="00855CC4">
            <w:pPr>
              <w:pStyle w:val="TableTextEntries"/>
              <w:jc w:val="center"/>
            </w:pPr>
          </w:p>
        </w:tc>
        <w:tc>
          <w:tcPr>
            <w:tcW w:w="372" w:type="pct"/>
            <w:noWrap/>
          </w:tcPr>
          <w:p w:rsidR="001B1868" w:rsidRPr="00FE4491" w:rsidRDefault="001B1868" w:rsidP="00855CC4">
            <w:pPr>
              <w:pStyle w:val="TableTextEntries"/>
              <w:jc w:val="center"/>
            </w:pPr>
          </w:p>
        </w:tc>
        <w:tc>
          <w:tcPr>
            <w:tcW w:w="378" w:type="pct"/>
            <w:noWrap/>
          </w:tcPr>
          <w:p w:rsidR="001B1868" w:rsidRPr="00FE4491" w:rsidRDefault="001B1868" w:rsidP="00855CC4">
            <w:pPr>
              <w:pStyle w:val="TableTextEntries"/>
              <w:jc w:val="center"/>
            </w:pP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val="restart"/>
          </w:tcPr>
          <w:p w:rsidR="001B1868" w:rsidRPr="002B51BC" w:rsidRDefault="001B1868" w:rsidP="00855CC4">
            <w:pPr>
              <w:pStyle w:val="TableTextEntries"/>
            </w:pPr>
            <w:r w:rsidRPr="002B51BC">
              <w:t>BESIK</w:t>
            </w:r>
            <w:r>
              <w:t xml:space="preserve"> II</w:t>
            </w:r>
            <w:r w:rsidRPr="002B51BC">
              <w:t xml:space="preserve"> – Rural Water Supply and Sanitation</w:t>
            </w:r>
          </w:p>
        </w:tc>
        <w:tc>
          <w:tcPr>
            <w:tcW w:w="682" w:type="pct"/>
            <w:vMerge w:val="restart"/>
          </w:tcPr>
          <w:p w:rsidR="00D424B5" w:rsidRDefault="00D424B5" w:rsidP="00855CC4">
            <w:pPr>
              <w:pStyle w:val="TableTextEntries"/>
            </w:pPr>
            <w:r>
              <w:t>01/06/2011-</w:t>
            </w:r>
          </w:p>
          <w:p w:rsidR="001B1868" w:rsidRPr="00FE4491" w:rsidRDefault="00D424B5" w:rsidP="00855CC4">
            <w:pPr>
              <w:pStyle w:val="TableTextEntries"/>
            </w:pPr>
            <w:r>
              <w:t>30/06/2020 $60,398,179</w:t>
            </w:r>
          </w:p>
        </w:tc>
        <w:tc>
          <w:tcPr>
            <w:tcW w:w="935" w:type="pct"/>
          </w:tcPr>
          <w:p w:rsidR="001B1868" w:rsidRPr="00FE4491" w:rsidRDefault="001B1868" w:rsidP="00855CC4">
            <w:pPr>
              <w:pStyle w:val="TableTextEntries"/>
            </w:pPr>
            <w:r>
              <w:t>2013</w:t>
            </w:r>
          </w:p>
        </w:tc>
        <w:tc>
          <w:tcPr>
            <w:tcW w:w="393" w:type="pct"/>
            <w:shd w:val="clear" w:color="auto" w:fill="9BBB59" w:themeFill="accent3"/>
            <w:noWrap/>
          </w:tcPr>
          <w:p w:rsidR="001B1868" w:rsidRPr="00FE4491" w:rsidRDefault="001B1868" w:rsidP="00855CC4">
            <w:pPr>
              <w:pStyle w:val="TableTextEntries"/>
              <w:jc w:val="center"/>
            </w:pPr>
            <w:r>
              <w:t>5</w:t>
            </w:r>
          </w:p>
        </w:tc>
        <w:tc>
          <w:tcPr>
            <w:tcW w:w="383" w:type="pct"/>
            <w:shd w:val="clear" w:color="auto" w:fill="9BBB59" w:themeFill="accent3"/>
            <w:noWrap/>
          </w:tcPr>
          <w:p w:rsidR="001B1868" w:rsidRPr="00FE4491" w:rsidRDefault="001B1868" w:rsidP="00855CC4">
            <w:pPr>
              <w:pStyle w:val="TableTextEntries"/>
              <w:jc w:val="center"/>
            </w:pPr>
            <w:r>
              <w:t>5</w:t>
            </w:r>
          </w:p>
        </w:tc>
        <w:tc>
          <w:tcPr>
            <w:tcW w:w="383" w:type="pct"/>
            <w:shd w:val="clear" w:color="auto" w:fill="FFFF00"/>
            <w:noWrap/>
          </w:tcPr>
          <w:p w:rsidR="001B1868" w:rsidRPr="00FE4491" w:rsidRDefault="001B1868" w:rsidP="00855CC4">
            <w:pPr>
              <w:pStyle w:val="TableTextEntries"/>
              <w:jc w:val="center"/>
            </w:pPr>
            <w:r>
              <w:t>4</w:t>
            </w:r>
          </w:p>
        </w:tc>
        <w:tc>
          <w:tcPr>
            <w:tcW w:w="416" w:type="pct"/>
            <w:shd w:val="clear" w:color="auto" w:fill="9BBB59" w:themeFill="accent3"/>
            <w:noWrap/>
          </w:tcPr>
          <w:p w:rsidR="001B1868" w:rsidRPr="00FE4491" w:rsidRDefault="001B1868" w:rsidP="00855CC4">
            <w:pPr>
              <w:pStyle w:val="TableTextEntries"/>
              <w:jc w:val="center"/>
            </w:pPr>
            <w:r>
              <w:t>5</w:t>
            </w:r>
          </w:p>
        </w:tc>
        <w:tc>
          <w:tcPr>
            <w:tcW w:w="372" w:type="pct"/>
            <w:shd w:val="clear" w:color="auto" w:fill="FFFF00"/>
            <w:noWrap/>
          </w:tcPr>
          <w:p w:rsidR="001B1868" w:rsidRPr="00FE4491" w:rsidRDefault="001B1868" w:rsidP="00855CC4">
            <w:pPr>
              <w:pStyle w:val="TableTextEntries"/>
              <w:jc w:val="center"/>
            </w:pPr>
            <w:r>
              <w:t>4</w:t>
            </w:r>
          </w:p>
        </w:tc>
        <w:tc>
          <w:tcPr>
            <w:tcW w:w="378" w:type="pct"/>
            <w:shd w:val="clear" w:color="auto" w:fill="9BBB59" w:themeFill="accent3"/>
            <w:noWrap/>
          </w:tcPr>
          <w:p w:rsidR="001B1868" w:rsidRPr="00FE4491" w:rsidRDefault="001B1868" w:rsidP="00855CC4">
            <w:pPr>
              <w:pStyle w:val="TableTextEntries"/>
              <w:jc w:val="center"/>
            </w:pPr>
            <w:r>
              <w:t>5</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tcPr>
          <w:p w:rsidR="001B1868" w:rsidRPr="002B51BC" w:rsidRDefault="001B1868" w:rsidP="00855CC4">
            <w:pPr>
              <w:pStyle w:val="TableTextEntries"/>
            </w:pPr>
          </w:p>
        </w:tc>
        <w:tc>
          <w:tcPr>
            <w:tcW w:w="682" w:type="pct"/>
            <w:vMerge/>
          </w:tcPr>
          <w:p w:rsidR="001B1868" w:rsidRPr="00FE4491" w:rsidRDefault="001B1868" w:rsidP="00855CC4">
            <w:pPr>
              <w:pStyle w:val="TableTextEntries"/>
            </w:pPr>
          </w:p>
        </w:tc>
        <w:tc>
          <w:tcPr>
            <w:tcW w:w="935" w:type="pct"/>
          </w:tcPr>
          <w:p w:rsidR="001B1868" w:rsidRPr="00FE4491" w:rsidRDefault="001B1868" w:rsidP="00855CC4">
            <w:pPr>
              <w:pStyle w:val="TableTextEntries"/>
            </w:pPr>
            <w:r>
              <w:t>2012</w:t>
            </w:r>
          </w:p>
        </w:tc>
        <w:tc>
          <w:tcPr>
            <w:tcW w:w="393" w:type="pct"/>
            <w:shd w:val="clear" w:color="auto" w:fill="9BBB59" w:themeFill="accent3"/>
            <w:noWrap/>
          </w:tcPr>
          <w:p w:rsidR="001B1868" w:rsidRPr="00FE4491" w:rsidRDefault="001B1868" w:rsidP="00855CC4">
            <w:pPr>
              <w:pStyle w:val="TableTextEntries"/>
              <w:jc w:val="center"/>
            </w:pPr>
            <w:r>
              <w:t>6</w:t>
            </w:r>
          </w:p>
        </w:tc>
        <w:tc>
          <w:tcPr>
            <w:tcW w:w="383" w:type="pct"/>
            <w:shd w:val="clear" w:color="auto" w:fill="9BBB59" w:themeFill="accent3"/>
            <w:noWrap/>
          </w:tcPr>
          <w:p w:rsidR="001B1868" w:rsidRPr="00FE4491" w:rsidRDefault="001B1868" w:rsidP="00855CC4">
            <w:pPr>
              <w:pStyle w:val="TableTextEntries"/>
              <w:jc w:val="center"/>
            </w:pPr>
            <w:r>
              <w:t>5</w:t>
            </w:r>
          </w:p>
        </w:tc>
        <w:tc>
          <w:tcPr>
            <w:tcW w:w="383" w:type="pct"/>
            <w:shd w:val="clear" w:color="auto" w:fill="9BBB59" w:themeFill="accent3"/>
            <w:noWrap/>
          </w:tcPr>
          <w:p w:rsidR="001B1868" w:rsidRPr="00FE4491" w:rsidRDefault="001B1868" w:rsidP="00855CC4">
            <w:pPr>
              <w:pStyle w:val="TableTextEntries"/>
              <w:jc w:val="center"/>
            </w:pPr>
            <w:r>
              <w:t>5</w:t>
            </w:r>
          </w:p>
        </w:tc>
        <w:tc>
          <w:tcPr>
            <w:tcW w:w="416" w:type="pct"/>
            <w:shd w:val="clear" w:color="auto" w:fill="9BBB59" w:themeFill="accent3"/>
            <w:noWrap/>
          </w:tcPr>
          <w:p w:rsidR="001B1868" w:rsidRPr="00FE4491" w:rsidRDefault="001B1868" w:rsidP="00855CC4">
            <w:pPr>
              <w:pStyle w:val="TableTextEntries"/>
              <w:jc w:val="center"/>
            </w:pPr>
            <w:r>
              <w:t>5</w:t>
            </w:r>
          </w:p>
        </w:tc>
        <w:tc>
          <w:tcPr>
            <w:tcW w:w="372" w:type="pct"/>
            <w:shd w:val="clear" w:color="auto" w:fill="9BBB59" w:themeFill="accent3"/>
            <w:noWrap/>
          </w:tcPr>
          <w:p w:rsidR="001B1868" w:rsidRPr="00FE4491" w:rsidRDefault="001B1868" w:rsidP="00855CC4">
            <w:pPr>
              <w:pStyle w:val="TableTextEntries"/>
              <w:jc w:val="center"/>
            </w:pPr>
            <w:r>
              <w:t>5</w:t>
            </w:r>
          </w:p>
        </w:tc>
        <w:tc>
          <w:tcPr>
            <w:tcW w:w="378" w:type="pct"/>
            <w:shd w:val="clear" w:color="auto" w:fill="9BBB59" w:themeFill="accent3"/>
            <w:noWrap/>
          </w:tcPr>
          <w:p w:rsidR="001B1868" w:rsidRPr="00FE4491" w:rsidRDefault="001B1868" w:rsidP="00855CC4">
            <w:pPr>
              <w:pStyle w:val="TableTextEntries"/>
              <w:jc w:val="center"/>
            </w:pPr>
            <w:r>
              <w:t>5</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tcPr>
          <w:p w:rsidR="001B1868" w:rsidRPr="002B51BC" w:rsidRDefault="001B1868" w:rsidP="00855CC4">
            <w:pPr>
              <w:pStyle w:val="TableTextEntries"/>
            </w:pPr>
            <w:r w:rsidRPr="00DF35FA">
              <w:rPr>
                <w:rFonts w:eastAsia="SimSun"/>
                <w:b/>
              </w:rPr>
              <w:t>Objective 2: Rural roads</w:t>
            </w:r>
          </w:p>
        </w:tc>
        <w:tc>
          <w:tcPr>
            <w:tcW w:w="682" w:type="pct"/>
          </w:tcPr>
          <w:p w:rsidR="001B1868" w:rsidRPr="00FE4491" w:rsidRDefault="001B1868" w:rsidP="00855CC4">
            <w:pPr>
              <w:pStyle w:val="TableTextEntries"/>
            </w:pPr>
          </w:p>
        </w:tc>
        <w:tc>
          <w:tcPr>
            <w:tcW w:w="935" w:type="pct"/>
          </w:tcPr>
          <w:p w:rsidR="001B1868" w:rsidRPr="00FE4491" w:rsidRDefault="001B1868" w:rsidP="00855CC4">
            <w:pPr>
              <w:pStyle w:val="TableTextEntries"/>
            </w:pPr>
          </w:p>
        </w:tc>
        <w:tc>
          <w:tcPr>
            <w:tcW w:w="393" w:type="pct"/>
            <w:noWrap/>
          </w:tcPr>
          <w:p w:rsidR="001B1868" w:rsidRPr="00FE4491" w:rsidRDefault="001B1868" w:rsidP="00855CC4">
            <w:pPr>
              <w:pStyle w:val="TableTextEntries"/>
              <w:jc w:val="center"/>
            </w:pPr>
          </w:p>
        </w:tc>
        <w:tc>
          <w:tcPr>
            <w:tcW w:w="383" w:type="pct"/>
            <w:noWrap/>
          </w:tcPr>
          <w:p w:rsidR="001B1868" w:rsidRPr="00FE4491" w:rsidRDefault="001B1868" w:rsidP="00855CC4">
            <w:pPr>
              <w:pStyle w:val="TableTextEntries"/>
              <w:jc w:val="center"/>
            </w:pPr>
          </w:p>
        </w:tc>
        <w:tc>
          <w:tcPr>
            <w:tcW w:w="383" w:type="pct"/>
            <w:noWrap/>
          </w:tcPr>
          <w:p w:rsidR="001B1868" w:rsidRPr="00FE4491" w:rsidRDefault="001B1868" w:rsidP="00855CC4">
            <w:pPr>
              <w:pStyle w:val="TableTextEntries"/>
              <w:jc w:val="center"/>
            </w:pPr>
          </w:p>
        </w:tc>
        <w:tc>
          <w:tcPr>
            <w:tcW w:w="416" w:type="pct"/>
            <w:noWrap/>
          </w:tcPr>
          <w:p w:rsidR="001B1868" w:rsidRPr="00FE4491" w:rsidRDefault="001B1868" w:rsidP="00855CC4">
            <w:pPr>
              <w:pStyle w:val="TableTextEntries"/>
              <w:jc w:val="center"/>
            </w:pPr>
          </w:p>
        </w:tc>
        <w:tc>
          <w:tcPr>
            <w:tcW w:w="372" w:type="pct"/>
            <w:noWrap/>
          </w:tcPr>
          <w:p w:rsidR="001B1868" w:rsidRPr="00FE4491" w:rsidRDefault="001B1868" w:rsidP="00855CC4">
            <w:pPr>
              <w:pStyle w:val="TableTextEntries"/>
              <w:jc w:val="center"/>
            </w:pPr>
          </w:p>
        </w:tc>
        <w:tc>
          <w:tcPr>
            <w:tcW w:w="378" w:type="pct"/>
            <w:noWrap/>
          </w:tcPr>
          <w:p w:rsidR="001B1868" w:rsidRPr="00FE4491" w:rsidRDefault="001B1868" w:rsidP="00855CC4">
            <w:pPr>
              <w:pStyle w:val="TableTextEntries"/>
              <w:jc w:val="center"/>
            </w:pP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val="restart"/>
          </w:tcPr>
          <w:p w:rsidR="001B1868" w:rsidRPr="002B51BC" w:rsidRDefault="001B1868" w:rsidP="00855CC4">
            <w:pPr>
              <w:pStyle w:val="TableTextEntries"/>
            </w:pPr>
            <w:r>
              <w:t>Roads for Development</w:t>
            </w:r>
          </w:p>
        </w:tc>
        <w:tc>
          <w:tcPr>
            <w:tcW w:w="682" w:type="pct"/>
            <w:vMerge w:val="restart"/>
          </w:tcPr>
          <w:p w:rsidR="00D424B5" w:rsidRDefault="00D424B5" w:rsidP="00D424B5">
            <w:pPr>
              <w:pStyle w:val="TableTextEntries"/>
            </w:pPr>
            <w:r>
              <w:t>01/06/2011-</w:t>
            </w:r>
          </w:p>
          <w:p w:rsidR="001B1868" w:rsidRPr="00FE4491" w:rsidRDefault="00D424B5" w:rsidP="00855CC4">
            <w:pPr>
              <w:pStyle w:val="TableTextEntries"/>
            </w:pPr>
            <w:r>
              <w:t>29/02/2016 $30,500,000</w:t>
            </w:r>
          </w:p>
        </w:tc>
        <w:tc>
          <w:tcPr>
            <w:tcW w:w="935" w:type="pct"/>
          </w:tcPr>
          <w:p w:rsidR="001B1868" w:rsidRPr="00FE4491" w:rsidRDefault="001B1868" w:rsidP="00855CC4">
            <w:pPr>
              <w:pStyle w:val="TableTextEntries"/>
            </w:pPr>
            <w:r>
              <w:t>2013</w:t>
            </w:r>
          </w:p>
        </w:tc>
        <w:tc>
          <w:tcPr>
            <w:tcW w:w="393" w:type="pct"/>
            <w:shd w:val="clear" w:color="auto" w:fill="9BBB59" w:themeFill="accent3"/>
            <w:noWrap/>
          </w:tcPr>
          <w:p w:rsidR="001B1868" w:rsidRPr="00FE4491" w:rsidRDefault="001B1868" w:rsidP="00855CC4">
            <w:pPr>
              <w:pStyle w:val="TableTextEntries"/>
              <w:jc w:val="center"/>
            </w:pPr>
            <w:r>
              <w:t>5</w:t>
            </w:r>
          </w:p>
        </w:tc>
        <w:tc>
          <w:tcPr>
            <w:tcW w:w="383" w:type="pct"/>
            <w:shd w:val="clear" w:color="auto" w:fill="FFFF00"/>
            <w:noWrap/>
          </w:tcPr>
          <w:p w:rsidR="001B1868" w:rsidRPr="00FE4491" w:rsidRDefault="001B1868" w:rsidP="00855CC4">
            <w:pPr>
              <w:pStyle w:val="TableTextEntries"/>
              <w:jc w:val="center"/>
            </w:pPr>
            <w:r>
              <w:t>4</w:t>
            </w:r>
          </w:p>
        </w:tc>
        <w:tc>
          <w:tcPr>
            <w:tcW w:w="383" w:type="pct"/>
            <w:shd w:val="clear" w:color="auto" w:fill="FFFF00"/>
            <w:noWrap/>
          </w:tcPr>
          <w:p w:rsidR="001B1868" w:rsidRPr="00FE4491" w:rsidRDefault="001B1868" w:rsidP="00855CC4">
            <w:pPr>
              <w:pStyle w:val="TableTextEntries"/>
              <w:jc w:val="center"/>
            </w:pPr>
            <w:r>
              <w:t>4</w:t>
            </w:r>
          </w:p>
        </w:tc>
        <w:tc>
          <w:tcPr>
            <w:tcW w:w="416" w:type="pct"/>
            <w:shd w:val="clear" w:color="auto" w:fill="9BBB59" w:themeFill="accent3"/>
            <w:noWrap/>
          </w:tcPr>
          <w:p w:rsidR="001B1868" w:rsidRPr="00FE4491" w:rsidRDefault="001B1868" w:rsidP="00855CC4">
            <w:pPr>
              <w:pStyle w:val="TableTextEntries"/>
              <w:jc w:val="center"/>
            </w:pPr>
            <w:r>
              <w:t>5</w:t>
            </w:r>
          </w:p>
        </w:tc>
        <w:tc>
          <w:tcPr>
            <w:tcW w:w="372" w:type="pct"/>
            <w:shd w:val="clear" w:color="auto" w:fill="F79646" w:themeFill="accent6"/>
            <w:noWrap/>
          </w:tcPr>
          <w:p w:rsidR="001B1868" w:rsidRPr="00FE4491" w:rsidRDefault="001B1868" w:rsidP="00855CC4">
            <w:pPr>
              <w:pStyle w:val="TableTextEntries"/>
              <w:jc w:val="center"/>
            </w:pPr>
            <w:r>
              <w:t>3</w:t>
            </w:r>
          </w:p>
        </w:tc>
        <w:tc>
          <w:tcPr>
            <w:tcW w:w="378" w:type="pct"/>
            <w:shd w:val="clear" w:color="auto" w:fill="9BBB59" w:themeFill="accent3"/>
            <w:noWrap/>
          </w:tcPr>
          <w:p w:rsidR="001B1868" w:rsidRPr="00FE4491" w:rsidRDefault="001B1868" w:rsidP="00855CC4">
            <w:pPr>
              <w:pStyle w:val="TableTextEntries"/>
              <w:jc w:val="center"/>
            </w:pPr>
            <w:r>
              <w:t>5</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tcPr>
          <w:p w:rsidR="001B1868" w:rsidRPr="002B51BC" w:rsidRDefault="001B1868" w:rsidP="00855CC4">
            <w:pPr>
              <w:pStyle w:val="TableTextEntries"/>
            </w:pPr>
          </w:p>
        </w:tc>
        <w:tc>
          <w:tcPr>
            <w:tcW w:w="682" w:type="pct"/>
            <w:vMerge/>
          </w:tcPr>
          <w:p w:rsidR="001B1868" w:rsidRPr="00FE4491" w:rsidRDefault="001B1868" w:rsidP="00855CC4">
            <w:pPr>
              <w:pStyle w:val="TableTextEntries"/>
            </w:pPr>
          </w:p>
        </w:tc>
        <w:tc>
          <w:tcPr>
            <w:tcW w:w="935" w:type="pct"/>
          </w:tcPr>
          <w:p w:rsidR="001B1868" w:rsidRPr="00FE4491" w:rsidRDefault="001B1868" w:rsidP="00855CC4">
            <w:pPr>
              <w:pStyle w:val="TableTextEntries"/>
            </w:pPr>
            <w:r>
              <w:t>2012</w:t>
            </w:r>
          </w:p>
        </w:tc>
        <w:tc>
          <w:tcPr>
            <w:tcW w:w="393" w:type="pct"/>
            <w:shd w:val="clear" w:color="auto" w:fill="9BBB59" w:themeFill="accent3"/>
            <w:noWrap/>
          </w:tcPr>
          <w:p w:rsidR="001B1868" w:rsidRPr="00FE4491" w:rsidRDefault="001B1868" w:rsidP="00855CC4">
            <w:pPr>
              <w:pStyle w:val="TableTextEntries"/>
              <w:jc w:val="center"/>
            </w:pPr>
            <w:r>
              <w:t>5</w:t>
            </w:r>
          </w:p>
        </w:tc>
        <w:tc>
          <w:tcPr>
            <w:tcW w:w="383" w:type="pct"/>
            <w:shd w:val="clear" w:color="auto" w:fill="FFFF00"/>
            <w:noWrap/>
          </w:tcPr>
          <w:p w:rsidR="001B1868" w:rsidRPr="00FE4491" w:rsidRDefault="001B1868" w:rsidP="00855CC4">
            <w:pPr>
              <w:pStyle w:val="TableTextEntries"/>
              <w:jc w:val="center"/>
            </w:pPr>
            <w:r>
              <w:t>4</w:t>
            </w:r>
          </w:p>
        </w:tc>
        <w:tc>
          <w:tcPr>
            <w:tcW w:w="383" w:type="pct"/>
            <w:shd w:val="clear" w:color="auto" w:fill="FFFF00"/>
            <w:noWrap/>
          </w:tcPr>
          <w:p w:rsidR="001B1868" w:rsidRPr="00FE4491" w:rsidRDefault="001B1868" w:rsidP="00855CC4">
            <w:pPr>
              <w:pStyle w:val="TableTextEntries"/>
              <w:jc w:val="center"/>
            </w:pPr>
            <w:r>
              <w:t>4</w:t>
            </w:r>
          </w:p>
        </w:tc>
        <w:tc>
          <w:tcPr>
            <w:tcW w:w="416" w:type="pct"/>
            <w:shd w:val="clear" w:color="auto" w:fill="FFFF00"/>
            <w:noWrap/>
          </w:tcPr>
          <w:p w:rsidR="001B1868" w:rsidRPr="00FE4491" w:rsidRDefault="001B1868" w:rsidP="00855CC4">
            <w:pPr>
              <w:pStyle w:val="TableTextEntries"/>
              <w:jc w:val="center"/>
            </w:pPr>
            <w:r>
              <w:t>4</w:t>
            </w:r>
          </w:p>
        </w:tc>
        <w:tc>
          <w:tcPr>
            <w:tcW w:w="372" w:type="pct"/>
            <w:shd w:val="clear" w:color="auto" w:fill="FFFF00"/>
            <w:noWrap/>
          </w:tcPr>
          <w:p w:rsidR="001B1868" w:rsidRPr="00FE4491" w:rsidRDefault="001B1868" w:rsidP="00855CC4">
            <w:pPr>
              <w:pStyle w:val="TableTextEntries"/>
              <w:jc w:val="center"/>
            </w:pPr>
            <w:r>
              <w:t>4</w:t>
            </w:r>
          </w:p>
        </w:tc>
        <w:tc>
          <w:tcPr>
            <w:tcW w:w="378" w:type="pct"/>
            <w:shd w:val="clear" w:color="auto" w:fill="9BBB59" w:themeFill="accent3"/>
            <w:noWrap/>
          </w:tcPr>
          <w:p w:rsidR="001B1868" w:rsidRPr="00FE4491" w:rsidRDefault="001B1868" w:rsidP="00855CC4">
            <w:pPr>
              <w:pStyle w:val="TableTextEntries"/>
              <w:jc w:val="center"/>
            </w:pPr>
            <w:r>
              <w:t>5</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tcPr>
          <w:p w:rsidR="001B1868" w:rsidRPr="002B51BC" w:rsidRDefault="001B1868" w:rsidP="00855CC4">
            <w:pPr>
              <w:pStyle w:val="TableTextEntries"/>
            </w:pPr>
            <w:r w:rsidRPr="00DF35FA">
              <w:rPr>
                <w:rFonts w:eastAsia="SimSun"/>
                <w:b/>
              </w:rPr>
              <w:t>Objective 3: Agriculture</w:t>
            </w:r>
          </w:p>
        </w:tc>
        <w:tc>
          <w:tcPr>
            <w:tcW w:w="682" w:type="pct"/>
          </w:tcPr>
          <w:p w:rsidR="001B1868" w:rsidRPr="00FE4491" w:rsidRDefault="001B1868" w:rsidP="00855CC4">
            <w:pPr>
              <w:pStyle w:val="TableTextEntries"/>
            </w:pPr>
          </w:p>
        </w:tc>
        <w:tc>
          <w:tcPr>
            <w:tcW w:w="935" w:type="pct"/>
          </w:tcPr>
          <w:p w:rsidR="001B1868" w:rsidRPr="00FE4491" w:rsidRDefault="001B1868" w:rsidP="00855CC4">
            <w:pPr>
              <w:pStyle w:val="TableTextEntries"/>
            </w:pPr>
          </w:p>
        </w:tc>
        <w:tc>
          <w:tcPr>
            <w:tcW w:w="393" w:type="pct"/>
            <w:noWrap/>
          </w:tcPr>
          <w:p w:rsidR="001B1868" w:rsidRPr="00FE4491" w:rsidRDefault="001B1868" w:rsidP="00855CC4">
            <w:pPr>
              <w:pStyle w:val="TableTextEntries"/>
              <w:jc w:val="center"/>
            </w:pPr>
          </w:p>
        </w:tc>
        <w:tc>
          <w:tcPr>
            <w:tcW w:w="383" w:type="pct"/>
            <w:noWrap/>
          </w:tcPr>
          <w:p w:rsidR="001B1868" w:rsidRPr="00FE4491" w:rsidRDefault="001B1868" w:rsidP="00855CC4">
            <w:pPr>
              <w:pStyle w:val="TableTextEntries"/>
              <w:jc w:val="center"/>
            </w:pPr>
          </w:p>
        </w:tc>
        <w:tc>
          <w:tcPr>
            <w:tcW w:w="383" w:type="pct"/>
            <w:noWrap/>
          </w:tcPr>
          <w:p w:rsidR="001B1868" w:rsidRPr="00FE4491" w:rsidRDefault="001B1868" w:rsidP="00855CC4">
            <w:pPr>
              <w:pStyle w:val="TableTextEntries"/>
              <w:jc w:val="center"/>
            </w:pPr>
          </w:p>
        </w:tc>
        <w:tc>
          <w:tcPr>
            <w:tcW w:w="416" w:type="pct"/>
            <w:noWrap/>
          </w:tcPr>
          <w:p w:rsidR="001B1868" w:rsidRPr="00FE4491" w:rsidRDefault="001B1868" w:rsidP="00855CC4">
            <w:pPr>
              <w:pStyle w:val="TableTextEntries"/>
              <w:jc w:val="center"/>
            </w:pPr>
          </w:p>
        </w:tc>
        <w:tc>
          <w:tcPr>
            <w:tcW w:w="372" w:type="pct"/>
            <w:noWrap/>
          </w:tcPr>
          <w:p w:rsidR="001B1868" w:rsidRPr="00FE4491" w:rsidRDefault="001B1868" w:rsidP="00855CC4">
            <w:pPr>
              <w:pStyle w:val="TableTextEntries"/>
              <w:jc w:val="center"/>
            </w:pPr>
          </w:p>
        </w:tc>
        <w:tc>
          <w:tcPr>
            <w:tcW w:w="378" w:type="pct"/>
            <w:noWrap/>
          </w:tcPr>
          <w:p w:rsidR="001B1868" w:rsidRPr="00FE4491" w:rsidRDefault="001B1868" w:rsidP="00855CC4">
            <w:pPr>
              <w:pStyle w:val="TableTextEntries"/>
              <w:jc w:val="center"/>
            </w:pP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val="restart"/>
          </w:tcPr>
          <w:p w:rsidR="001B1868" w:rsidRPr="002B51BC" w:rsidRDefault="001B1868" w:rsidP="00855CC4">
            <w:pPr>
              <w:pStyle w:val="TableTextEntries"/>
            </w:pPr>
            <w:r w:rsidRPr="002B51BC">
              <w:t>Seeds of Life</w:t>
            </w:r>
          </w:p>
        </w:tc>
        <w:tc>
          <w:tcPr>
            <w:tcW w:w="682" w:type="pct"/>
            <w:vMerge w:val="restart"/>
          </w:tcPr>
          <w:p w:rsidR="001B1868" w:rsidRPr="00FE4491" w:rsidRDefault="00D424B5" w:rsidP="00855CC4">
            <w:pPr>
              <w:pStyle w:val="TableTextEntries"/>
            </w:pPr>
            <w:r>
              <w:t>22/04/2005-30/06/2016 $32,332,718</w:t>
            </w:r>
          </w:p>
        </w:tc>
        <w:tc>
          <w:tcPr>
            <w:tcW w:w="935" w:type="pct"/>
          </w:tcPr>
          <w:p w:rsidR="001B1868" w:rsidRPr="00FE4491" w:rsidRDefault="001B1868" w:rsidP="00855CC4">
            <w:pPr>
              <w:pStyle w:val="TableTextEntries"/>
            </w:pPr>
            <w:r>
              <w:t>2013</w:t>
            </w:r>
          </w:p>
        </w:tc>
        <w:tc>
          <w:tcPr>
            <w:tcW w:w="393" w:type="pct"/>
            <w:shd w:val="clear" w:color="auto" w:fill="9BBB59" w:themeFill="accent3"/>
            <w:noWrap/>
          </w:tcPr>
          <w:p w:rsidR="001B1868" w:rsidRPr="00FE4491" w:rsidRDefault="001B1868" w:rsidP="00855CC4">
            <w:pPr>
              <w:pStyle w:val="TableTextEntries"/>
              <w:jc w:val="center"/>
            </w:pPr>
            <w:r>
              <w:t>5</w:t>
            </w:r>
          </w:p>
        </w:tc>
        <w:tc>
          <w:tcPr>
            <w:tcW w:w="383" w:type="pct"/>
            <w:shd w:val="clear" w:color="auto" w:fill="9BBB59" w:themeFill="accent3"/>
            <w:noWrap/>
          </w:tcPr>
          <w:p w:rsidR="001B1868" w:rsidRPr="00FE4491" w:rsidRDefault="001B1868" w:rsidP="00855CC4">
            <w:pPr>
              <w:pStyle w:val="TableTextEntries"/>
              <w:jc w:val="center"/>
            </w:pPr>
            <w:r>
              <w:t>5</w:t>
            </w:r>
          </w:p>
        </w:tc>
        <w:tc>
          <w:tcPr>
            <w:tcW w:w="383" w:type="pct"/>
            <w:shd w:val="clear" w:color="auto" w:fill="9BBB59" w:themeFill="accent3"/>
            <w:noWrap/>
          </w:tcPr>
          <w:p w:rsidR="001B1868" w:rsidRPr="00FE4491" w:rsidRDefault="001B1868" w:rsidP="00855CC4">
            <w:pPr>
              <w:pStyle w:val="TableTextEntries"/>
              <w:jc w:val="center"/>
            </w:pPr>
            <w:r>
              <w:t>5</w:t>
            </w:r>
          </w:p>
        </w:tc>
        <w:tc>
          <w:tcPr>
            <w:tcW w:w="416" w:type="pct"/>
            <w:shd w:val="clear" w:color="auto" w:fill="9BBB59" w:themeFill="accent3"/>
            <w:noWrap/>
          </w:tcPr>
          <w:p w:rsidR="001B1868" w:rsidRPr="00FE4491" w:rsidRDefault="001B1868" w:rsidP="00855CC4">
            <w:pPr>
              <w:pStyle w:val="TableTextEntries"/>
              <w:jc w:val="center"/>
            </w:pPr>
            <w:r>
              <w:t>5</w:t>
            </w:r>
          </w:p>
        </w:tc>
        <w:tc>
          <w:tcPr>
            <w:tcW w:w="372" w:type="pct"/>
            <w:shd w:val="clear" w:color="auto" w:fill="9BBB59" w:themeFill="accent3"/>
            <w:noWrap/>
          </w:tcPr>
          <w:p w:rsidR="001B1868" w:rsidRPr="00FE4491" w:rsidRDefault="001B1868" w:rsidP="00855CC4">
            <w:pPr>
              <w:pStyle w:val="TableTextEntries"/>
              <w:jc w:val="center"/>
            </w:pPr>
            <w:r>
              <w:t>5</w:t>
            </w:r>
          </w:p>
        </w:tc>
        <w:tc>
          <w:tcPr>
            <w:tcW w:w="378" w:type="pct"/>
            <w:shd w:val="clear" w:color="auto" w:fill="9BBB59" w:themeFill="accent3"/>
            <w:noWrap/>
          </w:tcPr>
          <w:p w:rsidR="001B1868" w:rsidRPr="00FE4491" w:rsidRDefault="001B1868" w:rsidP="00855CC4">
            <w:pPr>
              <w:pStyle w:val="TableTextEntries"/>
              <w:jc w:val="center"/>
            </w:pPr>
            <w:r>
              <w:t>5</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tcPr>
          <w:p w:rsidR="001B1868" w:rsidRPr="002B51BC" w:rsidRDefault="001B1868" w:rsidP="00855CC4">
            <w:pPr>
              <w:pStyle w:val="TableTextEntries"/>
            </w:pPr>
          </w:p>
        </w:tc>
        <w:tc>
          <w:tcPr>
            <w:tcW w:w="682" w:type="pct"/>
            <w:vMerge/>
          </w:tcPr>
          <w:p w:rsidR="001B1868" w:rsidRPr="00FE4491" w:rsidRDefault="001B1868" w:rsidP="00855CC4">
            <w:pPr>
              <w:pStyle w:val="TableTextEntries"/>
            </w:pPr>
          </w:p>
        </w:tc>
        <w:tc>
          <w:tcPr>
            <w:tcW w:w="935" w:type="pct"/>
          </w:tcPr>
          <w:p w:rsidR="001B1868" w:rsidRPr="00FE4491" w:rsidRDefault="001B1868" w:rsidP="00855CC4">
            <w:pPr>
              <w:pStyle w:val="TableTextEntries"/>
            </w:pPr>
            <w:r>
              <w:t>2012</w:t>
            </w:r>
          </w:p>
        </w:tc>
        <w:tc>
          <w:tcPr>
            <w:tcW w:w="393" w:type="pct"/>
            <w:shd w:val="clear" w:color="auto" w:fill="9BBB59" w:themeFill="accent3"/>
            <w:noWrap/>
          </w:tcPr>
          <w:p w:rsidR="001B1868" w:rsidRPr="00FE4491" w:rsidRDefault="001B1868" w:rsidP="00855CC4">
            <w:pPr>
              <w:pStyle w:val="TableTextEntries"/>
              <w:jc w:val="center"/>
            </w:pPr>
            <w:r>
              <w:t>6</w:t>
            </w:r>
          </w:p>
        </w:tc>
        <w:tc>
          <w:tcPr>
            <w:tcW w:w="383" w:type="pct"/>
            <w:shd w:val="clear" w:color="auto" w:fill="9BBB59" w:themeFill="accent3"/>
            <w:noWrap/>
          </w:tcPr>
          <w:p w:rsidR="001B1868" w:rsidRPr="00FE4491" w:rsidRDefault="001B1868" w:rsidP="00855CC4">
            <w:pPr>
              <w:pStyle w:val="TableTextEntries"/>
              <w:jc w:val="center"/>
            </w:pPr>
            <w:r>
              <w:t>5</w:t>
            </w:r>
          </w:p>
        </w:tc>
        <w:tc>
          <w:tcPr>
            <w:tcW w:w="383" w:type="pct"/>
            <w:shd w:val="clear" w:color="auto" w:fill="9BBB59" w:themeFill="accent3"/>
            <w:noWrap/>
          </w:tcPr>
          <w:p w:rsidR="001B1868" w:rsidRPr="00FE4491" w:rsidRDefault="001B1868" w:rsidP="00855CC4">
            <w:pPr>
              <w:pStyle w:val="TableTextEntries"/>
              <w:jc w:val="center"/>
            </w:pPr>
            <w:r>
              <w:t>6</w:t>
            </w:r>
          </w:p>
        </w:tc>
        <w:tc>
          <w:tcPr>
            <w:tcW w:w="416" w:type="pct"/>
            <w:shd w:val="clear" w:color="auto" w:fill="FFFF00"/>
            <w:noWrap/>
          </w:tcPr>
          <w:p w:rsidR="001B1868" w:rsidRPr="00DA40E1" w:rsidRDefault="001B1868" w:rsidP="00855CC4">
            <w:pPr>
              <w:pStyle w:val="TableTextEntries"/>
              <w:jc w:val="center"/>
            </w:pPr>
            <w:r w:rsidRPr="00DA40E1">
              <w:t>4</w:t>
            </w:r>
          </w:p>
        </w:tc>
        <w:tc>
          <w:tcPr>
            <w:tcW w:w="372" w:type="pct"/>
            <w:shd w:val="clear" w:color="auto" w:fill="9BBB59" w:themeFill="accent3"/>
            <w:noWrap/>
          </w:tcPr>
          <w:p w:rsidR="001B1868" w:rsidRPr="00DA40E1" w:rsidRDefault="001B1868" w:rsidP="00855CC4">
            <w:pPr>
              <w:pStyle w:val="TableTextEntries"/>
              <w:jc w:val="center"/>
            </w:pPr>
            <w:r>
              <w:t>5</w:t>
            </w:r>
          </w:p>
        </w:tc>
        <w:tc>
          <w:tcPr>
            <w:tcW w:w="378" w:type="pct"/>
            <w:shd w:val="clear" w:color="auto" w:fill="FFFF00"/>
            <w:noWrap/>
          </w:tcPr>
          <w:p w:rsidR="001B1868" w:rsidRPr="00FE4491" w:rsidRDefault="001B1868" w:rsidP="00855CC4">
            <w:pPr>
              <w:pStyle w:val="TableTextEntries"/>
              <w:jc w:val="center"/>
            </w:pPr>
            <w:r>
              <w:t>4</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tcPr>
          <w:p w:rsidR="001B1868" w:rsidRPr="002B51BC" w:rsidRDefault="001B1868" w:rsidP="00855CC4">
            <w:pPr>
              <w:pStyle w:val="TableTextEntries"/>
            </w:pPr>
            <w:r w:rsidRPr="00DF35FA">
              <w:rPr>
                <w:rFonts w:eastAsia="SimSun"/>
                <w:b/>
              </w:rPr>
              <w:t>Objective 4: Education and training</w:t>
            </w:r>
          </w:p>
        </w:tc>
        <w:tc>
          <w:tcPr>
            <w:tcW w:w="682" w:type="pct"/>
          </w:tcPr>
          <w:p w:rsidR="001B1868" w:rsidRPr="00FE4491" w:rsidRDefault="001B1868" w:rsidP="00855CC4">
            <w:pPr>
              <w:pStyle w:val="TableTextEntries"/>
            </w:pPr>
          </w:p>
        </w:tc>
        <w:tc>
          <w:tcPr>
            <w:tcW w:w="935" w:type="pct"/>
          </w:tcPr>
          <w:p w:rsidR="001B1868" w:rsidRPr="00FE4491" w:rsidRDefault="001B1868" w:rsidP="00855CC4">
            <w:pPr>
              <w:pStyle w:val="TableTextEntries"/>
            </w:pPr>
          </w:p>
        </w:tc>
        <w:tc>
          <w:tcPr>
            <w:tcW w:w="393" w:type="pct"/>
            <w:noWrap/>
          </w:tcPr>
          <w:p w:rsidR="001B1868" w:rsidRPr="00FE4491" w:rsidRDefault="001B1868" w:rsidP="00855CC4">
            <w:pPr>
              <w:pStyle w:val="TableTextEntries"/>
              <w:jc w:val="center"/>
            </w:pPr>
          </w:p>
        </w:tc>
        <w:tc>
          <w:tcPr>
            <w:tcW w:w="383" w:type="pct"/>
            <w:noWrap/>
          </w:tcPr>
          <w:p w:rsidR="001B1868" w:rsidRPr="00FE4491" w:rsidRDefault="001B1868" w:rsidP="00855CC4">
            <w:pPr>
              <w:pStyle w:val="TableTextEntries"/>
              <w:jc w:val="center"/>
            </w:pPr>
          </w:p>
        </w:tc>
        <w:tc>
          <w:tcPr>
            <w:tcW w:w="383" w:type="pct"/>
            <w:noWrap/>
          </w:tcPr>
          <w:p w:rsidR="001B1868" w:rsidRPr="00FE4491" w:rsidRDefault="001B1868" w:rsidP="00855CC4">
            <w:pPr>
              <w:pStyle w:val="TableTextEntries"/>
              <w:jc w:val="center"/>
            </w:pPr>
          </w:p>
        </w:tc>
        <w:tc>
          <w:tcPr>
            <w:tcW w:w="416" w:type="pct"/>
            <w:noWrap/>
          </w:tcPr>
          <w:p w:rsidR="001B1868" w:rsidRPr="00FE4491" w:rsidRDefault="001B1868" w:rsidP="00855CC4">
            <w:pPr>
              <w:pStyle w:val="TableTextEntries"/>
              <w:jc w:val="center"/>
            </w:pPr>
          </w:p>
        </w:tc>
        <w:tc>
          <w:tcPr>
            <w:tcW w:w="372" w:type="pct"/>
            <w:noWrap/>
          </w:tcPr>
          <w:p w:rsidR="001B1868" w:rsidRPr="00FE4491" w:rsidRDefault="001B1868" w:rsidP="00855CC4">
            <w:pPr>
              <w:pStyle w:val="TableTextEntries"/>
              <w:jc w:val="center"/>
            </w:pPr>
          </w:p>
        </w:tc>
        <w:tc>
          <w:tcPr>
            <w:tcW w:w="378" w:type="pct"/>
            <w:noWrap/>
          </w:tcPr>
          <w:p w:rsidR="001B1868" w:rsidRPr="00FE4491" w:rsidRDefault="001B1868" w:rsidP="00855CC4">
            <w:pPr>
              <w:pStyle w:val="TableTextEntries"/>
              <w:jc w:val="center"/>
            </w:pP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val="restart"/>
          </w:tcPr>
          <w:p w:rsidR="006A6E2D" w:rsidRPr="002B51BC" w:rsidRDefault="006A6E2D" w:rsidP="00855CC4">
            <w:pPr>
              <w:pStyle w:val="TableTextEntries"/>
            </w:pPr>
            <w:r>
              <w:t>Education</w:t>
            </w:r>
          </w:p>
        </w:tc>
        <w:tc>
          <w:tcPr>
            <w:tcW w:w="682" w:type="pct"/>
            <w:vMerge w:val="restart"/>
          </w:tcPr>
          <w:p w:rsidR="006A6E2D" w:rsidRPr="00FE4491" w:rsidRDefault="006A6E2D" w:rsidP="00855CC4">
            <w:pPr>
              <w:pStyle w:val="TableTextEntries"/>
            </w:pPr>
            <w:r>
              <w:t>01/07/2012 – 30/06/2017 $22,520,628</w:t>
            </w:r>
          </w:p>
        </w:tc>
        <w:tc>
          <w:tcPr>
            <w:tcW w:w="935" w:type="pct"/>
          </w:tcPr>
          <w:p w:rsidR="006A6E2D" w:rsidRPr="00FE4491" w:rsidRDefault="006A6E2D" w:rsidP="00855CC4">
            <w:pPr>
              <w:pStyle w:val="TableTextEntries"/>
            </w:pPr>
            <w:r>
              <w:t>2013</w:t>
            </w:r>
          </w:p>
        </w:tc>
        <w:tc>
          <w:tcPr>
            <w:tcW w:w="393" w:type="pct"/>
            <w:shd w:val="clear" w:color="auto" w:fill="9BBB59" w:themeFill="accent3"/>
            <w:noWrap/>
          </w:tcPr>
          <w:p w:rsidR="006A6E2D" w:rsidRPr="00FE4491" w:rsidRDefault="006A6E2D" w:rsidP="00855CC4">
            <w:pPr>
              <w:pStyle w:val="TableTextEntries"/>
              <w:jc w:val="center"/>
            </w:pPr>
            <w:r>
              <w:t>5</w:t>
            </w:r>
          </w:p>
        </w:tc>
        <w:tc>
          <w:tcPr>
            <w:tcW w:w="383" w:type="pct"/>
            <w:shd w:val="clear" w:color="auto" w:fill="FFFF00"/>
            <w:noWrap/>
          </w:tcPr>
          <w:p w:rsidR="006A6E2D" w:rsidRPr="00FE4491" w:rsidRDefault="006A6E2D" w:rsidP="00855CC4">
            <w:pPr>
              <w:pStyle w:val="TableTextEntries"/>
              <w:jc w:val="center"/>
            </w:pPr>
            <w:r>
              <w:t>4</w:t>
            </w:r>
          </w:p>
        </w:tc>
        <w:tc>
          <w:tcPr>
            <w:tcW w:w="383" w:type="pct"/>
            <w:shd w:val="clear" w:color="auto" w:fill="FFFF00"/>
            <w:noWrap/>
          </w:tcPr>
          <w:p w:rsidR="006A6E2D" w:rsidRPr="00FE4491" w:rsidRDefault="006A6E2D" w:rsidP="00855CC4">
            <w:pPr>
              <w:pStyle w:val="TableTextEntries"/>
              <w:jc w:val="center"/>
            </w:pPr>
            <w:r>
              <w:t>4</w:t>
            </w:r>
          </w:p>
        </w:tc>
        <w:tc>
          <w:tcPr>
            <w:tcW w:w="416" w:type="pct"/>
            <w:shd w:val="clear" w:color="auto" w:fill="F79646" w:themeFill="accent6"/>
            <w:noWrap/>
          </w:tcPr>
          <w:p w:rsidR="006A6E2D" w:rsidRPr="00FE4491" w:rsidRDefault="006A6E2D" w:rsidP="00855CC4">
            <w:pPr>
              <w:pStyle w:val="TableTextEntries"/>
              <w:jc w:val="center"/>
            </w:pPr>
            <w:r>
              <w:t>3</w:t>
            </w:r>
          </w:p>
        </w:tc>
        <w:tc>
          <w:tcPr>
            <w:tcW w:w="372" w:type="pct"/>
            <w:shd w:val="clear" w:color="auto" w:fill="FFFF00"/>
            <w:noWrap/>
          </w:tcPr>
          <w:p w:rsidR="006A6E2D" w:rsidRPr="00FE4491" w:rsidRDefault="006A6E2D" w:rsidP="00855CC4">
            <w:pPr>
              <w:pStyle w:val="TableTextEntries"/>
              <w:jc w:val="center"/>
            </w:pPr>
            <w:r>
              <w:t>4</w:t>
            </w:r>
          </w:p>
        </w:tc>
        <w:tc>
          <w:tcPr>
            <w:tcW w:w="378" w:type="pct"/>
            <w:shd w:val="clear" w:color="auto" w:fill="9BBB59" w:themeFill="accent3"/>
            <w:noWrap/>
          </w:tcPr>
          <w:p w:rsidR="006A6E2D" w:rsidRPr="00FE4491" w:rsidRDefault="006A6E2D" w:rsidP="00855CC4">
            <w:pPr>
              <w:pStyle w:val="TableTextEntries"/>
              <w:jc w:val="center"/>
            </w:pPr>
            <w:r>
              <w:t>5</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tcPr>
          <w:p w:rsidR="006A6E2D" w:rsidRPr="002B51BC" w:rsidRDefault="006A6E2D" w:rsidP="00855CC4">
            <w:pPr>
              <w:pStyle w:val="TableTextEntries"/>
            </w:pPr>
          </w:p>
        </w:tc>
        <w:tc>
          <w:tcPr>
            <w:tcW w:w="682" w:type="pct"/>
            <w:vMerge/>
          </w:tcPr>
          <w:p w:rsidR="006A6E2D" w:rsidRPr="00FE4491" w:rsidRDefault="006A6E2D" w:rsidP="00855CC4">
            <w:pPr>
              <w:pStyle w:val="TableTextEntries"/>
            </w:pPr>
          </w:p>
        </w:tc>
        <w:tc>
          <w:tcPr>
            <w:tcW w:w="935" w:type="pct"/>
          </w:tcPr>
          <w:p w:rsidR="006A6E2D" w:rsidRPr="00FE4491" w:rsidRDefault="006A6E2D" w:rsidP="00855CC4">
            <w:pPr>
              <w:pStyle w:val="TableTextEntries"/>
            </w:pPr>
            <w:r>
              <w:t>2012</w:t>
            </w:r>
          </w:p>
        </w:tc>
        <w:tc>
          <w:tcPr>
            <w:tcW w:w="393" w:type="pct"/>
            <w:shd w:val="clear" w:color="auto" w:fill="9BBB59" w:themeFill="accent3"/>
            <w:noWrap/>
          </w:tcPr>
          <w:p w:rsidR="006A6E2D" w:rsidRPr="00FE4491" w:rsidRDefault="006A6E2D" w:rsidP="00855CC4">
            <w:pPr>
              <w:pStyle w:val="TableTextEntries"/>
              <w:jc w:val="center"/>
            </w:pPr>
            <w:r>
              <w:t>5</w:t>
            </w:r>
          </w:p>
        </w:tc>
        <w:tc>
          <w:tcPr>
            <w:tcW w:w="383" w:type="pct"/>
            <w:shd w:val="clear" w:color="auto" w:fill="FFFF00"/>
            <w:noWrap/>
          </w:tcPr>
          <w:p w:rsidR="006A6E2D" w:rsidRPr="00FE4491" w:rsidRDefault="006A6E2D" w:rsidP="00855CC4">
            <w:pPr>
              <w:pStyle w:val="TableTextEntries"/>
              <w:jc w:val="center"/>
            </w:pPr>
            <w:r>
              <w:t>4</w:t>
            </w:r>
          </w:p>
        </w:tc>
        <w:tc>
          <w:tcPr>
            <w:tcW w:w="383" w:type="pct"/>
            <w:shd w:val="clear" w:color="auto" w:fill="F79646" w:themeFill="accent6"/>
            <w:noWrap/>
          </w:tcPr>
          <w:p w:rsidR="006A6E2D" w:rsidRPr="00FE4491" w:rsidRDefault="006A6E2D" w:rsidP="00855CC4">
            <w:pPr>
              <w:pStyle w:val="TableTextEntries"/>
              <w:jc w:val="center"/>
            </w:pPr>
            <w:r>
              <w:t>3</w:t>
            </w:r>
          </w:p>
        </w:tc>
        <w:tc>
          <w:tcPr>
            <w:tcW w:w="416" w:type="pct"/>
            <w:shd w:val="clear" w:color="auto" w:fill="FFFF00"/>
            <w:noWrap/>
          </w:tcPr>
          <w:p w:rsidR="006A6E2D" w:rsidRPr="00FE4491" w:rsidRDefault="006A6E2D" w:rsidP="00855CC4">
            <w:pPr>
              <w:pStyle w:val="TableTextEntries"/>
              <w:jc w:val="center"/>
            </w:pPr>
            <w:r>
              <w:t>4</w:t>
            </w:r>
          </w:p>
        </w:tc>
        <w:tc>
          <w:tcPr>
            <w:tcW w:w="372" w:type="pct"/>
            <w:shd w:val="clear" w:color="auto" w:fill="FFFF00"/>
            <w:noWrap/>
          </w:tcPr>
          <w:p w:rsidR="006A6E2D" w:rsidRPr="00FE4491" w:rsidRDefault="006A6E2D" w:rsidP="00855CC4">
            <w:pPr>
              <w:pStyle w:val="TableTextEntries"/>
              <w:jc w:val="center"/>
            </w:pPr>
            <w:r>
              <w:t>4</w:t>
            </w:r>
          </w:p>
        </w:tc>
        <w:tc>
          <w:tcPr>
            <w:tcW w:w="378" w:type="pct"/>
            <w:shd w:val="clear" w:color="auto" w:fill="F79646" w:themeFill="accent6"/>
            <w:noWrap/>
          </w:tcPr>
          <w:p w:rsidR="006A6E2D" w:rsidRPr="00FE4491" w:rsidRDefault="006A6E2D" w:rsidP="00855CC4">
            <w:pPr>
              <w:pStyle w:val="TableTextEntries"/>
              <w:jc w:val="center"/>
            </w:pPr>
            <w:r>
              <w:t>3</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val="restart"/>
          </w:tcPr>
          <w:p w:rsidR="001B1868" w:rsidRPr="002B51BC" w:rsidRDefault="001B1868" w:rsidP="00855CC4">
            <w:pPr>
              <w:pStyle w:val="TableTextEntries"/>
            </w:pPr>
            <w:r>
              <w:t>Vocational Education Program</w:t>
            </w:r>
          </w:p>
        </w:tc>
        <w:tc>
          <w:tcPr>
            <w:tcW w:w="682" w:type="pct"/>
          </w:tcPr>
          <w:p w:rsidR="001B1868" w:rsidRPr="00FE4491" w:rsidRDefault="00D424B5" w:rsidP="00855CC4">
            <w:pPr>
              <w:pStyle w:val="TableTextEntries"/>
            </w:pPr>
            <w:r>
              <w:t>Included in above</w:t>
            </w:r>
          </w:p>
        </w:tc>
        <w:tc>
          <w:tcPr>
            <w:tcW w:w="935" w:type="pct"/>
          </w:tcPr>
          <w:p w:rsidR="001B1868" w:rsidRPr="00FE4491" w:rsidRDefault="001B1868" w:rsidP="00855CC4">
            <w:pPr>
              <w:pStyle w:val="TableTextEntries"/>
            </w:pPr>
            <w:r>
              <w:t>2013</w:t>
            </w:r>
          </w:p>
        </w:tc>
        <w:tc>
          <w:tcPr>
            <w:tcW w:w="393" w:type="pct"/>
            <w:shd w:val="clear" w:color="auto" w:fill="9BBB59" w:themeFill="accent3"/>
            <w:noWrap/>
          </w:tcPr>
          <w:p w:rsidR="001B1868" w:rsidRPr="00FE4491" w:rsidRDefault="001B1868" w:rsidP="00855CC4">
            <w:pPr>
              <w:pStyle w:val="TableTextEntries"/>
              <w:jc w:val="center"/>
            </w:pPr>
            <w:r>
              <w:t>5</w:t>
            </w:r>
          </w:p>
        </w:tc>
        <w:tc>
          <w:tcPr>
            <w:tcW w:w="383" w:type="pct"/>
            <w:shd w:val="clear" w:color="auto" w:fill="F79646" w:themeFill="accent6"/>
            <w:noWrap/>
          </w:tcPr>
          <w:p w:rsidR="001B1868" w:rsidRPr="00FE4491" w:rsidRDefault="001B1868" w:rsidP="00855CC4">
            <w:pPr>
              <w:pStyle w:val="TableTextEntries"/>
              <w:jc w:val="center"/>
            </w:pPr>
            <w:r>
              <w:t>3</w:t>
            </w:r>
          </w:p>
        </w:tc>
        <w:tc>
          <w:tcPr>
            <w:tcW w:w="383" w:type="pct"/>
            <w:shd w:val="clear" w:color="auto" w:fill="F79646" w:themeFill="accent6"/>
            <w:noWrap/>
          </w:tcPr>
          <w:p w:rsidR="001B1868" w:rsidRPr="00FE4491" w:rsidRDefault="001B1868" w:rsidP="00855CC4">
            <w:pPr>
              <w:pStyle w:val="TableTextEntries"/>
              <w:jc w:val="center"/>
            </w:pPr>
            <w:r>
              <w:t>3</w:t>
            </w:r>
          </w:p>
        </w:tc>
        <w:tc>
          <w:tcPr>
            <w:tcW w:w="416" w:type="pct"/>
            <w:shd w:val="clear" w:color="auto" w:fill="FFFF00"/>
            <w:noWrap/>
          </w:tcPr>
          <w:p w:rsidR="001B1868" w:rsidRPr="00FE4491" w:rsidRDefault="001B1868" w:rsidP="00855CC4">
            <w:pPr>
              <w:pStyle w:val="TableTextEntries"/>
              <w:jc w:val="center"/>
            </w:pPr>
            <w:r>
              <w:t>4</w:t>
            </w:r>
          </w:p>
        </w:tc>
        <w:tc>
          <w:tcPr>
            <w:tcW w:w="372" w:type="pct"/>
            <w:shd w:val="clear" w:color="auto" w:fill="F79646" w:themeFill="accent6"/>
            <w:noWrap/>
          </w:tcPr>
          <w:p w:rsidR="001B1868" w:rsidRPr="00FE4491" w:rsidRDefault="001B1868" w:rsidP="00855CC4">
            <w:pPr>
              <w:pStyle w:val="TableTextEntries"/>
              <w:jc w:val="center"/>
            </w:pPr>
            <w:r>
              <w:t>3</w:t>
            </w:r>
          </w:p>
        </w:tc>
        <w:tc>
          <w:tcPr>
            <w:tcW w:w="378" w:type="pct"/>
            <w:shd w:val="clear" w:color="auto" w:fill="FFFF00"/>
            <w:noWrap/>
          </w:tcPr>
          <w:p w:rsidR="001B1868" w:rsidRPr="00FE4491" w:rsidRDefault="001B1868" w:rsidP="00855CC4">
            <w:pPr>
              <w:pStyle w:val="TableTextEntries"/>
              <w:jc w:val="center"/>
            </w:pPr>
            <w:r>
              <w:t>4</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tcPr>
          <w:p w:rsidR="001B1868" w:rsidRPr="002B51BC" w:rsidRDefault="001B1868" w:rsidP="00855CC4">
            <w:pPr>
              <w:pStyle w:val="TableTextEntries"/>
            </w:pPr>
          </w:p>
        </w:tc>
        <w:tc>
          <w:tcPr>
            <w:tcW w:w="682" w:type="pct"/>
          </w:tcPr>
          <w:p w:rsidR="001B1868" w:rsidRPr="00FE4491" w:rsidRDefault="001B1868" w:rsidP="00855CC4">
            <w:pPr>
              <w:pStyle w:val="TableTextEntries"/>
            </w:pPr>
          </w:p>
        </w:tc>
        <w:tc>
          <w:tcPr>
            <w:tcW w:w="935" w:type="pct"/>
          </w:tcPr>
          <w:p w:rsidR="001B1868" w:rsidRPr="00FE4491" w:rsidRDefault="001B1868" w:rsidP="00855CC4">
            <w:pPr>
              <w:pStyle w:val="TableTextEntries"/>
            </w:pPr>
            <w:r>
              <w:t>2012</w:t>
            </w:r>
          </w:p>
        </w:tc>
        <w:tc>
          <w:tcPr>
            <w:tcW w:w="393" w:type="pct"/>
            <w:shd w:val="clear" w:color="auto" w:fill="FFFF00"/>
            <w:noWrap/>
          </w:tcPr>
          <w:p w:rsidR="001B1868" w:rsidRPr="00FE4491" w:rsidRDefault="001B1868" w:rsidP="00855CC4">
            <w:pPr>
              <w:pStyle w:val="TableTextEntries"/>
              <w:jc w:val="center"/>
            </w:pPr>
            <w:r>
              <w:t>4</w:t>
            </w:r>
          </w:p>
        </w:tc>
        <w:tc>
          <w:tcPr>
            <w:tcW w:w="383" w:type="pct"/>
            <w:shd w:val="clear" w:color="auto" w:fill="FFFF00"/>
            <w:noWrap/>
          </w:tcPr>
          <w:p w:rsidR="001B1868" w:rsidRPr="00FE4491" w:rsidRDefault="001B1868" w:rsidP="00855CC4">
            <w:pPr>
              <w:pStyle w:val="TableTextEntries"/>
              <w:jc w:val="center"/>
            </w:pPr>
            <w:r>
              <w:t>4</w:t>
            </w:r>
          </w:p>
        </w:tc>
        <w:tc>
          <w:tcPr>
            <w:tcW w:w="383" w:type="pct"/>
            <w:shd w:val="clear" w:color="auto" w:fill="FFFF00"/>
            <w:noWrap/>
          </w:tcPr>
          <w:p w:rsidR="001B1868" w:rsidRPr="00FE4491" w:rsidRDefault="001B1868" w:rsidP="00855CC4">
            <w:pPr>
              <w:pStyle w:val="TableTextEntries"/>
              <w:jc w:val="center"/>
            </w:pPr>
            <w:r>
              <w:t>4</w:t>
            </w:r>
          </w:p>
        </w:tc>
        <w:tc>
          <w:tcPr>
            <w:tcW w:w="416" w:type="pct"/>
            <w:shd w:val="clear" w:color="auto" w:fill="FFFF00"/>
            <w:noWrap/>
          </w:tcPr>
          <w:p w:rsidR="001B1868" w:rsidRPr="00FE4491" w:rsidRDefault="001B1868" w:rsidP="00855CC4">
            <w:pPr>
              <w:pStyle w:val="TableTextEntries"/>
              <w:jc w:val="center"/>
            </w:pPr>
            <w:r>
              <w:t>4</w:t>
            </w:r>
          </w:p>
        </w:tc>
        <w:tc>
          <w:tcPr>
            <w:tcW w:w="372" w:type="pct"/>
            <w:shd w:val="clear" w:color="auto" w:fill="F79646" w:themeFill="accent6"/>
            <w:noWrap/>
          </w:tcPr>
          <w:p w:rsidR="001B1868" w:rsidRPr="00FE4491" w:rsidRDefault="001B1868" w:rsidP="00855CC4">
            <w:pPr>
              <w:pStyle w:val="TableTextEntries"/>
              <w:jc w:val="center"/>
            </w:pPr>
            <w:r>
              <w:t>3</w:t>
            </w:r>
          </w:p>
        </w:tc>
        <w:tc>
          <w:tcPr>
            <w:tcW w:w="378" w:type="pct"/>
            <w:shd w:val="clear" w:color="auto" w:fill="FFFF00"/>
            <w:noWrap/>
          </w:tcPr>
          <w:p w:rsidR="001B1868" w:rsidRPr="00FE4491" w:rsidRDefault="001B1868" w:rsidP="00855CC4">
            <w:pPr>
              <w:pStyle w:val="TableTextEntries"/>
              <w:jc w:val="center"/>
            </w:pPr>
            <w:r>
              <w:t>4</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tcPr>
          <w:p w:rsidR="006A6E2D" w:rsidRPr="002B51BC" w:rsidRDefault="006A6E2D" w:rsidP="00855CC4">
            <w:pPr>
              <w:pStyle w:val="TableTextEntries"/>
            </w:pPr>
            <w:r>
              <w:t>Australian Development Awards East Timor</w:t>
            </w:r>
          </w:p>
        </w:tc>
        <w:tc>
          <w:tcPr>
            <w:tcW w:w="682" w:type="pct"/>
            <w:vMerge w:val="restart"/>
          </w:tcPr>
          <w:p w:rsidR="006A6E2D" w:rsidRPr="00FE4491" w:rsidRDefault="006A6E2D" w:rsidP="00855CC4">
            <w:pPr>
              <w:pStyle w:val="TableTextEntries"/>
            </w:pPr>
            <w:r>
              <w:t>01/01/2010 – 30/06/2017 $10,917,803*</w:t>
            </w:r>
          </w:p>
        </w:tc>
        <w:tc>
          <w:tcPr>
            <w:tcW w:w="935" w:type="pct"/>
          </w:tcPr>
          <w:p w:rsidR="006A6E2D" w:rsidRPr="00FE4491" w:rsidRDefault="006A6E2D" w:rsidP="00855CC4">
            <w:pPr>
              <w:pStyle w:val="TableTextEntries"/>
            </w:pPr>
            <w:r>
              <w:t>2013</w:t>
            </w:r>
          </w:p>
        </w:tc>
        <w:tc>
          <w:tcPr>
            <w:tcW w:w="393" w:type="pct"/>
            <w:shd w:val="clear" w:color="auto" w:fill="FFFF00"/>
            <w:noWrap/>
          </w:tcPr>
          <w:p w:rsidR="006A6E2D" w:rsidRPr="00FE4491" w:rsidRDefault="006A6E2D" w:rsidP="00855CC4">
            <w:pPr>
              <w:pStyle w:val="TableTextEntries"/>
              <w:jc w:val="center"/>
            </w:pPr>
            <w:r>
              <w:t>4</w:t>
            </w:r>
          </w:p>
        </w:tc>
        <w:tc>
          <w:tcPr>
            <w:tcW w:w="383" w:type="pct"/>
            <w:shd w:val="clear" w:color="auto" w:fill="FFFF00"/>
            <w:noWrap/>
          </w:tcPr>
          <w:p w:rsidR="006A6E2D" w:rsidRPr="00FE4491" w:rsidRDefault="006A6E2D" w:rsidP="00855CC4">
            <w:pPr>
              <w:pStyle w:val="TableTextEntries"/>
              <w:jc w:val="center"/>
            </w:pPr>
            <w:r>
              <w:t>4</w:t>
            </w:r>
          </w:p>
        </w:tc>
        <w:tc>
          <w:tcPr>
            <w:tcW w:w="383" w:type="pct"/>
            <w:shd w:val="clear" w:color="auto" w:fill="FFFF00"/>
            <w:noWrap/>
          </w:tcPr>
          <w:p w:rsidR="006A6E2D" w:rsidRPr="00FE4491" w:rsidRDefault="006A6E2D" w:rsidP="00855CC4">
            <w:pPr>
              <w:pStyle w:val="TableTextEntries"/>
              <w:jc w:val="center"/>
            </w:pPr>
            <w:r>
              <w:t>4</w:t>
            </w:r>
          </w:p>
        </w:tc>
        <w:tc>
          <w:tcPr>
            <w:tcW w:w="416" w:type="pct"/>
            <w:shd w:val="clear" w:color="auto" w:fill="FFFF00"/>
            <w:noWrap/>
          </w:tcPr>
          <w:p w:rsidR="006A6E2D" w:rsidRPr="00FE4491" w:rsidRDefault="006A6E2D" w:rsidP="00855CC4">
            <w:pPr>
              <w:pStyle w:val="TableTextEntries"/>
              <w:jc w:val="center"/>
            </w:pPr>
            <w:r>
              <w:t>4</w:t>
            </w:r>
          </w:p>
        </w:tc>
        <w:tc>
          <w:tcPr>
            <w:tcW w:w="372" w:type="pct"/>
            <w:shd w:val="clear" w:color="auto" w:fill="FFFF00"/>
            <w:noWrap/>
          </w:tcPr>
          <w:p w:rsidR="006A6E2D" w:rsidRPr="00FE4491" w:rsidRDefault="006A6E2D" w:rsidP="00855CC4">
            <w:pPr>
              <w:pStyle w:val="TableTextEntries"/>
              <w:jc w:val="center"/>
            </w:pPr>
            <w:r>
              <w:t>4</w:t>
            </w:r>
          </w:p>
        </w:tc>
        <w:tc>
          <w:tcPr>
            <w:tcW w:w="378" w:type="pct"/>
            <w:shd w:val="clear" w:color="auto" w:fill="FFFF00"/>
            <w:noWrap/>
          </w:tcPr>
          <w:p w:rsidR="006A6E2D" w:rsidRPr="00FE4491" w:rsidRDefault="006A6E2D" w:rsidP="00855CC4">
            <w:pPr>
              <w:pStyle w:val="TableTextEntries"/>
              <w:jc w:val="center"/>
            </w:pPr>
            <w:r>
              <w:t>4</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tcPr>
          <w:p w:rsidR="006A6E2D" w:rsidRDefault="006A6E2D" w:rsidP="00855CC4">
            <w:pPr>
              <w:pStyle w:val="TableTextEntries"/>
            </w:pPr>
          </w:p>
        </w:tc>
        <w:tc>
          <w:tcPr>
            <w:tcW w:w="682" w:type="pct"/>
            <w:vMerge/>
          </w:tcPr>
          <w:p w:rsidR="006A6E2D" w:rsidRPr="00FE4491" w:rsidRDefault="006A6E2D" w:rsidP="00855CC4">
            <w:pPr>
              <w:pStyle w:val="TableTextEntries"/>
            </w:pPr>
          </w:p>
        </w:tc>
        <w:tc>
          <w:tcPr>
            <w:tcW w:w="935" w:type="pct"/>
          </w:tcPr>
          <w:p w:rsidR="006A6E2D" w:rsidRPr="00FE4491" w:rsidRDefault="006A6E2D" w:rsidP="00855CC4">
            <w:pPr>
              <w:pStyle w:val="TableTextEntries"/>
            </w:pPr>
            <w:r>
              <w:t>2012</w:t>
            </w:r>
          </w:p>
        </w:tc>
        <w:tc>
          <w:tcPr>
            <w:tcW w:w="393" w:type="pct"/>
            <w:shd w:val="clear" w:color="auto" w:fill="FFFF00"/>
            <w:noWrap/>
          </w:tcPr>
          <w:p w:rsidR="006A6E2D" w:rsidRPr="00FE4491" w:rsidRDefault="006A6E2D" w:rsidP="00855CC4">
            <w:pPr>
              <w:pStyle w:val="TableTextEntries"/>
              <w:jc w:val="center"/>
            </w:pPr>
            <w:r>
              <w:t>4</w:t>
            </w:r>
          </w:p>
        </w:tc>
        <w:tc>
          <w:tcPr>
            <w:tcW w:w="383" w:type="pct"/>
            <w:shd w:val="clear" w:color="auto" w:fill="FFFF00"/>
            <w:noWrap/>
          </w:tcPr>
          <w:p w:rsidR="006A6E2D" w:rsidRPr="00FE4491" w:rsidRDefault="006A6E2D" w:rsidP="00855CC4">
            <w:pPr>
              <w:pStyle w:val="TableTextEntries"/>
              <w:jc w:val="center"/>
            </w:pPr>
            <w:r>
              <w:t>4</w:t>
            </w:r>
          </w:p>
        </w:tc>
        <w:tc>
          <w:tcPr>
            <w:tcW w:w="383" w:type="pct"/>
            <w:shd w:val="clear" w:color="auto" w:fill="FFFF00"/>
            <w:noWrap/>
          </w:tcPr>
          <w:p w:rsidR="006A6E2D" w:rsidRPr="00FE4491" w:rsidRDefault="006A6E2D" w:rsidP="00855CC4">
            <w:pPr>
              <w:pStyle w:val="TableTextEntries"/>
              <w:jc w:val="center"/>
            </w:pPr>
            <w:r>
              <w:t>4</w:t>
            </w:r>
          </w:p>
        </w:tc>
        <w:tc>
          <w:tcPr>
            <w:tcW w:w="416" w:type="pct"/>
            <w:shd w:val="clear" w:color="auto" w:fill="FFFF00"/>
            <w:noWrap/>
          </w:tcPr>
          <w:p w:rsidR="006A6E2D" w:rsidRPr="00FE4491" w:rsidRDefault="006A6E2D" w:rsidP="00855CC4">
            <w:pPr>
              <w:pStyle w:val="TableTextEntries"/>
              <w:jc w:val="center"/>
            </w:pPr>
            <w:r>
              <w:t>4</w:t>
            </w:r>
          </w:p>
        </w:tc>
        <w:tc>
          <w:tcPr>
            <w:tcW w:w="372" w:type="pct"/>
            <w:shd w:val="clear" w:color="auto" w:fill="FFFF00"/>
            <w:noWrap/>
          </w:tcPr>
          <w:p w:rsidR="006A6E2D" w:rsidRPr="00FE4491" w:rsidRDefault="006A6E2D" w:rsidP="00855CC4">
            <w:pPr>
              <w:pStyle w:val="TableTextEntries"/>
              <w:jc w:val="center"/>
            </w:pPr>
            <w:r>
              <w:t>4</w:t>
            </w:r>
          </w:p>
        </w:tc>
        <w:tc>
          <w:tcPr>
            <w:tcW w:w="378" w:type="pct"/>
            <w:shd w:val="clear" w:color="auto" w:fill="FFFF00"/>
            <w:noWrap/>
          </w:tcPr>
          <w:p w:rsidR="006A6E2D" w:rsidRPr="00FE4491" w:rsidRDefault="006A6E2D" w:rsidP="00855CC4">
            <w:pPr>
              <w:pStyle w:val="TableTextEntries"/>
              <w:jc w:val="center"/>
            </w:pPr>
            <w:r>
              <w:t>4</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tcPr>
          <w:p w:rsidR="001B1868" w:rsidRPr="002B51BC" w:rsidRDefault="001B1868" w:rsidP="00855CC4">
            <w:pPr>
              <w:pStyle w:val="TableTextEntries"/>
            </w:pPr>
            <w:r w:rsidRPr="00DF35FA">
              <w:rPr>
                <w:rFonts w:eastAsia="SimSun"/>
                <w:b/>
              </w:rPr>
              <w:t>Objective 5: Health</w:t>
            </w:r>
          </w:p>
        </w:tc>
        <w:tc>
          <w:tcPr>
            <w:tcW w:w="682" w:type="pct"/>
          </w:tcPr>
          <w:p w:rsidR="001B1868" w:rsidRPr="00FE4491" w:rsidRDefault="001B1868" w:rsidP="00855CC4">
            <w:pPr>
              <w:pStyle w:val="TableTextEntries"/>
            </w:pPr>
          </w:p>
        </w:tc>
        <w:tc>
          <w:tcPr>
            <w:tcW w:w="935" w:type="pct"/>
          </w:tcPr>
          <w:p w:rsidR="001B1868" w:rsidRPr="00FE4491" w:rsidRDefault="001B1868" w:rsidP="00855CC4">
            <w:pPr>
              <w:pStyle w:val="TableTextEntries"/>
            </w:pPr>
          </w:p>
        </w:tc>
        <w:tc>
          <w:tcPr>
            <w:tcW w:w="393" w:type="pct"/>
            <w:noWrap/>
          </w:tcPr>
          <w:p w:rsidR="001B1868" w:rsidRPr="00FE4491" w:rsidRDefault="001B1868" w:rsidP="00855CC4">
            <w:pPr>
              <w:pStyle w:val="TableTextEntries"/>
              <w:jc w:val="center"/>
            </w:pPr>
          </w:p>
        </w:tc>
        <w:tc>
          <w:tcPr>
            <w:tcW w:w="383" w:type="pct"/>
            <w:noWrap/>
          </w:tcPr>
          <w:p w:rsidR="001B1868" w:rsidRPr="00FE4491" w:rsidRDefault="001B1868" w:rsidP="00855CC4">
            <w:pPr>
              <w:pStyle w:val="TableTextEntries"/>
              <w:jc w:val="center"/>
            </w:pPr>
          </w:p>
        </w:tc>
        <w:tc>
          <w:tcPr>
            <w:tcW w:w="383" w:type="pct"/>
            <w:noWrap/>
          </w:tcPr>
          <w:p w:rsidR="001B1868" w:rsidRPr="00FE4491" w:rsidRDefault="001B1868" w:rsidP="00855CC4">
            <w:pPr>
              <w:pStyle w:val="TableTextEntries"/>
              <w:jc w:val="center"/>
            </w:pPr>
          </w:p>
        </w:tc>
        <w:tc>
          <w:tcPr>
            <w:tcW w:w="416" w:type="pct"/>
            <w:noWrap/>
          </w:tcPr>
          <w:p w:rsidR="001B1868" w:rsidRPr="00FE4491" w:rsidRDefault="001B1868" w:rsidP="00855CC4">
            <w:pPr>
              <w:pStyle w:val="TableTextEntries"/>
              <w:jc w:val="center"/>
            </w:pPr>
          </w:p>
        </w:tc>
        <w:tc>
          <w:tcPr>
            <w:tcW w:w="372" w:type="pct"/>
            <w:noWrap/>
          </w:tcPr>
          <w:p w:rsidR="001B1868" w:rsidRPr="00FE4491" w:rsidRDefault="001B1868" w:rsidP="00855CC4">
            <w:pPr>
              <w:pStyle w:val="TableTextEntries"/>
              <w:jc w:val="center"/>
            </w:pPr>
          </w:p>
        </w:tc>
        <w:tc>
          <w:tcPr>
            <w:tcW w:w="378" w:type="pct"/>
            <w:noWrap/>
          </w:tcPr>
          <w:p w:rsidR="001B1868" w:rsidRPr="00FE4491" w:rsidRDefault="001B1868" w:rsidP="00855CC4">
            <w:pPr>
              <w:pStyle w:val="TableTextEntries"/>
              <w:jc w:val="center"/>
            </w:pP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val="restart"/>
          </w:tcPr>
          <w:p w:rsidR="001B1868" w:rsidRPr="002B51BC" w:rsidRDefault="001B1868" w:rsidP="00855CC4">
            <w:pPr>
              <w:pStyle w:val="TableTextEntries"/>
            </w:pPr>
            <w:r>
              <w:lastRenderedPageBreak/>
              <w:t>Health Sector Support Program</w:t>
            </w:r>
          </w:p>
        </w:tc>
        <w:tc>
          <w:tcPr>
            <w:tcW w:w="682" w:type="pct"/>
            <w:vMerge w:val="restart"/>
          </w:tcPr>
          <w:p w:rsidR="001B1868" w:rsidRPr="00FE4491" w:rsidRDefault="006A6E2D" w:rsidP="00855CC4">
            <w:pPr>
              <w:pStyle w:val="TableTextEntries"/>
            </w:pPr>
            <w:r>
              <w:t>21/09/2011 – 15/12/2015 $1,500,000</w:t>
            </w:r>
          </w:p>
        </w:tc>
        <w:tc>
          <w:tcPr>
            <w:tcW w:w="935" w:type="pct"/>
          </w:tcPr>
          <w:p w:rsidR="001B1868" w:rsidRPr="00FE4491" w:rsidRDefault="001B1868" w:rsidP="00855CC4">
            <w:pPr>
              <w:pStyle w:val="TableTextEntries"/>
            </w:pPr>
            <w:r>
              <w:t>2013</w:t>
            </w:r>
          </w:p>
        </w:tc>
        <w:tc>
          <w:tcPr>
            <w:tcW w:w="393" w:type="pct"/>
            <w:shd w:val="clear" w:color="auto" w:fill="FFFF00"/>
            <w:noWrap/>
          </w:tcPr>
          <w:p w:rsidR="001B1868" w:rsidRPr="00FE4491" w:rsidRDefault="001B1868" w:rsidP="00855CC4">
            <w:pPr>
              <w:pStyle w:val="TableTextEntries"/>
              <w:jc w:val="center"/>
            </w:pPr>
            <w:r>
              <w:t>4</w:t>
            </w:r>
          </w:p>
        </w:tc>
        <w:tc>
          <w:tcPr>
            <w:tcW w:w="383" w:type="pct"/>
            <w:shd w:val="clear" w:color="auto" w:fill="F79646" w:themeFill="accent6"/>
            <w:noWrap/>
          </w:tcPr>
          <w:p w:rsidR="001B1868" w:rsidRPr="00FE4491" w:rsidRDefault="001B1868" w:rsidP="00855CC4">
            <w:pPr>
              <w:pStyle w:val="TableTextEntries"/>
              <w:jc w:val="center"/>
            </w:pPr>
            <w:r>
              <w:t>3</w:t>
            </w:r>
          </w:p>
        </w:tc>
        <w:tc>
          <w:tcPr>
            <w:tcW w:w="383" w:type="pct"/>
            <w:shd w:val="clear" w:color="auto" w:fill="FF0000"/>
            <w:noWrap/>
          </w:tcPr>
          <w:p w:rsidR="001B1868" w:rsidRPr="00FE4491" w:rsidRDefault="001B1868" w:rsidP="00855CC4">
            <w:pPr>
              <w:pStyle w:val="TableTextEntries"/>
              <w:jc w:val="center"/>
            </w:pPr>
            <w:r>
              <w:t>2</w:t>
            </w:r>
          </w:p>
        </w:tc>
        <w:tc>
          <w:tcPr>
            <w:tcW w:w="416" w:type="pct"/>
            <w:shd w:val="clear" w:color="auto" w:fill="F79646" w:themeFill="accent6"/>
            <w:noWrap/>
          </w:tcPr>
          <w:p w:rsidR="001B1868" w:rsidRPr="00FE4491" w:rsidRDefault="001B1868" w:rsidP="00855CC4">
            <w:pPr>
              <w:pStyle w:val="TableTextEntries"/>
              <w:jc w:val="center"/>
            </w:pPr>
            <w:r>
              <w:t>3</w:t>
            </w:r>
          </w:p>
        </w:tc>
        <w:tc>
          <w:tcPr>
            <w:tcW w:w="372" w:type="pct"/>
            <w:shd w:val="clear" w:color="auto" w:fill="F79646" w:themeFill="accent6"/>
            <w:noWrap/>
          </w:tcPr>
          <w:p w:rsidR="001B1868" w:rsidRPr="00FE4491" w:rsidRDefault="001B1868" w:rsidP="00855CC4">
            <w:pPr>
              <w:pStyle w:val="TableTextEntries"/>
              <w:jc w:val="center"/>
            </w:pPr>
            <w:r>
              <w:t>3</w:t>
            </w:r>
          </w:p>
        </w:tc>
        <w:tc>
          <w:tcPr>
            <w:tcW w:w="378" w:type="pct"/>
            <w:shd w:val="clear" w:color="auto" w:fill="F79646" w:themeFill="accent6"/>
            <w:noWrap/>
          </w:tcPr>
          <w:p w:rsidR="001B1868" w:rsidRPr="00FE4491" w:rsidRDefault="001B1868" w:rsidP="00855CC4">
            <w:pPr>
              <w:pStyle w:val="TableTextEntries"/>
              <w:jc w:val="center"/>
            </w:pPr>
            <w:r>
              <w:t>3</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tcPr>
          <w:p w:rsidR="001B1868" w:rsidRDefault="001B1868" w:rsidP="00855CC4">
            <w:pPr>
              <w:pStyle w:val="TableTextEntries"/>
            </w:pPr>
          </w:p>
        </w:tc>
        <w:tc>
          <w:tcPr>
            <w:tcW w:w="682" w:type="pct"/>
            <w:vMerge/>
          </w:tcPr>
          <w:p w:rsidR="001B1868" w:rsidRPr="00FE4491" w:rsidRDefault="001B1868" w:rsidP="00855CC4">
            <w:pPr>
              <w:pStyle w:val="TableTextEntries"/>
            </w:pPr>
          </w:p>
        </w:tc>
        <w:tc>
          <w:tcPr>
            <w:tcW w:w="935" w:type="pct"/>
          </w:tcPr>
          <w:p w:rsidR="001B1868" w:rsidRPr="00FE4491" w:rsidRDefault="001B1868" w:rsidP="00855CC4">
            <w:pPr>
              <w:pStyle w:val="TableTextEntries"/>
            </w:pPr>
            <w:r>
              <w:t>2012</w:t>
            </w:r>
          </w:p>
        </w:tc>
        <w:tc>
          <w:tcPr>
            <w:tcW w:w="393" w:type="pct"/>
            <w:shd w:val="clear" w:color="auto" w:fill="FFFF00"/>
            <w:noWrap/>
          </w:tcPr>
          <w:p w:rsidR="001B1868" w:rsidRPr="00FE4491" w:rsidRDefault="001B1868" w:rsidP="00855CC4">
            <w:pPr>
              <w:pStyle w:val="TableTextEntries"/>
              <w:jc w:val="center"/>
            </w:pPr>
            <w:r>
              <w:t>4</w:t>
            </w:r>
          </w:p>
        </w:tc>
        <w:tc>
          <w:tcPr>
            <w:tcW w:w="383" w:type="pct"/>
            <w:shd w:val="clear" w:color="auto" w:fill="F79646" w:themeFill="accent6"/>
            <w:noWrap/>
          </w:tcPr>
          <w:p w:rsidR="001B1868" w:rsidRPr="00FE4491" w:rsidRDefault="001B1868" w:rsidP="00855CC4">
            <w:pPr>
              <w:pStyle w:val="TableTextEntries"/>
              <w:jc w:val="center"/>
            </w:pPr>
            <w:r>
              <w:t>3</w:t>
            </w:r>
          </w:p>
        </w:tc>
        <w:tc>
          <w:tcPr>
            <w:tcW w:w="383" w:type="pct"/>
            <w:shd w:val="clear" w:color="auto" w:fill="FFFF00"/>
            <w:noWrap/>
          </w:tcPr>
          <w:p w:rsidR="001B1868" w:rsidRPr="00FE4491" w:rsidRDefault="001B1868" w:rsidP="00855CC4">
            <w:pPr>
              <w:pStyle w:val="TableTextEntries"/>
              <w:jc w:val="center"/>
            </w:pPr>
            <w:r>
              <w:t>4</w:t>
            </w:r>
          </w:p>
        </w:tc>
        <w:tc>
          <w:tcPr>
            <w:tcW w:w="416" w:type="pct"/>
            <w:shd w:val="clear" w:color="auto" w:fill="F79646" w:themeFill="accent6"/>
            <w:noWrap/>
          </w:tcPr>
          <w:p w:rsidR="001B1868" w:rsidRPr="00FE4491" w:rsidRDefault="001B1868" w:rsidP="00855CC4">
            <w:pPr>
              <w:pStyle w:val="TableTextEntries"/>
              <w:jc w:val="center"/>
            </w:pPr>
            <w:r>
              <w:t>3</w:t>
            </w:r>
          </w:p>
        </w:tc>
        <w:tc>
          <w:tcPr>
            <w:tcW w:w="372" w:type="pct"/>
            <w:shd w:val="clear" w:color="auto" w:fill="FFFF00"/>
            <w:noWrap/>
          </w:tcPr>
          <w:p w:rsidR="001B1868" w:rsidRPr="00FE4491" w:rsidRDefault="001B1868" w:rsidP="00855CC4">
            <w:pPr>
              <w:pStyle w:val="TableTextEntries"/>
              <w:jc w:val="center"/>
            </w:pPr>
            <w:r>
              <w:t>4</w:t>
            </w:r>
          </w:p>
        </w:tc>
        <w:tc>
          <w:tcPr>
            <w:tcW w:w="378" w:type="pct"/>
            <w:shd w:val="clear" w:color="auto" w:fill="F79646" w:themeFill="accent6"/>
            <w:noWrap/>
          </w:tcPr>
          <w:p w:rsidR="001B1868" w:rsidRPr="00FE4491" w:rsidRDefault="001B1868" w:rsidP="00855CC4">
            <w:pPr>
              <w:pStyle w:val="TableTextEntries"/>
              <w:jc w:val="center"/>
            </w:pPr>
            <w:r>
              <w:t>3</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val="restart"/>
          </w:tcPr>
          <w:p w:rsidR="001B1868" w:rsidRPr="002B51BC" w:rsidRDefault="001B1868" w:rsidP="00855CC4">
            <w:pPr>
              <w:pStyle w:val="TableTextEntries"/>
            </w:pPr>
            <w:r>
              <w:t>Family Planning and Reproductive Health Services</w:t>
            </w:r>
          </w:p>
        </w:tc>
        <w:tc>
          <w:tcPr>
            <w:tcW w:w="682" w:type="pct"/>
            <w:vMerge w:val="restart"/>
          </w:tcPr>
          <w:p w:rsidR="001B1868" w:rsidRPr="00FE4491" w:rsidRDefault="006A6E2D" w:rsidP="00855CC4">
            <w:pPr>
              <w:pStyle w:val="TableTextEntries"/>
            </w:pPr>
            <w:r>
              <w:t>01/12/2009 – 31/03/2015 $17,613,520</w:t>
            </w:r>
          </w:p>
        </w:tc>
        <w:tc>
          <w:tcPr>
            <w:tcW w:w="935" w:type="pct"/>
          </w:tcPr>
          <w:p w:rsidR="001B1868" w:rsidRPr="00FE4491" w:rsidRDefault="001B1868" w:rsidP="00855CC4">
            <w:pPr>
              <w:pStyle w:val="TableTextEntries"/>
            </w:pPr>
            <w:r>
              <w:t>2013</w:t>
            </w:r>
          </w:p>
        </w:tc>
        <w:tc>
          <w:tcPr>
            <w:tcW w:w="393" w:type="pct"/>
            <w:shd w:val="clear" w:color="auto" w:fill="9BBB59" w:themeFill="accent3"/>
            <w:noWrap/>
          </w:tcPr>
          <w:p w:rsidR="001B1868" w:rsidRPr="00FE4491" w:rsidRDefault="001B1868" w:rsidP="00855CC4">
            <w:pPr>
              <w:pStyle w:val="TableTextEntries"/>
              <w:jc w:val="center"/>
            </w:pPr>
            <w:r>
              <w:t>5</w:t>
            </w:r>
          </w:p>
        </w:tc>
        <w:tc>
          <w:tcPr>
            <w:tcW w:w="383" w:type="pct"/>
            <w:shd w:val="clear" w:color="auto" w:fill="9BBB59" w:themeFill="accent3"/>
            <w:noWrap/>
          </w:tcPr>
          <w:p w:rsidR="001B1868" w:rsidRPr="00FE4491" w:rsidRDefault="001B1868" w:rsidP="00855CC4">
            <w:pPr>
              <w:pStyle w:val="TableTextEntries"/>
              <w:jc w:val="center"/>
            </w:pPr>
            <w:r>
              <w:t>5</w:t>
            </w:r>
          </w:p>
        </w:tc>
        <w:tc>
          <w:tcPr>
            <w:tcW w:w="383" w:type="pct"/>
            <w:shd w:val="clear" w:color="auto" w:fill="9BBB59" w:themeFill="accent3"/>
            <w:noWrap/>
          </w:tcPr>
          <w:p w:rsidR="001B1868" w:rsidRPr="00FE4491" w:rsidRDefault="001B1868" w:rsidP="00855CC4">
            <w:pPr>
              <w:pStyle w:val="TableTextEntries"/>
              <w:jc w:val="center"/>
            </w:pPr>
            <w:r>
              <w:t>5</w:t>
            </w:r>
          </w:p>
        </w:tc>
        <w:tc>
          <w:tcPr>
            <w:tcW w:w="416" w:type="pct"/>
            <w:shd w:val="clear" w:color="auto" w:fill="FFFF00"/>
            <w:noWrap/>
          </w:tcPr>
          <w:p w:rsidR="001B1868" w:rsidRPr="00FE4491" w:rsidRDefault="001B1868" w:rsidP="00855CC4">
            <w:pPr>
              <w:pStyle w:val="TableTextEntries"/>
              <w:jc w:val="center"/>
            </w:pPr>
            <w:r>
              <w:t>4</w:t>
            </w:r>
          </w:p>
        </w:tc>
        <w:tc>
          <w:tcPr>
            <w:tcW w:w="372" w:type="pct"/>
            <w:shd w:val="clear" w:color="auto" w:fill="F79646" w:themeFill="accent6"/>
            <w:noWrap/>
          </w:tcPr>
          <w:p w:rsidR="001B1868" w:rsidRPr="00FE4491" w:rsidRDefault="001B1868" w:rsidP="00855CC4">
            <w:pPr>
              <w:pStyle w:val="TableTextEntries"/>
              <w:jc w:val="center"/>
            </w:pPr>
            <w:r>
              <w:t>3</w:t>
            </w:r>
          </w:p>
        </w:tc>
        <w:tc>
          <w:tcPr>
            <w:tcW w:w="378" w:type="pct"/>
            <w:shd w:val="clear" w:color="auto" w:fill="9BBB59" w:themeFill="accent3"/>
            <w:noWrap/>
          </w:tcPr>
          <w:p w:rsidR="001B1868" w:rsidRPr="00FE4491" w:rsidRDefault="001B1868" w:rsidP="00855CC4">
            <w:pPr>
              <w:pStyle w:val="TableTextEntries"/>
              <w:jc w:val="center"/>
            </w:pPr>
            <w:r>
              <w:t>5</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tcPr>
          <w:p w:rsidR="001B1868" w:rsidRDefault="001B1868" w:rsidP="00855CC4">
            <w:pPr>
              <w:pStyle w:val="TableTextEntries"/>
            </w:pPr>
          </w:p>
        </w:tc>
        <w:tc>
          <w:tcPr>
            <w:tcW w:w="682" w:type="pct"/>
            <w:vMerge/>
          </w:tcPr>
          <w:p w:rsidR="001B1868" w:rsidRPr="00FE4491" w:rsidRDefault="001B1868" w:rsidP="00855CC4">
            <w:pPr>
              <w:pStyle w:val="TableTextEntries"/>
            </w:pPr>
          </w:p>
        </w:tc>
        <w:tc>
          <w:tcPr>
            <w:tcW w:w="935" w:type="pct"/>
          </w:tcPr>
          <w:p w:rsidR="001B1868" w:rsidRPr="00FE4491" w:rsidRDefault="001B1868" w:rsidP="00855CC4">
            <w:pPr>
              <w:pStyle w:val="TableTextEntries"/>
            </w:pPr>
            <w:r>
              <w:t>2012</w:t>
            </w:r>
          </w:p>
        </w:tc>
        <w:tc>
          <w:tcPr>
            <w:tcW w:w="393" w:type="pct"/>
            <w:shd w:val="clear" w:color="auto" w:fill="9BBB59" w:themeFill="accent3"/>
            <w:noWrap/>
          </w:tcPr>
          <w:p w:rsidR="001B1868" w:rsidRPr="00FE4491" w:rsidRDefault="001B1868" w:rsidP="00855CC4">
            <w:pPr>
              <w:pStyle w:val="TableTextEntries"/>
              <w:jc w:val="center"/>
            </w:pPr>
            <w:r>
              <w:t>5</w:t>
            </w:r>
          </w:p>
        </w:tc>
        <w:tc>
          <w:tcPr>
            <w:tcW w:w="383" w:type="pct"/>
            <w:shd w:val="clear" w:color="auto" w:fill="FFFF00"/>
            <w:noWrap/>
          </w:tcPr>
          <w:p w:rsidR="001B1868" w:rsidRPr="00FE4491" w:rsidRDefault="001B1868" w:rsidP="00855CC4">
            <w:pPr>
              <w:pStyle w:val="TableTextEntries"/>
              <w:jc w:val="center"/>
            </w:pPr>
            <w:r>
              <w:t>4</w:t>
            </w:r>
          </w:p>
        </w:tc>
        <w:tc>
          <w:tcPr>
            <w:tcW w:w="383" w:type="pct"/>
            <w:shd w:val="clear" w:color="auto" w:fill="FFFF00"/>
            <w:noWrap/>
          </w:tcPr>
          <w:p w:rsidR="001B1868" w:rsidRPr="00FE4491" w:rsidRDefault="001B1868" w:rsidP="00855CC4">
            <w:pPr>
              <w:pStyle w:val="TableTextEntries"/>
              <w:jc w:val="center"/>
            </w:pPr>
            <w:r>
              <w:t>4</w:t>
            </w:r>
          </w:p>
        </w:tc>
        <w:tc>
          <w:tcPr>
            <w:tcW w:w="416" w:type="pct"/>
            <w:shd w:val="clear" w:color="auto" w:fill="FFFF00"/>
            <w:noWrap/>
          </w:tcPr>
          <w:p w:rsidR="001B1868" w:rsidRPr="00FE4491" w:rsidRDefault="001B1868" w:rsidP="00855CC4">
            <w:pPr>
              <w:pStyle w:val="TableTextEntries"/>
              <w:jc w:val="center"/>
            </w:pPr>
            <w:r>
              <w:t>4</w:t>
            </w:r>
          </w:p>
        </w:tc>
        <w:tc>
          <w:tcPr>
            <w:tcW w:w="372" w:type="pct"/>
            <w:shd w:val="clear" w:color="auto" w:fill="F79646" w:themeFill="accent6"/>
            <w:noWrap/>
          </w:tcPr>
          <w:p w:rsidR="001B1868" w:rsidRPr="00FE4491" w:rsidRDefault="001B1868" w:rsidP="00855CC4">
            <w:pPr>
              <w:pStyle w:val="TableTextEntries"/>
              <w:jc w:val="center"/>
            </w:pPr>
            <w:r>
              <w:t>3</w:t>
            </w:r>
          </w:p>
        </w:tc>
        <w:tc>
          <w:tcPr>
            <w:tcW w:w="378" w:type="pct"/>
            <w:shd w:val="clear" w:color="auto" w:fill="9BBB59" w:themeFill="accent3"/>
            <w:noWrap/>
          </w:tcPr>
          <w:p w:rsidR="001B1868" w:rsidRPr="00FE4491" w:rsidRDefault="001B1868" w:rsidP="00855CC4">
            <w:pPr>
              <w:pStyle w:val="TableTextEntries"/>
              <w:jc w:val="center"/>
            </w:pPr>
            <w:r>
              <w:t>5</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val="restart"/>
          </w:tcPr>
          <w:p w:rsidR="001B1868" w:rsidRDefault="001B1868" w:rsidP="00855CC4">
            <w:pPr>
              <w:pStyle w:val="TableTextEntries"/>
            </w:pPr>
            <w:r w:rsidRPr="002B51BC">
              <w:t>ATLASS</w:t>
            </w:r>
            <w:r>
              <w:t xml:space="preserve"> Phase II</w:t>
            </w:r>
            <w:r w:rsidRPr="002B51BC">
              <w:t xml:space="preserve"> - Specialised Medical Services Program</w:t>
            </w:r>
            <w:r>
              <w:t xml:space="preserve"> </w:t>
            </w:r>
          </w:p>
        </w:tc>
        <w:tc>
          <w:tcPr>
            <w:tcW w:w="682" w:type="pct"/>
            <w:vMerge w:val="restart"/>
          </w:tcPr>
          <w:p w:rsidR="001B1868" w:rsidRPr="00FE4491" w:rsidRDefault="006A6E2D" w:rsidP="00855CC4">
            <w:pPr>
              <w:pStyle w:val="TableTextEntries"/>
            </w:pPr>
            <w:r>
              <w:t>01/04/2012 – 30/06/2016 $8,950,000</w:t>
            </w:r>
          </w:p>
        </w:tc>
        <w:tc>
          <w:tcPr>
            <w:tcW w:w="935" w:type="pct"/>
          </w:tcPr>
          <w:p w:rsidR="001B1868" w:rsidRPr="00FE4491" w:rsidRDefault="001B1868" w:rsidP="00855CC4">
            <w:pPr>
              <w:pStyle w:val="TableTextEntries"/>
            </w:pPr>
            <w:r>
              <w:t>2013</w:t>
            </w:r>
          </w:p>
        </w:tc>
        <w:tc>
          <w:tcPr>
            <w:tcW w:w="393" w:type="pct"/>
            <w:shd w:val="clear" w:color="auto" w:fill="F79646" w:themeFill="accent6"/>
            <w:noWrap/>
          </w:tcPr>
          <w:p w:rsidR="001B1868" w:rsidRPr="00FE4491" w:rsidRDefault="001B1868" w:rsidP="00855CC4">
            <w:pPr>
              <w:pStyle w:val="TableTextEntries"/>
              <w:jc w:val="center"/>
            </w:pPr>
            <w:r>
              <w:t>3</w:t>
            </w:r>
          </w:p>
        </w:tc>
        <w:tc>
          <w:tcPr>
            <w:tcW w:w="383" w:type="pct"/>
            <w:shd w:val="clear" w:color="auto" w:fill="FFFF00"/>
            <w:noWrap/>
          </w:tcPr>
          <w:p w:rsidR="001B1868" w:rsidRPr="00FE4491" w:rsidRDefault="001B1868" w:rsidP="00855CC4">
            <w:pPr>
              <w:pStyle w:val="TableTextEntries"/>
              <w:jc w:val="center"/>
            </w:pPr>
            <w:r>
              <w:t>4</w:t>
            </w:r>
          </w:p>
        </w:tc>
        <w:tc>
          <w:tcPr>
            <w:tcW w:w="383" w:type="pct"/>
            <w:shd w:val="clear" w:color="auto" w:fill="F79646" w:themeFill="accent6"/>
            <w:noWrap/>
          </w:tcPr>
          <w:p w:rsidR="001B1868" w:rsidRPr="00FE4491" w:rsidRDefault="001B1868" w:rsidP="00855CC4">
            <w:pPr>
              <w:pStyle w:val="TableTextEntries"/>
              <w:jc w:val="center"/>
            </w:pPr>
            <w:r>
              <w:t>3</w:t>
            </w:r>
          </w:p>
        </w:tc>
        <w:tc>
          <w:tcPr>
            <w:tcW w:w="416" w:type="pct"/>
            <w:shd w:val="clear" w:color="auto" w:fill="9BBB59" w:themeFill="accent3"/>
            <w:noWrap/>
          </w:tcPr>
          <w:p w:rsidR="001B1868" w:rsidRPr="00FE4491" w:rsidRDefault="001B1868" w:rsidP="00855CC4">
            <w:pPr>
              <w:pStyle w:val="TableTextEntries"/>
              <w:jc w:val="center"/>
            </w:pPr>
            <w:r>
              <w:t>5</w:t>
            </w:r>
          </w:p>
        </w:tc>
        <w:tc>
          <w:tcPr>
            <w:tcW w:w="372" w:type="pct"/>
            <w:shd w:val="clear" w:color="auto" w:fill="F79646" w:themeFill="accent6"/>
            <w:noWrap/>
          </w:tcPr>
          <w:p w:rsidR="001B1868" w:rsidRPr="00FE4491" w:rsidRDefault="001B1868" w:rsidP="00855CC4">
            <w:pPr>
              <w:pStyle w:val="TableTextEntries"/>
              <w:jc w:val="center"/>
            </w:pPr>
            <w:r>
              <w:t>3</w:t>
            </w:r>
          </w:p>
        </w:tc>
        <w:tc>
          <w:tcPr>
            <w:tcW w:w="378" w:type="pct"/>
            <w:shd w:val="clear" w:color="auto" w:fill="FFFF00"/>
            <w:noWrap/>
          </w:tcPr>
          <w:p w:rsidR="001B1868" w:rsidRPr="00FE4491" w:rsidRDefault="001B1868" w:rsidP="00855CC4">
            <w:pPr>
              <w:pStyle w:val="TableTextEntries"/>
              <w:jc w:val="center"/>
            </w:pPr>
            <w:r>
              <w:t>4</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tcPr>
          <w:p w:rsidR="001B1868" w:rsidRPr="002B51BC" w:rsidRDefault="001B1868" w:rsidP="00855CC4">
            <w:pPr>
              <w:pStyle w:val="TableTextEntries"/>
            </w:pPr>
          </w:p>
        </w:tc>
        <w:tc>
          <w:tcPr>
            <w:tcW w:w="682" w:type="pct"/>
            <w:vMerge/>
          </w:tcPr>
          <w:p w:rsidR="001B1868" w:rsidRPr="00FE4491" w:rsidRDefault="001B1868" w:rsidP="00855CC4">
            <w:pPr>
              <w:pStyle w:val="TableTextEntries"/>
            </w:pPr>
          </w:p>
        </w:tc>
        <w:tc>
          <w:tcPr>
            <w:tcW w:w="935" w:type="pct"/>
            <w:shd w:val="clear" w:color="auto" w:fill="auto"/>
          </w:tcPr>
          <w:p w:rsidR="001B1868" w:rsidRPr="00FE4491" w:rsidRDefault="001B1868" w:rsidP="00855CC4">
            <w:pPr>
              <w:pStyle w:val="TableTextEntries"/>
            </w:pPr>
            <w:r>
              <w:t>2012</w:t>
            </w:r>
          </w:p>
        </w:tc>
        <w:tc>
          <w:tcPr>
            <w:tcW w:w="393" w:type="pct"/>
            <w:shd w:val="clear" w:color="auto" w:fill="9BBB59" w:themeFill="accent3"/>
            <w:noWrap/>
          </w:tcPr>
          <w:p w:rsidR="001B1868" w:rsidRPr="00FE4491" w:rsidRDefault="001B1868" w:rsidP="00855CC4">
            <w:pPr>
              <w:pStyle w:val="TableTextEntries"/>
              <w:jc w:val="center"/>
            </w:pPr>
            <w:r>
              <w:t>5</w:t>
            </w:r>
          </w:p>
        </w:tc>
        <w:tc>
          <w:tcPr>
            <w:tcW w:w="383" w:type="pct"/>
            <w:shd w:val="clear" w:color="auto" w:fill="F79646" w:themeFill="accent6"/>
            <w:noWrap/>
          </w:tcPr>
          <w:p w:rsidR="001B1868" w:rsidRPr="00FE4491" w:rsidRDefault="001B1868" w:rsidP="00855CC4">
            <w:pPr>
              <w:pStyle w:val="TableTextEntries"/>
              <w:jc w:val="center"/>
            </w:pPr>
            <w:r>
              <w:t>3</w:t>
            </w:r>
          </w:p>
        </w:tc>
        <w:tc>
          <w:tcPr>
            <w:tcW w:w="383" w:type="pct"/>
            <w:shd w:val="clear" w:color="auto" w:fill="F79646" w:themeFill="accent6"/>
            <w:noWrap/>
          </w:tcPr>
          <w:p w:rsidR="001B1868" w:rsidRPr="00FE4491" w:rsidRDefault="001B1868" w:rsidP="00855CC4">
            <w:pPr>
              <w:pStyle w:val="TableTextEntries"/>
              <w:jc w:val="center"/>
            </w:pPr>
            <w:r>
              <w:t>3</w:t>
            </w:r>
          </w:p>
        </w:tc>
        <w:tc>
          <w:tcPr>
            <w:tcW w:w="416" w:type="pct"/>
            <w:shd w:val="clear" w:color="auto" w:fill="F79646" w:themeFill="accent6"/>
            <w:noWrap/>
          </w:tcPr>
          <w:p w:rsidR="001B1868" w:rsidRPr="00FE4491" w:rsidRDefault="001B1868" w:rsidP="00855CC4">
            <w:pPr>
              <w:pStyle w:val="TableTextEntries"/>
              <w:jc w:val="center"/>
            </w:pPr>
            <w:r>
              <w:t>3</w:t>
            </w:r>
          </w:p>
        </w:tc>
        <w:tc>
          <w:tcPr>
            <w:tcW w:w="372" w:type="pct"/>
            <w:shd w:val="clear" w:color="auto" w:fill="F79646" w:themeFill="accent6"/>
            <w:noWrap/>
          </w:tcPr>
          <w:p w:rsidR="001B1868" w:rsidRPr="00FE4491" w:rsidRDefault="001B1868" w:rsidP="00855CC4">
            <w:pPr>
              <w:pStyle w:val="TableTextEntries"/>
              <w:jc w:val="center"/>
            </w:pPr>
            <w:r>
              <w:t>3</w:t>
            </w:r>
          </w:p>
        </w:tc>
        <w:tc>
          <w:tcPr>
            <w:tcW w:w="378" w:type="pct"/>
            <w:shd w:val="clear" w:color="auto" w:fill="FFFF00"/>
            <w:noWrap/>
          </w:tcPr>
          <w:p w:rsidR="001B1868" w:rsidRPr="00FE4491" w:rsidRDefault="001B1868" w:rsidP="00855CC4">
            <w:pPr>
              <w:pStyle w:val="TableTextEntries"/>
              <w:jc w:val="center"/>
            </w:pPr>
            <w:r>
              <w:t>4</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tcPr>
          <w:p w:rsidR="001B1868" w:rsidRPr="002B51BC" w:rsidRDefault="001B1868" w:rsidP="00855CC4">
            <w:pPr>
              <w:pStyle w:val="TableTextEntries"/>
            </w:pPr>
            <w:r w:rsidRPr="00DF35FA">
              <w:rPr>
                <w:rFonts w:eastAsia="SimSun"/>
                <w:b/>
              </w:rPr>
              <w:t>Objective 6: Security</w:t>
            </w:r>
          </w:p>
        </w:tc>
        <w:tc>
          <w:tcPr>
            <w:tcW w:w="682" w:type="pct"/>
          </w:tcPr>
          <w:p w:rsidR="001B1868" w:rsidRPr="00FE4491" w:rsidRDefault="001B1868" w:rsidP="00855CC4">
            <w:pPr>
              <w:pStyle w:val="TableTextEntries"/>
            </w:pPr>
          </w:p>
        </w:tc>
        <w:tc>
          <w:tcPr>
            <w:tcW w:w="935" w:type="pct"/>
          </w:tcPr>
          <w:p w:rsidR="001B1868" w:rsidRPr="00FE4491" w:rsidRDefault="001B1868" w:rsidP="00855CC4">
            <w:pPr>
              <w:pStyle w:val="TableTextEntries"/>
            </w:pPr>
          </w:p>
        </w:tc>
        <w:tc>
          <w:tcPr>
            <w:tcW w:w="393" w:type="pct"/>
            <w:noWrap/>
          </w:tcPr>
          <w:p w:rsidR="001B1868" w:rsidRPr="00FE4491" w:rsidRDefault="001B1868" w:rsidP="00855CC4">
            <w:pPr>
              <w:pStyle w:val="TableTextEntries"/>
              <w:jc w:val="center"/>
            </w:pPr>
          </w:p>
        </w:tc>
        <w:tc>
          <w:tcPr>
            <w:tcW w:w="383" w:type="pct"/>
            <w:noWrap/>
          </w:tcPr>
          <w:p w:rsidR="001B1868" w:rsidRPr="00FE4491" w:rsidRDefault="001B1868" w:rsidP="00855CC4">
            <w:pPr>
              <w:pStyle w:val="TableTextEntries"/>
              <w:jc w:val="center"/>
            </w:pPr>
          </w:p>
        </w:tc>
        <w:tc>
          <w:tcPr>
            <w:tcW w:w="383" w:type="pct"/>
            <w:noWrap/>
          </w:tcPr>
          <w:p w:rsidR="001B1868" w:rsidRPr="00FE4491" w:rsidRDefault="001B1868" w:rsidP="00855CC4">
            <w:pPr>
              <w:pStyle w:val="TableTextEntries"/>
              <w:jc w:val="center"/>
            </w:pPr>
          </w:p>
        </w:tc>
        <w:tc>
          <w:tcPr>
            <w:tcW w:w="416" w:type="pct"/>
            <w:noWrap/>
          </w:tcPr>
          <w:p w:rsidR="001B1868" w:rsidRPr="00FE4491" w:rsidRDefault="001B1868" w:rsidP="00855CC4">
            <w:pPr>
              <w:pStyle w:val="TableTextEntries"/>
              <w:jc w:val="center"/>
            </w:pPr>
          </w:p>
        </w:tc>
        <w:tc>
          <w:tcPr>
            <w:tcW w:w="372" w:type="pct"/>
            <w:noWrap/>
          </w:tcPr>
          <w:p w:rsidR="001B1868" w:rsidRPr="00FE4491" w:rsidRDefault="001B1868" w:rsidP="00855CC4">
            <w:pPr>
              <w:pStyle w:val="TableTextEntries"/>
              <w:jc w:val="center"/>
            </w:pPr>
          </w:p>
        </w:tc>
        <w:tc>
          <w:tcPr>
            <w:tcW w:w="378" w:type="pct"/>
            <w:noWrap/>
          </w:tcPr>
          <w:p w:rsidR="001B1868" w:rsidRPr="00FE4491" w:rsidRDefault="001B1868" w:rsidP="00855CC4">
            <w:pPr>
              <w:pStyle w:val="TableTextEntries"/>
              <w:jc w:val="center"/>
            </w:pP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val="restart"/>
          </w:tcPr>
          <w:p w:rsidR="001B1868" w:rsidRPr="002B51BC" w:rsidRDefault="001B1868" w:rsidP="00855CC4">
            <w:pPr>
              <w:pStyle w:val="TableTextEntries"/>
            </w:pPr>
            <w:r w:rsidRPr="002B51BC">
              <w:t>Justice Sector Development Program</w:t>
            </w:r>
          </w:p>
        </w:tc>
        <w:tc>
          <w:tcPr>
            <w:tcW w:w="682" w:type="pct"/>
            <w:vMerge w:val="restart"/>
          </w:tcPr>
          <w:p w:rsidR="001B1868" w:rsidRPr="00FE4491" w:rsidRDefault="006A6E2D" w:rsidP="00855CC4">
            <w:pPr>
              <w:pStyle w:val="TableTextEntries"/>
            </w:pPr>
            <w:r>
              <w:t>01/07/2007 – 30/06/2014 $32,194,092</w:t>
            </w:r>
          </w:p>
        </w:tc>
        <w:tc>
          <w:tcPr>
            <w:tcW w:w="935" w:type="pct"/>
          </w:tcPr>
          <w:p w:rsidR="001B1868" w:rsidRPr="00FE4491" w:rsidRDefault="001B1868" w:rsidP="00855CC4">
            <w:pPr>
              <w:pStyle w:val="TableTextEntries"/>
            </w:pPr>
            <w:r>
              <w:t>2013</w:t>
            </w:r>
          </w:p>
        </w:tc>
        <w:tc>
          <w:tcPr>
            <w:tcW w:w="393" w:type="pct"/>
            <w:shd w:val="clear" w:color="auto" w:fill="9BBB59" w:themeFill="accent3"/>
            <w:noWrap/>
          </w:tcPr>
          <w:p w:rsidR="001B1868" w:rsidRPr="00FE4491" w:rsidRDefault="001B1868" w:rsidP="00855CC4">
            <w:pPr>
              <w:pStyle w:val="TableTextEntries"/>
              <w:jc w:val="center"/>
            </w:pPr>
            <w:r>
              <w:t>5</w:t>
            </w:r>
          </w:p>
        </w:tc>
        <w:tc>
          <w:tcPr>
            <w:tcW w:w="383" w:type="pct"/>
            <w:shd w:val="clear" w:color="auto" w:fill="FFFF00"/>
            <w:noWrap/>
          </w:tcPr>
          <w:p w:rsidR="001B1868" w:rsidRPr="00FE4491" w:rsidRDefault="001B1868" w:rsidP="00855CC4">
            <w:pPr>
              <w:pStyle w:val="TableTextEntries"/>
              <w:jc w:val="center"/>
            </w:pPr>
            <w:r>
              <w:t>4</w:t>
            </w:r>
          </w:p>
        </w:tc>
        <w:tc>
          <w:tcPr>
            <w:tcW w:w="383" w:type="pct"/>
            <w:shd w:val="clear" w:color="auto" w:fill="FFFF00"/>
            <w:noWrap/>
          </w:tcPr>
          <w:p w:rsidR="001B1868" w:rsidRPr="00FE4491" w:rsidRDefault="001B1868" w:rsidP="00855CC4">
            <w:pPr>
              <w:pStyle w:val="TableTextEntries"/>
              <w:jc w:val="center"/>
            </w:pPr>
            <w:r>
              <w:t>4</w:t>
            </w:r>
          </w:p>
        </w:tc>
        <w:tc>
          <w:tcPr>
            <w:tcW w:w="416" w:type="pct"/>
            <w:shd w:val="clear" w:color="auto" w:fill="F79646" w:themeFill="accent6"/>
            <w:noWrap/>
          </w:tcPr>
          <w:p w:rsidR="001B1868" w:rsidRPr="00FE4491" w:rsidRDefault="001B1868" w:rsidP="00855CC4">
            <w:pPr>
              <w:pStyle w:val="TableTextEntries"/>
              <w:jc w:val="center"/>
            </w:pPr>
            <w:r>
              <w:t>3</w:t>
            </w:r>
          </w:p>
        </w:tc>
        <w:tc>
          <w:tcPr>
            <w:tcW w:w="372" w:type="pct"/>
            <w:shd w:val="clear" w:color="auto" w:fill="F79646" w:themeFill="accent6"/>
            <w:noWrap/>
          </w:tcPr>
          <w:p w:rsidR="001B1868" w:rsidRPr="00FE4491" w:rsidRDefault="001B1868" w:rsidP="00855CC4">
            <w:pPr>
              <w:pStyle w:val="TableTextEntries"/>
              <w:jc w:val="center"/>
            </w:pPr>
            <w:r>
              <w:t>3</w:t>
            </w:r>
          </w:p>
        </w:tc>
        <w:tc>
          <w:tcPr>
            <w:tcW w:w="378" w:type="pct"/>
            <w:shd w:val="clear" w:color="auto" w:fill="9BBB59" w:themeFill="accent3"/>
            <w:noWrap/>
          </w:tcPr>
          <w:p w:rsidR="001B1868" w:rsidRPr="00FE4491" w:rsidRDefault="001B1868" w:rsidP="00855CC4">
            <w:pPr>
              <w:pStyle w:val="TableTextEntries"/>
              <w:jc w:val="center"/>
            </w:pPr>
            <w:r>
              <w:t>5</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tcPr>
          <w:p w:rsidR="001B1868" w:rsidRPr="002B51BC" w:rsidRDefault="001B1868" w:rsidP="00855CC4">
            <w:pPr>
              <w:pStyle w:val="TableTextEntries"/>
            </w:pPr>
          </w:p>
        </w:tc>
        <w:tc>
          <w:tcPr>
            <w:tcW w:w="682" w:type="pct"/>
            <w:vMerge/>
          </w:tcPr>
          <w:p w:rsidR="001B1868" w:rsidRPr="00FE4491" w:rsidRDefault="001B1868" w:rsidP="00855CC4">
            <w:pPr>
              <w:pStyle w:val="TableTextEntries"/>
            </w:pPr>
          </w:p>
        </w:tc>
        <w:tc>
          <w:tcPr>
            <w:tcW w:w="935" w:type="pct"/>
          </w:tcPr>
          <w:p w:rsidR="001B1868" w:rsidRPr="00FE4491" w:rsidRDefault="001B1868" w:rsidP="00855CC4">
            <w:pPr>
              <w:pStyle w:val="TableTextEntries"/>
            </w:pPr>
            <w:r>
              <w:t>2012</w:t>
            </w:r>
          </w:p>
        </w:tc>
        <w:tc>
          <w:tcPr>
            <w:tcW w:w="393" w:type="pct"/>
            <w:shd w:val="clear" w:color="auto" w:fill="FFFF00"/>
            <w:noWrap/>
          </w:tcPr>
          <w:p w:rsidR="001B1868" w:rsidRPr="00FE4491" w:rsidRDefault="001B1868" w:rsidP="00855CC4">
            <w:pPr>
              <w:pStyle w:val="TableTextEntries"/>
              <w:jc w:val="center"/>
            </w:pPr>
            <w:r>
              <w:t>4</w:t>
            </w:r>
          </w:p>
        </w:tc>
        <w:tc>
          <w:tcPr>
            <w:tcW w:w="383" w:type="pct"/>
            <w:shd w:val="clear" w:color="auto" w:fill="9BBB59" w:themeFill="accent3"/>
            <w:noWrap/>
          </w:tcPr>
          <w:p w:rsidR="001B1868" w:rsidRPr="00FE4491" w:rsidRDefault="001B1868" w:rsidP="00855CC4">
            <w:pPr>
              <w:pStyle w:val="TableTextEntries"/>
              <w:jc w:val="center"/>
            </w:pPr>
            <w:r>
              <w:t>5</w:t>
            </w:r>
          </w:p>
        </w:tc>
        <w:tc>
          <w:tcPr>
            <w:tcW w:w="383" w:type="pct"/>
            <w:shd w:val="clear" w:color="auto" w:fill="FFFF00"/>
            <w:noWrap/>
          </w:tcPr>
          <w:p w:rsidR="001B1868" w:rsidRPr="00FE4491" w:rsidRDefault="001B1868" w:rsidP="00855CC4">
            <w:pPr>
              <w:pStyle w:val="TableTextEntries"/>
              <w:jc w:val="center"/>
            </w:pPr>
            <w:r>
              <w:t>4</w:t>
            </w:r>
          </w:p>
        </w:tc>
        <w:tc>
          <w:tcPr>
            <w:tcW w:w="416" w:type="pct"/>
            <w:shd w:val="clear" w:color="auto" w:fill="FF0000"/>
            <w:noWrap/>
          </w:tcPr>
          <w:p w:rsidR="001B1868" w:rsidRPr="00FE4491" w:rsidRDefault="001B1868" w:rsidP="00855CC4">
            <w:pPr>
              <w:pStyle w:val="TableTextEntries"/>
              <w:jc w:val="center"/>
            </w:pPr>
            <w:r>
              <w:t>2</w:t>
            </w:r>
          </w:p>
        </w:tc>
        <w:tc>
          <w:tcPr>
            <w:tcW w:w="372" w:type="pct"/>
            <w:shd w:val="clear" w:color="auto" w:fill="FFFF00"/>
            <w:noWrap/>
          </w:tcPr>
          <w:p w:rsidR="001B1868" w:rsidRPr="00FE4491" w:rsidRDefault="001B1868" w:rsidP="00855CC4">
            <w:pPr>
              <w:pStyle w:val="TableTextEntries"/>
              <w:jc w:val="center"/>
            </w:pPr>
            <w:r>
              <w:t>4</w:t>
            </w:r>
          </w:p>
        </w:tc>
        <w:tc>
          <w:tcPr>
            <w:tcW w:w="378" w:type="pct"/>
            <w:shd w:val="clear" w:color="auto" w:fill="9BBB59" w:themeFill="accent3"/>
            <w:noWrap/>
          </w:tcPr>
          <w:p w:rsidR="001B1868" w:rsidRPr="00FE4491" w:rsidRDefault="001B1868" w:rsidP="00855CC4">
            <w:pPr>
              <w:pStyle w:val="TableTextEntries"/>
              <w:jc w:val="center"/>
            </w:pPr>
            <w:r>
              <w:t>5</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tcPr>
          <w:p w:rsidR="001B1868" w:rsidRPr="006D14C2" w:rsidRDefault="001B1868" w:rsidP="00855CC4">
            <w:pPr>
              <w:pStyle w:val="TableTextEntries"/>
              <w:rPr>
                <w:b/>
              </w:rPr>
            </w:pPr>
            <w:r w:rsidRPr="006D14C2">
              <w:rPr>
                <w:b/>
              </w:rPr>
              <w:t>Objective 7: Public sector management and good governance</w:t>
            </w:r>
          </w:p>
        </w:tc>
        <w:tc>
          <w:tcPr>
            <w:tcW w:w="682" w:type="pct"/>
          </w:tcPr>
          <w:p w:rsidR="001B1868" w:rsidRPr="00FE4491" w:rsidRDefault="001B1868" w:rsidP="00855CC4">
            <w:pPr>
              <w:pStyle w:val="TableTextEntries"/>
            </w:pPr>
          </w:p>
        </w:tc>
        <w:tc>
          <w:tcPr>
            <w:tcW w:w="935" w:type="pct"/>
          </w:tcPr>
          <w:p w:rsidR="001B1868" w:rsidRPr="00FE4491" w:rsidRDefault="001B1868" w:rsidP="00855CC4">
            <w:pPr>
              <w:pStyle w:val="TableTextEntries"/>
            </w:pPr>
          </w:p>
        </w:tc>
        <w:tc>
          <w:tcPr>
            <w:tcW w:w="393" w:type="pct"/>
            <w:noWrap/>
          </w:tcPr>
          <w:p w:rsidR="001B1868" w:rsidRPr="00FE4491" w:rsidRDefault="001B1868" w:rsidP="00855CC4">
            <w:pPr>
              <w:pStyle w:val="TableTextEntries"/>
              <w:jc w:val="center"/>
            </w:pPr>
          </w:p>
        </w:tc>
        <w:tc>
          <w:tcPr>
            <w:tcW w:w="383" w:type="pct"/>
            <w:noWrap/>
          </w:tcPr>
          <w:p w:rsidR="001B1868" w:rsidRPr="00FE4491" w:rsidRDefault="001B1868" w:rsidP="00855CC4">
            <w:pPr>
              <w:pStyle w:val="TableTextEntries"/>
              <w:jc w:val="center"/>
            </w:pPr>
          </w:p>
        </w:tc>
        <w:tc>
          <w:tcPr>
            <w:tcW w:w="383" w:type="pct"/>
            <w:noWrap/>
          </w:tcPr>
          <w:p w:rsidR="001B1868" w:rsidRPr="00FE4491" w:rsidRDefault="001B1868" w:rsidP="00855CC4">
            <w:pPr>
              <w:pStyle w:val="TableTextEntries"/>
              <w:jc w:val="center"/>
            </w:pPr>
          </w:p>
        </w:tc>
        <w:tc>
          <w:tcPr>
            <w:tcW w:w="416" w:type="pct"/>
            <w:noWrap/>
          </w:tcPr>
          <w:p w:rsidR="001B1868" w:rsidRPr="00FE4491" w:rsidRDefault="001B1868" w:rsidP="00855CC4">
            <w:pPr>
              <w:pStyle w:val="TableTextEntries"/>
              <w:jc w:val="center"/>
            </w:pPr>
          </w:p>
        </w:tc>
        <w:tc>
          <w:tcPr>
            <w:tcW w:w="372" w:type="pct"/>
            <w:noWrap/>
          </w:tcPr>
          <w:p w:rsidR="001B1868" w:rsidRPr="00FE4491" w:rsidRDefault="001B1868" w:rsidP="00855CC4">
            <w:pPr>
              <w:pStyle w:val="TableTextEntries"/>
              <w:jc w:val="center"/>
            </w:pPr>
          </w:p>
        </w:tc>
        <w:tc>
          <w:tcPr>
            <w:tcW w:w="378" w:type="pct"/>
            <w:noWrap/>
          </w:tcPr>
          <w:p w:rsidR="001B1868" w:rsidRPr="00FE4491" w:rsidRDefault="001B1868" w:rsidP="00855CC4">
            <w:pPr>
              <w:pStyle w:val="TableTextEntries"/>
              <w:jc w:val="center"/>
            </w:pP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val="restart"/>
          </w:tcPr>
          <w:p w:rsidR="001B1868" w:rsidRPr="002B51BC" w:rsidRDefault="001B1868" w:rsidP="00855CC4">
            <w:pPr>
              <w:pStyle w:val="TableTextEntries"/>
            </w:pPr>
            <w:r>
              <w:t>Governance for Development</w:t>
            </w:r>
          </w:p>
        </w:tc>
        <w:tc>
          <w:tcPr>
            <w:tcW w:w="682" w:type="pct"/>
            <w:vMerge w:val="restart"/>
          </w:tcPr>
          <w:p w:rsidR="001B1868" w:rsidRPr="00FE4491" w:rsidRDefault="006A6E2D" w:rsidP="00855CC4">
            <w:pPr>
              <w:pStyle w:val="TableTextEntries"/>
            </w:pPr>
            <w:r>
              <w:t>31/05/2013 – 30/06/2017 $52,864,050</w:t>
            </w:r>
          </w:p>
        </w:tc>
        <w:tc>
          <w:tcPr>
            <w:tcW w:w="935" w:type="pct"/>
          </w:tcPr>
          <w:p w:rsidR="001B1868" w:rsidRPr="00FE4491" w:rsidRDefault="001B1868" w:rsidP="00855CC4">
            <w:pPr>
              <w:pStyle w:val="TableTextEntries"/>
            </w:pPr>
            <w:r>
              <w:t>2013</w:t>
            </w:r>
          </w:p>
        </w:tc>
        <w:tc>
          <w:tcPr>
            <w:tcW w:w="393" w:type="pct"/>
            <w:shd w:val="clear" w:color="auto" w:fill="9BBB59" w:themeFill="accent3"/>
            <w:noWrap/>
          </w:tcPr>
          <w:p w:rsidR="001B1868" w:rsidRPr="00FE4491" w:rsidRDefault="001B1868" w:rsidP="00855CC4">
            <w:pPr>
              <w:pStyle w:val="TableTextEntries"/>
              <w:jc w:val="center"/>
            </w:pPr>
            <w:r>
              <w:t>5</w:t>
            </w:r>
          </w:p>
        </w:tc>
        <w:tc>
          <w:tcPr>
            <w:tcW w:w="383" w:type="pct"/>
            <w:shd w:val="clear" w:color="auto" w:fill="FFFF00"/>
            <w:noWrap/>
          </w:tcPr>
          <w:p w:rsidR="001B1868" w:rsidRPr="00FE4491" w:rsidRDefault="001B1868" w:rsidP="00855CC4">
            <w:pPr>
              <w:pStyle w:val="TableTextEntries"/>
              <w:jc w:val="center"/>
            </w:pPr>
            <w:r>
              <w:t>4</w:t>
            </w:r>
          </w:p>
        </w:tc>
        <w:tc>
          <w:tcPr>
            <w:tcW w:w="383" w:type="pct"/>
            <w:shd w:val="clear" w:color="auto" w:fill="FFFF00"/>
            <w:noWrap/>
          </w:tcPr>
          <w:p w:rsidR="001B1868" w:rsidRPr="00FE4491" w:rsidRDefault="001B1868" w:rsidP="00855CC4">
            <w:pPr>
              <w:pStyle w:val="TableTextEntries"/>
              <w:jc w:val="center"/>
            </w:pPr>
            <w:r>
              <w:t>4</w:t>
            </w:r>
          </w:p>
        </w:tc>
        <w:tc>
          <w:tcPr>
            <w:tcW w:w="416" w:type="pct"/>
            <w:shd w:val="clear" w:color="auto" w:fill="FFFF00"/>
            <w:noWrap/>
          </w:tcPr>
          <w:p w:rsidR="001B1868" w:rsidRPr="00FE4491" w:rsidRDefault="001B1868" w:rsidP="00855CC4">
            <w:pPr>
              <w:pStyle w:val="TableTextEntries"/>
              <w:jc w:val="center"/>
            </w:pPr>
            <w:r>
              <w:t>4</w:t>
            </w:r>
          </w:p>
        </w:tc>
        <w:tc>
          <w:tcPr>
            <w:tcW w:w="372" w:type="pct"/>
            <w:shd w:val="clear" w:color="auto" w:fill="FFFF00"/>
            <w:noWrap/>
          </w:tcPr>
          <w:p w:rsidR="001B1868" w:rsidRPr="00FE4491" w:rsidRDefault="001B1868" w:rsidP="00855CC4">
            <w:pPr>
              <w:pStyle w:val="TableTextEntries"/>
              <w:jc w:val="center"/>
            </w:pPr>
            <w:r>
              <w:t>4</w:t>
            </w:r>
          </w:p>
        </w:tc>
        <w:tc>
          <w:tcPr>
            <w:tcW w:w="378" w:type="pct"/>
            <w:shd w:val="clear" w:color="auto" w:fill="F79646" w:themeFill="accent6"/>
            <w:noWrap/>
          </w:tcPr>
          <w:p w:rsidR="001B1868" w:rsidRPr="00FE4491" w:rsidRDefault="001B1868" w:rsidP="00855CC4">
            <w:pPr>
              <w:pStyle w:val="TableTextEntries"/>
              <w:jc w:val="center"/>
            </w:pPr>
            <w:r>
              <w:t>3</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tcPr>
          <w:p w:rsidR="001B1868" w:rsidRDefault="001B1868" w:rsidP="00855CC4">
            <w:pPr>
              <w:pStyle w:val="TableTextEntries"/>
            </w:pPr>
          </w:p>
        </w:tc>
        <w:tc>
          <w:tcPr>
            <w:tcW w:w="682" w:type="pct"/>
            <w:vMerge/>
          </w:tcPr>
          <w:p w:rsidR="001B1868" w:rsidRPr="00FE4491" w:rsidRDefault="001B1868" w:rsidP="00855CC4">
            <w:pPr>
              <w:pStyle w:val="TableTextEntries"/>
            </w:pPr>
          </w:p>
        </w:tc>
        <w:tc>
          <w:tcPr>
            <w:tcW w:w="935" w:type="pct"/>
          </w:tcPr>
          <w:p w:rsidR="001B1868" w:rsidRPr="00FE4491" w:rsidRDefault="001B1868" w:rsidP="00855CC4">
            <w:pPr>
              <w:pStyle w:val="TableTextEntries"/>
            </w:pPr>
            <w:r>
              <w:t>2012</w:t>
            </w:r>
          </w:p>
        </w:tc>
        <w:tc>
          <w:tcPr>
            <w:tcW w:w="393" w:type="pct"/>
            <w:shd w:val="clear" w:color="auto" w:fill="9BBB59" w:themeFill="accent3"/>
            <w:noWrap/>
          </w:tcPr>
          <w:p w:rsidR="001B1868" w:rsidRPr="00FE4491" w:rsidRDefault="001B1868" w:rsidP="00855CC4">
            <w:pPr>
              <w:pStyle w:val="TableTextEntries"/>
              <w:jc w:val="center"/>
            </w:pPr>
            <w:r>
              <w:t>5</w:t>
            </w:r>
          </w:p>
        </w:tc>
        <w:tc>
          <w:tcPr>
            <w:tcW w:w="383" w:type="pct"/>
            <w:shd w:val="clear" w:color="auto" w:fill="9BBB59" w:themeFill="accent3"/>
            <w:noWrap/>
          </w:tcPr>
          <w:p w:rsidR="001B1868" w:rsidRPr="00FE4491" w:rsidRDefault="001B1868" w:rsidP="00855CC4">
            <w:pPr>
              <w:pStyle w:val="TableTextEntries"/>
              <w:jc w:val="center"/>
            </w:pPr>
            <w:r>
              <w:t>5</w:t>
            </w:r>
          </w:p>
        </w:tc>
        <w:tc>
          <w:tcPr>
            <w:tcW w:w="383" w:type="pct"/>
            <w:shd w:val="clear" w:color="auto" w:fill="FFFF00"/>
            <w:noWrap/>
          </w:tcPr>
          <w:p w:rsidR="001B1868" w:rsidRPr="00FE4491" w:rsidRDefault="001B1868" w:rsidP="00855CC4">
            <w:pPr>
              <w:pStyle w:val="TableTextEntries"/>
              <w:jc w:val="center"/>
            </w:pPr>
            <w:r>
              <w:t>4</w:t>
            </w:r>
          </w:p>
        </w:tc>
        <w:tc>
          <w:tcPr>
            <w:tcW w:w="416" w:type="pct"/>
            <w:shd w:val="clear" w:color="auto" w:fill="F79646" w:themeFill="accent6"/>
            <w:noWrap/>
          </w:tcPr>
          <w:p w:rsidR="001B1868" w:rsidRPr="00FE4491" w:rsidRDefault="001B1868" w:rsidP="00855CC4">
            <w:pPr>
              <w:pStyle w:val="TableTextEntries"/>
              <w:jc w:val="center"/>
            </w:pPr>
            <w:r>
              <w:t>3</w:t>
            </w:r>
          </w:p>
        </w:tc>
        <w:tc>
          <w:tcPr>
            <w:tcW w:w="372" w:type="pct"/>
            <w:shd w:val="clear" w:color="auto" w:fill="FFFF00"/>
            <w:noWrap/>
          </w:tcPr>
          <w:p w:rsidR="001B1868" w:rsidRPr="00FE4491" w:rsidRDefault="001B1868" w:rsidP="00855CC4">
            <w:pPr>
              <w:pStyle w:val="TableTextEntries"/>
              <w:jc w:val="center"/>
            </w:pPr>
            <w:r>
              <w:t>4</w:t>
            </w:r>
          </w:p>
        </w:tc>
        <w:tc>
          <w:tcPr>
            <w:tcW w:w="378" w:type="pct"/>
            <w:shd w:val="clear" w:color="auto" w:fill="FFFF00"/>
            <w:noWrap/>
          </w:tcPr>
          <w:p w:rsidR="001B1868" w:rsidRPr="00FE4491" w:rsidRDefault="001B1868" w:rsidP="00855CC4">
            <w:pPr>
              <w:pStyle w:val="TableTextEntries"/>
              <w:jc w:val="center"/>
            </w:pPr>
            <w:r>
              <w:t>4</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val="restart"/>
          </w:tcPr>
          <w:p w:rsidR="001B1868" w:rsidRPr="002B51BC" w:rsidRDefault="001B1868" w:rsidP="00855CC4">
            <w:pPr>
              <w:pStyle w:val="TableTextEntries"/>
            </w:pPr>
            <w:r>
              <w:t>Planning and Finance Capacity Building Program</w:t>
            </w:r>
          </w:p>
        </w:tc>
        <w:tc>
          <w:tcPr>
            <w:tcW w:w="682" w:type="pct"/>
            <w:vMerge w:val="restart"/>
          </w:tcPr>
          <w:p w:rsidR="001B1868" w:rsidRPr="00FE4491" w:rsidRDefault="006A6E2D" w:rsidP="00855CC4">
            <w:pPr>
              <w:pStyle w:val="TableTextEntries"/>
            </w:pPr>
            <w:r>
              <w:t>01/07/2008 – 30/06/2014 $13,000,000</w:t>
            </w:r>
          </w:p>
        </w:tc>
        <w:tc>
          <w:tcPr>
            <w:tcW w:w="935" w:type="pct"/>
          </w:tcPr>
          <w:p w:rsidR="001B1868" w:rsidRPr="00FE4491" w:rsidRDefault="001B1868" w:rsidP="00855CC4">
            <w:pPr>
              <w:pStyle w:val="TableTextEntries"/>
            </w:pPr>
            <w:r>
              <w:t>2013</w:t>
            </w:r>
          </w:p>
        </w:tc>
        <w:tc>
          <w:tcPr>
            <w:tcW w:w="393" w:type="pct"/>
            <w:shd w:val="clear" w:color="auto" w:fill="9BBB59" w:themeFill="accent3"/>
            <w:noWrap/>
          </w:tcPr>
          <w:p w:rsidR="001B1868" w:rsidRPr="00FE4491" w:rsidRDefault="001B1868" w:rsidP="00855CC4">
            <w:pPr>
              <w:pStyle w:val="TableTextEntries"/>
              <w:jc w:val="center"/>
            </w:pPr>
            <w:r>
              <w:t>5</w:t>
            </w:r>
          </w:p>
        </w:tc>
        <w:tc>
          <w:tcPr>
            <w:tcW w:w="383" w:type="pct"/>
            <w:shd w:val="clear" w:color="auto" w:fill="9BBB59" w:themeFill="accent3"/>
            <w:noWrap/>
          </w:tcPr>
          <w:p w:rsidR="001B1868" w:rsidRPr="00FE4491" w:rsidRDefault="001B1868" w:rsidP="00855CC4">
            <w:pPr>
              <w:pStyle w:val="TableTextEntries"/>
              <w:jc w:val="center"/>
            </w:pPr>
            <w:r>
              <w:t>5</w:t>
            </w:r>
          </w:p>
        </w:tc>
        <w:tc>
          <w:tcPr>
            <w:tcW w:w="383" w:type="pct"/>
            <w:shd w:val="clear" w:color="auto" w:fill="FFFF00"/>
            <w:noWrap/>
          </w:tcPr>
          <w:p w:rsidR="001B1868" w:rsidRPr="00FE4491" w:rsidRDefault="001B1868" w:rsidP="00855CC4">
            <w:pPr>
              <w:pStyle w:val="TableTextEntries"/>
              <w:jc w:val="center"/>
            </w:pPr>
            <w:r>
              <w:t>4</w:t>
            </w:r>
          </w:p>
        </w:tc>
        <w:tc>
          <w:tcPr>
            <w:tcW w:w="416" w:type="pct"/>
            <w:shd w:val="clear" w:color="auto" w:fill="F79646" w:themeFill="accent6"/>
            <w:noWrap/>
          </w:tcPr>
          <w:p w:rsidR="001B1868" w:rsidRPr="00FE4491" w:rsidRDefault="001B1868" w:rsidP="00855CC4">
            <w:pPr>
              <w:pStyle w:val="TableTextEntries"/>
              <w:jc w:val="center"/>
            </w:pPr>
            <w:r>
              <w:t>3</w:t>
            </w:r>
          </w:p>
        </w:tc>
        <w:tc>
          <w:tcPr>
            <w:tcW w:w="372" w:type="pct"/>
            <w:shd w:val="clear" w:color="auto" w:fill="9BBB59" w:themeFill="accent3"/>
            <w:noWrap/>
          </w:tcPr>
          <w:p w:rsidR="001B1868" w:rsidRPr="00FE4491" w:rsidRDefault="001B1868" w:rsidP="00855CC4">
            <w:pPr>
              <w:pStyle w:val="TableTextEntries"/>
              <w:jc w:val="center"/>
            </w:pPr>
            <w:r>
              <w:t>5</w:t>
            </w:r>
          </w:p>
        </w:tc>
        <w:tc>
          <w:tcPr>
            <w:tcW w:w="378" w:type="pct"/>
            <w:shd w:val="clear" w:color="auto" w:fill="FF0000"/>
            <w:noWrap/>
          </w:tcPr>
          <w:p w:rsidR="001B1868" w:rsidRPr="00FE4491" w:rsidRDefault="001B1868" w:rsidP="00855CC4">
            <w:pPr>
              <w:pStyle w:val="TableTextEntries"/>
              <w:jc w:val="center"/>
            </w:pPr>
            <w:r>
              <w:t>1</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shd w:val="clear" w:color="auto" w:fill="auto"/>
          </w:tcPr>
          <w:p w:rsidR="001B1868" w:rsidRPr="002B51BC" w:rsidRDefault="001B1868" w:rsidP="00855CC4">
            <w:pPr>
              <w:pStyle w:val="TableTextEntries"/>
            </w:pPr>
          </w:p>
        </w:tc>
        <w:tc>
          <w:tcPr>
            <w:tcW w:w="682" w:type="pct"/>
            <w:vMerge/>
            <w:shd w:val="clear" w:color="auto" w:fill="auto"/>
          </w:tcPr>
          <w:p w:rsidR="001B1868" w:rsidRPr="00FE4491" w:rsidRDefault="001B1868" w:rsidP="00855CC4">
            <w:pPr>
              <w:pStyle w:val="TableTextEntries"/>
            </w:pPr>
          </w:p>
        </w:tc>
        <w:tc>
          <w:tcPr>
            <w:tcW w:w="935" w:type="pct"/>
            <w:shd w:val="clear" w:color="auto" w:fill="auto"/>
          </w:tcPr>
          <w:p w:rsidR="001B1868" w:rsidRPr="00FE4491" w:rsidRDefault="001B1868" w:rsidP="00855CC4">
            <w:pPr>
              <w:pStyle w:val="TableTextEntries"/>
            </w:pPr>
            <w:r>
              <w:t>2012</w:t>
            </w:r>
          </w:p>
        </w:tc>
        <w:tc>
          <w:tcPr>
            <w:tcW w:w="393" w:type="pct"/>
            <w:shd w:val="clear" w:color="auto" w:fill="9BBB59" w:themeFill="accent3"/>
            <w:noWrap/>
          </w:tcPr>
          <w:p w:rsidR="001B1868" w:rsidRPr="00FE4491" w:rsidRDefault="001B1868" w:rsidP="00855CC4">
            <w:pPr>
              <w:pStyle w:val="TableTextEntries"/>
              <w:jc w:val="center"/>
            </w:pPr>
            <w:r>
              <w:t>5</w:t>
            </w:r>
          </w:p>
        </w:tc>
        <w:tc>
          <w:tcPr>
            <w:tcW w:w="383" w:type="pct"/>
            <w:shd w:val="clear" w:color="auto" w:fill="FFFF00"/>
            <w:noWrap/>
          </w:tcPr>
          <w:p w:rsidR="001B1868" w:rsidRPr="00FE4491" w:rsidRDefault="001B1868" w:rsidP="00855CC4">
            <w:pPr>
              <w:pStyle w:val="TableTextEntries"/>
              <w:jc w:val="center"/>
            </w:pPr>
            <w:r>
              <w:t>4</w:t>
            </w:r>
          </w:p>
        </w:tc>
        <w:tc>
          <w:tcPr>
            <w:tcW w:w="383" w:type="pct"/>
            <w:shd w:val="clear" w:color="auto" w:fill="F79646" w:themeFill="accent6"/>
            <w:noWrap/>
          </w:tcPr>
          <w:p w:rsidR="001B1868" w:rsidRPr="00FE4491" w:rsidRDefault="001B1868" w:rsidP="00855CC4">
            <w:pPr>
              <w:pStyle w:val="TableTextEntries"/>
              <w:jc w:val="center"/>
            </w:pPr>
            <w:r>
              <w:t>3</w:t>
            </w:r>
          </w:p>
        </w:tc>
        <w:tc>
          <w:tcPr>
            <w:tcW w:w="416" w:type="pct"/>
            <w:shd w:val="clear" w:color="auto" w:fill="FF0000"/>
            <w:noWrap/>
          </w:tcPr>
          <w:p w:rsidR="001B1868" w:rsidRPr="00FE4491" w:rsidRDefault="001B1868" w:rsidP="00855CC4">
            <w:pPr>
              <w:pStyle w:val="TableTextEntries"/>
              <w:jc w:val="center"/>
            </w:pPr>
            <w:r>
              <w:t>2</w:t>
            </w:r>
          </w:p>
        </w:tc>
        <w:tc>
          <w:tcPr>
            <w:tcW w:w="372" w:type="pct"/>
            <w:shd w:val="clear" w:color="auto" w:fill="FFFF00"/>
            <w:noWrap/>
          </w:tcPr>
          <w:p w:rsidR="001B1868" w:rsidRPr="00FE4491" w:rsidRDefault="001B1868" w:rsidP="00855CC4">
            <w:pPr>
              <w:pStyle w:val="TableTextEntries"/>
              <w:jc w:val="center"/>
            </w:pPr>
            <w:r>
              <w:t>4</w:t>
            </w:r>
          </w:p>
        </w:tc>
        <w:tc>
          <w:tcPr>
            <w:tcW w:w="378" w:type="pct"/>
            <w:shd w:val="clear" w:color="auto" w:fill="FF0000"/>
            <w:noWrap/>
          </w:tcPr>
          <w:p w:rsidR="001B1868" w:rsidRPr="00FE4491" w:rsidRDefault="001B1868" w:rsidP="00855CC4">
            <w:pPr>
              <w:pStyle w:val="TableTextEntries"/>
              <w:jc w:val="center"/>
            </w:pPr>
            <w:r>
              <w:t>1</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val="restart"/>
          </w:tcPr>
          <w:p w:rsidR="006A6E2D" w:rsidRPr="008957E9" w:rsidRDefault="006A6E2D" w:rsidP="00855CC4">
            <w:pPr>
              <w:pStyle w:val="TableTextEntries"/>
              <w:rPr>
                <w:rFonts w:eastAsia="SimSun"/>
              </w:rPr>
            </w:pPr>
            <w:r w:rsidRPr="008957E9">
              <w:rPr>
                <w:rFonts w:eastAsia="SimSun"/>
              </w:rPr>
              <w:t xml:space="preserve">Interim </w:t>
            </w:r>
            <w:r>
              <w:rPr>
                <w:rFonts w:eastAsia="SimSun"/>
              </w:rPr>
              <w:t>Support to the Ministry of Finance</w:t>
            </w:r>
          </w:p>
        </w:tc>
        <w:tc>
          <w:tcPr>
            <w:tcW w:w="682" w:type="pct"/>
            <w:vMerge w:val="restart"/>
          </w:tcPr>
          <w:p w:rsidR="006A6E2D" w:rsidRPr="00FE4491" w:rsidRDefault="006A6E2D" w:rsidP="00855CC4">
            <w:pPr>
              <w:pStyle w:val="TableTextEntries"/>
            </w:pPr>
            <w:r>
              <w:t>28/10/2011 – 30/06/2014 $4,101,000</w:t>
            </w:r>
          </w:p>
        </w:tc>
        <w:tc>
          <w:tcPr>
            <w:tcW w:w="935" w:type="pct"/>
          </w:tcPr>
          <w:p w:rsidR="006A6E2D" w:rsidRPr="00FE4491" w:rsidRDefault="006A6E2D" w:rsidP="00855CC4">
            <w:pPr>
              <w:pStyle w:val="TableTextEntries"/>
            </w:pPr>
            <w:r>
              <w:t>2013</w:t>
            </w:r>
          </w:p>
        </w:tc>
        <w:tc>
          <w:tcPr>
            <w:tcW w:w="393" w:type="pct"/>
            <w:shd w:val="clear" w:color="auto" w:fill="9BBB59" w:themeFill="accent3"/>
            <w:noWrap/>
          </w:tcPr>
          <w:p w:rsidR="006A6E2D" w:rsidRPr="00FE4491" w:rsidRDefault="006A6E2D" w:rsidP="00855CC4">
            <w:pPr>
              <w:pStyle w:val="TableTextEntries"/>
              <w:jc w:val="center"/>
            </w:pPr>
            <w:r>
              <w:t>5</w:t>
            </w:r>
          </w:p>
        </w:tc>
        <w:tc>
          <w:tcPr>
            <w:tcW w:w="383" w:type="pct"/>
            <w:shd w:val="clear" w:color="auto" w:fill="9BBB59" w:themeFill="accent3"/>
            <w:noWrap/>
          </w:tcPr>
          <w:p w:rsidR="006A6E2D" w:rsidRPr="00FE4491" w:rsidRDefault="006A6E2D" w:rsidP="00855CC4">
            <w:pPr>
              <w:pStyle w:val="TableTextEntries"/>
              <w:jc w:val="center"/>
            </w:pPr>
            <w:r>
              <w:t>5</w:t>
            </w:r>
          </w:p>
        </w:tc>
        <w:tc>
          <w:tcPr>
            <w:tcW w:w="383" w:type="pct"/>
            <w:shd w:val="clear" w:color="auto" w:fill="FFFF00"/>
            <w:noWrap/>
          </w:tcPr>
          <w:p w:rsidR="006A6E2D" w:rsidRPr="00FE4491" w:rsidRDefault="006A6E2D" w:rsidP="00855CC4">
            <w:pPr>
              <w:pStyle w:val="TableTextEntries"/>
              <w:jc w:val="center"/>
            </w:pPr>
            <w:r>
              <w:t>4</w:t>
            </w:r>
          </w:p>
        </w:tc>
        <w:tc>
          <w:tcPr>
            <w:tcW w:w="416" w:type="pct"/>
            <w:shd w:val="clear" w:color="auto" w:fill="F79646" w:themeFill="accent6"/>
            <w:noWrap/>
          </w:tcPr>
          <w:p w:rsidR="006A6E2D" w:rsidRPr="00FE4491" w:rsidRDefault="006A6E2D" w:rsidP="00855CC4">
            <w:pPr>
              <w:pStyle w:val="TableTextEntries"/>
              <w:jc w:val="center"/>
            </w:pPr>
            <w:r>
              <w:t>3</w:t>
            </w:r>
          </w:p>
        </w:tc>
        <w:tc>
          <w:tcPr>
            <w:tcW w:w="372" w:type="pct"/>
            <w:shd w:val="clear" w:color="auto" w:fill="9BBB59" w:themeFill="accent3"/>
            <w:noWrap/>
          </w:tcPr>
          <w:p w:rsidR="006A6E2D" w:rsidRPr="00FE4491" w:rsidRDefault="006A6E2D" w:rsidP="00855CC4">
            <w:pPr>
              <w:pStyle w:val="TableTextEntries"/>
              <w:jc w:val="center"/>
            </w:pPr>
            <w:r>
              <w:t>5</w:t>
            </w:r>
          </w:p>
        </w:tc>
        <w:tc>
          <w:tcPr>
            <w:tcW w:w="378" w:type="pct"/>
            <w:shd w:val="clear" w:color="auto" w:fill="FF0000"/>
            <w:noWrap/>
          </w:tcPr>
          <w:p w:rsidR="006A6E2D" w:rsidRPr="00FE4491" w:rsidRDefault="006A6E2D" w:rsidP="00855CC4">
            <w:pPr>
              <w:pStyle w:val="TableTextEntries"/>
              <w:jc w:val="center"/>
            </w:pPr>
            <w:r>
              <w:t>1</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tcPr>
          <w:p w:rsidR="006A6E2D" w:rsidRPr="001033BE" w:rsidRDefault="006A6E2D" w:rsidP="00855CC4">
            <w:pPr>
              <w:pStyle w:val="TableTextEntries"/>
              <w:rPr>
                <w:rFonts w:eastAsia="SimSun"/>
                <w:b/>
              </w:rPr>
            </w:pPr>
          </w:p>
        </w:tc>
        <w:tc>
          <w:tcPr>
            <w:tcW w:w="682" w:type="pct"/>
            <w:vMerge/>
          </w:tcPr>
          <w:p w:rsidR="006A6E2D" w:rsidRPr="00FE4491" w:rsidRDefault="006A6E2D" w:rsidP="00855CC4">
            <w:pPr>
              <w:pStyle w:val="TableTextEntries"/>
            </w:pPr>
          </w:p>
        </w:tc>
        <w:tc>
          <w:tcPr>
            <w:tcW w:w="935" w:type="pct"/>
          </w:tcPr>
          <w:p w:rsidR="006A6E2D" w:rsidRPr="00FE4491" w:rsidRDefault="006A6E2D" w:rsidP="00855CC4">
            <w:pPr>
              <w:pStyle w:val="TableTextEntries"/>
            </w:pPr>
            <w:r>
              <w:t>2012</w:t>
            </w:r>
          </w:p>
        </w:tc>
        <w:tc>
          <w:tcPr>
            <w:tcW w:w="393" w:type="pct"/>
            <w:shd w:val="clear" w:color="auto" w:fill="9BBB59" w:themeFill="accent3"/>
            <w:noWrap/>
          </w:tcPr>
          <w:p w:rsidR="006A6E2D" w:rsidRPr="00FE4491" w:rsidRDefault="006A6E2D" w:rsidP="00855CC4">
            <w:pPr>
              <w:pStyle w:val="TableTextEntries"/>
              <w:jc w:val="center"/>
            </w:pPr>
            <w:r>
              <w:t>5</w:t>
            </w:r>
          </w:p>
        </w:tc>
        <w:tc>
          <w:tcPr>
            <w:tcW w:w="383" w:type="pct"/>
            <w:shd w:val="clear" w:color="auto" w:fill="9BBB59" w:themeFill="accent3"/>
            <w:noWrap/>
          </w:tcPr>
          <w:p w:rsidR="006A6E2D" w:rsidRPr="00FE4491" w:rsidRDefault="006A6E2D" w:rsidP="00855CC4">
            <w:pPr>
              <w:pStyle w:val="TableTextEntries"/>
              <w:jc w:val="center"/>
            </w:pPr>
            <w:r>
              <w:t>5</w:t>
            </w:r>
          </w:p>
        </w:tc>
        <w:tc>
          <w:tcPr>
            <w:tcW w:w="383" w:type="pct"/>
            <w:shd w:val="clear" w:color="auto" w:fill="FFFF00"/>
            <w:noWrap/>
          </w:tcPr>
          <w:p w:rsidR="006A6E2D" w:rsidRPr="00FE4491" w:rsidRDefault="006A6E2D" w:rsidP="00855CC4">
            <w:pPr>
              <w:pStyle w:val="TableTextEntries"/>
              <w:jc w:val="center"/>
            </w:pPr>
            <w:r>
              <w:t>4</w:t>
            </w:r>
          </w:p>
        </w:tc>
        <w:tc>
          <w:tcPr>
            <w:tcW w:w="416" w:type="pct"/>
            <w:shd w:val="clear" w:color="auto" w:fill="F79646" w:themeFill="accent6"/>
            <w:noWrap/>
          </w:tcPr>
          <w:p w:rsidR="006A6E2D" w:rsidRPr="00FE4491" w:rsidRDefault="006A6E2D" w:rsidP="00855CC4">
            <w:pPr>
              <w:pStyle w:val="TableTextEntries"/>
              <w:jc w:val="center"/>
            </w:pPr>
            <w:r>
              <w:t>3</w:t>
            </w:r>
          </w:p>
        </w:tc>
        <w:tc>
          <w:tcPr>
            <w:tcW w:w="372" w:type="pct"/>
            <w:shd w:val="clear" w:color="auto" w:fill="9BBB59" w:themeFill="accent3"/>
            <w:noWrap/>
          </w:tcPr>
          <w:p w:rsidR="006A6E2D" w:rsidRPr="00FE4491" w:rsidRDefault="006A6E2D" w:rsidP="00855CC4">
            <w:pPr>
              <w:pStyle w:val="TableTextEntries"/>
              <w:jc w:val="center"/>
            </w:pPr>
            <w:r>
              <w:t>5</w:t>
            </w:r>
          </w:p>
        </w:tc>
        <w:tc>
          <w:tcPr>
            <w:tcW w:w="378" w:type="pct"/>
            <w:shd w:val="clear" w:color="auto" w:fill="FF0000"/>
            <w:noWrap/>
          </w:tcPr>
          <w:p w:rsidR="006A6E2D" w:rsidRPr="00FE4491" w:rsidRDefault="006A6E2D" w:rsidP="00855CC4">
            <w:pPr>
              <w:pStyle w:val="TableTextEntries"/>
              <w:jc w:val="center"/>
            </w:pPr>
            <w:r>
              <w:t>1</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val="restart"/>
          </w:tcPr>
          <w:p w:rsidR="006A6E2D" w:rsidRPr="008957E9" w:rsidRDefault="006A6E2D" w:rsidP="00855CC4">
            <w:pPr>
              <w:pStyle w:val="TableTextEntries"/>
              <w:rPr>
                <w:rFonts w:eastAsia="SimSun"/>
              </w:rPr>
            </w:pPr>
            <w:r w:rsidRPr="008957E9">
              <w:rPr>
                <w:rFonts w:eastAsia="SimSun"/>
              </w:rPr>
              <w:t>Market Development Facility</w:t>
            </w:r>
          </w:p>
        </w:tc>
        <w:tc>
          <w:tcPr>
            <w:tcW w:w="682" w:type="pct"/>
            <w:vMerge w:val="restart"/>
          </w:tcPr>
          <w:p w:rsidR="006A6E2D" w:rsidRPr="00FE4491" w:rsidRDefault="006A6E2D" w:rsidP="00855CC4">
            <w:pPr>
              <w:pStyle w:val="TableTextEntries"/>
            </w:pPr>
            <w:r>
              <w:t>29/04/2013 – 30/06/2017 $8,000,000</w:t>
            </w:r>
          </w:p>
        </w:tc>
        <w:tc>
          <w:tcPr>
            <w:tcW w:w="935" w:type="pct"/>
          </w:tcPr>
          <w:p w:rsidR="006A6E2D" w:rsidRPr="00FE4491" w:rsidRDefault="006A6E2D" w:rsidP="00855CC4">
            <w:pPr>
              <w:pStyle w:val="TableTextEntries"/>
            </w:pPr>
            <w:r>
              <w:t>2013</w:t>
            </w:r>
          </w:p>
        </w:tc>
        <w:tc>
          <w:tcPr>
            <w:tcW w:w="393" w:type="pct"/>
            <w:shd w:val="clear" w:color="auto" w:fill="9BBB59" w:themeFill="accent3"/>
            <w:noWrap/>
          </w:tcPr>
          <w:p w:rsidR="006A6E2D" w:rsidRPr="00FE4491" w:rsidRDefault="006A6E2D" w:rsidP="00855CC4">
            <w:pPr>
              <w:pStyle w:val="TableTextEntries"/>
              <w:jc w:val="center"/>
            </w:pPr>
            <w:r>
              <w:t>5</w:t>
            </w:r>
          </w:p>
        </w:tc>
        <w:tc>
          <w:tcPr>
            <w:tcW w:w="383" w:type="pct"/>
            <w:shd w:val="clear" w:color="auto" w:fill="FFFF00"/>
            <w:noWrap/>
          </w:tcPr>
          <w:p w:rsidR="006A6E2D" w:rsidRPr="00FE4491" w:rsidRDefault="006A6E2D" w:rsidP="00855CC4">
            <w:pPr>
              <w:pStyle w:val="TableTextEntries"/>
              <w:jc w:val="center"/>
            </w:pPr>
            <w:r>
              <w:t>4</w:t>
            </w:r>
          </w:p>
        </w:tc>
        <w:tc>
          <w:tcPr>
            <w:tcW w:w="383" w:type="pct"/>
            <w:shd w:val="clear" w:color="auto" w:fill="FFFF00"/>
            <w:noWrap/>
          </w:tcPr>
          <w:p w:rsidR="006A6E2D" w:rsidRPr="00FE4491" w:rsidRDefault="006A6E2D" w:rsidP="00855CC4">
            <w:pPr>
              <w:pStyle w:val="TableTextEntries"/>
              <w:jc w:val="center"/>
            </w:pPr>
            <w:r>
              <w:t>4</w:t>
            </w:r>
          </w:p>
        </w:tc>
        <w:tc>
          <w:tcPr>
            <w:tcW w:w="416" w:type="pct"/>
            <w:shd w:val="clear" w:color="auto" w:fill="FFFF00"/>
            <w:noWrap/>
          </w:tcPr>
          <w:p w:rsidR="006A6E2D" w:rsidRPr="00FE4491" w:rsidRDefault="006A6E2D" w:rsidP="00855CC4">
            <w:pPr>
              <w:pStyle w:val="TableTextEntries"/>
              <w:jc w:val="center"/>
            </w:pPr>
            <w:r>
              <w:t>4</w:t>
            </w:r>
          </w:p>
        </w:tc>
        <w:tc>
          <w:tcPr>
            <w:tcW w:w="372" w:type="pct"/>
            <w:shd w:val="clear" w:color="auto" w:fill="FFFF00"/>
            <w:noWrap/>
          </w:tcPr>
          <w:p w:rsidR="006A6E2D" w:rsidRPr="00FE4491" w:rsidRDefault="006A6E2D" w:rsidP="00855CC4">
            <w:pPr>
              <w:pStyle w:val="TableTextEntries"/>
              <w:jc w:val="center"/>
            </w:pPr>
            <w:r>
              <w:t>4</w:t>
            </w:r>
          </w:p>
        </w:tc>
        <w:tc>
          <w:tcPr>
            <w:tcW w:w="378" w:type="pct"/>
            <w:shd w:val="clear" w:color="auto" w:fill="F79646" w:themeFill="accent6"/>
            <w:noWrap/>
          </w:tcPr>
          <w:p w:rsidR="006A6E2D" w:rsidRPr="00FE4491" w:rsidRDefault="006A6E2D" w:rsidP="00855CC4">
            <w:pPr>
              <w:pStyle w:val="TableTextEntries"/>
              <w:jc w:val="center"/>
            </w:pPr>
            <w:r>
              <w:t>3</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tcPr>
          <w:p w:rsidR="006A6E2D" w:rsidRPr="008957E9" w:rsidRDefault="006A6E2D" w:rsidP="00855CC4">
            <w:pPr>
              <w:pStyle w:val="TableTextEntries"/>
              <w:rPr>
                <w:rFonts w:eastAsia="SimSun"/>
              </w:rPr>
            </w:pPr>
          </w:p>
        </w:tc>
        <w:tc>
          <w:tcPr>
            <w:tcW w:w="682" w:type="pct"/>
            <w:vMerge/>
          </w:tcPr>
          <w:p w:rsidR="006A6E2D" w:rsidRPr="00FE4491" w:rsidRDefault="006A6E2D" w:rsidP="00855CC4">
            <w:pPr>
              <w:pStyle w:val="TableTextEntries"/>
            </w:pPr>
          </w:p>
        </w:tc>
        <w:tc>
          <w:tcPr>
            <w:tcW w:w="935" w:type="pct"/>
          </w:tcPr>
          <w:p w:rsidR="006A6E2D" w:rsidRPr="00FE4491" w:rsidRDefault="006A6E2D" w:rsidP="00855CC4">
            <w:pPr>
              <w:pStyle w:val="TableTextEntries"/>
            </w:pPr>
            <w:r>
              <w:t>2012</w:t>
            </w:r>
          </w:p>
        </w:tc>
        <w:tc>
          <w:tcPr>
            <w:tcW w:w="393" w:type="pct"/>
            <w:noWrap/>
          </w:tcPr>
          <w:p w:rsidR="006A6E2D" w:rsidRPr="00FE4491" w:rsidRDefault="006A6E2D" w:rsidP="00855CC4">
            <w:pPr>
              <w:pStyle w:val="TableTextEntries"/>
              <w:jc w:val="center"/>
            </w:pPr>
          </w:p>
        </w:tc>
        <w:tc>
          <w:tcPr>
            <w:tcW w:w="383" w:type="pct"/>
            <w:noWrap/>
          </w:tcPr>
          <w:p w:rsidR="006A6E2D" w:rsidRPr="00FE4491" w:rsidRDefault="006A6E2D" w:rsidP="00855CC4">
            <w:pPr>
              <w:pStyle w:val="TableTextEntries"/>
              <w:jc w:val="center"/>
            </w:pPr>
          </w:p>
        </w:tc>
        <w:tc>
          <w:tcPr>
            <w:tcW w:w="383" w:type="pct"/>
            <w:noWrap/>
          </w:tcPr>
          <w:p w:rsidR="006A6E2D" w:rsidRPr="00FE4491" w:rsidRDefault="006A6E2D" w:rsidP="00855CC4">
            <w:pPr>
              <w:pStyle w:val="TableTextEntries"/>
              <w:jc w:val="center"/>
            </w:pPr>
          </w:p>
        </w:tc>
        <w:tc>
          <w:tcPr>
            <w:tcW w:w="416" w:type="pct"/>
            <w:noWrap/>
          </w:tcPr>
          <w:p w:rsidR="006A6E2D" w:rsidRPr="00FE4491" w:rsidRDefault="006A6E2D" w:rsidP="00855CC4">
            <w:pPr>
              <w:pStyle w:val="TableTextEntries"/>
              <w:jc w:val="center"/>
            </w:pPr>
          </w:p>
        </w:tc>
        <w:tc>
          <w:tcPr>
            <w:tcW w:w="372" w:type="pct"/>
            <w:noWrap/>
          </w:tcPr>
          <w:p w:rsidR="006A6E2D" w:rsidRPr="00FE4491" w:rsidRDefault="006A6E2D" w:rsidP="00855CC4">
            <w:pPr>
              <w:pStyle w:val="TableTextEntries"/>
              <w:jc w:val="center"/>
            </w:pPr>
          </w:p>
        </w:tc>
        <w:tc>
          <w:tcPr>
            <w:tcW w:w="378" w:type="pct"/>
            <w:noWrap/>
          </w:tcPr>
          <w:p w:rsidR="006A6E2D" w:rsidRPr="00FE4491" w:rsidRDefault="006A6E2D" w:rsidP="00855CC4">
            <w:pPr>
              <w:pStyle w:val="TableTextEntries"/>
              <w:jc w:val="center"/>
            </w:pP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tcPr>
          <w:p w:rsidR="001B1868" w:rsidRPr="001033BE" w:rsidRDefault="001B1868" w:rsidP="00855CC4">
            <w:pPr>
              <w:pStyle w:val="TableTextEntries"/>
              <w:rPr>
                <w:rFonts w:eastAsia="SimSun"/>
                <w:b/>
              </w:rPr>
            </w:pPr>
            <w:r w:rsidRPr="001033BE">
              <w:rPr>
                <w:rFonts w:eastAsia="SimSun"/>
                <w:b/>
              </w:rPr>
              <w:t xml:space="preserve">Objective 8: Community driven development </w:t>
            </w:r>
          </w:p>
        </w:tc>
        <w:tc>
          <w:tcPr>
            <w:tcW w:w="682" w:type="pct"/>
          </w:tcPr>
          <w:p w:rsidR="001B1868" w:rsidRPr="00FE4491" w:rsidRDefault="001B1868" w:rsidP="00855CC4">
            <w:pPr>
              <w:pStyle w:val="TableTextEntries"/>
            </w:pPr>
          </w:p>
        </w:tc>
        <w:tc>
          <w:tcPr>
            <w:tcW w:w="935" w:type="pct"/>
          </w:tcPr>
          <w:p w:rsidR="001B1868" w:rsidRPr="00FE4491" w:rsidRDefault="001B1868" w:rsidP="00855CC4">
            <w:pPr>
              <w:pStyle w:val="TableTextEntries"/>
            </w:pPr>
          </w:p>
        </w:tc>
        <w:tc>
          <w:tcPr>
            <w:tcW w:w="393" w:type="pct"/>
            <w:noWrap/>
          </w:tcPr>
          <w:p w:rsidR="001B1868" w:rsidRPr="00FE4491" w:rsidRDefault="001B1868" w:rsidP="00855CC4">
            <w:pPr>
              <w:pStyle w:val="TableTextEntries"/>
              <w:jc w:val="center"/>
            </w:pPr>
          </w:p>
        </w:tc>
        <w:tc>
          <w:tcPr>
            <w:tcW w:w="383" w:type="pct"/>
            <w:noWrap/>
          </w:tcPr>
          <w:p w:rsidR="001B1868" w:rsidRPr="00FE4491" w:rsidRDefault="001B1868" w:rsidP="00855CC4">
            <w:pPr>
              <w:pStyle w:val="TableTextEntries"/>
              <w:jc w:val="center"/>
            </w:pPr>
          </w:p>
        </w:tc>
        <w:tc>
          <w:tcPr>
            <w:tcW w:w="383" w:type="pct"/>
            <w:noWrap/>
          </w:tcPr>
          <w:p w:rsidR="001B1868" w:rsidRPr="00FE4491" w:rsidRDefault="001B1868" w:rsidP="00855CC4">
            <w:pPr>
              <w:pStyle w:val="TableTextEntries"/>
              <w:jc w:val="center"/>
            </w:pPr>
          </w:p>
        </w:tc>
        <w:tc>
          <w:tcPr>
            <w:tcW w:w="416" w:type="pct"/>
            <w:noWrap/>
          </w:tcPr>
          <w:p w:rsidR="001B1868" w:rsidRPr="00FE4491" w:rsidRDefault="001B1868" w:rsidP="00855CC4">
            <w:pPr>
              <w:pStyle w:val="TableTextEntries"/>
              <w:jc w:val="center"/>
            </w:pPr>
          </w:p>
        </w:tc>
        <w:tc>
          <w:tcPr>
            <w:tcW w:w="372" w:type="pct"/>
            <w:noWrap/>
          </w:tcPr>
          <w:p w:rsidR="001B1868" w:rsidRPr="00FE4491" w:rsidRDefault="001B1868" w:rsidP="00855CC4">
            <w:pPr>
              <w:pStyle w:val="TableTextEntries"/>
              <w:jc w:val="center"/>
            </w:pPr>
          </w:p>
        </w:tc>
        <w:tc>
          <w:tcPr>
            <w:tcW w:w="378" w:type="pct"/>
            <w:noWrap/>
          </w:tcPr>
          <w:p w:rsidR="001B1868" w:rsidRPr="00FE4491" w:rsidRDefault="001B1868" w:rsidP="00855CC4">
            <w:pPr>
              <w:pStyle w:val="TableTextEntries"/>
              <w:jc w:val="center"/>
            </w:pP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val="restart"/>
          </w:tcPr>
          <w:p w:rsidR="006A6E2D" w:rsidRPr="001033BE" w:rsidRDefault="006A6E2D" w:rsidP="00855CC4">
            <w:pPr>
              <w:pStyle w:val="TableTextEntries"/>
            </w:pPr>
            <w:r>
              <w:t>National Program f</w:t>
            </w:r>
            <w:r w:rsidRPr="001033BE">
              <w:t>o</w:t>
            </w:r>
            <w:r>
              <w:t>r</w:t>
            </w:r>
            <w:r w:rsidRPr="001033BE">
              <w:t xml:space="preserve"> Village Development</w:t>
            </w:r>
          </w:p>
        </w:tc>
        <w:tc>
          <w:tcPr>
            <w:tcW w:w="682" w:type="pct"/>
            <w:vMerge w:val="restart"/>
          </w:tcPr>
          <w:p w:rsidR="006A6E2D" w:rsidRPr="00FE4491" w:rsidRDefault="006A6E2D" w:rsidP="00855CC4">
            <w:pPr>
              <w:pStyle w:val="TableTextEntries"/>
            </w:pPr>
            <w:r>
              <w:t>01/07/2012 – 30/06/2017 $55,833,320</w:t>
            </w:r>
          </w:p>
        </w:tc>
        <w:tc>
          <w:tcPr>
            <w:tcW w:w="935" w:type="pct"/>
          </w:tcPr>
          <w:p w:rsidR="006A6E2D" w:rsidRPr="00FE4491" w:rsidRDefault="006A6E2D" w:rsidP="00855CC4">
            <w:pPr>
              <w:pStyle w:val="TableTextEntries"/>
            </w:pPr>
            <w:r>
              <w:t>2013</w:t>
            </w:r>
          </w:p>
        </w:tc>
        <w:tc>
          <w:tcPr>
            <w:tcW w:w="393" w:type="pct"/>
            <w:shd w:val="clear" w:color="auto" w:fill="9BBB59" w:themeFill="accent3"/>
            <w:noWrap/>
          </w:tcPr>
          <w:p w:rsidR="006A6E2D" w:rsidRPr="00FE4491" w:rsidRDefault="006A6E2D" w:rsidP="00855CC4">
            <w:pPr>
              <w:pStyle w:val="TableTextEntries"/>
              <w:jc w:val="center"/>
            </w:pPr>
            <w:r>
              <w:t>5</w:t>
            </w:r>
          </w:p>
        </w:tc>
        <w:tc>
          <w:tcPr>
            <w:tcW w:w="383" w:type="pct"/>
            <w:shd w:val="clear" w:color="auto" w:fill="9BBB59" w:themeFill="accent3"/>
            <w:noWrap/>
          </w:tcPr>
          <w:p w:rsidR="006A6E2D" w:rsidRPr="00FE4491" w:rsidRDefault="006A6E2D" w:rsidP="00855CC4">
            <w:pPr>
              <w:pStyle w:val="TableTextEntries"/>
              <w:jc w:val="center"/>
            </w:pPr>
            <w:r>
              <w:t>5</w:t>
            </w:r>
          </w:p>
        </w:tc>
        <w:tc>
          <w:tcPr>
            <w:tcW w:w="383" w:type="pct"/>
            <w:shd w:val="clear" w:color="auto" w:fill="9BBB59" w:themeFill="accent3"/>
            <w:noWrap/>
          </w:tcPr>
          <w:p w:rsidR="006A6E2D" w:rsidRPr="00FE4491" w:rsidRDefault="006A6E2D" w:rsidP="00855CC4">
            <w:pPr>
              <w:pStyle w:val="TableTextEntries"/>
              <w:jc w:val="center"/>
            </w:pPr>
            <w:r>
              <w:t>5</w:t>
            </w:r>
          </w:p>
        </w:tc>
        <w:tc>
          <w:tcPr>
            <w:tcW w:w="416" w:type="pct"/>
            <w:shd w:val="clear" w:color="auto" w:fill="9BBB59" w:themeFill="accent3"/>
            <w:noWrap/>
          </w:tcPr>
          <w:p w:rsidR="006A6E2D" w:rsidRPr="00FE4491" w:rsidRDefault="006A6E2D" w:rsidP="00855CC4">
            <w:pPr>
              <w:pStyle w:val="TableTextEntries"/>
              <w:jc w:val="center"/>
            </w:pPr>
            <w:r>
              <w:t>5</w:t>
            </w:r>
          </w:p>
        </w:tc>
        <w:tc>
          <w:tcPr>
            <w:tcW w:w="372" w:type="pct"/>
            <w:shd w:val="clear" w:color="auto" w:fill="9BBB59" w:themeFill="accent3"/>
            <w:noWrap/>
          </w:tcPr>
          <w:p w:rsidR="006A6E2D" w:rsidRPr="00FE4491" w:rsidRDefault="006A6E2D" w:rsidP="00855CC4">
            <w:pPr>
              <w:pStyle w:val="TableTextEntries"/>
              <w:jc w:val="center"/>
            </w:pPr>
            <w:r>
              <w:t>5</w:t>
            </w:r>
          </w:p>
        </w:tc>
        <w:tc>
          <w:tcPr>
            <w:tcW w:w="378" w:type="pct"/>
            <w:shd w:val="clear" w:color="auto" w:fill="9BBB59" w:themeFill="accent3"/>
            <w:noWrap/>
          </w:tcPr>
          <w:p w:rsidR="006A6E2D" w:rsidRPr="00FE4491" w:rsidRDefault="006A6E2D" w:rsidP="00855CC4">
            <w:pPr>
              <w:pStyle w:val="TableTextEntries"/>
              <w:jc w:val="center"/>
            </w:pPr>
            <w:r>
              <w:t>5</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tcPr>
          <w:p w:rsidR="006A6E2D" w:rsidRDefault="006A6E2D" w:rsidP="00855CC4">
            <w:pPr>
              <w:pStyle w:val="TableTextEntries"/>
            </w:pPr>
          </w:p>
        </w:tc>
        <w:tc>
          <w:tcPr>
            <w:tcW w:w="682" w:type="pct"/>
            <w:vMerge/>
          </w:tcPr>
          <w:p w:rsidR="006A6E2D" w:rsidRPr="00FE4491" w:rsidRDefault="006A6E2D" w:rsidP="00855CC4">
            <w:pPr>
              <w:pStyle w:val="TableTextEntries"/>
            </w:pPr>
          </w:p>
        </w:tc>
        <w:tc>
          <w:tcPr>
            <w:tcW w:w="935" w:type="pct"/>
          </w:tcPr>
          <w:p w:rsidR="006A6E2D" w:rsidRPr="00FE4491" w:rsidRDefault="006A6E2D" w:rsidP="00855CC4">
            <w:pPr>
              <w:pStyle w:val="TableTextEntries"/>
            </w:pPr>
            <w:r>
              <w:t>2012</w:t>
            </w:r>
          </w:p>
        </w:tc>
        <w:tc>
          <w:tcPr>
            <w:tcW w:w="393" w:type="pct"/>
            <w:shd w:val="clear" w:color="auto" w:fill="9BBB59" w:themeFill="accent3"/>
            <w:noWrap/>
          </w:tcPr>
          <w:p w:rsidR="006A6E2D" w:rsidRPr="00FE4491" w:rsidRDefault="006A6E2D" w:rsidP="00855CC4">
            <w:pPr>
              <w:pStyle w:val="TableTextEntries"/>
              <w:jc w:val="center"/>
            </w:pPr>
            <w:r>
              <w:t>6</w:t>
            </w:r>
          </w:p>
        </w:tc>
        <w:tc>
          <w:tcPr>
            <w:tcW w:w="383" w:type="pct"/>
            <w:shd w:val="clear" w:color="auto" w:fill="9BBB59" w:themeFill="accent3"/>
            <w:noWrap/>
          </w:tcPr>
          <w:p w:rsidR="006A6E2D" w:rsidRPr="00FE4491" w:rsidRDefault="006A6E2D" w:rsidP="00855CC4">
            <w:pPr>
              <w:pStyle w:val="TableTextEntries"/>
              <w:jc w:val="center"/>
            </w:pPr>
            <w:r>
              <w:t>5</w:t>
            </w:r>
          </w:p>
        </w:tc>
        <w:tc>
          <w:tcPr>
            <w:tcW w:w="383" w:type="pct"/>
            <w:shd w:val="clear" w:color="auto" w:fill="FFFF00"/>
            <w:noWrap/>
          </w:tcPr>
          <w:p w:rsidR="006A6E2D" w:rsidRPr="00FE4491" w:rsidRDefault="006A6E2D" w:rsidP="00855CC4">
            <w:pPr>
              <w:pStyle w:val="TableTextEntries"/>
              <w:jc w:val="center"/>
            </w:pPr>
            <w:r>
              <w:t>4</w:t>
            </w:r>
          </w:p>
        </w:tc>
        <w:tc>
          <w:tcPr>
            <w:tcW w:w="416" w:type="pct"/>
            <w:shd w:val="clear" w:color="auto" w:fill="F79646" w:themeFill="accent6"/>
            <w:noWrap/>
          </w:tcPr>
          <w:p w:rsidR="006A6E2D" w:rsidRPr="00FE4491" w:rsidRDefault="006A6E2D" w:rsidP="00855CC4">
            <w:pPr>
              <w:pStyle w:val="TableTextEntries"/>
              <w:jc w:val="center"/>
            </w:pPr>
            <w:r>
              <w:t>3</w:t>
            </w:r>
          </w:p>
        </w:tc>
        <w:tc>
          <w:tcPr>
            <w:tcW w:w="372" w:type="pct"/>
            <w:shd w:val="clear" w:color="auto" w:fill="FFFF00"/>
            <w:noWrap/>
          </w:tcPr>
          <w:p w:rsidR="006A6E2D" w:rsidRPr="00FE4491" w:rsidRDefault="006A6E2D" w:rsidP="00855CC4">
            <w:pPr>
              <w:pStyle w:val="TableTextEntries"/>
              <w:jc w:val="center"/>
            </w:pPr>
            <w:r>
              <w:t>4</w:t>
            </w:r>
          </w:p>
        </w:tc>
        <w:tc>
          <w:tcPr>
            <w:tcW w:w="378" w:type="pct"/>
            <w:shd w:val="clear" w:color="auto" w:fill="9BBB59" w:themeFill="accent3"/>
            <w:noWrap/>
          </w:tcPr>
          <w:p w:rsidR="006A6E2D" w:rsidRPr="00FE4491" w:rsidRDefault="006A6E2D" w:rsidP="00855CC4">
            <w:pPr>
              <w:pStyle w:val="TableTextEntries"/>
              <w:jc w:val="center"/>
            </w:pPr>
            <w:r>
              <w:t>5</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tcPr>
          <w:p w:rsidR="001B1868" w:rsidRPr="005D41C4" w:rsidRDefault="001B1868" w:rsidP="00855CC4">
            <w:pPr>
              <w:pStyle w:val="TableTextEntries"/>
              <w:rPr>
                <w:b/>
              </w:rPr>
            </w:pPr>
            <w:r w:rsidRPr="005D41C4">
              <w:rPr>
                <w:b/>
              </w:rPr>
              <w:t>Cross-sector</w:t>
            </w:r>
          </w:p>
        </w:tc>
        <w:tc>
          <w:tcPr>
            <w:tcW w:w="682" w:type="pct"/>
          </w:tcPr>
          <w:p w:rsidR="001B1868" w:rsidRPr="00FE4491" w:rsidRDefault="001B1868" w:rsidP="00855CC4">
            <w:pPr>
              <w:pStyle w:val="TableTextEntries"/>
            </w:pPr>
          </w:p>
        </w:tc>
        <w:tc>
          <w:tcPr>
            <w:tcW w:w="935" w:type="pct"/>
          </w:tcPr>
          <w:p w:rsidR="001B1868" w:rsidRPr="00FE4491" w:rsidRDefault="001B1868" w:rsidP="00855CC4">
            <w:pPr>
              <w:pStyle w:val="TableTextEntries"/>
            </w:pPr>
          </w:p>
        </w:tc>
        <w:tc>
          <w:tcPr>
            <w:tcW w:w="393" w:type="pct"/>
            <w:noWrap/>
          </w:tcPr>
          <w:p w:rsidR="001B1868" w:rsidRPr="00FE4491" w:rsidRDefault="001B1868" w:rsidP="00855CC4">
            <w:pPr>
              <w:pStyle w:val="TableTextEntries"/>
              <w:jc w:val="center"/>
            </w:pPr>
          </w:p>
        </w:tc>
        <w:tc>
          <w:tcPr>
            <w:tcW w:w="383" w:type="pct"/>
            <w:noWrap/>
          </w:tcPr>
          <w:p w:rsidR="001B1868" w:rsidRPr="00FE4491" w:rsidRDefault="001B1868" w:rsidP="00855CC4">
            <w:pPr>
              <w:pStyle w:val="TableTextEntries"/>
              <w:jc w:val="center"/>
            </w:pPr>
          </w:p>
        </w:tc>
        <w:tc>
          <w:tcPr>
            <w:tcW w:w="383" w:type="pct"/>
            <w:noWrap/>
          </w:tcPr>
          <w:p w:rsidR="001B1868" w:rsidRPr="00FE4491" w:rsidRDefault="001B1868" w:rsidP="00855CC4">
            <w:pPr>
              <w:pStyle w:val="TableTextEntries"/>
              <w:jc w:val="center"/>
            </w:pPr>
          </w:p>
        </w:tc>
        <w:tc>
          <w:tcPr>
            <w:tcW w:w="416" w:type="pct"/>
            <w:noWrap/>
          </w:tcPr>
          <w:p w:rsidR="001B1868" w:rsidRPr="00FE4491" w:rsidRDefault="001B1868" w:rsidP="00855CC4">
            <w:pPr>
              <w:pStyle w:val="TableTextEntries"/>
              <w:jc w:val="center"/>
            </w:pPr>
          </w:p>
        </w:tc>
        <w:tc>
          <w:tcPr>
            <w:tcW w:w="372" w:type="pct"/>
            <w:noWrap/>
          </w:tcPr>
          <w:p w:rsidR="001B1868" w:rsidRPr="00FE4491" w:rsidRDefault="001B1868" w:rsidP="00855CC4">
            <w:pPr>
              <w:pStyle w:val="TableTextEntries"/>
              <w:jc w:val="center"/>
            </w:pPr>
          </w:p>
        </w:tc>
        <w:tc>
          <w:tcPr>
            <w:tcW w:w="378" w:type="pct"/>
            <w:noWrap/>
          </w:tcPr>
          <w:p w:rsidR="001B1868" w:rsidRPr="00FE4491" w:rsidRDefault="001B1868" w:rsidP="00855CC4">
            <w:pPr>
              <w:pStyle w:val="TableTextEntries"/>
              <w:jc w:val="center"/>
            </w:pP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val="restart"/>
          </w:tcPr>
          <w:p w:rsidR="001B1868" w:rsidRPr="002B51BC" w:rsidRDefault="001B1868" w:rsidP="00855CC4">
            <w:pPr>
              <w:pStyle w:val="TableTextEntries"/>
            </w:pPr>
            <w:r w:rsidRPr="002B51BC">
              <w:t>Public Sector Linkages Program</w:t>
            </w:r>
          </w:p>
        </w:tc>
        <w:tc>
          <w:tcPr>
            <w:tcW w:w="682" w:type="pct"/>
            <w:vMerge w:val="restart"/>
          </w:tcPr>
          <w:p w:rsidR="001B1868" w:rsidRPr="00FE4491" w:rsidRDefault="006A6E2D" w:rsidP="00855CC4">
            <w:pPr>
              <w:pStyle w:val="TableTextEntries"/>
            </w:pPr>
            <w:r>
              <w:t>28/04/2005 – 30/06/2015 $6,964,040</w:t>
            </w:r>
          </w:p>
        </w:tc>
        <w:tc>
          <w:tcPr>
            <w:tcW w:w="935" w:type="pct"/>
          </w:tcPr>
          <w:p w:rsidR="001B1868" w:rsidRPr="00FE4491" w:rsidRDefault="001B1868" w:rsidP="00855CC4">
            <w:pPr>
              <w:pStyle w:val="TableTextEntries"/>
            </w:pPr>
            <w:r>
              <w:t>2013</w:t>
            </w:r>
          </w:p>
        </w:tc>
        <w:tc>
          <w:tcPr>
            <w:tcW w:w="393" w:type="pct"/>
            <w:shd w:val="clear" w:color="auto" w:fill="FFFF00"/>
            <w:noWrap/>
          </w:tcPr>
          <w:p w:rsidR="001B1868" w:rsidRPr="00FE4491" w:rsidRDefault="001B1868" w:rsidP="00855CC4">
            <w:pPr>
              <w:pStyle w:val="TableTextEntries"/>
              <w:jc w:val="center"/>
            </w:pPr>
            <w:r>
              <w:t>4</w:t>
            </w:r>
          </w:p>
        </w:tc>
        <w:tc>
          <w:tcPr>
            <w:tcW w:w="383" w:type="pct"/>
            <w:shd w:val="clear" w:color="auto" w:fill="FFFF00"/>
            <w:noWrap/>
          </w:tcPr>
          <w:p w:rsidR="001B1868" w:rsidRPr="00FE4491" w:rsidRDefault="001B1868" w:rsidP="00855CC4">
            <w:pPr>
              <w:pStyle w:val="TableTextEntries"/>
              <w:jc w:val="center"/>
            </w:pPr>
            <w:r>
              <w:t>4</w:t>
            </w:r>
          </w:p>
        </w:tc>
        <w:tc>
          <w:tcPr>
            <w:tcW w:w="383" w:type="pct"/>
            <w:shd w:val="clear" w:color="auto" w:fill="F79646" w:themeFill="accent6"/>
            <w:noWrap/>
          </w:tcPr>
          <w:p w:rsidR="001B1868" w:rsidRPr="00FE4491" w:rsidRDefault="001B1868" w:rsidP="00855CC4">
            <w:pPr>
              <w:pStyle w:val="TableTextEntries"/>
              <w:jc w:val="center"/>
            </w:pPr>
            <w:r>
              <w:t>3</w:t>
            </w:r>
          </w:p>
        </w:tc>
        <w:tc>
          <w:tcPr>
            <w:tcW w:w="416" w:type="pct"/>
            <w:shd w:val="clear" w:color="auto" w:fill="FF0000"/>
            <w:noWrap/>
          </w:tcPr>
          <w:p w:rsidR="001B1868" w:rsidRPr="00FE4491" w:rsidRDefault="001B1868" w:rsidP="00855CC4">
            <w:pPr>
              <w:pStyle w:val="TableTextEntries"/>
              <w:jc w:val="center"/>
            </w:pPr>
            <w:r>
              <w:t>2</w:t>
            </w:r>
          </w:p>
        </w:tc>
        <w:tc>
          <w:tcPr>
            <w:tcW w:w="372" w:type="pct"/>
            <w:shd w:val="clear" w:color="auto" w:fill="F79646" w:themeFill="accent6"/>
            <w:noWrap/>
          </w:tcPr>
          <w:p w:rsidR="001B1868" w:rsidRPr="00FE4491" w:rsidRDefault="001B1868" w:rsidP="00855CC4">
            <w:pPr>
              <w:pStyle w:val="TableTextEntries"/>
              <w:jc w:val="center"/>
            </w:pPr>
            <w:r>
              <w:t>3</w:t>
            </w:r>
          </w:p>
        </w:tc>
        <w:tc>
          <w:tcPr>
            <w:tcW w:w="378" w:type="pct"/>
            <w:shd w:val="clear" w:color="auto" w:fill="F79646" w:themeFill="accent6"/>
            <w:noWrap/>
          </w:tcPr>
          <w:p w:rsidR="001B1868" w:rsidRPr="00FE4491" w:rsidRDefault="001B1868" w:rsidP="00855CC4">
            <w:pPr>
              <w:pStyle w:val="TableTextEntries"/>
              <w:jc w:val="center"/>
            </w:pPr>
            <w:r>
              <w:t>3</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vMerge/>
          </w:tcPr>
          <w:p w:rsidR="001B1868" w:rsidRPr="002B51BC" w:rsidRDefault="001B1868" w:rsidP="00855CC4">
            <w:pPr>
              <w:pStyle w:val="TableTextEntries"/>
            </w:pPr>
          </w:p>
        </w:tc>
        <w:tc>
          <w:tcPr>
            <w:tcW w:w="682" w:type="pct"/>
            <w:vMerge/>
          </w:tcPr>
          <w:p w:rsidR="001B1868" w:rsidRPr="00FE4491" w:rsidRDefault="001B1868" w:rsidP="00855CC4">
            <w:pPr>
              <w:pStyle w:val="TableTextEntries"/>
            </w:pPr>
          </w:p>
        </w:tc>
        <w:tc>
          <w:tcPr>
            <w:tcW w:w="935" w:type="pct"/>
          </w:tcPr>
          <w:p w:rsidR="001B1868" w:rsidRPr="00FE4491" w:rsidRDefault="001B1868" w:rsidP="00855CC4">
            <w:pPr>
              <w:pStyle w:val="TableTextEntries"/>
            </w:pPr>
            <w:r>
              <w:t>2012</w:t>
            </w:r>
          </w:p>
        </w:tc>
        <w:tc>
          <w:tcPr>
            <w:tcW w:w="393" w:type="pct"/>
            <w:shd w:val="clear" w:color="auto" w:fill="FF0000"/>
            <w:noWrap/>
          </w:tcPr>
          <w:p w:rsidR="001B1868" w:rsidRPr="00FE4491" w:rsidRDefault="001B1868" w:rsidP="00855CC4">
            <w:pPr>
              <w:pStyle w:val="TableTextEntries"/>
              <w:jc w:val="center"/>
            </w:pPr>
            <w:r>
              <w:t>2</w:t>
            </w:r>
          </w:p>
        </w:tc>
        <w:tc>
          <w:tcPr>
            <w:tcW w:w="383" w:type="pct"/>
            <w:shd w:val="clear" w:color="auto" w:fill="F79646" w:themeFill="accent6"/>
            <w:noWrap/>
          </w:tcPr>
          <w:p w:rsidR="001B1868" w:rsidRPr="00FE4491" w:rsidRDefault="001B1868" w:rsidP="00855CC4">
            <w:pPr>
              <w:pStyle w:val="TableTextEntries"/>
              <w:jc w:val="center"/>
            </w:pPr>
            <w:r>
              <w:t>3</w:t>
            </w:r>
          </w:p>
        </w:tc>
        <w:tc>
          <w:tcPr>
            <w:tcW w:w="383" w:type="pct"/>
            <w:shd w:val="clear" w:color="auto" w:fill="F79646" w:themeFill="accent6"/>
            <w:noWrap/>
          </w:tcPr>
          <w:p w:rsidR="001B1868" w:rsidRPr="00FE4491" w:rsidRDefault="001B1868" w:rsidP="00855CC4">
            <w:pPr>
              <w:pStyle w:val="TableTextEntries"/>
              <w:jc w:val="center"/>
            </w:pPr>
            <w:r>
              <w:t>3</w:t>
            </w:r>
          </w:p>
        </w:tc>
        <w:tc>
          <w:tcPr>
            <w:tcW w:w="416" w:type="pct"/>
            <w:shd w:val="clear" w:color="auto" w:fill="FF0000"/>
            <w:noWrap/>
          </w:tcPr>
          <w:p w:rsidR="001B1868" w:rsidRPr="00FE4491" w:rsidRDefault="001B1868" w:rsidP="00855CC4">
            <w:pPr>
              <w:pStyle w:val="TableTextEntries"/>
              <w:jc w:val="center"/>
            </w:pPr>
            <w:r>
              <w:t>2</w:t>
            </w:r>
          </w:p>
        </w:tc>
        <w:tc>
          <w:tcPr>
            <w:tcW w:w="372" w:type="pct"/>
            <w:shd w:val="clear" w:color="auto" w:fill="FF0000"/>
            <w:noWrap/>
          </w:tcPr>
          <w:p w:rsidR="001B1868" w:rsidRPr="00FE4491" w:rsidRDefault="001B1868" w:rsidP="00855CC4">
            <w:pPr>
              <w:pStyle w:val="TableTextEntries"/>
              <w:jc w:val="center"/>
            </w:pPr>
            <w:r>
              <w:t>2</w:t>
            </w:r>
          </w:p>
        </w:tc>
        <w:tc>
          <w:tcPr>
            <w:tcW w:w="378" w:type="pct"/>
            <w:shd w:val="clear" w:color="auto" w:fill="FF0000"/>
            <w:noWrap/>
          </w:tcPr>
          <w:p w:rsidR="001B1868" w:rsidRPr="00FE4491" w:rsidRDefault="001B1868" w:rsidP="00855CC4">
            <w:pPr>
              <w:pStyle w:val="TableTextEntries"/>
              <w:jc w:val="center"/>
            </w:pPr>
            <w:r>
              <w:t>2</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tcPr>
          <w:p w:rsidR="006A6E2D" w:rsidRPr="002B51BC" w:rsidRDefault="006A6E2D" w:rsidP="00855CC4">
            <w:pPr>
              <w:pStyle w:val="TableTextEntries"/>
            </w:pPr>
            <w:r>
              <w:lastRenderedPageBreak/>
              <w:t>Humanitarian Response</w:t>
            </w:r>
          </w:p>
        </w:tc>
        <w:tc>
          <w:tcPr>
            <w:tcW w:w="682" w:type="pct"/>
            <w:vMerge w:val="restart"/>
          </w:tcPr>
          <w:p w:rsidR="006A6E2D" w:rsidRPr="00FE4491" w:rsidRDefault="006A6E2D" w:rsidP="00855CC4">
            <w:pPr>
              <w:pStyle w:val="TableTextEntries"/>
            </w:pPr>
            <w:r>
              <w:t>16/08/2007 – 31/03/2014 $8,928,666</w:t>
            </w:r>
          </w:p>
        </w:tc>
        <w:tc>
          <w:tcPr>
            <w:tcW w:w="935" w:type="pct"/>
          </w:tcPr>
          <w:p w:rsidR="006A6E2D" w:rsidRPr="00FE4491" w:rsidRDefault="006A6E2D" w:rsidP="00855CC4">
            <w:pPr>
              <w:pStyle w:val="TableTextEntries"/>
            </w:pPr>
            <w:r>
              <w:t>2013</w:t>
            </w:r>
          </w:p>
        </w:tc>
        <w:tc>
          <w:tcPr>
            <w:tcW w:w="393" w:type="pct"/>
            <w:shd w:val="clear" w:color="auto" w:fill="F79646" w:themeFill="accent6"/>
            <w:noWrap/>
          </w:tcPr>
          <w:p w:rsidR="006A6E2D" w:rsidRPr="00FE4491" w:rsidRDefault="006A6E2D" w:rsidP="00855CC4">
            <w:pPr>
              <w:pStyle w:val="TableTextEntries"/>
              <w:jc w:val="center"/>
            </w:pPr>
            <w:r>
              <w:t>3</w:t>
            </w:r>
          </w:p>
        </w:tc>
        <w:tc>
          <w:tcPr>
            <w:tcW w:w="383" w:type="pct"/>
            <w:shd w:val="clear" w:color="auto" w:fill="F79646" w:themeFill="accent6"/>
            <w:noWrap/>
          </w:tcPr>
          <w:p w:rsidR="006A6E2D" w:rsidRPr="00FE4491" w:rsidRDefault="006A6E2D" w:rsidP="00855CC4">
            <w:pPr>
              <w:pStyle w:val="TableTextEntries"/>
              <w:jc w:val="center"/>
            </w:pPr>
            <w:r>
              <w:t>3</w:t>
            </w:r>
          </w:p>
        </w:tc>
        <w:tc>
          <w:tcPr>
            <w:tcW w:w="383" w:type="pct"/>
            <w:shd w:val="clear" w:color="auto" w:fill="F79646" w:themeFill="accent6"/>
            <w:noWrap/>
          </w:tcPr>
          <w:p w:rsidR="006A6E2D" w:rsidRPr="00FE4491" w:rsidRDefault="006A6E2D" w:rsidP="00855CC4">
            <w:pPr>
              <w:pStyle w:val="TableTextEntries"/>
              <w:jc w:val="center"/>
            </w:pPr>
            <w:r>
              <w:t>3</w:t>
            </w:r>
          </w:p>
        </w:tc>
        <w:tc>
          <w:tcPr>
            <w:tcW w:w="416" w:type="pct"/>
            <w:shd w:val="clear" w:color="auto" w:fill="FF0000"/>
            <w:noWrap/>
          </w:tcPr>
          <w:p w:rsidR="006A6E2D" w:rsidRPr="00FE4491" w:rsidRDefault="006A6E2D" w:rsidP="00855CC4">
            <w:pPr>
              <w:pStyle w:val="TableTextEntries"/>
              <w:jc w:val="center"/>
            </w:pPr>
            <w:r>
              <w:t>2</w:t>
            </w:r>
          </w:p>
        </w:tc>
        <w:tc>
          <w:tcPr>
            <w:tcW w:w="372" w:type="pct"/>
            <w:shd w:val="clear" w:color="auto" w:fill="F79646" w:themeFill="accent6"/>
            <w:noWrap/>
          </w:tcPr>
          <w:p w:rsidR="006A6E2D" w:rsidRPr="00FE4491" w:rsidRDefault="006A6E2D" w:rsidP="00855CC4">
            <w:pPr>
              <w:pStyle w:val="TableTextEntries"/>
              <w:jc w:val="center"/>
            </w:pPr>
            <w:r>
              <w:t>3</w:t>
            </w:r>
          </w:p>
        </w:tc>
        <w:tc>
          <w:tcPr>
            <w:tcW w:w="378" w:type="pct"/>
            <w:shd w:val="clear" w:color="auto" w:fill="FFFF00"/>
            <w:noWrap/>
          </w:tcPr>
          <w:p w:rsidR="006A6E2D" w:rsidRPr="00FE4491" w:rsidRDefault="006A6E2D" w:rsidP="00855CC4">
            <w:pPr>
              <w:pStyle w:val="TableTextEntries"/>
              <w:jc w:val="center"/>
            </w:pPr>
            <w:r>
              <w:t>4</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tcPr>
          <w:p w:rsidR="006A6E2D" w:rsidRPr="002B51BC" w:rsidRDefault="006A6E2D" w:rsidP="00855CC4">
            <w:pPr>
              <w:pStyle w:val="TableTextEntries"/>
            </w:pPr>
          </w:p>
        </w:tc>
        <w:tc>
          <w:tcPr>
            <w:tcW w:w="682" w:type="pct"/>
            <w:vMerge/>
          </w:tcPr>
          <w:p w:rsidR="006A6E2D" w:rsidRPr="00FE4491" w:rsidRDefault="006A6E2D" w:rsidP="00855CC4">
            <w:pPr>
              <w:pStyle w:val="TableTextEntries"/>
            </w:pPr>
          </w:p>
        </w:tc>
        <w:tc>
          <w:tcPr>
            <w:tcW w:w="935" w:type="pct"/>
          </w:tcPr>
          <w:p w:rsidR="006A6E2D" w:rsidRPr="00FE4491" w:rsidRDefault="006A6E2D" w:rsidP="00855CC4">
            <w:pPr>
              <w:pStyle w:val="TableTextEntries"/>
            </w:pPr>
            <w:r>
              <w:t>2012</w:t>
            </w:r>
          </w:p>
        </w:tc>
        <w:tc>
          <w:tcPr>
            <w:tcW w:w="393" w:type="pct"/>
            <w:shd w:val="clear" w:color="auto" w:fill="F79646" w:themeFill="accent6"/>
            <w:noWrap/>
          </w:tcPr>
          <w:p w:rsidR="006A6E2D" w:rsidRPr="00FE4491" w:rsidRDefault="006A6E2D" w:rsidP="00855CC4">
            <w:pPr>
              <w:pStyle w:val="TableTextEntries"/>
              <w:jc w:val="center"/>
            </w:pPr>
            <w:r>
              <w:t>3</w:t>
            </w:r>
          </w:p>
        </w:tc>
        <w:tc>
          <w:tcPr>
            <w:tcW w:w="383" w:type="pct"/>
            <w:shd w:val="clear" w:color="auto" w:fill="F79646" w:themeFill="accent6"/>
            <w:noWrap/>
          </w:tcPr>
          <w:p w:rsidR="006A6E2D" w:rsidRPr="00FE4491" w:rsidRDefault="006A6E2D" w:rsidP="00855CC4">
            <w:pPr>
              <w:pStyle w:val="TableTextEntries"/>
              <w:jc w:val="center"/>
            </w:pPr>
            <w:r>
              <w:t>3</w:t>
            </w:r>
          </w:p>
        </w:tc>
        <w:tc>
          <w:tcPr>
            <w:tcW w:w="383" w:type="pct"/>
            <w:shd w:val="clear" w:color="auto" w:fill="F79646" w:themeFill="accent6"/>
            <w:noWrap/>
          </w:tcPr>
          <w:p w:rsidR="006A6E2D" w:rsidRPr="00FE4491" w:rsidRDefault="006A6E2D" w:rsidP="00855CC4">
            <w:pPr>
              <w:pStyle w:val="TableTextEntries"/>
              <w:jc w:val="center"/>
            </w:pPr>
            <w:r>
              <w:t>3</w:t>
            </w:r>
          </w:p>
        </w:tc>
        <w:tc>
          <w:tcPr>
            <w:tcW w:w="416" w:type="pct"/>
            <w:shd w:val="clear" w:color="auto" w:fill="FF0000"/>
            <w:noWrap/>
          </w:tcPr>
          <w:p w:rsidR="006A6E2D" w:rsidRPr="00FE4491" w:rsidRDefault="006A6E2D" w:rsidP="00855CC4">
            <w:pPr>
              <w:pStyle w:val="TableTextEntries"/>
              <w:jc w:val="center"/>
            </w:pPr>
            <w:r>
              <w:t>2</w:t>
            </w:r>
          </w:p>
        </w:tc>
        <w:tc>
          <w:tcPr>
            <w:tcW w:w="372" w:type="pct"/>
            <w:shd w:val="clear" w:color="auto" w:fill="FFFF00"/>
            <w:noWrap/>
          </w:tcPr>
          <w:p w:rsidR="006A6E2D" w:rsidRPr="00FE4491" w:rsidRDefault="006A6E2D" w:rsidP="00855CC4">
            <w:pPr>
              <w:pStyle w:val="TableTextEntries"/>
              <w:jc w:val="center"/>
            </w:pPr>
            <w:r>
              <w:t>4</w:t>
            </w:r>
          </w:p>
        </w:tc>
        <w:tc>
          <w:tcPr>
            <w:tcW w:w="378" w:type="pct"/>
            <w:shd w:val="clear" w:color="auto" w:fill="FFFF00"/>
            <w:noWrap/>
          </w:tcPr>
          <w:p w:rsidR="006A6E2D" w:rsidRPr="00FE4491" w:rsidRDefault="006A6E2D" w:rsidP="00855CC4">
            <w:pPr>
              <w:pStyle w:val="TableTextEntries"/>
              <w:jc w:val="center"/>
            </w:pPr>
            <w:r>
              <w:t>4</w:t>
            </w:r>
          </w:p>
        </w:tc>
      </w:tr>
      <w:tr w:rsidR="003335A7"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tcPr>
          <w:p w:rsidR="006A6E2D" w:rsidRPr="002B51BC" w:rsidRDefault="006A6E2D" w:rsidP="00855CC4">
            <w:pPr>
              <w:pStyle w:val="TableTextEntries"/>
            </w:pPr>
            <w:r>
              <w:t>Climate Change Adaptation</w:t>
            </w:r>
          </w:p>
        </w:tc>
        <w:tc>
          <w:tcPr>
            <w:tcW w:w="682" w:type="pct"/>
            <w:vMerge w:val="restart"/>
          </w:tcPr>
          <w:p w:rsidR="006A6E2D" w:rsidRPr="00FE4491" w:rsidRDefault="006A6E2D" w:rsidP="00855CC4">
            <w:pPr>
              <w:pStyle w:val="TableTextEntries"/>
            </w:pPr>
            <w:r>
              <w:t>01/04/2009 – 28/02/2015 $3,942,822</w:t>
            </w:r>
          </w:p>
        </w:tc>
        <w:tc>
          <w:tcPr>
            <w:tcW w:w="935" w:type="pct"/>
          </w:tcPr>
          <w:p w:rsidR="006A6E2D" w:rsidRPr="00FE4491" w:rsidRDefault="006A6E2D" w:rsidP="00855CC4">
            <w:pPr>
              <w:pStyle w:val="TableTextEntries"/>
            </w:pPr>
            <w:r>
              <w:t>2013</w:t>
            </w:r>
          </w:p>
        </w:tc>
        <w:tc>
          <w:tcPr>
            <w:tcW w:w="393" w:type="pct"/>
            <w:shd w:val="clear" w:color="auto" w:fill="FFFF00"/>
            <w:noWrap/>
          </w:tcPr>
          <w:p w:rsidR="006A6E2D" w:rsidRPr="00FE4491" w:rsidRDefault="006A6E2D" w:rsidP="00855CC4">
            <w:pPr>
              <w:pStyle w:val="TableTextEntries"/>
              <w:jc w:val="center"/>
            </w:pPr>
            <w:r>
              <w:t>4</w:t>
            </w:r>
          </w:p>
        </w:tc>
        <w:tc>
          <w:tcPr>
            <w:tcW w:w="383" w:type="pct"/>
            <w:shd w:val="clear" w:color="auto" w:fill="FFFF00"/>
            <w:noWrap/>
          </w:tcPr>
          <w:p w:rsidR="006A6E2D" w:rsidRPr="00FE4491" w:rsidRDefault="006A6E2D" w:rsidP="00855CC4">
            <w:pPr>
              <w:pStyle w:val="TableTextEntries"/>
              <w:jc w:val="center"/>
            </w:pPr>
            <w:r>
              <w:t>4</w:t>
            </w:r>
          </w:p>
        </w:tc>
        <w:tc>
          <w:tcPr>
            <w:tcW w:w="383" w:type="pct"/>
            <w:shd w:val="clear" w:color="auto" w:fill="FFFF00"/>
            <w:noWrap/>
          </w:tcPr>
          <w:p w:rsidR="006A6E2D" w:rsidRPr="00FE4491" w:rsidRDefault="006A6E2D" w:rsidP="00855CC4">
            <w:pPr>
              <w:pStyle w:val="TableTextEntries"/>
              <w:jc w:val="center"/>
            </w:pPr>
            <w:r>
              <w:t>4</w:t>
            </w:r>
          </w:p>
        </w:tc>
        <w:tc>
          <w:tcPr>
            <w:tcW w:w="416" w:type="pct"/>
            <w:shd w:val="clear" w:color="auto" w:fill="FFFF00"/>
            <w:noWrap/>
          </w:tcPr>
          <w:p w:rsidR="006A6E2D" w:rsidRPr="00FE4491" w:rsidRDefault="006A6E2D" w:rsidP="00855CC4">
            <w:pPr>
              <w:pStyle w:val="TableTextEntries"/>
              <w:jc w:val="center"/>
            </w:pPr>
            <w:r>
              <w:t>4</w:t>
            </w:r>
          </w:p>
        </w:tc>
        <w:tc>
          <w:tcPr>
            <w:tcW w:w="372" w:type="pct"/>
            <w:shd w:val="clear" w:color="auto" w:fill="FFFF00"/>
            <w:noWrap/>
          </w:tcPr>
          <w:p w:rsidR="006A6E2D" w:rsidRPr="00FE4491" w:rsidRDefault="006A6E2D" w:rsidP="00855CC4">
            <w:pPr>
              <w:pStyle w:val="TableTextEntries"/>
              <w:jc w:val="center"/>
            </w:pPr>
            <w:r>
              <w:t>4</w:t>
            </w:r>
          </w:p>
        </w:tc>
        <w:tc>
          <w:tcPr>
            <w:tcW w:w="378" w:type="pct"/>
            <w:shd w:val="clear" w:color="auto" w:fill="9BBB59" w:themeFill="accent3"/>
            <w:noWrap/>
          </w:tcPr>
          <w:p w:rsidR="006A6E2D" w:rsidRPr="00FE4491" w:rsidRDefault="006A6E2D" w:rsidP="00855CC4">
            <w:pPr>
              <w:pStyle w:val="TableTextEntries"/>
              <w:jc w:val="center"/>
            </w:pPr>
            <w:r>
              <w:t>5</w:t>
            </w:r>
          </w:p>
        </w:tc>
      </w:tr>
      <w:tr w:rsidR="006632DD" w:rsidRPr="009D53C4" w:rsidTr="003335A7">
        <w:trPr>
          <w:cnfStyle w:val="000000010000" w:firstRow="0" w:lastRow="0" w:firstColumn="0" w:lastColumn="0" w:oddVBand="0" w:evenVBand="0" w:oddHBand="0" w:evenHBand="1" w:firstRowFirstColumn="0" w:firstRowLastColumn="0" w:lastRowFirstColumn="0" w:lastRowLastColumn="0"/>
          <w:trHeight w:val="284"/>
        </w:trPr>
        <w:tc>
          <w:tcPr>
            <w:tcW w:w="944" w:type="pct"/>
          </w:tcPr>
          <w:p w:rsidR="006A6E2D" w:rsidRPr="002B51BC" w:rsidRDefault="006A6E2D" w:rsidP="00855CC4">
            <w:pPr>
              <w:pStyle w:val="TableTextEntries"/>
            </w:pPr>
          </w:p>
        </w:tc>
        <w:tc>
          <w:tcPr>
            <w:tcW w:w="682" w:type="pct"/>
            <w:vMerge/>
          </w:tcPr>
          <w:p w:rsidR="006A6E2D" w:rsidRPr="00FE4491" w:rsidRDefault="006A6E2D" w:rsidP="00855CC4">
            <w:pPr>
              <w:pStyle w:val="TableTextEntries"/>
            </w:pPr>
          </w:p>
        </w:tc>
        <w:tc>
          <w:tcPr>
            <w:tcW w:w="935" w:type="pct"/>
          </w:tcPr>
          <w:p w:rsidR="006A6E2D" w:rsidRPr="00FE4491" w:rsidRDefault="006A6E2D" w:rsidP="00855CC4">
            <w:pPr>
              <w:pStyle w:val="TableTextEntries"/>
            </w:pPr>
            <w:r>
              <w:t>2012</w:t>
            </w:r>
          </w:p>
        </w:tc>
        <w:tc>
          <w:tcPr>
            <w:tcW w:w="393" w:type="pct"/>
            <w:tcBorders>
              <w:bottom w:val="single" w:sz="4" w:space="0" w:color="D9D9D9" w:themeColor="background1" w:themeShade="D9"/>
            </w:tcBorders>
            <w:shd w:val="clear" w:color="auto" w:fill="F79646" w:themeFill="accent6"/>
            <w:noWrap/>
          </w:tcPr>
          <w:p w:rsidR="006A6E2D" w:rsidRPr="00FE4491" w:rsidRDefault="006A6E2D" w:rsidP="00855CC4">
            <w:pPr>
              <w:pStyle w:val="TableTextEntries"/>
              <w:jc w:val="center"/>
            </w:pPr>
            <w:r>
              <w:t>5</w:t>
            </w:r>
          </w:p>
        </w:tc>
        <w:tc>
          <w:tcPr>
            <w:tcW w:w="383" w:type="pct"/>
            <w:tcBorders>
              <w:bottom w:val="single" w:sz="4" w:space="0" w:color="D9D9D9" w:themeColor="background1" w:themeShade="D9"/>
            </w:tcBorders>
            <w:shd w:val="clear" w:color="auto" w:fill="F79646" w:themeFill="accent6"/>
            <w:noWrap/>
          </w:tcPr>
          <w:p w:rsidR="006A6E2D" w:rsidRPr="00FE4491" w:rsidRDefault="006A6E2D" w:rsidP="00855CC4">
            <w:pPr>
              <w:pStyle w:val="TableTextEntries"/>
              <w:jc w:val="center"/>
            </w:pPr>
            <w:r>
              <w:t>5</w:t>
            </w:r>
          </w:p>
        </w:tc>
        <w:tc>
          <w:tcPr>
            <w:tcW w:w="383" w:type="pct"/>
            <w:tcBorders>
              <w:bottom w:val="single" w:sz="4" w:space="0" w:color="D9D9D9" w:themeColor="background1" w:themeShade="D9"/>
            </w:tcBorders>
            <w:shd w:val="clear" w:color="auto" w:fill="FFFF00"/>
            <w:noWrap/>
          </w:tcPr>
          <w:p w:rsidR="006A6E2D" w:rsidRPr="00FE4491" w:rsidRDefault="006A6E2D" w:rsidP="00855CC4">
            <w:pPr>
              <w:pStyle w:val="TableTextEntries"/>
              <w:jc w:val="center"/>
            </w:pPr>
            <w:r>
              <w:t>4</w:t>
            </w:r>
          </w:p>
        </w:tc>
        <w:tc>
          <w:tcPr>
            <w:tcW w:w="416" w:type="pct"/>
            <w:tcBorders>
              <w:bottom w:val="single" w:sz="4" w:space="0" w:color="D9D9D9" w:themeColor="background1" w:themeShade="D9"/>
            </w:tcBorders>
            <w:shd w:val="clear" w:color="auto" w:fill="F79646" w:themeFill="accent6"/>
            <w:noWrap/>
          </w:tcPr>
          <w:p w:rsidR="006A6E2D" w:rsidRPr="00FE4491" w:rsidRDefault="006A6E2D" w:rsidP="00855CC4">
            <w:pPr>
              <w:pStyle w:val="TableTextEntries"/>
              <w:jc w:val="center"/>
            </w:pPr>
            <w:r>
              <w:t>3</w:t>
            </w:r>
          </w:p>
        </w:tc>
        <w:tc>
          <w:tcPr>
            <w:tcW w:w="372" w:type="pct"/>
            <w:tcBorders>
              <w:bottom w:val="single" w:sz="4" w:space="0" w:color="D9D9D9" w:themeColor="background1" w:themeShade="D9"/>
            </w:tcBorders>
            <w:shd w:val="clear" w:color="auto" w:fill="FFFF00"/>
            <w:noWrap/>
          </w:tcPr>
          <w:p w:rsidR="006A6E2D" w:rsidRPr="00FE4491" w:rsidRDefault="006A6E2D" w:rsidP="00855CC4">
            <w:pPr>
              <w:pStyle w:val="TableTextEntries"/>
              <w:jc w:val="center"/>
            </w:pPr>
            <w:r>
              <w:t>4</w:t>
            </w:r>
          </w:p>
        </w:tc>
        <w:tc>
          <w:tcPr>
            <w:tcW w:w="378" w:type="pct"/>
            <w:tcBorders>
              <w:bottom w:val="single" w:sz="4" w:space="0" w:color="D9D9D9" w:themeColor="background1" w:themeShade="D9"/>
            </w:tcBorders>
            <w:shd w:val="clear" w:color="auto" w:fill="9BBB59" w:themeFill="accent3"/>
            <w:noWrap/>
          </w:tcPr>
          <w:p w:rsidR="006A6E2D" w:rsidRPr="00FE4491" w:rsidRDefault="006A6E2D" w:rsidP="00855CC4">
            <w:pPr>
              <w:pStyle w:val="TableTextEntries"/>
              <w:jc w:val="center"/>
            </w:pPr>
            <w:r>
              <w:t>5</w:t>
            </w:r>
          </w:p>
        </w:tc>
      </w:tr>
    </w:tbl>
    <w:p w:rsidR="001B1868" w:rsidRDefault="001B1868" w:rsidP="001B1868">
      <w:pPr>
        <w:pStyle w:val="Note"/>
      </w:pPr>
      <w:r>
        <w:t>Definitions of rating scale:</w:t>
      </w:r>
      <w:r>
        <w:tab/>
      </w:r>
    </w:p>
    <w:p w:rsidR="001B1868" w:rsidRDefault="001B1868" w:rsidP="001B1868">
      <w:pPr>
        <w:pStyle w:val="Note"/>
      </w:pPr>
      <w:r>
        <w:t>Satisfactory (4, 5 and 6)</w:t>
      </w:r>
    </w:p>
    <w:p w:rsidR="001B1868" w:rsidRDefault="001B1868" w:rsidP="001B1868">
      <w:pPr>
        <w:pStyle w:val="Note"/>
      </w:pPr>
      <w:r w:rsidRPr="00593946">
        <w:rPr>
          <w:color w:val="72AF2F"/>
        </w:rPr>
        <w:sym w:font="Webdings" w:char="F067"/>
      </w:r>
      <w:r>
        <w:t xml:space="preserve"> = 6 = Very high quality</w:t>
      </w:r>
    </w:p>
    <w:p w:rsidR="001B1868" w:rsidRDefault="001B1868" w:rsidP="001B1868">
      <w:pPr>
        <w:pStyle w:val="Note"/>
      </w:pPr>
      <w:r w:rsidRPr="00593946">
        <w:rPr>
          <w:color w:val="72AF2F"/>
        </w:rPr>
        <w:sym w:font="Webdings" w:char="F067"/>
      </w:r>
      <w:r>
        <w:t xml:space="preserve"> = 5 = Good quality</w:t>
      </w:r>
    </w:p>
    <w:p w:rsidR="001B1868" w:rsidRDefault="001B1868" w:rsidP="001B1868">
      <w:pPr>
        <w:pStyle w:val="Note"/>
      </w:pPr>
      <w:r w:rsidRPr="000774FD">
        <w:rPr>
          <w:color w:val="FFFF00"/>
        </w:rPr>
        <w:sym w:font="Webdings" w:char="F067"/>
      </w:r>
      <w:r>
        <w:t xml:space="preserve"> = 4 = Adequate quality, needs some work</w:t>
      </w:r>
    </w:p>
    <w:p w:rsidR="001B1868" w:rsidRDefault="001B1868" w:rsidP="001B1868">
      <w:pPr>
        <w:pStyle w:val="Note"/>
      </w:pPr>
      <w:r>
        <w:t>Less than satisfactory (1, 2 and 3)</w:t>
      </w:r>
    </w:p>
    <w:p w:rsidR="001B1868" w:rsidRDefault="001B1868" w:rsidP="001B1868">
      <w:pPr>
        <w:pStyle w:val="Note"/>
      </w:pPr>
      <w:r w:rsidRPr="00593946">
        <w:rPr>
          <w:color w:val="E36C0A"/>
        </w:rPr>
        <w:sym w:font="Webdings" w:char="F067"/>
      </w:r>
      <w:r w:rsidRPr="00593946">
        <w:rPr>
          <w:color w:val="E36C0A"/>
        </w:rPr>
        <w:t xml:space="preserve"> </w:t>
      </w:r>
      <w:r>
        <w:t>= 3 = Less than adequate quality; needs significant work</w:t>
      </w:r>
    </w:p>
    <w:p w:rsidR="001B1868" w:rsidRDefault="001B1868" w:rsidP="001B1868">
      <w:pPr>
        <w:pStyle w:val="Note"/>
      </w:pPr>
      <w:r w:rsidRPr="000774FD">
        <w:rPr>
          <w:color w:val="FF0000"/>
        </w:rPr>
        <w:sym w:font="Webdings" w:char="F067"/>
      </w:r>
      <w:r>
        <w:t xml:space="preserve"> = 2 = Poor quality; needs major work to improve</w:t>
      </w:r>
    </w:p>
    <w:p w:rsidR="000D733F" w:rsidRDefault="001B1868" w:rsidP="000D733F">
      <w:pPr>
        <w:pStyle w:val="Note"/>
      </w:pPr>
      <w:r w:rsidRPr="000774FD">
        <w:rPr>
          <w:color w:val="FF0000"/>
        </w:rPr>
        <w:sym w:font="Webdings" w:char="F067"/>
      </w:r>
      <w:r>
        <w:t xml:space="preserve"> = 1 = Very poor quality; needs major overhaul</w:t>
      </w:r>
    </w:p>
    <w:p w:rsidR="000D733F" w:rsidRDefault="000D733F" w:rsidP="000D733F">
      <w:pPr>
        <w:spacing w:after="200" w:line="276" w:lineRule="auto"/>
        <w:rPr>
          <w:rFonts w:ascii="Franklin Gothic Demi" w:hAnsi="Franklin Gothic Demi" w:cs="Arial"/>
          <w:color w:val="AD495D"/>
          <w:kern w:val="28"/>
          <w:sz w:val="28"/>
          <w:szCs w:val="28"/>
        </w:rPr>
      </w:pPr>
      <w:r>
        <w:br w:type="page"/>
      </w:r>
    </w:p>
    <w:p w:rsidR="000D733F" w:rsidRPr="009E38C1" w:rsidRDefault="000D733F" w:rsidP="000D733F">
      <w:pPr>
        <w:pStyle w:val="Heading2"/>
        <w:rPr>
          <w:sz w:val="28"/>
        </w:rPr>
      </w:pPr>
      <w:r w:rsidRPr="009E38C1">
        <w:rPr>
          <w:sz w:val="28"/>
        </w:rPr>
        <w:lastRenderedPageBreak/>
        <w:t>Annex C</w:t>
      </w:r>
    </w:p>
    <w:p w:rsidR="000D733F" w:rsidRPr="009E38C1" w:rsidRDefault="000D733F" w:rsidP="000D733F">
      <w:pPr>
        <w:pStyle w:val="Heading2"/>
        <w:rPr>
          <w:sz w:val="28"/>
        </w:rPr>
      </w:pPr>
      <w:r w:rsidRPr="009E38C1">
        <w:rPr>
          <w:sz w:val="28"/>
        </w:rPr>
        <w:t>Evaluation and Review Pipeline Planning</w:t>
      </w:r>
    </w:p>
    <w:p w:rsidR="000D733F" w:rsidRPr="00071B95" w:rsidRDefault="000D733F" w:rsidP="000D733F">
      <w:pPr>
        <w:pStyle w:val="Caption"/>
      </w:pPr>
      <w:r w:rsidRPr="00071B95">
        <w:t xml:space="preserve">List of </w:t>
      </w:r>
      <w:r w:rsidR="00805ADD">
        <w:t>e</w:t>
      </w:r>
      <w:r w:rsidRPr="00071B95">
        <w:t>valuations completed</w:t>
      </w:r>
      <w:r>
        <w:t xml:space="preserve"> </w:t>
      </w:r>
      <w:r w:rsidRPr="00071B95">
        <w:t xml:space="preserve">in the reporting period </w:t>
      </w:r>
    </w:p>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0D733F"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071B95" w:rsidRDefault="000D733F" w:rsidP="007A1F55">
            <w:pPr>
              <w:pStyle w:val="TableTextColumnHeading"/>
              <w:framePr w:wrap="around"/>
              <w:rPr>
                <w:b/>
              </w:rPr>
            </w:pPr>
            <w:r w:rsidRPr="00071B95">
              <w:rPr>
                <w:b/>
              </w:rPr>
              <w:t xml:space="preserve">Name of </w:t>
            </w:r>
            <w:r w:rsidR="00501CD2">
              <w:rPr>
                <w:b/>
              </w:rPr>
              <w:t>Investment</w:t>
            </w:r>
          </w:p>
        </w:tc>
        <w:tc>
          <w:tcPr>
            <w:tcW w:w="1933" w:type="dxa"/>
          </w:tcPr>
          <w:p w:rsidR="000D733F" w:rsidRPr="00071B95" w:rsidRDefault="000D733F" w:rsidP="007A1F55">
            <w:pPr>
              <w:pStyle w:val="TableTextColumnHeading"/>
              <w:framePr w:wrap="around"/>
              <w:rPr>
                <w:b/>
              </w:rPr>
            </w:pPr>
            <w:r w:rsidRPr="00071B95">
              <w:rPr>
                <w:b/>
              </w:rPr>
              <w:t>Aidworks number</w:t>
            </w:r>
          </w:p>
        </w:tc>
        <w:tc>
          <w:tcPr>
            <w:tcW w:w="2031" w:type="dxa"/>
          </w:tcPr>
          <w:p w:rsidR="000D733F" w:rsidRPr="00071B95" w:rsidRDefault="000D733F" w:rsidP="007A1F55">
            <w:pPr>
              <w:pStyle w:val="TableTextColumnHeading"/>
              <w:framePr w:wrap="around"/>
              <w:rPr>
                <w:b/>
              </w:rPr>
            </w:pPr>
            <w:r>
              <w:rPr>
                <w:b/>
              </w:rPr>
              <w:t>Name of evaluation</w:t>
            </w:r>
          </w:p>
        </w:tc>
        <w:tc>
          <w:tcPr>
            <w:tcW w:w="1939" w:type="dxa"/>
          </w:tcPr>
          <w:p w:rsidR="000D733F" w:rsidRPr="00071B95" w:rsidRDefault="000D733F" w:rsidP="007A1F55">
            <w:pPr>
              <w:pStyle w:val="TableTextColumnHeading"/>
              <w:framePr w:wrap="around"/>
              <w:rPr>
                <w:b/>
              </w:rPr>
            </w:pPr>
            <w:r w:rsidRPr="00071B95">
              <w:rPr>
                <w:b/>
              </w:rPr>
              <w:t xml:space="preserve">Date </w:t>
            </w:r>
            <w:r>
              <w:rPr>
                <w:b/>
              </w:rPr>
              <w:t>finalised</w:t>
            </w:r>
          </w:p>
        </w:tc>
        <w:tc>
          <w:tcPr>
            <w:tcW w:w="1921" w:type="dxa"/>
          </w:tcPr>
          <w:p w:rsidR="000D733F" w:rsidRPr="00071B95" w:rsidRDefault="000D733F" w:rsidP="007A1F55">
            <w:pPr>
              <w:pStyle w:val="TableTextColumnHeading"/>
              <w:framePr w:wrap="around"/>
              <w:rPr>
                <w:b/>
              </w:rPr>
            </w:pPr>
            <w:r w:rsidRPr="00071B95">
              <w:rPr>
                <w:b/>
              </w:rPr>
              <w:t>Date Evaluation report Uploaded into Aidworks</w:t>
            </w:r>
          </w:p>
        </w:tc>
        <w:tc>
          <w:tcPr>
            <w:tcW w:w="1743" w:type="dxa"/>
          </w:tcPr>
          <w:p w:rsidR="000D733F" w:rsidRPr="00071B95" w:rsidRDefault="000D733F" w:rsidP="007A1F55">
            <w:pPr>
              <w:pStyle w:val="TableTextColumnHeading"/>
              <w:framePr w:wrap="around"/>
              <w:rPr>
                <w:b/>
              </w:rPr>
            </w:pPr>
            <w:r w:rsidRPr="00071B95">
              <w:rPr>
                <w:b/>
              </w:rPr>
              <w:t>Date Management response uploaded into Aidworks</w:t>
            </w:r>
          </w:p>
        </w:tc>
        <w:tc>
          <w:tcPr>
            <w:tcW w:w="1503" w:type="dxa"/>
          </w:tcPr>
          <w:p w:rsidR="000D733F" w:rsidRPr="00071B95" w:rsidRDefault="000D733F" w:rsidP="007A1F55">
            <w:pPr>
              <w:pStyle w:val="TableTextColumnHeading"/>
              <w:framePr w:wrap="around"/>
              <w:rPr>
                <w:b/>
              </w:rPr>
            </w:pPr>
            <w:r w:rsidRPr="00071B95">
              <w:rPr>
                <w:b/>
              </w:rPr>
              <w:t>Published on website</w:t>
            </w:r>
          </w:p>
        </w:tc>
      </w:tr>
    </w:tbl>
    <w:tbl>
      <w:tblPr>
        <w:tblStyle w:val="APPR"/>
        <w:tblW w:w="0" w:type="auto"/>
        <w:tblLook w:val="04A0" w:firstRow="1" w:lastRow="0" w:firstColumn="1" w:lastColumn="0" w:noHBand="0" w:noVBand="1"/>
      </w:tblPr>
      <w:tblGrid>
        <w:gridCol w:w="1944"/>
        <w:gridCol w:w="1961"/>
        <w:gridCol w:w="2059"/>
        <w:gridCol w:w="1967"/>
        <w:gridCol w:w="1949"/>
        <w:gridCol w:w="1771"/>
        <w:gridCol w:w="1545"/>
      </w:tblGrid>
      <w:tr w:rsidR="000D733F"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583110" w:rsidRDefault="00583110" w:rsidP="000D733F">
            <w:pPr>
              <w:pStyle w:val="TableTextEntries"/>
              <w:rPr>
                <w:b w:val="0"/>
              </w:rPr>
            </w:pPr>
            <w:r w:rsidRPr="00583110">
              <w:rPr>
                <w:b w:val="0"/>
              </w:rPr>
              <w:t>Seeds of Life</w:t>
            </w:r>
          </w:p>
        </w:tc>
        <w:tc>
          <w:tcPr>
            <w:tcW w:w="1933" w:type="dxa"/>
          </w:tcPr>
          <w:p w:rsidR="000D733F" w:rsidRPr="00583110" w:rsidRDefault="00583110" w:rsidP="000D733F">
            <w:pPr>
              <w:pStyle w:val="TableTextEntries"/>
              <w:rPr>
                <w:b w:val="0"/>
              </w:rPr>
            </w:pPr>
            <w:r w:rsidRPr="00583110">
              <w:rPr>
                <w:b w:val="0"/>
              </w:rPr>
              <w:t>ING104</w:t>
            </w:r>
          </w:p>
        </w:tc>
        <w:tc>
          <w:tcPr>
            <w:tcW w:w="2031" w:type="dxa"/>
          </w:tcPr>
          <w:p w:rsidR="000D733F" w:rsidRPr="00583110" w:rsidRDefault="00583110" w:rsidP="000D733F">
            <w:pPr>
              <w:pStyle w:val="TableTextEntries"/>
              <w:rPr>
                <w:b w:val="0"/>
              </w:rPr>
            </w:pPr>
            <w:r w:rsidRPr="00583110">
              <w:rPr>
                <w:b w:val="0"/>
              </w:rPr>
              <w:t>Mid Term Review</w:t>
            </w:r>
          </w:p>
        </w:tc>
        <w:tc>
          <w:tcPr>
            <w:tcW w:w="1939" w:type="dxa"/>
          </w:tcPr>
          <w:p w:rsidR="000D733F" w:rsidRPr="00583110" w:rsidRDefault="00583110" w:rsidP="000D733F">
            <w:pPr>
              <w:pStyle w:val="TableTextEntries"/>
              <w:rPr>
                <w:b w:val="0"/>
              </w:rPr>
            </w:pPr>
            <w:r w:rsidRPr="00583110">
              <w:rPr>
                <w:b w:val="0"/>
              </w:rPr>
              <w:t>September 2013</w:t>
            </w:r>
          </w:p>
        </w:tc>
        <w:tc>
          <w:tcPr>
            <w:tcW w:w="1921" w:type="dxa"/>
          </w:tcPr>
          <w:p w:rsidR="000D733F" w:rsidRPr="00583110" w:rsidRDefault="00583110" w:rsidP="000D733F">
            <w:pPr>
              <w:pStyle w:val="TableTextEntries"/>
              <w:rPr>
                <w:b w:val="0"/>
              </w:rPr>
            </w:pPr>
            <w:r w:rsidRPr="00583110">
              <w:rPr>
                <w:b w:val="0"/>
              </w:rPr>
              <w:t>September 2013</w:t>
            </w:r>
          </w:p>
        </w:tc>
        <w:tc>
          <w:tcPr>
            <w:tcW w:w="1743" w:type="dxa"/>
          </w:tcPr>
          <w:p w:rsidR="000D733F" w:rsidRPr="00583110" w:rsidRDefault="00583110" w:rsidP="000D733F">
            <w:pPr>
              <w:pStyle w:val="TableTextEntries"/>
              <w:rPr>
                <w:b w:val="0"/>
              </w:rPr>
            </w:pPr>
            <w:r w:rsidRPr="00583110">
              <w:rPr>
                <w:b w:val="0"/>
              </w:rPr>
              <w:t>November 2013</w:t>
            </w:r>
          </w:p>
        </w:tc>
        <w:tc>
          <w:tcPr>
            <w:tcW w:w="1503" w:type="dxa"/>
          </w:tcPr>
          <w:p w:rsidR="000D733F" w:rsidRPr="00071B95" w:rsidRDefault="00583110" w:rsidP="00850A87">
            <w:pPr>
              <w:pStyle w:val="TableTextEntries"/>
              <w:rPr>
                <w:b w:val="0"/>
              </w:rPr>
            </w:pPr>
            <w:r>
              <w:rPr>
                <w:b w:val="0"/>
              </w:rPr>
              <w:t>Pending</w:t>
            </w:r>
            <w:r w:rsidR="00850A87">
              <w:rPr>
                <w:b w:val="0"/>
              </w:rPr>
              <w:t xml:space="preserve"> </w:t>
            </w:r>
          </w:p>
        </w:tc>
      </w:tr>
      <w:tr w:rsidR="000D733F"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583110" w:rsidRDefault="00583110" w:rsidP="000D733F">
            <w:pPr>
              <w:pStyle w:val="TableTextEntries"/>
              <w:rPr>
                <w:b w:val="0"/>
              </w:rPr>
            </w:pPr>
            <w:r w:rsidRPr="00583110">
              <w:rPr>
                <w:b w:val="0"/>
              </w:rPr>
              <w:t>Timor-Leste Police Development Program</w:t>
            </w:r>
          </w:p>
        </w:tc>
        <w:tc>
          <w:tcPr>
            <w:tcW w:w="1933" w:type="dxa"/>
          </w:tcPr>
          <w:p w:rsidR="000D733F" w:rsidRPr="00583110" w:rsidRDefault="00583110" w:rsidP="000D733F">
            <w:pPr>
              <w:pStyle w:val="TableTextEntries"/>
              <w:rPr>
                <w:b w:val="0"/>
              </w:rPr>
            </w:pPr>
            <w:r w:rsidRPr="00583110">
              <w:rPr>
                <w:b w:val="0"/>
              </w:rPr>
              <w:t>N/A</w:t>
            </w:r>
            <w:r w:rsidR="00622025">
              <w:rPr>
                <w:b w:val="0"/>
              </w:rPr>
              <w:t>: directed implemented by AFP</w:t>
            </w:r>
          </w:p>
        </w:tc>
        <w:tc>
          <w:tcPr>
            <w:tcW w:w="2031" w:type="dxa"/>
          </w:tcPr>
          <w:p w:rsidR="000D733F" w:rsidRPr="00622025" w:rsidRDefault="00622025" w:rsidP="000D733F">
            <w:pPr>
              <w:pStyle w:val="TableTextEntries"/>
              <w:rPr>
                <w:b w:val="0"/>
              </w:rPr>
            </w:pPr>
            <w:r w:rsidRPr="00622025">
              <w:rPr>
                <w:b w:val="0"/>
              </w:rPr>
              <w:t>Independent Review</w:t>
            </w:r>
          </w:p>
        </w:tc>
        <w:tc>
          <w:tcPr>
            <w:tcW w:w="1939" w:type="dxa"/>
          </w:tcPr>
          <w:p w:rsidR="000D733F" w:rsidRPr="00622025" w:rsidRDefault="00622025" w:rsidP="000D733F">
            <w:pPr>
              <w:pStyle w:val="TableTextEntries"/>
              <w:rPr>
                <w:b w:val="0"/>
              </w:rPr>
            </w:pPr>
            <w:r w:rsidRPr="00622025">
              <w:rPr>
                <w:b w:val="0"/>
              </w:rPr>
              <w:t>2013</w:t>
            </w:r>
          </w:p>
        </w:tc>
        <w:tc>
          <w:tcPr>
            <w:tcW w:w="1921" w:type="dxa"/>
          </w:tcPr>
          <w:p w:rsidR="000D733F" w:rsidRPr="00622025" w:rsidRDefault="00622025" w:rsidP="000D733F">
            <w:pPr>
              <w:pStyle w:val="TableTextEntries"/>
              <w:rPr>
                <w:b w:val="0"/>
              </w:rPr>
            </w:pPr>
            <w:r w:rsidRPr="00622025">
              <w:rPr>
                <w:b w:val="0"/>
              </w:rPr>
              <w:t>N/A</w:t>
            </w:r>
          </w:p>
        </w:tc>
        <w:tc>
          <w:tcPr>
            <w:tcW w:w="1743" w:type="dxa"/>
          </w:tcPr>
          <w:p w:rsidR="000D733F" w:rsidRPr="00622025" w:rsidRDefault="00622025" w:rsidP="000D733F">
            <w:pPr>
              <w:pStyle w:val="TableTextEntries"/>
              <w:rPr>
                <w:b w:val="0"/>
              </w:rPr>
            </w:pPr>
            <w:r w:rsidRPr="00622025">
              <w:rPr>
                <w:b w:val="0"/>
              </w:rPr>
              <w:t>N/A</w:t>
            </w:r>
          </w:p>
        </w:tc>
        <w:tc>
          <w:tcPr>
            <w:tcW w:w="1503" w:type="dxa"/>
          </w:tcPr>
          <w:p w:rsidR="000D733F" w:rsidRPr="00622025" w:rsidRDefault="00622025" w:rsidP="000D733F">
            <w:pPr>
              <w:pStyle w:val="TableTextEntries"/>
              <w:rPr>
                <w:b w:val="0"/>
              </w:rPr>
            </w:pPr>
            <w:r w:rsidRPr="00622025">
              <w:rPr>
                <w:b w:val="0"/>
              </w:rPr>
              <w:t>N/A</w:t>
            </w:r>
          </w:p>
        </w:tc>
      </w:tr>
      <w:tr w:rsidR="000D733F"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0D733F" w:rsidRPr="0079311B" w:rsidRDefault="0079311B" w:rsidP="0079311B">
            <w:pPr>
              <w:pStyle w:val="TableTextEntries"/>
              <w:rPr>
                <w:b w:val="0"/>
              </w:rPr>
            </w:pPr>
            <w:r w:rsidRPr="0079311B">
              <w:rPr>
                <w:b w:val="0"/>
              </w:rPr>
              <w:t>Management of Scholarships in Timor-Leste 2012-14</w:t>
            </w:r>
          </w:p>
        </w:tc>
        <w:tc>
          <w:tcPr>
            <w:tcW w:w="1933" w:type="dxa"/>
          </w:tcPr>
          <w:p w:rsidR="000D733F" w:rsidRPr="0079311B" w:rsidRDefault="0079311B" w:rsidP="0079311B">
            <w:pPr>
              <w:pStyle w:val="TableTextEntries"/>
              <w:rPr>
                <w:b w:val="0"/>
              </w:rPr>
            </w:pPr>
            <w:r w:rsidRPr="0079311B">
              <w:rPr>
                <w:b w:val="0"/>
              </w:rPr>
              <w:t>INK737</w:t>
            </w:r>
          </w:p>
        </w:tc>
        <w:tc>
          <w:tcPr>
            <w:tcW w:w="2031" w:type="dxa"/>
          </w:tcPr>
          <w:p w:rsidR="000D733F" w:rsidRPr="0079311B" w:rsidRDefault="0079311B" w:rsidP="0079311B">
            <w:pPr>
              <w:pStyle w:val="TableTextEntries"/>
              <w:rPr>
                <w:b w:val="0"/>
              </w:rPr>
            </w:pPr>
            <w:r w:rsidRPr="0079311B">
              <w:rPr>
                <w:b w:val="0"/>
              </w:rPr>
              <w:t>Australia Awards and New Zealand Development Scholarships in Timor-Leste Tracer Study 2013</w:t>
            </w:r>
          </w:p>
        </w:tc>
        <w:tc>
          <w:tcPr>
            <w:tcW w:w="1939" w:type="dxa"/>
          </w:tcPr>
          <w:p w:rsidR="000D733F" w:rsidRPr="0079311B" w:rsidRDefault="0079311B" w:rsidP="0079311B">
            <w:pPr>
              <w:pStyle w:val="TableTextEntries"/>
              <w:rPr>
                <w:b w:val="0"/>
              </w:rPr>
            </w:pPr>
            <w:r w:rsidRPr="0079311B">
              <w:rPr>
                <w:b w:val="0"/>
              </w:rPr>
              <w:t>February 2014</w:t>
            </w:r>
          </w:p>
        </w:tc>
        <w:tc>
          <w:tcPr>
            <w:tcW w:w="1921" w:type="dxa"/>
          </w:tcPr>
          <w:p w:rsidR="000D733F" w:rsidRPr="0079311B" w:rsidRDefault="0079311B" w:rsidP="0079311B">
            <w:pPr>
              <w:pStyle w:val="TableTextEntries"/>
              <w:rPr>
                <w:b w:val="0"/>
              </w:rPr>
            </w:pPr>
            <w:r w:rsidRPr="0079311B">
              <w:rPr>
                <w:b w:val="0"/>
              </w:rPr>
              <w:t>September 2014</w:t>
            </w:r>
          </w:p>
        </w:tc>
        <w:tc>
          <w:tcPr>
            <w:tcW w:w="1743" w:type="dxa"/>
          </w:tcPr>
          <w:p w:rsidR="000D733F" w:rsidRPr="0079311B" w:rsidRDefault="0079311B" w:rsidP="0079311B">
            <w:pPr>
              <w:pStyle w:val="TableTextEntries"/>
              <w:rPr>
                <w:b w:val="0"/>
              </w:rPr>
            </w:pPr>
            <w:r w:rsidRPr="0079311B">
              <w:rPr>
                <w:b w:val="0"/>
              </w:rPr>
              <w:t>N/A</w:t>
            </w:r>
          </w:p>
        </w:tc>
        <w:tc>
          <w:tcPr>
            <w:tcW w:w="1503" w:type="dxa"/>
          </w:tcPr>
          <w:p w:rsidR="000D733F" w:rsidRPr="0079311B" w:rsidRDefault="0079311B" w:rsidP="0079311B">
            <w:pPr>
              <w:pStyle w:val="TableTextEntries"/>
              <w:rPr>
                <w:b w:val="0"/>
              </w:rPr>
            </w:pPr>
            <w:r w:rsidRPr="0079311B">
              <w:rPr>
                <w:b w:val="0"/>
              </w:rPr>
              <w:t>Pending</w:t>
            </w:r>
          </w:p>
        </w:tc>
      </w:tr>
      <w:tr w:rsidR="0079311B" w:rsidRPr="00071B95" w:rsidTr="000D733F">
        <w:trPr>
          <w:cnfStyle w:val="100000000000" w:firstRow="1" w:lastRow="0" w:firstColumn="0" w:lastColumn="0" w:oddVBand="0" w:evenVBand="0" w:oddHBand="0" w:evenHBand="0" w:firstRowFirstColumn="0" w:firstRowLastColumn="0" w:lastRowFirstColumn="0" w:lastRowLastColumn="0"/>
        </w:trPr>
        <w:tc>
          <w:tcPr>
            <w:tcW w:w="1902" w:type="dxa"/>
          </w:tcPr>
          <w:p w:rsidR="0079311B" w:rsidRPr="0079311B" w:rsidRDefault="0079311B" w:rsidP="0079311B">
            <w:pPr>
              <w:pStyle w:val="TableTextEntries"/>
              <w:rPr>
                <w:b w:val="0"/>
              </w:rPr>
            </w:pPr>
            <w:r>
              <w:rPr>
                <w:b w:val="0"/>
              </w:rPr>
              <w:t>N/A (Cross-program)</w:t>
            </w:r>
          </w:p>
        </w:tc>
        <w:tc>
          <w:tcPr>
            <w:tcW w:w="1933" w:type="dxa"/>
          </w:tcPr>
          <w:p w:rsidR="0079311B" w:rsidRPr="0079311B" w:rsidRDefault="009610F8" w:rsidP="0079311B">
            <w:pPr>
              <w:pStyle w:val="TableTextEntries"/>
              <w:rPr>
                <w:b w:val="0"/>
              </w:rPr>
            </w:pPr>
            <w:r>
              <w:rPr>
                <w:b w:val="0"/>
              </w:rPr>
              <w:t>N/A</w:t>
            </w:r>
          </w:p>
        </w:tc>
        <w:tc>
          <w:tcPr>
            <w:tcW w:w="2031" w:type="dxa"/>
          </w:tcPr>
          <w:p w:rsidR="0079311B" w:rsidRPr="0079311B" w:rsidRDefault="0079311B" w:rsidP="0079311B">
            <w:pPr>
              <w:pStyle w:val="TableTextEntries"/>
              <w:rPr>
                <w:b w:val="0"/>
              </w:rPr>
            </w:pPr>
            <w:r>
              <w:rPr>
                <w:b w:val="0"/>
              </w:rPr>
              <w:t>Review of Civil Society Engagement in Timor-Leste 2013</w:t>
            </w:r>
          </w:p>
        </w:tc>
        <w:tc>
          <w:tcPr>
            <w:tcW w:w="1939" w:type="dxa"/>
          </w:tcPr>
          <w:p w:rsidR="0079311B" w:rsidRPr="0079311B" w:rsidRDefault="0079311B" w:rsidP="0079311B">
            <w:pPr>
              <w:pStyle w:val="TableTextEntries"/>
              <w:rPr>
                <w:b w:val="0"/>
              </w:rPr>
            </w:pPr>
            <w:r>
              <w:rPr>
                <w:b w:val="0"/>
              </w:rPr>
              <w:t>August 2013</w:t>
            </w:r>
          </w:p>
        </w:tc>
        <w:tc>
          <w:tcPr>
            <w:tcW w:w="1921" w:type="dxa"/>
          </w:tcPr>
          <w:p w:rsidR="0079311B" w:rsidRPr="0079311B" w:rsidRDefault="0079311B" w:rsidP="0079311B">
            <w:pPr>
              <w:pStyle w:val="TableTextEntries"/>
              <w:rPr>
                <w:b w:val="0"/>
              </w:rPr>
            </w:pPr>
            <w:r>
              <w:rPr>
                <w:b w:val="0"/>
              </w:rPr>
              <w:t>N/A</w:t>
            </w:r>
          </w:p>
        </w:tc>
        <w:tc>
          <w:tcPr>
            <w:tcW w:w="1743" w:type="dxa"/>
          </w:tcPr>
          <w:p w:rsidR="0079311B" w:rsidRPr="0079311B" w:rsidRDefault="0079311B" w:rsidP="0079311B">
            <w:pPr>
              <w:pStyle w:val="TableTextEntries"/>
              <w:rPr>
                <w:b w:val="0"/>
              </w:rPr>
            </w:pPr>
            <w:r>
              <w:rPr>
                <w:b w:val="0"/>
              </w:rPr>
              <w:t>N/A</w:t>
            </w:r>
          </w:p>
        </w:tc>
        <w:tc>
          <w:tcPr>
            <w:tcW w:w="1503" w:type="dxa"/>
          </w:tcPr>
          <w:p w:rsidR="0079311B" w:rsidRPr="0079311B" w:rsidRDefault="0079311B" w:rsidP="0079311B">
            <w:pPr>
              <w:pStyle w:val="TableTextEntries"/>
              <w:rPr>
                <w:b w:val="0"/>
              </w:rPr>
            </w:pPr>
            <w:r>
              <w:rPr>
                <w:b w:val="0"/>
              </w:rPr>
              <w:t>Pending</w:t>
            </w:r>
          </w:p>
        </w:tc>
      </w:tr>
    </w:tbl>
    <w:p w:rsidR="000D733F" w:rsidRPr="00071B95" w:rsidRDefault="000D733F" w:rsidP="000D733F">
      <w:pPr>
        <w:rPr>
          <w:b/>
        </w:rPr>
      </w:pPr>
    </w:p>
    <w:p w:rsidR="000D733F" w:rsidRPr="00071B95" w:rsidRDefault="000D733F" w:rsidP="000D733F">
      <w:pPr>
        <w:pStyle w:val="Caption"/>
      </w:pPr>
      <w:r w:rsidRPr="00071B95">
        <w:t xml:space="preserve">List of evaluations planned in the next 12 months </w:t>
      </w:r>
    </w:p>
    <w:p w:rsidR="000D733F" w:rsidRDefault="000D733F" w:rsidP="007A1F55">
      <w:pPr>
        <w:pStyle w:val="TableTextColumnHeading"/>
        <w:framePr w:wrap="around"/>
        <w:sectPr w:rsidR="000D733F" w:rsidSect="00871C2C">
          <w:headerReference w:type="even" r:id="rId20"/>
          <w:footerReference w:type="first" r:id="rId21"/>
          <w:pgSz w:w="16838" w:h="11906" w:orient="landscape" w:code="9"/>
          <w:pgMar w:top="1814" w:right="1814" w:bottom="851" w:left="851" w:header="709" w:footer="425" w:gutter="0"/>
          <w:cols w:space="708"/>
          <w:docGrid w:linePitch="360"/>
        </w:sectPr>
      </w:pPr>
    </w:p>
    <w:tbl>
      <w:tblPr>
        <w:tblStyle w:val="APPR"/>
        <w:tblW w:w="0" w:type="auto"/>
        <w:tblLook w:val="0600" w:firstRow="0" w:lastRow="0" w:firstColumn="0" w:lastColumn="0" w:noHBand="1" w:noVBand="1"/>
      </w:tblPr>
      <w:tblGrid>
        <w:gridCol w:w="2643"/>
        <w:gridCol w:w="2558"/>
        <w:gridCol w:w="2640"/>
        <w:gridCol w:w="2640"/>
        <w:gridCol w:w="2659"/>
      </w:tblGrid>
      <w:tr w:rsidR="000D733F" w:rsidRPr="00071B95" w:rsidTr="000D733F">
        <w:tc>
          <w:tcPr>
            <w:tcW w:w="2601" w:type="dxa"/>
          </w:tcPr>
          <w:p w:rsidR="000D733F" w:rsidRPr="00071B95" w:rsidRDefault="000D733F" w:rsidP="007A1F55">
            <w:pPr>
              <w:pStyle w:val="TableTextColumnHeading"/>
              <w:framePr w:wrap="around"/>
            </w:pPr>
            <w:r w:rsidRPr="00071B95">
              <w:t xml:space="preserve">Name of </w:t>
            </w:r>
            <w:r w:rsidR="00501CD2">
              <w:t>Investment</w:t>
            </w:r>
          </w:p>
        </w:tc>
        <w:tc>
          <w:tcPr>
            <w:tcW w:w="2530" w:type="dxa"/>
          </w:tcPr>
          <w:p w:rsidR="000D733F" w:rsidRPr="00071B95" w:rsidRDefault="000D733F" w:rsidP="007A1F55">
            <w:pPr>
              <w:pStyle w:val="TableTextColumnHeading"/>
              <w:framePr w:wrap="around"/>
            </w:pPr>
            <w:r w:rsidRPr="00071B95">
              <w:t>Aidworks number</w:t>
            </w:r>
          </w:p>
        </w:tc>
        <w:tc>
          <w:tcPr>
            <w:tcW w:w="2612" w:type="dxa"/>
          </w:tcPr>
          <w:p w:rsidR="000D733F" w:rsidRPr="00071B95" w:rsidRDefault="000D733F" w:rsidP="007A1F55">
            <w:pPr>
              <w:pStyle w:val="TableTextColumnHeading"/>
              <w:framePr w:wrap="around"/>
            </w:pPr>
            <w:r w:rsidRPr="00071B95">
              <w:t>Type of evaluation</w:t>
            </w:r>
          </w:p>
        </w:tc>
        <w:tc>
          <w:tcPr>
            <w:tcW w:w="2612" w:type="dxa"/>
          </w:tcPr>
          <w:p w:rsidR="000D733F" w:rsidRPr="00071B95" w:rsidRDefault="000D733F" w:rsidP="007A1F55">
            <w:pPr>
              <w:pStyle w:val="TableTextColumnHeading"/>
              <w:framePr w:wrap="around"/>
            </w:pPr>
            <w:r w:rsidRPr="00071B95">
              <w:t>Purpose of evaluation</w:t>
            </w:r>
          </w:p>
        </w:tc>
        <w:tc>
          <w:tcPr>
            <w:tcW w:w="2617" w:type="dxa"/>
          </w:tcPr>
          <w:p w:rsidR="000D733F" w:rsidRPr="00071B95" w:rsidRDefault="000D733F" w:rsidP="007A1F55">
            <w:pPr>
              <w:pStyle w:val="TableTextColumnHeading"/>
              <w:framePr w:wrap="around"/>
            </w:pPr>
            <w:r w:rsidRPr="00071B95">
              <w:t>Expected completion date</w:t>
            </w:r>
          </w:p>
        </w:tc>
      </w:tr>
    </w:tbl>
    <w:tbl>
      <w:tblPr>
        <w:tblStyle w:val="APPR"/>
        <w:tblW w:w="0" w:type="auto"/>
        <w:tblLook w:val="0600" w:firstRow="0" w:lastRow="0" w:firstColumn="0" w:lastColumn="0" w:noHBand="1" w:noVBand="1"/>
      </w:tblPr>
      <w:tblGrid>
        <w:gridCol w:w="2643"/>
        <w:gridCol w:w="2558"/>
        <w:gridCol w:w="2640"/>
        <w:gridCol w:w="2640"/>
        <w:gridCol w:w="2659"/>
      </w:tblGrid>
      <w:tr w:rsidR="000D733F" w:rsidRPr="00071B95" w:rsidTr="000D733F">
        <w:tc>
          <w:tcPr>
            <w:tcW w:w="2601" w:type="dxa"/>
          </w:tcPr>
          <w:p w:rsidR="000D733F" w:rsidRPr="003275D0" w:rsidRDefault="00235E28" w:rsidP="003275D0">
            <w:pPr>
              <w:pStyle w:val="TableTextEntries"/>
            </w:pPr>
            <w:r>
              <w:t>Roads for Development</w:t>
            </w:r>
          </w:p>
        </w:tc>
        <w:tc>
          <w:tcPr>
            <w:tcW w:w="2530" w:type="dxa"/>
          </w:tcPr>
          <w:p w:rsidR="000D733F" w:rsidRPr="003275D0" w:rsidRDefault="00235E28" w:rsidP="003275D0">
            <w:pPr>
              <w:pStyle w:val="TableTextEntries"/>
            </w:pPr>
            <w:r>
              <w:t>INK211</w:t>
            </w:r>
          </w:p>
        </w:tc>
        <w:tc>
          <w:tcPr>
            <w:tcW w:w="2612" w:type="dxa"/>
          </w:tcPr>
          <w:p w:rsidR="000D733F" w:rsidRPr="003275D0" w:rsidRDefault="00235E28" w:rsidP="003275D0">
            <w:pPr>
              <w:pStyle w:val="TableTextEntries"/>
            </w:pPr>
            <w:r>
              <w:rPr>
                <w:sz w:val="18"/>
                <w:szCs w:val="18"/>
              </w:rPr>
              <w:t>Independent Progress</w:t>
            </w:r>
            <w:r w:rsidRPr="007B7A9D">
              <w:rPr>
                <w:sz w:val="18"/>
                <w:szCs w:val="18"/>
              </w:rPr>
              <w:t xml:space="preserve"> Review</w:t>
            </w:r>
          </w:p>
        </w:tc>
        <w:tc>
          <w:tcPr>
            <w:tcW w:w="2612" w:type="dxa"/>
          </w:tcPr>
          <w:p w:rsidR="000D733F" w:rsidRPr="003275D0" w:rsidRDefault="00235E28" w:rsidP="00CD061B">
            <w:pPr>
              <w:pStyle w:val="TableTextEntries"/>
              <w:rPr>
                <w:color w:val="000000" w:themeColor="text1" w:themeShade="BF"/>
              </w:rPr>
            </w:pPr>
            <w:r w:rsidRPr="007B7A9D">
              <w:rPr>
                <w:sz w:val="18"/>
                <w:szCs w:val="18"/>
              </w:rPr>
              <w:t>Independent assessment of program’s progress against objectives</w:t>
            </w:r>
          </w:p>
        </w:tc>
        <w:tc>
          <w:tcPr>
            <w:tcW w:w="2617" w:type="dxa"/>
          </w:tcPr>
          <w:p w:rsidR="000D733F" w:rsidRPr="003275D0" w:rsidRDefault="00235E28" w:rsidP="003275D0">
            <w:pPr>
              <w:pStyle w:val="TableTextEntries"/>
            </w:pPr>
            <w:r>
              <w:t>October 2014</w:t>
            </w:r>
          </w:p>
        </w:tc>
      </w:tr>
      <w:tr w:rsidR="00235E28" w:rsidRPr="00071B95" w:rsidTr="000D733F">
        <w:tc>
          <w:tcPr>
            <w:tcW w:w="2601" w:type="dxa"/>
          </w:tcPr>
          <w:p w:rsidR="00235E28" w:rsidRDefault="008662B9" w:rsidP="008662B9">
            <w:pPr>
              <w:pStyle w:val="TableTextEntries"/>
            </w:pPr>
            <w:r w:rsidRPr="00F5103E">
              <w:rPr>
                <w:sz w:val="18"/>
                <w:szCs w:val="18"/>
              </w:rPr>
              <w:t>Basic Education</w:t>
            </w:r>
            <w:r w:rsidR="00FC2D20">
              <w:rPr>
                <w:sz w:val="18"/>
                <w:szCs w:val="18"/>
              </w:rPr>
              <w:t xml:space="preserve"> </w:t>
            </w:r>
          </w:p>
        </w:tc>
        <w:tc>
          <w:tcPr>
            <w:tcW w:w="2530" w:type="dxa"/>
          </w:tcPr>
          <w:p w:rsidR="00235E28" w:rsidRDefault="008662B9" w:rsidP="003275D0">
            <w:pPr>
              <w:pStyle w:val="TableTextEntries"/>
            </w:pPr>
            <w:r>
              <w:rPr>
                <w:sz w:val="18"/>
                <w:szCs w:val="18"/>
              </w:rPr>
              <w:t>INK585</w:t>
            </w:r>
          </w:p>
        </w:tc>
        <w:tc>
          <w:tcPr>
            <w:tcW w:w="2612" w:type="dxa"/>
          </w:tcPr>
          <w:p w:rsidR="00235E28" w:rsidRDefault="008662B9" w:rsidP="003275D0">
            <w:pPr>
              <w:pStyle w:val="TableTextEntries"/>
              <w:rPr>
                <w:sz w:val="18"/>
                <w:szCs w:val="18"/>
              </w:rPr>
            </w:pPr>
            <w:r w:rsidRPr="00F5103E">
              <w:rPr>
                <w:sz w:val="18"/>
                <w:szCs w:val="18"/>
              </w:rPr>
              <w:t>Progress Review</w:t>
            </w:r>
          </w:p>
        </w:tc>
        <w:tc>
          <w:tcPr>
            <w:tcW w:w="2612" w:type="dxa"/>
          </w:tcPr>
          <w:p w:rsidR="00235E28" w:rsidRPr="007B7A9D" w:rsidRDefault="008662B9" w:rsidP="00CD061B">
            <w:pPr>
              <w:pStyle w:val="TableTextEntries"/>
              <w:rPr>
                <w:sz w:val="18"/>
                <w:szCs w:val="18"/>
              </w:rPr>
            </w:pPr>
            <w:r w:rsidRPr="00F5103E">
              <w:rPr>
                <w:sz w:val="18"/>
                <w:szCs w:val="18"/>
              </w:rPr>
              <w:t>To assess effectiveness of education sector activities and inform the new program</w:t>
            </w:r>
          </w:p>
        </w:tc>
        <w:tc>
          <w:tcPr>
            <w:tcW w:w="2617" w:type="dxa"/>
          </w:tcPr>
          <w:p w:rsidR="00235E28" w:rsidRDefault="008662B9" w:rsidP="003275D0">
            <w:pPr>
              <w:pStyle w:val="TableTextEntries"/>
            </w:pPr>
            <w:r>
              <w:t>December 2014</w:t>
            </w:r>
          </w:p>
        </w:tc>
      </w:tr>
      <w:tr w:rsidR="000D733F" w:rsidRPr="00071B95" w:rsidTr="000D733F">
        <w:tc>
          <w:tcPr>
            <w:tcW w:w="2601" w:type="dxa"/>
          </w:tcPr>
          <w:p w:rsidR="000D733F" w:rsidRPr="00071B95" w:rsidRDefault="000D733F" w:rsidP="000D733F">
            <w:pPr>
              <w:pStyle w:val="TableTextEntries"/>
            </w:pPr>
          </w:p>
        </w:tc>
        <w:tc>
          <w:tcPr>
            <w:tcW w:w="2530" w:type="dxa"/>
          </w:tcPr>
          <w:p w:rsidR="000D733F" w:rsidRPr="00071B95" w:rsidRDefault="000D733F" w:rsidP="000D733F">
            <w:pPr>
              <w:pStyle w:val="TableTextEntries"/>
            </w:pPr>
          </w:p>
        </w:tc>
        <w:tc>
          <w:tcPr>
            <w:tcW w:w="2612" w:type="dxa"/>
          </w:tcPr>
          <w:p w:rsidR="000D733F" w:rsidRPr="00071B95" w:rsidRDefault="000D733F" w:rsidP="000D733F">
            <w:pPr>
              <w:pStyle w:val="TableTextEntries"/>
            </w:pPr>
          </w:p>
        </w:tc>
        <w:tc>
          <w:tcPr>
            <w:tcW w:w="2612" w:type="dxa"/>
          </w:tcPr>
          <w:p w:rsidR="000D733F" w:rsidRPr="00071B95" w:rsidRDefault="000D733F" w:rsidP="000D733F">
            <w:pPr>
              <w:pStyle w:val="TableTextEntries"/>
            </w:pPr>
          </w:p>
        </w:tc>
        <w:tc>
          <w:tcPr>
            <w:tcW w:w="2617" w:type="dxa"/>
          </w:tcPr>
          <w:p w:rsidR="000D733F" w:rsidRPr="00071B95" w:rsidRDefault="000D733F" w:rsidP="000D733F">
            <w:pPr>
              <w:pStyle w:val="TableTextEntries"/>
            </w:pPr>
          </w:p>
        </w:tc>
      </w:tr>
    </w:tbl>
    <w:p w:rsidR="000D733F" w:rsidRDefault="000D733F" w:rsidP="000D733F">
      <w:pPr>
        <w:rPr>
          <w:b/>
        </w:rPr>
      </w:pPr>
    </w:p>
    <w:p w:rsidR="00235E28" w:rsidRDefault="00235E28" w:rsidP="000D733F">
      <w:pPr>
        <w:rPr>
          <w:b/>
        </w:rPr>
        <w:sectPr w:rsidR="00235E28" w:rsidSect="00871C2C">
          <w:footnotePr>
            <w:numRestart w:val="eachPage"/>
          </w:footnotePr>
          <w:type w:val="continuous"/>
          <w:pgSz w:w="16838" w:h="11906" w:orient="landscape" w:code="9"/>
          <w:pgMar w:top="1814" w:right="1814" w:bottom="851" w:left="851" w:header="709" w:footer="425" w:gutter="0"/>
          <w:cols w:space="708"/>
          <w:titlePg/>
          <w:docGrid w:linePitch="360"/>
        </w:sectPr>
      </w:pPr>
    </w:p>
    <w:p w:rsidR="000D733F" w:rsidRPr="009E38C1" w:rsidRDefault="000D733F" w:rsidP="000D733F">
      <w:pPr>
        <w:pStyle w:val="Heading2"/>
        <w:rPr>
          <w:sz w:val="28"/>
        </w:rPr>
      </w:pPr>
      <w:r w:rsidRPr="009E38C1">
        <w:rPr>
          <w:sz w:val="28"/>
        </w:rPr>
        <w:lastRenderedPageBreak/>
        <w:t>Annex D</w:t>
      </w:r>
    </w:p>
    <w:p w:rsidR="000D733F" w:rsidRPr="009E38C1" w:rsidRDefault="000D733F" w:rsidP="000D733F">
      <w:pPr>
        <w:pStyle w:val="Heading2"/>
        <w:rPr>
          <w:sz w:val="28"/>
        </w:rPr>
      </w:pPr>
      <w:r w:rsidRPr="009E38C1">
        <w:rPr>
          <w:sz w:val="28"/>
        </w:rPr>
        <w:t>Performance Benchmarks 2014 -15</w:t>
      </w:r>
    </w:p>
    <w:p w:rsidR="00A05838" w:rsidRDefault="00A05838" w:rsidP="000D733F">
      <w:pPr>
        <w:pStyle w:val="BodyText"/>
      </w:pPr>
    </w:p>
    <w:tbl>
      <w:tblPr>
        <w:tblStyle w:val="DFATTable"/>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01"/>
        <w:gridCol w:w="3301"/>
        <w:gridCol w:w="7279"/>
      </w:tblGrid>
      <w:tr w:rsidR="000D733F" w:rsidRPr="004F7D80" w:rsidTr="008D2E38">
        <w:trPr>
          <w:tblHeader/>
        </w:trPr>
        <w:tc>
          <w:tcPr>
            <w:tcW w:w="1189" w:type="pct"/>
            <w:tcMar>
              <w:top w:w="57" w:type="dxa"/>
              <w:bottom w:w="57" w:type="dxa"/>
            </w:tcMar>
          </w:tcPr>
          <w:p w:rsidR="000D733F" w:rsidRPr="002749B6" w:rsidRDefault="00736D2D">
            <w:pPr>
              <w:pStyle w:val="TableHeading1"/>
            </w:pPr>
            <w:r>
              <w:t>Aid</w:t>
            </w:r>
            <w:r w:rsidR="000D733F" w:rsidRPr="002749B6">
              <w:t xml:space="preserve"> objective</w:t>
            </w:r>
          </w:p>
        </w:tc>
        <w:tc>
          <w:tcPr>
            <w:tcW w:w="1189" w:type="pct"/>
          </w:tcPr>
          <w:p w:rsidR="000D733F" w:rsidRPr="002749B6" w:rsidRDefault="000D733F" w:rsidP="000D733F">
            <w:pPr>
              <w:pStyle w:val="TableHeading1"/>
            </w:pPr>
            <w:r w:rsidRPr="002749B6">
              <w:t xml:space="preserve">2014-15 benchmark </w:t>
            </w:r>
          </w:p>
        </w:tc>
        <w:tc>
          <w:tcPr>
            <w:tcW w:w="2623" w:type="pct"/>
          </w:tcPr>
          <w:p w:rsidR="000D733F" w:rsidRPr="002749B6" w:rsidRDefault="000D733F" w:rsidP="000D733F">
            <w:pPr>
              <w:pStyle w:val="TableHeading1"/>
            </w:pPr>
            <w:r w:rsidRPr="002749B6">
              <w:t>Rationale for selecting this performance benchmark</w:t>
            </w:r>
          </w:p>
        </w:tc>
      </w:tr>
      <w:tr w:rsidR="00E01E6A" w:rsidRPr="004F7D80" w:rsidTr="008D2E38">
        <w:tc>
          <w:tcPr>
            <w:tcW w:w="1189" w:type="pct"/>
            <w:tcMar>
              <w:top w:w="57" w:type="dxa"/>
              <w:bottom w:w="57" w:type="dxa"/>
            </w:tcMar>
          </w:tcPr>
          <w:p w:rsidR="00E01E6A" w:rsidRPr="005B726A" w:rsidRDefault="00E01E6A" w:rsidP="008662B9">
            <w:pPr>
              <w:pStyle w:val="TableTextEntries"/>
            </w:pPr>
            <w:r w:rsidRPr="005B726A">
              <w:rPr>
                <w:b/>
                <w:bCs/>
              </w:rPr>
              <w:t>Objective 1: Improving livelihoods</w:t>
            </w:r>
          </w:p>
        </w:tc>
        <w:tc>
          <w:tcPr>
            <w:tcW w:w="1189" w:type="pct"/>
          </w:tcPr>
          <w:p w:rsidR="00E01E6A" w:rsidRPr="005B726A" w:rsidRDefault="00E01E6A" w:rsidP="000D733F">
            <w:pPr>
              <w:pStyle w:val="TableTextEntries"/>
            </w:pPr>
          </w:p>
        </w:tc>
        <w:tc>
          <w:tcPr>
            <w:tcW w:w="2623" w:type="pct"/>
            <w:vMerge w:val="restart"/>
          </w:tcPr>
          <w:p w:rsidR="00E01E6A" w:rsidRPr="002749B6" w:rsidRDefault="00E01E6A" w:rsidP="000D733F">
            <w:pPr>
              <w:pStyle w:val="TableTextEntries"/>
            </w:pPr>
            <w:r>
              <w:t>All of these benchmarks were decided upon as part of the Aid Investment Plan development process. They were chosen in line with guidance provided on AIP process to reflect the direction and spread of the program (and particularly to capture high value programs). A mix of outputs and outcomes are presented</w:t>
            </w:r>
            <w:r w:rsidR="00FC2D20">
              <w:t xml:space="preserve"> </w:t>
            </w:r>
          </w:p>
        </w:tc>
      </w:tr>
      <w:tr w:rsidR="00E01E6A" w:rsidRPr="004F7D80" w:rsidTr="008D2E38">
        <w:tc>
          <w:tcPr>
            <w:tcW w:w="1189" w:type="pct"/>
            <w:tcMar>
              <w:top w:w="57" w:type="dxa"/>
              <w:bottom w:w="57" w:type="dxa"/>
            </w:tcMar>
          </w:tcPr>
          <w:p w:rsidR="00E01E6A" w:rsidRPr="005B726A" w:rsidRDefault="00E01E6A" w:rsidP="000D733F">
            <w:pPr>
              <w:pStyle w:val="TableTextEntries"/>
            </w:pPr>
            <w:r w:rsidRPr="005B726A">
              <w:t>300km of additional rural roads are rehabilitated</w:t>
            </w:r>
          </w:p>
        </w:tc>
        <w:tc>
          <w:tcPr>
            <w:tcW w:w="1189" w:type="pct"/>
          </w:tcPr>
          <w:p w:rsidR="00E01E6A" w:rsidRPr="005B726A" w:rsidRDefault="00E01E6A" w:rsidP="000D733F">
            <w:pPr>
              <w:pStyle w:val="TableTextEntries"/>
            </w:pPr>
            <w:r w:rsidRPr="005B726A">
              <w:t>25 km</w:t>
            </w:r>
          </w:p>
        </w:tc>
        <w:tc>
          <w:tcPr>
            <w:tcW w:w="2623" w:type="pct"/>
            <w:vMerge/>
          </w:tcPr>
          <w:p w:rsidR="00E01E6A" w:rsidRPr="002749B6" w:rsidRDefault="00E01E6A" w:rsidP="00E01E6A">
            <w:pPr>
              <w:pStyle w:val="TableTextEntries"/>
            </w:pPr>
          </w:p>
        </w:tc>
      </w:tr>
      <w:tr w:rsidR="008662B9" w:rsidRPr="004F7D80" w:rsidTr="008D2E38">
        <w:tc>
          <w:tcPr>
            <w:tcW w:w="1189" w:type="pct"/>
            <w:tcMar>
              <w:top w:w="57" w:type="dxa"/>
              <w:bottom w:w="57" w:type="dxa"/>
            </w:tcMar>
          </w:tcPr>
          <w:p w:rsidR="008662B9" w:rsidRPr="005B726A" w:rsidRDefault="008662B9" w:rsidP="00E01E6A">
            <w:pPr>
              <w:pStyle w:val="TableTextEntries"/>
              <w:spacing w:before="0" w:after="0"/>
              <w:jc w:val="both"/>
            </w:pPr>
            <w:r w:rsidRPr="005B726A">
              <w:t>50% of TVET trainees and scholarship awardees are in employment after successful completion of their courses</w:t>
            </w:r>
          </w:p>
        </w:tc>
        <w:tc>
          <w:tcPr>
            <w:tcW w:w="1189" w:type="pct"/>
          </w:tcPr>
          <w:p w:rsidR="008662B9" w:rsidRPr="005B726A" w:rsidRDefault="008662B9" w:rsidP="00F12302">
            <w:pPr>
              <w:pStyle w:val="TableTextEntries"/>
            </w:pPr>
            <w:r w:rsidRPr="005B726A">
              <w:t>50% (</w:t>
            </w:r>
            <w:r w:rsidR="00F12302">
              <w:t>75</w:t>
            </w:r>
            <w:r w:rsidRPr="005B726A">
              <w:t xml:space="preserve"> graduates)</w:t>
            </w:r>
          </w:p>
        </w:tc>
        <w:tc>
          <w:tcPr>
            <w:tcW w:w="2623" w:type="pct"/>
          </w:tcPr>
          <w:p w:rsidR="008662B9" w:rsidRPr="002749B6" w:rsidRDefault="008662B9" w:rsidP="000D733F">
            <w:pPr>
              <w:pStyle w:val="TableTextEntries"/>
            </w:pPr>
          </w:p>
        </w:tc>
      </w:tr>
      <w:tr w:rsidR="008662B9" w:rsidRPr="004F7D80" w:rsidTr="008D2E38">
        <w:tc>
          <w:tcPr>
            <w:tcW w:w="1189" w:type="pct"/>
            <w:tcMar>
              <w:top w:w="57" w:type="dxa"/>
              <w:bottom w:w="57" w:type="dxa"/>
            </w:tcMar>
          </w:tcPr>
          <w:p w:rsidR="008662B9" w:rsidRPr="005B726A" w:rsidRDefault="005B726A" w:rsidP="005B726A">
            <w:pPr>
              <w:pStyle w:val="TableTextEntries"/>
              <w:rPr>
                <w:b/>
                <w:bCs/>
              </w:rPr>
            </w:pPr>
            <w:r w:rsidRPr="005B726A">
              <w:rPr>
                <w:b/>
                <w:bCs/>
              </w:rPr>
              <w:t>Objective 2</w:t>
            </w:r>
            <w:r w:rsidR="008662B9" w:rsidRPr="005B726A">
              <w:rPr>
                <w:b/>
                <w:bCs/>
              </w:rPr>
              <w:t>: Enhancing human development</w:t>
            </w:r>
          </w:p>
        </w:tc>
        <w:tc>
          <w:tcPr>
            <w:tcW w:w="1189" w:type="pct"/>
          </w:tcPr>
          <w:p w:rsidR="008662B9" w:rsidRPr="005B726A" w:rsidRDefault="008662B9" w:rsidP="000D733F">
            <w:pPr>
              <w:pStyle w:val="TableTextEntries"/>
            </w:pPr>
          </w:p>
        </w:tc>
        <w:tc>
          <w:tcPr>
            <w:tcW w:w="2623" w:type="pct"/>
          </w:tcPr>
          <w:p w:rsidR="008662B9" w:rsidRPr="002749B6" w:rsidRDefault="008662B9" w:rsidP="000D733F">
            <w:pPr>
              <w:pStyle w:val="TableTextEntries"/>
            </w:pPr>
          </w:p>
        </w:tc>
      </w:tr>
      <w:tr w:rsidR="008662B9" w:rsidRPr="004F7D80" w:rsidTr="008D2E38">
        <w:tc>
          <w:tcPr>
            <w:tcW w:w="1189" w:type="pct"/>
            <w:tcMar>
              <w:top w:w="57" w:type="dxa"/>
              <w:bottom w:w="57" w:type="dxa"/>
            </w:tcMar>
          </w:tcPr>
          <w:p w:rsidR="008662B9" w:rsidRPr="005B726A" w:rsidRDefault="008662B9" w:rsidP="000D733F">
            <w:pPr>
              <w:pStyle w:val="TableTextEntries"/>
            </w:pPr>
            <w:r w:rsidRPr="005B726A">
              <w:t>6500 additional women and girls affected by violence are accessing legal, medical and social support services</w:t>
            </w:r>
          </w:p>
        </w:tc>
        <w:tc>
          <w:tcPr>
            <w:tcW w:w="1189" w:type="pct"/>
          </w:tcPr>
          <w:p w:rsidR="008662B9" w:rsidRPr="005B726A" w:rsidRDefault="008662B9" w:rsidP="000D733F">
            <w:pPr>
              <w:pStyle w:val="TableTextEntries"/>
            </w:pPr>
            <w:r w:rsidRPr="005B726A">
              <w:t>1200</w:t>
            </w:r>
            <w:r w:rsidR="00E01E6A">
              <w:t xml:space="preserve"> women and girls</w:t>
            </w:r>
          </w:p>
        </w:tc>
        <w:tc>
          <w:tcPr>
            <w:tcW w:w="2623" w:type="pct"/>
          </w:tcPr>
          <w:p w:rsidR="008662B9" w:rsidRPr="002749B6" w:rsidRDefault="008662B9" w:rsidP="000D733F">
            <w:pPr>
              <w:pStyle w:val="TableTextEntries"/>
            </w:pPr>
          </w:p>
        </w:tc>
      </w:tr>
      <w:tr w:rsidR="008662B9" w:rsidRPr="004F7D80" w:rsidTr="008D2E38">
        <w:tc>
          <w:tcPr>
            <w:tcW w:w="1189" w:type="pct"/>
            <w:tcMar>
              <w:top w:w="57" w:type="dxa"/>
              <w:bottom w:w="57" w:type="dxa"/>
            </w:tcMar>
          </w:tcPr>
          <w:p w:rsidR="008662B9" w:rsidRPr="00E01E6A" w:rsidRDefault="008662B9" w:rsidP="00E01E6A">
            <w:pPr>
              <w:jc w:val="both"/>
              <w:rPr>
                <w:rFonts w:ascii="Franklin Gothic Book" w:hAnsi="Franklin Gothic Book"/>
                <w:sz w:val="17"/>
                <w:szCs w:val="17"/>
              </w:rPr>
            </w:pPr>
            <w:r w:rsidRPr="005B726A">
              <w:rPr>
                <w:rFonts w:ascii="Franklin Gothic Book" w:hAnsi="Franklin Gothic Book"/>
                <w:sz w:val="17"/>
                <w:szCs w:val="17"/>
              </w:rPr>
              <w:t xml:space="preserve">80% of village infrastructure built by the National Program for Village Development is rated ‘good’ against technical standards and assessments </w:t>
            </w:r>
          </w:p>
        </w:tc>
        <w:tc>
          <w:tcPr>
            <w:tcW w:w="1189" w:type="pct"/>
          </w:tcPr>
          <w:p w:rsidR="008662B9" w:rsidRPr="005B726A" w:rsidRDefault="008662B9" w:rsidP="000D733F">
            <w:pPr>
              <w:pStyle w:val="TableTextEntries"/>
            </w:pPr>
            <w:r w:rsidRPr="005B726A">
              <w:t>70% (309 Villages)</w:t>
            </w:r>
          </w:p>
        </w:tc>
        <w:tc>
          <w:tcPr>
            <w:tcW w:w="2623" w:type="pct"/>
          </w:tcPr>
          <w:p w:rsidR="008662B9" w:rsidRPr="002749B6" w:rsidRDefault="008662B9" w:rsidP="000D733F">
            <w:pPr>
              <w:pStyle w:val="TableTextEntries"/>
            </w:pPr>
          </w:p>
        </w:tc>
      </w:tr>
      <w:tr w:rsidR="008662B9" w:rsidRPr="004F7D80" w:rsidTr="008D2E38">
        <w:tc>
          <w:tcPr>
            <w:tcW w:w="1189" w:type="pct"/>
            <w:tcMar>
              <w:top w:w="57" w:type="dxa"/>
              <w:bottom w:w="57" w:type="dxa"/>
            </w:tcMar>
          </w:tcPr>
          <w:p w:rsidR="008662B9" w:rsidRPr="005B726A" w:rsidRDefault="008662B9" w:rsidP="000D733F">
            <w:pPr>
              <w:pStyle w:val="TableTextEntries"/>
            </w:pPr>
            <w:r w:rsidRPr="005B726A">
              <w:t xml:space="preserve">157,000 additional men and women with improved access to clean water or exposure to sanitation and hygiene </w:t>
            </w:r>
            <w:r w:rsidR="009E7801" w:rsidRPr="005B726A">
              <w:t>behavioural</w:t>
            </w:r>
            <w:r w:rsidRPr="005B726A">
              <w:t xml:space="preserve"> change programs which have been funded or co-funded by DFAT</w:t>
            </w:r>
          </w:p>
        </w:tc>
        <w:tc>
          <w:tcPr>
            <w:tcW w:w="1189" w:type="pct"/>
          </w:tcPr>
          <w:p w:rsidR="008662B9" w:rsidRPr="005B726A" w:rsidRDefault="008662B9" w:rsidP="000D733F">
            <w:pPr>
              <w:pStyle w:val="TableTextEntries"/>
            </w:pPr>
            <w:r w:rsidRPr="005B726A">
              <w:t>23,000</w:t>
            </w:r>
            <w:r w:rsidR="00E01E6A">
              <w:t xml:space="preserve"> men and women</w:t>
            </w:r>
          </w:p>
        </w:tc>
        <w:tc>
          <w:tcPr>
            <w:tcW w:w="2623" w:type="pct"/>
          </w:tcPr>
          <w:p w:rsidR="008662B9" w:rsidRPr="002749B6" w:rsidRDefault="008662B9" w:rsidP="000D733F">
            <w:pPr>
              <w:pStyle w:val="TableTextEntries"/>
            </w:pPr>
          </w:p>
        </w:tc>
      </w:tr>
      <w:tr w:rsidR="005B726A" w:rsidRPr="004F7D80" w:rsidTr="008D2E38">
        <w:tc>
          <w:tcPr>
            <w:tcW w:w="1189" w:type="pct"/>
            <w:tcMar>
              <w:top w:w="57" w:type="dxa"/>
              <w:bottom w:w="57" w:type="dxa"/>
            </w:tcMar>
          </w:tcPr>
          <w:p w:rsidR="005B726A" w:rsidRPr="005B726A" w:rsidRDefault="005B726A" w:rsidP="000D733F">
            <w:pPr>
              <w:pStyle w:val="TableTextEntries"/>
            </w:pPr>
            <w:r w:rsidRPr="005B726A">
              <w:rPr>
                <w:b/>
                <w:bCs/>
              </w:rPr>
              <w:t xml:space="preserve">Objective 3 Performance benchmarks: </w:t>
            </w:r>
            <w:r w:rsidRPr="005B726A">
              <w:rPr>
                <w:b/>
                <w:bCs/>
              </w:rPr>
              <w:lastRenderedPageBreak/>
              <w:t>Strengthening governance and institutions</w:t>
            </w:r>
          </w:p>
        </w:tc>
        <w:tc>
          <w:tcPr>
            <w:tcW w:w="1189" w:type="pct"/>
          </w:tcPr>
          <w:p w:rsidR="005B726A" w:rsidRPr="005B726A" w:rsidRDefault="005B726A" w:rsidP="000D733F">
            <w:pPr>
              <w:pStyle w:val="TableTextEntries"/>
            </w:pPr>
          </w:p>
        </w:tc>
        <w:tc>
          <w:tcPr>
            <w:tcW w:w="2623" w:type="pct"/>
          </w:tcPr>
          <w:p w:rsidR="005B726A" w:rsidRPr="002749B6" w:rsidRDefault="005B726A" w:rsidP="000D733F">
            <w:pPr>
              <w:pStyle w:val="TableTextEntries"/>
            </w:pPr>
          </w:p>
        </w:tc>
      </w:tr>
      <w:tr w:rsidR="005B726A" w:rsidRPr="004F7D80" w:rsidTr="008D2E38">
        <w:tc>
          <w:tcPr>
            <w:tcW w:w="1189" w:type="pct"/>
            <w:tcMar>
              <w:top w:w="57" w:type="dxa"/>
              <w:bottom w:w="57" w:type="dxa"/>
            </w:tcMar>
          </w:tcPr>
          <w:p w:rsidR="005B726A" w:rsidRPr="005B726A" w:rsidRDefault="005B726A" w:rsidP="000D733F">
            <w:pPr>
              <w:pStyle w:val="TableTextEntries"/>
            </w:pPr>
            <w:r w:rsidRPr="005B726A">
              <w:lastRenderedPageBreak/>
              <w:t>80 per cent of the work units of the MoF are rated as a ‘B’ or higher</w:t>
            </w:r>
            <w:r w:rsidRPr="005B726A">
              <w:rPr>
                <w:rStyle w:val="FootnoteReference"/>
                <w:rFonts w:ascii="Franklin Gothic Book" w:hAnsi="Franklin Gothic Book"/>
                <w:sz w:val="17"/>
                <w:szCs w:val="17"/>
              </w:rPr>
              <w:footnoteReference w:id="4"/>
            </w:r>
          </w:p>
        </w:tc>
        <w:tc>
          <w:tcPr>
            <w:tcW w:w="1189" w:type="pct"/>
          </w:tcPr>
          <w:p w:rsidR="005B726A" w:rsidRPr="005B726A" w:rsidRDefault="005B726A" w:rsidP="000D733F">
            <w:pPr>
              <w:pStyle w:val="TableTextEntries"/>
            </w:pPr>
            <w:r w:rsidRPr="005B726A">
              <w:t>65%</w:t>
            </w:r>
          </w:p>
        </w:tc>
        <w:tc>
          <w:tcPr>
            <w:tcW w:w="2623" w:type="pct"/>
          </w:tcPr>
          <w:p w:rsidR="005B726A" w:rsidRPr="002749B6" w:rsidRDefault="005B726A" w:rsidP="000D733F">
            <w:pPr>
              <w:pStyle w:val="TableTextEntries"/>
            </w:pPr>
          </w:p>
        </w:tc>
      </w:tr>
      <w:tr w:rsidR="005B726A" w:rsidRPr="004F7D80" w:rsidTr="008D2E38">
        <w:tc>
          <w:tcPr>
            <w:tcW w:w="1189" w:type="pct"/>
            <w:tcMar>
              <w:top w:w="57" w:type="dxa"/>
              <w:bottom w:w="57" w:type="dxa"/>
            </w:tcMar>
          </w:tcPr>
          <w:p w:rsidR="005B726A" w:rsidRPr="005B726A" w:rsidRDefault="005B726A" w:rsidP="000D733F">
            <w:pPr>
              <w:pStyle w:val="TableTextEntries"/>
            </w:pPr>
            <w:r w:rsidRPr="005B726A">
              <w:t>Improvements in the rating of police in a small set (4) of specific questions in a yearly national Community Perceptions Survey</w:t>
            </w:r>
          </w:p>
        </w:tc>
        <w:tc>
          <w:tcPr>
            <w:tcW w:w="1189" w:type="pct"/>
          </w:tcPr>
          <w:p w:rsidR="005B726A" w:rsidRPr="005B726A" w:rsidRDefault="00E01E6A" w:rsidP="000D733F">
            <w:pPr>
              <w:pStyle w:val="TableTextEntries"/>
            </w:pPr>
            <w:r>
              <w:t>I</w:t>
            </w:r>
            <w:r w:rsidR="005B726A" w:rsidRPr="005B726A">
              <w:t>mprovement on 1 or more measure</w:t>
            </w:r>
          </w:p>
        </w:tc>
        <w:tc>
          <w:tcPr>
            <w:tcW w:w="2623" w:type="pct"/>
          </w:tcPr>
          <w:p w:rsidR="005B726A" w:rsidRPr="002749B6" w:rsidRDefault="005B726A" w:rsidP="000D733F">
            <w:pPr>
              <w:pStyle w:val="TableTextEntries"/>
            </w:pPr>
          </w:p>
        </w:tc>
      </w:tr>
      <w:tr w:rsidR="003669BB" w:rsidRPr="004F7D80" w:rsidTr="008D2E38">
        <w:tc>
          <w:tcPr>
            <w:tcW w:w="1189" w:type="pct"/>
            <w:tcMar>
              <w:top w:w="57" w:type="dxa"/>
              <w:bottom w:w="57" w:type="dxa"/>
            </w:tcMar>
          </w:tcPr>
          <w:p w:rsidR="003669BB" w:rsidRPr="005B726A" w:rsidRDefault="003669BB" w:rsidP="000D733F">
            <w:pPr>
              <w:pStyle w:val="TableTextEntries"/>
            </w:pPr>
            <w:r>
              <w:rPr>
                <w:b/>
                <w:bCs/>
              </w:rPr>
              <w:t xml:space="preserve">Multi-sector </w:t>
            </w:r>
            <w:r w:rsidRPr="00DC6724">
              <w:rPr>
                <w:b/>
                <w:bCs/>
              </w:rPr>
              <w:t>performance benchmark</w:t>
            </w:r>
          </w:p>
        </w:tc>
        <w:tc>
          <w:tcPr>
            <w:tcW w:w="1189" w:type="pct"/>
          </w:tcPr>
          <w:p w:rsidR="003669BB" w:rsidRDefault="003669BB" w:rsidP="000D733F">
            <w:pPr>
              <w:pStyle w:val="TableTextEntries"/>
            </w:pPr>
          </w:p>
        </w:tc>
        <w:tc>
          <w:tcPr>
            <w:tcW w:w="2623" w:type="pct"/>
          </w:tcPr>
          <w:p w:rsidR="003669BB" w:rsidRPr="002749B6" w:rsidRDefault="003669BB" w:rsidP="000D733F">
            <w:pPr>
              <w:pStyle w:val="TableTextEntries"/>
            </w:pPr>
          </w:p>
        </w:tc>
      </w:tr>
      <w:tr w:rsidR="003669BB" w:rsidRPr="004F7D80" w:rsidTr="008D2E38">
        <w:tc>
          <w:tcPr>
            <w:tcW w:w="1189" w:type="pct"/>
            <w:tcMar>
              <w:top w:w="57" w:type="dxa"/>
              <w:bottom w:w="57" w:type="dxa"/>
            </w:tcMar>
          </w:tcPr>
          <w:p w:rsidR="003669BB" w:rsidRDefault="003669BB" w:rsidP="003669BB">
            <w:pPr>
              <w:pStyle w:val="TableTextEntries"/>
              <w:rPr>
                <w:b/>
                <w:bCs/>
              </w:rPr>
            </w:pPr>
            <w:r>
              <w:t>By 2017-18, the prevalence of stunting among children 0-23 months in target sub-districts reduces by 10% of 2014-15 prevalence.</w:t>
            </w:r>
          </w:p>
        </w:tc>
        <w:tc>
          <w:tcPr>
            <w:tcW w:w="1189" w:type="pct"/>
          </w:tcPr>
          <w:p w:rsidR="00FC389D" w:rsidRPr="008D2E38" w:rsidRDefault="007525A5" w:rsidP="008D2E38">
            <w:pPr>
              <w:pStyle w:val="TableTextEntries"/>
            </w:pPr>
            <w:r>
              <w:t xml:space="preserve">Conduct 2014-15 </w:t>
            </w:r>
            <w:r w:rsidR="009E7801">
              <w:t>B</w:t>
            </w:r>
            <w:r w:rsidR="00FC389D" w:rsidRPr="008D2E38">
              <w:t>aseline for AIP Impact Study</w:t>
            </w:r>
            <w:r w:rsidR="00FC389D">
              <w:t>.</w:t>
            </w:r>
          </w:p>
          <w:p w:rsidR="003669BB" w:rsidRDefault="003669BB" w:rsidP="000D733F">
            <w:pPr>
              <w:pStyle w:val="TableTextEntries"/>
            </w:pPr>
          </w:p>
        </w:tc>
        <w:tc>
          <w:tcPr>
            <w:tcW w:w="2623" w:type="pct"/>
          </w:tcPr>
          <w:p w:rsidR="003669BB" w:rsidRPr="002749B6" w:rsidRDefault="003669BB" w:rsidP="003669BB">
            <w:pPr>
              <w:pStyle w:val="TableTextEntries"/>
            </w:pPr>
          </w:p>
        </w:tc>
      </w:tr>
      <w:bookmarkEnd w:id="2"/>
    </w:tbl>
    <w:p w:rsidR="00880C72" w:rsidRDefault="00880C72"/>
    <w:p w:rsidR="00880C72" w:rsidRDefault="00880C72"/>
    <w:p w:rsidR="00880C72" w:rsidRDefault="00880C72"/>
    <w:p w:rsidR="00880C72" w:rsidRPr="00D95DDC" w:rsidRDefault="00880C72"/>
    <w:sectPr w:rsidR="00880C72" w:rsidRPr="00D95DDC" w:rsidSect="00871C2C">
      <w:pgSz w:w="16840" w:h="11907" w:orient="landscape" w:code="9"/>
      <w:pgMar w:top="1871" w:right="2268" w:bottom="1871" w:left="907" w:header="851" w:footer="45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0F9" w:rsidRDefault="004830F9" w:rsidP="0050529F">
      <w:r>
        <w:separator/>
      </w:r>
    </w:p>
    <w:p w:rsidR="004830F9" w:rsidRDefault="004830F9"/>
    <w:p w:rsidR="004830F9" w:rsidRDefault="004830F9"/>
    <w:p w:rsidR="004830F9" w:rsidRDefault="004830F9"/>
    <w:p w:rsidR="004830F9" w:rsidRDefault="004830F9"/>
    <w:p w:rsidR="004830F9" w:rsidRDefault="004830F9"/>
    <w:p w:rsidR="004830F9" w:rsidRDefault="004830F9"/>
    <w:p w:rsidR="004830F9" w:rsidRDefault="004830F9"/>
  </w:endnote>
  <w:endnote w:type="continuationSeparator" w:id="0">
    <w:p w:rsidR="004830F9" w:rsidRDefault="004830F9" w:rsidP="0050529F">
      <w:r>
        <w:continuationSeparator/>
      </w:r>
    </w:p>
    <w:p w:rsidR="004830F9" w:rsidRDefault="004830F9"/>
    <w:p w:rsidR="004830F9" w:rsidRDefault="004830F9"/>
    <w:p w:rsidR="004830F9" w:rsidRDefault="004830F9"/>
    <w:p w:rsidR="004830F9" w:rsidRDefault="004830F9"/>
    <w:p w:rsidR="004830F9" w:rsidRDefault="004830F9"/>
    <w:p w:rsidR="004830F9" w:rsidRDefault="004830F9"/>
    <w:p w:rsidR="004830F9" w:rsidRDefault="004830F9"/>
  </w:endnote>
  <w:endnote w:type="continuationNotice" w:id="1">
    <w:p w:rsidR="004830F9" w:rsidRDefault="004830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Franklin Gothic Demi">
    <w:panose1 w:val="020B0703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5D" w:rsidRPr="0091071F" w:rsidRDefault="0000195D" w:rsidP="000D733F">
    <w:pPr>
      <w:pStyle w:val="Footer"/>
    </w:pPr>
    <w:r w:rsidRPr="0091071F">
      <w:fldChar w:fldCharType="begin"/>
    </w:r>
    <w:r w:rsidRPr="0091071F">
      <w:instrText xml:space="preserve"> PAGE </w:instrText>
    </w:r>
    <w:r w:rsidRPr="0091071F">
      <w:fldChar w:fldCharType="separate"/>
    </w:r>
    <w:r>
      <w:rPr>
        <w:noProof/>
      </w:rPr>
      <w:t>4</w:t>
    </w:r>
    <w:r w:rsidRPr="0091071F">
      <w:fldChar w:fldCharType="end"/>
    </w:r>
    <w:r w:rsidRPr="0091071F">
      <w:tab/>
    </w:r>
    <w:r>
      <w:fldChar w:fldCharType="begin"/>
    </w:r>
    <w:r>
      <w:instrText xml:space="preserve"> STYLEREF  Title </w:instrText>
    </w:r>
    <w:r>
      <w:rPr>
        <w:noProof/>
      </w:rPr>
      <w:fldChar w:fldCharType="end"/>
    </w:r>
    <w:r>
      <w:t xml:space="preserve"> &lt;&lt;Name of Country Program&gt;&gt;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5D" w:rsidRPr="0091071F" w:rsidRDefault="0000195D" w:rsidP="000D733F">
    <w:pPr>
      <w:pStyle w:val="Footer"/>
    </w:pPr>
    <w:r>
      <w:tab/>
    </w:r>
    <w:r>
      <w:tab/>
    </w:r>
    <w:r>
      <w:tab/>
    </w:r>
    <w:r w:rsidR="007525A5">
      <w:t xml:space="preserve">Timor-Leste </w:t>
    </w:r>
    <w:r w:rsidR="00DC46EF">
      <w:fldChar w:fldCharType="begin"/>
    </w:r>
    <w:r w:rsidR="00DC46EF">
      <w:instrText xml:space="preserve"> STYLEREF Title \* MERGEFORMAT </w:instrText>
    </w:r>
    <w:r w:rsidR="00DC46EF">
      <w:rPr>
        <w:noProof/>
      </w:rPr>
      <w:fldChar w:fldCharType="end"/>
    </w:r>
    <w:r w:rsidRPr="0091071F">
      <w:rPr>
        <w:rStyle w:val="PageNumber"/>
        <w:color w:val="3E3935"/>
      </w:rPr>
      <w:tab/>
    </w:r>
    <w:r w:rsidRPr="0091071F">
      <w:rPr>
        <w:rStyle w:val="PageNumber"/>
        <w:color w:val="3E3935"/>
      </w:rPr>
      <w:fldChar w:fldCharType="begin"/>
    </w:r>
    <w:r w:rsidRPr="0091071F">
      <w:rPr>
        <w:rStyle w:val="PageNumber"/>
        <w:color w:val="3E3935"/>
      </w:rPr>
      <w:instrText xml:space="preserve"> PAGE </w:instrText>
    </w:r>
    <w:r w:rsidRPr="0091071F">
      <w:rPr>
        <w:rStyle w:val="PageNumber"/>
        <w:color w:val="3E3935"/>
      </w:rPr>
      <w:fldChar w:fldCharType="separate"/>
    </w:r>
    <w:r w:rsidR="00E41292">
      <w:rPr>
        <w:rStyle w:val="PageNumber"/>
        <w:noProof/>
        <w:color w:val="3E3935"/>
      </w:rPr>
      <w:t>1</w:t>
    </w:r>
    <w:r w:rsidRPr="0091071F">
      <w:rPr>
        <w:rStyle w:val="PageNumber"/>
        <w:color w:val="3E3935"/>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92" w:rsidRDefault="00E4129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5D" w:rsidRPr="004C4A3E" w:rsidRDefault="0000195D" w:rsidP="000D733F">
    <w:pPr>
      <w:tabs>
        <w:tab w:val="left" w:pos="0"/>
        <w:tab w:val="left" w:pos="13325"/>
      </w:tabs>
      <w:spacing w:line="180" w:lineRule="exact"/>
      <w:ind w:right="-1136"/>
      <w:rPr>
        <w:rFonts w:ascii="Franklin Gothic Medium" w:hAnsi="Franklin Gothic Medium"/>
        <w:color w:val="5A9A98"/>
        <w:sz w:val="14"/>
        <w:szCs w:val="14"/>
      </w:rPr>
    </w:pPr>
    <w:r>
      <w:rPr>
        <w:noProof/>
      </w:rPr>
      <mc:AlternateContent>
        <mc:Choice Requires="wps">
          <w:drawing>
            <wp:anchor distT="0" distB="0" distL="114300" distR="114300" simplePos="0" relativeHeight="251720704" behindDoc="1" locked="1" layoutInCell="1" allowOverlap="1" wp14:anchorId="17465450" wp14:editId="001D469A">
              <wp:simplePos x="0" y="0"/>
              <wp:positionH relativeFrom="page">
                <wp:posOffset>0</wp:posOffset>
              </wp:positionH>
              <wp:positionV relativeFrom="page">
                <wp:posOffset>8533130</wp:posOffset>
              </wp:positionV>
              <wp:extent cx="7380000" cy="2181600"/>
              <wp:effectExtent l="0" t="0" r="0" b="9525"/>
              <wp:wrapNone/>
              <wp:docPr id="20" name="Rectangle 20"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80000" cy="218160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alt="AusAID web address graphic" style="position:absolute;margin-left:0;margin-top:671.9pt;width:581.1pt;height:171.8pt;z-index:-25159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CcUAFFJkeooyPUUXAW&#10;ikyPUUZHqKLgLRSZHqKMii4C0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XN+NP8AkFRf9dR/I10lc340/wCQVF/11H8jXLjf93n6HVgv94h6nC0UUV8kfWBW&#10;/oraKLf/AEsL9qycGXOz26VgVv6L/Yv2b/S9v2rJ/wBbnZ7V04T+J0+Zy4z+F1+Rozyax5Lf2cLM&#10;wAf8uuCf1rkGJLsW+9nn612E66yYW/s5rIQY6WuBx+Nce2dx3dc81tjt1v8APb5GOA2e3y3+YlbP&#10;hZyuvwAfxBgfyNY1a/hj/kYbb/gX/oJrnwv8eHqjpxX8Cfoz0eiiivsD5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ub8af8gqL/rqP5Gukrm/Gn/I&#10;Ki/66j+Rrlxv+7z9DqwX+8Q9ThaKKK+SPrArY03w/cahbfafNSODJG45J49qx63tG0zUZbb7VBef&#10;Z4MnnJPT2FdGFgp1LONznxU3CndSsPRdF01jm6up5R1EYKDNYDkM7EZwTxmutuNX0+KFob1jqEuM&#10;bjAExXIsQWJAwM8CtcZyq0Ytei/pmWDcneUk793+miErX8Mf8jDbf8C/9BNZFa/hj/kYbb/gX/oJ&#10;rHC/x4eqNsV/An6M9Hooor7A+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rm/Gn/IKi/66j+RrpK5vxp/yCov+uo/ka5cb/u8/Q6sF/vEPU4Wiiivk&#10;j6wKt2VzfQuBZyTA/wB2PJ/Sqlb+ja41nbfZBZmQEn54uH5rfDpOesrGGIbUNI3NG1bWbmPF7Y27&#10;x45adQp/z+FcjIMSMMAYJ4FddPox1KFp/td7BxnZdnI/nXIMMMRnOD1roxqklFP731ObAuLcmrei&#10;6CVr+GP+Rhtv+Bf+gmsitfwx/wAjDbf8C/8AQTXPhf48PVHTiv4E/Rno9FFFfYHy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c340/5BUX/XUfyNdJ&#10;XN+NP+QVF/11H8jXLjf93n6HVgv94h6nC0UUV8kfWBW/pGuHTrEwvaM0RJzNGcNz74rArcs5NUvd&#10;DewtrQSQA8vjnrnFdOFlKM24vW3a5zYuMZQSktL97E0w0rU8t/alxFIf4ZwWH51zzDDEA5wetS/Z&#10;ZzK8Xkv5iAllxyMdc1DUVqjnq42ZVGmoXUZXQVr+GP8AkYbb/gX/AKCayK1/DH/Iw23/AAL/ANBN&#10;PC/x4eqDFfwJ+jPR6KKK+wPk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VzfjT/kFRf9dR/I10lc340/5BUX/XUfyNcuN/3efodWC/3iHqcLRRRXyR9YFdHa2sOo+H&#10;7eKe8ht2hkby9zdQTzkVzlaM1pDDolrcEEzzu2OeAo4row8uXmdrq2pzYmPNyq9nfQuHw/bAH/ic&#10;Wh/z9aw2XaxXOcHGRXSroWmosFpPcSC/nTcuB8oPpXNyRmKV426qxU/hV4mnyJe7b53JwtXnbXNf&#10;5WG1r+GP+Rhtv+Bf+gmsitfwx/yMNt/wL/0E1nhf48PVGmK/gT9Gej0UUV9gfI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zfjT/kFRf8AXUfyNdJX&#10;N+NP+QVF/wBdR/I1y43/AHefodWC/wB4h6nC0UUV8kfWBW9pF4Hsxb3GmSXkULFkMaklSeorBrp7&#10;KbUF8P239lKdyyP5+1cknPH4V14O/O35dr3OTGfAl597WM6XV5Zdd+3m3y0f3Y+flAFZcjmSRnbq&#10;xLH8a7FLK6OvQ3Jtisc0A+0cYAJHNcfMqrPIq/dDED6Zp4qE4q8nu2ThakJO0Vsl/wAMMrX8Mf8A&#10;Iw23/Av/AEE1kVr+GP8AkYbb/gX/AKCaywv8eHqjbFfwJ+jPR6KKK+wPk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5vxp/wAgqL/rqP5Gukrm/Gn/&#10;ACCov+uo/ka5cb/u8/Q6sF/vEPU4Wiiivkj6wK6DTLbXLjTY/sU4S3DHaN4U5zzXP1s6ZpZntDdX&#10;N79ltQ20Enlj7V04W7nZX+Tt+JzYqyhd2+av+Bfk0vxJJEyPdbkI5Hm9axf7Kuf7Ne++TykfYRnn&#10;Naj6PDcROdO1bz5VGfKJwSPasAySBDGXbbnJXPGa1xCjG3Mn99zHDOUk+Vr7rDK1/DH/ACMNt/wL&#10;/wBBNZFa/hj/AJGG2/4F/wCgmsML/Hh6o6MV/An6M9Hooor7A+Q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rm/Gn/IKi/66j+RrpK5vxp/yCov+uo/&#10;ka5cb/u8/Q6sF/vEPU4Wiiivkj6wK6O0t7a/8PQ2899DbvHIzIGbsfUVzlaS22nHRDObk/bQ3EX4&#10;/wCFdGGdnLRNW66HPiVdR1ad+iubGm6bY2F4twdXtmKA7QGxzjvzWdfaVawwS3C6pbyv12J1P61j&#10;UVUsRBw5eT8WTHDzU+fn/BBWv4Y/5GG2/wCBf+gmsitfwx/yMNt/wL/0E1GF/jQ9UXiv4E/Rno9F&#10;FFfYHy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m/Gn/IKi/66j+RrpK5vxp/yCov+uo/ka5cb/u8/Q6sF/vEPU4Wi&#10;iivkj6wK6HQ9ZsrK1MEsRimJP+kKoY1z1a0V2kmhvZR6eZJt2TMq5xzn/wCtXRhpuE3JPW3qc2Kg&#10;pwUWtL97F+80661NTLbaot6vXYW2kfhXNkFSQeo4pyM8b5QsrD04IphOeamtUjUd7WfqVRpyprlb&#10;uumgVr+GP+Rhtv8AgX/oJrIrX8Mf8jDbf8C/9BNPC/x4eqDFfwJ+jPR6KKK+wPk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5vxp/yCov+uo/ka6Su&#10;b8af8gqL/rqP5GuXG/7vP0OrBf7xD1OFooor5I+sCumsrq9t9Atm0uMM/mMJ8JuOc8fpXM1v6V/b&#10;01iI9P8AlgRj83yjJ+p6114STU2lfbpucmMinBN20fXY0Y7SVvEEM/2QrFcwZnG3hSRzXJTKEnkV&#10;fuqxA+ma6eS18UyRMjykqRzh1rlmUqxVuoODV4x6L3WtW9TPBrVvmT0S0ErX8Mf8jDbf8C/9BNZF&#10;a/hj/kYbb/gX/oJrDC/x4eqOjFfwJ+jPR6KKK+wPk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5vxp/wAgqL/rqP5Gukrm/Gn/ACCov+uo/ka5cb/u&#10;8/Q6sF/vEPU4Wiiivkj6wK6a1s7zUvDdslq5jMMjZBbaJAT1/CuZp4mkCBBI4UHIAY4rehVVNvmW&#10;jRhXpSqJcrs07m4fD+sgZ81f+/8AWCwKswbqDg07zZP+ej/99UylVnCVuVNeruOlCcb87T9FYK2P&#10;C4z4gtvbd/6Cax66jwbZM93LeMDsjXap9Sa0wUHOvFLuRjZqFCTfY7aiiivrT5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ub8Z/8AIKi/66j+RrpK&#10;ZJFHKoEiK4HZhmsa9P2tNwvua0KnsqinbY8koxXq/wBitf8An3i/74FH2K1/594v++BXkf2PL+f8&#10;D1/7YX8n4nlGKMV6v9itf+feL/vgUfYrX/n3i/74FH9jy/n/AAD+2F/J+J5RilVWY4VSSewFerfY&#10;rX/n3i/74FOS3hiPyRIv0UChZO+s/wAAecL+T8TgdM8M3t86tKhgh7sw5P0Fd5aWkNlbJbwJtjUc&#10;VPRXpYbB08Ovd37nm4nF1MQ/e27BRRRXWco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" stroked="f" strokecolor="#4a7ebb" strokeweight="1.5pt">
              <v:fill r:id="rId2" o:title="AusAID web address graphic" recolor="t" type="frame"/>
              <v:shadow opacity="22938f" offset="0"/>
              <v:textbox inset=",7.2pt,,7.2pt"/>
              <w10:wrap anchorx="page" anchory="page"/>
              <w10:anchorlock/>
            </v:rect>
          </w:pict>
        </mc:Fallback>
      </mc:AlternateContent>
    </w:r>
    <w:r>
      <w:rPr>
        <w:rFonts w:ascii="Franklin Gothic Medium" w:hAnsi="Franklin Gothic Medium"/>
        <w:color w:val="5A9A98"/>
        <w:sz w:val="14"/>
        <w:szCs w:val="14"/>
      </w:rPr>
      <w:fldChar w:fldCharType="begin"/>
    </w:r>
    <w:r>
      <w:rPr>
        <w:rFonts w:ascii="Franklin Gothic Medium" w:hAnsi="Franklin Gothic Medium"/>
        <w:color w:val="5A9A98"/>
        <w:sz w:val="14"/>
        <w:szCs w:val="14"/>
      </w:rPr>
      <w:instrText xml:space="preserve"> STYLEREF  Title </w:instrText>
    </w:r>
    <w:r>
      <w:rPr>
        <w:rFonts w:ascii="Franklin Gothic Medium" w:hAnsi="Franklin Gothic Medium"/>
        <w:color w:val="5A9A98"/>
        <w:sz w:val="14"/>
        <w:szCs w:val="14"/>
      </w:rPr>
      <w:fldChar w:fldCharType="separate"/>
    </w:r>
    <w:r>
      <w:rPr>
        <w:rFonts w:ascii="Franklin Gothic Medium" w:hAnsi="Franklin Gothic Medium"/>
        <w:noProof/>
        <w:color w:val="5A9A98"/>
        <w:sz w:val="14"/>
        <w:szCs w:val="14"/>
      </w:rPr>
      <w:t>Aid Program Performance Report 2013-14</w:t>
    </w:r>
    <w:r>
      <w:rPr>
        <w:rFonts w:ascii="Franklin Gothic Medium" w:hAnsi="Franklin Gothic Medium"/>
        <w:color w:val="5A9A98"/>
        <w:sz w:val="14"/>
        <w:szCs w:val="14"/>
      </w:rPr>
      <w:fldChar w:fldCharType="end"/>
    </w:r>
    <w:r>
      <w:rPr>
        <w:rFonts w:ascii="Franklin Gothic Medium" w:hAnsi="Franklin Gothic Medium"/>
        <w:color w:val="5A9A98"/>
        <w:sz w:val="14"/>
        <w:szCs w:val="14"/>
      </w:rPr>
      <w:tab/>
    </w:r>
    <w:r w:rsidRPr="0050529F">
      <w:rPr>
        <w:rFonts w:ascii="Franklin Gothic Medium" w:hAnsi="Franklin Gothic Medium"/>
        <w:color w:val="54534A"/>
        <w:sz w:val="14"/>
        <w:szCs w:val="14"/>
      </w:rPr>
      <w:fldChar w:fldCharType="begin"/>
    </w:r>
    <w:r w:rsidRPr="0050529F">
      <w:rPr>
        <w:rFonts w:ascii="Franklin Gothic Medium" w:hAnsi="Franklin Gothic Medium"/>
        <w:color w:val="54534A"/>
        <w:sz w:val="14"/>
        <w:szCs w:val="14"/>
      </w:rPr>
      <w:instrText xml:space="preserve"> PAGE </w:instrText>
    </w:r>
    <w:r w:rsidRPr="0050529F">
      <w:rPr>
        <w:rFonts w:ascii="Franklin Gothic Medium" w:hAnsi="Franklin Gothic Medium"/>
        <w:color w:val="54534A"/>
        <w:sz w:val="14"/>
        <w:szCs w:val="14"/>
      </w:rPr>
      <w:fldChar w:fldCharType="separate"/>
    </w:r>
    <w:r>
      <w:rPr>
        <w:rFonts w:ascii="Franklin Gothic Medium" w:hAnsi="Franklin Gothic Medium"/>
        <w:noProof/>
        <w:color w:val="54534A"/>
        <w:sz w:val="14"/>
        <w:szCs w:val="14"/>
      </w:rPr>
      <w:t>4</w:t>
    </w:r>
    <w:r w:rsidRPr="0050529F">
      <w:rPr>
        <w:rFonts w:ascii="Franklin Gothic Medium" w:hAnsi="Franklin Gothic Medium"/>
        <w:color w:val="54534A"/>
        <w:sz w:val="14"/>
        <w:szCs w:val="14"/>
      </w:rPr>
      <w:fldChar w:fldCharType="end"/>
    </w:r>
    <w:r>
      <w:rPr>
        <w:noProof/>
      </w:rPr>
      <mc:AlternateContent>
        <mc:Choice Requires="wps">
          <w:drawing>
            <wp:anchor distT="0" distB="0" distL="114300" distR="114300" simplePos="0" relativeHeight="251719680" behindDoc="1" locked="0" layoutInCell="1" allowOverlap="1" wp14:anchorId="31CC5EE1" wp14:editId="0860A18D">
              <wp:simplePos x="0" y="0"/>
              <wp:positionH relativeFrom="column">
                <wp:posOffset>0</wp:posOffset>
              </wp:positionH>
              <wp:positionV relativeFrom="paragraph">
                <wp:posOffset>8498840</wp:posOffset>
              </wp:positionV>
              <wp:extent cx="7379970" cy="2181860"/>
              <wp:effectExtent l="0" t="2540" r="1905" b="0"/>
              <wp:wrapNone/>
              <wp:docPr id="21" name="Rectangle 21"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6" alt="AusAID web address graphic" style="position:absolute;margin-left:0;margin-top:669.2pt;width:581.1pt;height:171.8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n3cBD6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r>
      <w:rPr>
        <w:noProof/>
      </w:rPr>
      <mc:AlternateContent>
        <mc:Choice Requires="wps">
          <w:drawing>
            <wp:anchor distT="0" distB="0" distL="114300" distR="114300" simplePos="0" relativeHeight="251718656" behindDoc="1" locked="0" layoutInCell="1" allowOverlap="1" wp14:anchorId="7E226075" wp14:editId="07DB583A">
              <wp:simplePos x="0" y="0"/>
              <wp:positionH relativeFrom="column">
                <wp:posOffset>0</wp:posOffset>
              </wp:positionH>
              <wp:positionV relativeFrom="paragraph">
                <wp:posOffset>8498840</wp:posOffset>
              </wp:positionV>
              <wp:extent cx="7379970" cy="2181860"/>
              <wp:effectExtent l="0" t="2540" r="1905" b="0"/>
              <wp:wrapNone/>
              <wp:docPr id="22" name="Rectangle 22" descr="AusAID web address graphic"/>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79970" cy="2181860"/>
                      </a:xfrm>
                      <a:prstGeom prst="rect">
                        <a:avLst/>
                      </a:prstGeom>
                      <a:blipFill dpi="0" rotWithShape="0">
                        <a:blip r:embed="rId1" cstate="screen">
                          <a:extLst>
                            <a:ext uri="{28A0092B-C50C-407E-A947-70E740481C1C}">
                              <a14:useLocalDpi xmlns:a14="http://schemas.microsoft.com/office/drawing/2010/main"/>
                            </a:ext>
                          </a:extLst>
                        </a:blip>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alt="AusAID web address graphic" style="position:absolute;margin-left:0;margin-top:669.2pt;width:581.1pt;height:17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6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CcUAFFJkeo&#10;oyPUUXAWikyPUUZHqKLgLRSZHqKMii4C0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zvjCR49LiKMynzRyDjsa6Kub8af8gqL/rqP5GuX&#10;Gu2HlbsdODV8RC/c4v7Vcf8APeX/AL7NH2q4/wCe8v8A32ahor5Tnl3Pq+SPYm+1XH/PeX/vs0fa&#10;rj/nvL/32ahoo55dw5Idib7Vcf8APeX/AL7NOjvruJtyXMyn2c1FHDJM22ONnPoozTCMHBp881rd&#10;i5Kb0sjpNL8W3MDrHenzojxu/iH+NdtDMk8SyxsGRhkEd68lrsPBl+zCWxc5CjfH/UV6+XY2bn7K&#10;o732PIzHBQUPa01a2511FFFe6e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XN+NP8AkFRf9dR/I10lc340/wCQVF/11H8jXLjf93n6HVgv94h6nC0U&#10;UV8kfWBW/oraKLf/AEsL9qycGXOz26VgVv6L/Yv2b/S9v2rJ/wBbnZ7V04T+J0+Zy4z+F1+Rozya&#10;x5Lf2cLMwAf8uuCf1rkGJLsW+9nn612E66yYW/s5rIQY6WuBx+Nce2dx3dc81tjt1v8APb5GOA2e&#10;3y3+YlbPhZyuvwAfxBgfyNY1a/hj/kYbb/gX/oJrnwv8eHqjpxX8Cfoz0eiiivsD5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ub8af8gqL/rqP5Gu&#10;krm/Gn/IKi/66j+Rrlxv+7z9DqwX+8Q9ThaKKK+SPrArY03w/cahbfafNSODJG45J49qx63tG0zU&#10;Zbb7VBefZ4MnnJPT2FdGFgp1LONznxU3CndSsPRdF01jm6up5R1EYKDNYDkM7EZwTxmutuNX0+KF&#10;ob1jqEuMbjAExXIsQWJAwM8CtcZyq0Ytei/pmWDcneUk793+miErX8Mf8jDbf8C/9BNZFa/hj/kY&#10;bb/gX/oJrHC/x4eqNsV/An6M9Hooor7A+Q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m/Gn/IKi/66j+RrpK5vxp/yCov+uo/ka5cb/u8/Q6sF/vEP&#10;U4Wiiivkj6wKt2VzfQuBZyTA/wB2PJ/Sqlb+ja41nbfZBZmQEn54uH5rfDpOesrGGIbUNI3NG1bW&#10;bmPF7Y27x45adQp/z+FcjIMSMMAYJ4FddPox1KFp/td7BxnZdnI/nXIMMMRnOD1roxqklFP731Ob&#10;AuLcmrei6CVr+GP+Rhtv+Bf+gmsitfwx/wAjDbf8C/8AQTXPhf48PVHTiv4E/Rno9FFFfYHy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c340/5BUX&#10;/XUfyNdJXN+NP+QVF/11H8jXLjf93n6HVgv94h6nC0UUV8kfWBW/pGuHTrEwvaM0RJzNGcNz74rA&#10;rcs5NUvdDewtrQSQA8vjnrnFdOFlKM24vW3a5zYuMZQSktL97E0w0rU8t/alxFIf4ZwWH51zzDDE&#10;A5wetS/ZZzK8Xkv5iAllxyMdc1DUVqjnq42ZVGmoXUZXQVr+GP8AkYbb/gX/AKCayK1/DH/Iw23/&#10;AAL/ANBNPC/x4eqDFfwJ+jPR6KKK+wPk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VzfjT/kFRf9dR/I10lc340/5BUX/XUfyNcuN/3efodWC/3iHqcLRRRXyR9YFd&#10;Ha2sOo+H7eKe8ht2hkby9zdQTzkVzlaM1pDDolrcEEzzu2OeAo4row8uXmdrq2pzYmPNyq9nfQuH&#10;w/bAH/icWh/z9aw2XaxXOcHGRXSroWmosFpPcSC/nTcuB8oPpXNyRmKV426qxU/hV4mnyJe7b53J&#10;wtXnbXNf5WG1r+GP+Rhtv+Bf+gmsitfwx/yMNt/wL/0E1nhf48PVGmK/gT9Gej0UUV9gfI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zfjT/kFRf8A&#10;XUfyNdJXN+NP+QVF/wBdR/I1y43/AHefodWC/wB4h6nC0UUV8kfWBW9pF4Hsxb3GmSXkULFkMakl&#10;SeorBrp7KbUF8P239lKdyyP5+1cknPH4V14O/O35dr3OTGfAl597WM6XV5Zdd+3m3y0f3Y+flAFZ&#10;cjmSRnbqxLH8a7FLK6OvQ3Jtisc0A+0cYAJHNcfMqrPIq/dDED6Zp4qE4q8nu2ThakJO0Vsl/wAM&#10;MrX8Mf8AIw23/Av/AEE1kVr+GP8AkYbb/gX/AKCaywv8eHqjbFfwJ+jPR6KKK+wPk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5vxp/wAgqL/rqP5G&#10;ukrm/Gn/ACCov+uo/ka5cb/u8/Q6sF/vEPU4Wiiivkj6wK6DTLbXLjTY/sU4S3DHaN4U5zzXP1s6&#10;ZpZntDdXN79ltQ20Enlj7V04W7nZX+Tt+JzYqyhd2+av+Bfk0vxJJEyPdbkI5Hm9axf7Kuf7Ne++&#10;TykfYRnnNaj6PDcROdO1bz5VGfKJwSPasAySBDGXbbnJXPGa1xCjG3Mn99zHDOUk+Vr7rDK1/DH/&#10;ACMNt/wL/wBBNZFa/hj/AJGG2/4F/wCgmsML/Hh6o6MV/An6M9Hooor7A+Q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rm/Gn/IKi/66j+RrpK5vxp/&#10;yCov+uo/ka5cb/u8/Q6sF/vEPU4Wiiivkj6wK6O0t7a/8PQ2899DbvHIzIGbsfUVzlaS22nHRDOb&#10;k/bQ3EX4/wCFdGGdnLRNW66HPiVdR1ad+iubGm6bY2F4twdXtmKA7QGxzjvzWdfaVawwS3C6pbyv&#10;12J1P61jUVUsRBw5eT8WTHDzU+fn/BBWv4Y/5GG2/wCBf+gmsitfwx/yMNt/wL/0E1GF/jQ9UXiv&#10;4E/Rno9FFFfYHy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XN+NP+QVF/11H8jXSVzfjT/kFRf9dR/I&#10;1y43/d5+h1YL/eIepwtFFFfJH1gV0Nrcf2PocF5BbxyT3DsGkdc7ADwK56tPTNYubBTAsaTwuc+U&#10;4yM+1dGGmoSd3bz7HPiYOcFZX8u5qWGsT6zdLZXtvDLFICCypgpx1rm5VCTOgOQrEA116Pq15buL&#10;ewgsImHzSHg4rj3Xa7KTkg4zW2Lvyx5m35tWMMHbmlypJdk7ja1/DH/Iw23/AAL/ANBNZFa/hj/k&#10;Ybb/AIF/6Cawwv8AHh6o6MV/An6M9Hooor7A+Q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m/Gn/IKi/66j+RrpK5vxp/yCov+uo/ka5cb/u8/Q6sF&#10;/vEPU4Wiiivkj6wK6HQ9ZsrK1MEsRimJP+kKoY1z1a0V2kmhvZR6eZJt2TMq5xzn/wCtXRhpuE3J&#10;PW3qc2KgpwUWtL97F+80661NTLbaot6vXYW2kfhXNkFSQeo4pyM8b5QsrD04IphOeamtUjUd7Wfq&#10;VRpyprlbuumgVr+GP+Rhtv8AgX/oJrIrX8Mf8jDbf8C/9BNPC/x4eqDFfwJ+jPR6KKK+wPk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5vxp/yCov+&#10;uo/ka6Sub8af8gqL/rqP5GuXG/7vP0OrBf7xD1OFooor5I+sCumsrq9t9Atm0uMM/mMJ8JuOc8fp&#10;XM1v6V/b01iI9P8AlgRj83yjJ+p6114STU2lfbpucmMinBN20fXY0Y7SVvEEM/2QrFcwZnG3hSRz&#10;XJTKEnkVfuqxA+ma6eS18UyRMjykqRzh1rlmUqxVuoODV4x6L3WtW9TPBrVvmT0S0ErX8Mf8jDbf&#10;8C/9BNZFa/hj/kYbb/gX/oJrDC/x4eqOjFfwJ+jPR6KKK+wPk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5vxp/wAgqL/rqP5Gukrm/Gn/ACCov+uo&#10;/ka5cb/u8/Q6sF/vEPU4Wiiivkj6wK6a1s7zUvDdslq5jMMjZBbaJAT1/CuZp4mkCBBI4UHIAY4r&#10;ehVVNvmWjRhXpSqJcrs07m4fD+sgZ81f+/8AWCwKswbqDg07zZP+ej/99UylVnCVuVNeruOlCcb8&#10;7T9FYK2PC4z4gtvbd/6Cax66jwbZM93LeMDsjXap9Sa0wUHOvFLuRjZqFCTfY7aiiivrT5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ub8Z/8AIKi/&#10;66j+RrpKZJFHKoEiK4HZhmsa9P2tNwvua0KnsqinbY8koxXq/wBitf8An3i/74FH2K1/594v++BX&#10;kf2PL+f8D1/7YX8n4nlGKMV6v9itf+feL/vgUfYrX/n3i/74FH9jy/n/AAD+2F/J+J5RilVWY4VS&#10;SewFerfYrX/n3i/74FOS3hiPyRIv0UChZO+s/wAAecL+T8TgdM8M3t86tKhgh7sw5P0Fd5aWkNlb&#10;JbwJtjUcVPRXpYbB08Ovd37nm4nF1MQ/e27BRRRXWco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" stroked="f" strokecolor="#4a7ebb" strokeweight="1.5pt">
              <v:fill r:id="rId2" o:title="AusAID web address graphic" recolor="t" type="frame"/>
              <v:shadow opacity="22938f" offset="0"/>
              <v:textbox inset=",7.2pt,,7.2pt"/>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0F9" w:rsidRPr="00714858" w:rsidRDefault="004830F9" w:rsidP="00714858">
      <w:pPr>
        <w:pStyle w:val="Footer"/>
      </w:pPr>
    </w:p>
    <w:p w:rsidR="004830F9" w:rsidRDefault="004830F9"/>
  </w:footnote>
  <w:footnote w:type="continuationSeparator" w:id="0">
    <w:p w:rsidR="004830F9" w:rsidRDefault="004830F9"/>
    <w:p w:rsidR="004830F9" w:rsidRDefault="004830F9"/>
  </w:footnote>
  <w:footnote w:type="continuationNotice" w:id="1">
    <w:p w:rsidR="004830F9" w:rsidRDefault="004830F9"/>
    <w:p w:rsidR="004830F9" w:rsidRDefault="004830F9"/>
  </w:footnote>
  <w:footnote w:id="2">
    <w:p w:rsidR="0000195D" w:rsidRDefault="0000195D">
      <w:pPr>
        <w:pStyle w:val="FootnoteText"/>
      </w:pPr>
      <w:r>
        <w:rPr>
          <w:rStyle w:val="FootnoteReference"/>
        </w:rPr>
        <w:footnoteRef/>
      </w:r>
      <w:r>
        <w:t xml:space="preserve"> </w:t>
      </w:r>
      <w:r>
        <w:rPr>
          <w:szCs w:val="16"/>
        </w:rPr>
        <w:t xml:space="preserve">The </w:t>
      </w:r>
      <w:r w:rsidRPr="003302C6">
        <w:rPr>
          <w:szCs w:val="16"/>
        </w:rPr>
        <w:t>baseline</w:t>
      </w:r>
      <w:r>
        <w:rPr>
          <w:szCs w:val="16"/>
        </w:rPr>
        <w:t xml:space="preserve"> included </w:t>
      </w:r>
      <w:r w:rsidRPr="003302C6">
        <w:rPr>
          <w:szCs w:val="16"/>
        </w:rPr>
        <w:t xml:space="preserve">all Designs </w:t>
      </w:r>
      <w:r>
        <w:rPr>
          <w:szCs w:val="16"/>
        </w:rPr>
        <w:t xml:space="preserve">(15) </w:t>
      </w:r>
      <w:r w:rsidRPr="003302C6">
        <w:rPr>
          <w:szCs w:val="16"/>
        </w:rPr>
        <w:t xml:space="preserve">and M&amp;E Plans </w:t>
      </w:r>
      <w:r>
        <w:rPr>
          <w:szCs w:val="16"/>
        </w:rPr>
        <w:t xml:space="preserve">(15) of investments </w:t>
      </w:r>
      <w:r w:rsidRPr="003302C6">
        <w:rPr>
          <w:szCs w:val="16"/>
        </w:rPr>
        <w:t xml:space="preserve">over $3m that were active on 30 June 2011. To assess changes since ECBP started, Designs </w:t>
      </w:r>
      <w:r>
        <w:rPr>
          <w:szCs w:val="16"/>
        </w:rPr>
        <w:t xml:space="preserve">(11) </w:t>
      </w:r>
      <w:r w:rsidRPr="003302C6">
        <w:rPr>
          <w:szCs w:val="16"/>
        </w:rPr>
        <w:t xml:space="preserve">and M&amp;E Plans </w:t>
      </w:r>
      <w:r>
        <w:rPr>
          <w:szCs w:val="16"/>
        </w:rPr>
        <w:t xml:space="preserve">(10) </w:t>
      </w:r>
      <w:r w:rsidRPr="003302C6">
        <w:rPr>
          <w:szCs w:val="16"/>
        </w:rPr>
        <w:t xml:space="preserve">for all </w:t>
      </w:r>
      <w:r>
        <w:rPr>
          <w:szCs w:val="16"/>
        </w:rPr>
        <w:t xml:space="preserve">investments </w:t>
      </w:r>
      <w:r w:rsidRPr="003302C6">
        <w:rPr>
          <w:szCs w:val="16"/>
        </w:rPr>
        <w:t>over $3m that commenced after 30 June 2011</w:t>
      </w:r>
      <w:r>
        <w:rPr>
          <w:szCs w:val="16"/>
        </w:rPr>
        <w:t xml:space="preserve"> were assessed</w:t>
      </w:r>
      <w:r w:rsidRPr="003302C6">
        <w:rPr>
          <w:szCs w:val="16"/>
        </w:rPr>
        <w:t>.</w:t>
      </w:r>
    </w:p>
  </w:footnote>
  <w:footnote w:id="3">
    <w:p w:rsidR="0000195D" w:rsidRDefault="0000195D" w:rsidP="00660990">
      <w:pPr>
        <w:pStyle w:val="FootnoteText"/>
      </w:pPr>
      <w:r>
        <w:rPr>
          <w:rStyle w:val="FootnoteReference"/>
        </w:rPr>
        <w:footnoteRef/>
      </w:r>
      <w:r>
        <w:t xml:space="preserve"> The Program Management Team is led by the Head of Mission and includes the four Counsellors in Dili and the Assistant Secretary Indonesia Program Delivery and Timor-Leste Branch and the Director of the Timor-Leste section in Canberra.  </w:t>
      </w:r>
    </w:p>
  </w:footnote>
  <w:footnote w:id="4">
    <w:p w:rsidR="0000195D" w:rsidRPr="00064F04" w:rsidRDefault="0000195D" w:rsidP="005B726A">
      <w:pPr>
        <w:pStyle w:val="FootnoteText"/>
      </w:pPr>
      <w:r>
        <w:rPr>
          <w:rStyle w:val="FootnoteReference"/>
        </w:rPr>
        <w:footnoteRef/>
      </w:r>
      <w:r>
        <w:t xml:space="preserve"> This is above average performance using the international Public Expenditure and Financial Accountability (PEFA) public financial management performance diagnostic.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92" w:rsidRDefault="00E412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92" w:rsidRDefault="00E412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292" w:rsidRDefault="00E412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5D" w:rsidRDefault="0000195D" w:rsidP="00AA31F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95D" w:rsidRDefault="0000195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BF8C6E4"/>
    <w:lvl w:ilvl="0">
      <w:start w:val="1"/>
      <w:numFmt w:val="lowerRoman"/>
      <w:pStyle w:val="ListNumber3"/>
      <w:lvlText w:val="%1."/>
      <w:lvlJc w:val="left"/>
      <w:pPr>
        <w:ind w:left="926" w:hanging="360"/>
      </w:pPr>
      <w:rPr>
        <w:rFonts w:hint="default"/>
      </w:rPr>
    </w:lvl>
  </w:abstractNum>
  <w:abstractNum w:abstractNumId="1">
    <w:nsid w:val="FFFFFF82"/>
    <w:multiLevelType w:val="singleLevel"/>
    <w:tmpl w:val="661CC504"/>
    <w:lvl w:ilvl="0">
      <w:start w:val="1"/>
      <w:numFmt w:val="bullet"/>
      <w:pStyle w:val="ListBullet3"/>
      <w:lvlText w:val="o"/>
      <w:lvlJc w:val="left"/>
      <w:pPr>
        <w:ind w:left="927" w:hanging="360"/>
      </w:pPr>
      <w:rPr>
        <w:rFonts w:ascii="Courier New" w:hAnsi="Courier New" w:cs="Courier New" w:hint="default"/>
        <w:color w:val="auto"/>
        <w:position w:val="3"/>
      </w:rPr>
    </w:lvl>
  </w:abstractNum>
  <w:abstractNum w:abstractNumId="2">
    <w:nsid w:val="069B0BBC"/>
    <w:multiLevelType w:val="multilevel"/>
    <w:tmpl w:val="9E08230C"/>
    <w:styleLink w:val="StyleBulletedSymbolsymbol95ptLeft063cmHanging"/>
    <w:lvl w:ilvl="0">
      <w:start w:val="1"/>
      <w:numFmt w:val="bullet"/>
      <w:lvlText w:val=""/>
      <w:lvlJc w:val="left"/>
      <w:pPr>
        <w:ind w:left="720" w:hanging="360"/>
      </w:pPr>
      <w:rPr>
        <w:rFonts w:ascii="Symbol" w:hAnsi="Symbol"/>
        <w:sz w:val="19"/>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6B33109"/>
    <w:multiLevelType w:val="hybridMultilevel"/>
    <w:tmpl w:val="B50AF47A"/>
    <w:lvl w:ilvl="0" w:tplc="0C090003">
      <w:start w:val="1"/>
      <w:numFmt w:val="bullet"/>
      <w:lvlText w:val="o"/>
      <w:lvlJc w:val="left"/>
      <w:pPr>
        <w:ind w:left="1800" w:hanging="360"/>
      </w:pPr>
      <w:rPr>
        <w:rFonts w:ascii="Courier New" w:hAnsi="Courier New" w:cs="Courier New"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
    <w:nsid w:val="07B67778"/>
    <w:multiLevelType w:val="hybridMultilevel"/>
    <w:tmpl w:val="2E445AB6"/>
    <w:lvl w:ilvl="0" w:tplc="EEB2B4C2">
      <w:start w:val="1"/>
      <w:numFmt w:val="bullet"/>
      <w:lvlText w:val="»"/>
      <w:lvlJc w:val="left"/>
      <w:pPr>
        <w:ind w:left="720" w:hanging="360"/>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4621CE7"/>
    <w:multiLevelType w:val="hybridMultilevel"/>
    <w:tmpl w:val="DA600D4A"/>
    <w:lvl w:ilvl="0" w:tplc="D6868174">
      <w:start w:val="1"/>
      <w:numFmt w:val="bullet"/>
      <w:pStyle w:val="TableListBullet2"/>
      <w:lvlText w:val="»"/>
      <w:lvlJc w:val="left"/>
      <w:pPr>
        <w:ind w:left="587"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7B7DD8"/>
    <w:multiLevelType w:val="hybridMultilevel"/>
    <w:tmpl w:val="3EA6F6DE"/>
    <w:lvl w:ilvl="0" w:tplc="FFFFFFFF">
      <w:start w:val="1"/>
      <w:numFmt w:val="lowerLetter"/>
      <w:pStyle w:val="TableListNumber2"/>
      <w:lvlText w:val="%1."/>
      <w:lvlJc w:val="left"/>
      <w:pPr>
        <w:tabs>
          <w:tab w:val="num" w:pos="454"/>
        </w:tabs>
        <w:ind w:left="454" w:hanging="22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F2B798C"/>
    <w:multiLevelType w:val="hybridMultilevel"/>
    <w:tmpl w:val="69042CAC"/>
    <w:lvl w:ilvl="0" w:tplc="A120C8FE">
      <w:start w:val="1"/>
      <w:numFmt w:val="bullet"/>
      <w:pStyle w:val="ListParagraph"/>
      <w:lvlText w:val=""/>
      <w:lvlJc w:val="left"/>
      <w:pPr>
        <w:ind w:left="68" w:hanging="360"/>
      </w:pPr>
      <w:rPr>
        <w:rFonts w:ascii="Symbol" w:hAnsi="Symbol" w:hint="default"/>
        <w:color w:val="auto"/>
        <w:sz w:val="24"/>
      </w:rPr>
    </w:lvl>
    <w:lvl w:ilvl="1" w:tplc="0C090003">
      <w:start w:val="1"/>
      <w:numFmt w:val="bullet"/>
      <w:lvlText w:val="o"/>
      <w:lvlJc w:val="left"/>
      <w:pPr>
        <w:ind w:left="788" w:hanging="360"/>
      </w:pPr>
      <w:rPr>
        <w:rFonts w:ascii="Courier New" w:hAnsi="Courier New" w:cs="Courier New" w:hint="default"/>
      </w:rPr>
    </w:lvl>
    <w:lvl w:ilvl="2" w:tplc="0C090005">
      <w:start w:val="1"/>
      <w:numFmt w:val="bullet"/>
      <w:lvlText w:val=""/>
      <w:lvlJc w:val="left"/>
      <w:pPr>
        <w:ind w:left="1508" w:hanging="360"/>
      </w:pPr>
      <w:rPr>
        <w:rFonts w:ascii="Wingdings" w:hAnsi="Wingdings" w:hint="default"/>
      </w:rPr>
    </w:lvl>
    <w:lvl w:ilvl="3" w:tplc="0C090001" w:tentative="1">
      <w:start w:val="1"/>
      <w:numFmt w:val="bullet"/>
      <w:lvlText w:val=""/>
      <w:lvlJc w:val="left"/>
      <w:pPr>
        <w:ind w:left="2228" w:hanging="360"/>
      </w:pPr>
      <w:rPr>
        <w:rFonts w:ascii="Symbol" w:hAnsi="Symbol" w:hint="default"/>
      </w:rPr>
    </w:lvl>
    <w:lvl w:ilvl="4" w:tplc="0C090003" w:tentative="1">
      <w:start w:val="1"/>
      <w:numFmt w:val="bullet"/>
      <w:lvlText w:val="o"/>
      <w:lvlJc w:val="left"/>
      <w:pPr>
        <w:ind w:left="2948" w:hanging="360"/>
      </w:pPr>
      <w:rPr>
        <w:rFonts w:ascii="Courier New" w:hAnsi="Courier New" w:cs="Courier New" w:hint="default"/>
      </w:rPr>
    </w:lvl>
    <w:lvl w:ilvl="5" w:tplc="0C090005" w:tentative="1">
      <w:start w:val="1"/>
      <w:numFmt w:val="bullet"/>
      <w:lvlText w:val=""/>
      <w:lvlJc w:val="left"/>
      <w:pPr>
        <w:ind w:left="3668" w:hanging="360"/>
      </w:pPr>
      <w:rPr>
        <w:rFonts w:ascii="Wingdings" w:hAnsi="Wingdings" w:hint="default"/>
      </w:rPr>
    </w:lvl>
    <w:lvl w:ilvl="6" w:tplc="0C090001" w:tentative="1">
      <w:start w:val="1"/>
      <w:numFmt w:val="bullet"/>
      <w:lvlText w:val=""/>
      <w:lvlJc w:val="left"/>
      <w:pPr>
        <w:ind w:left="4388" w:hanging="360"/>
      </w:pPr>
      <w:rPr>
        <w:rFonts w:ascii="Symbol" w:hAnsi="Symbol" w:hint="default"/>
      </w:rPr>
    </w:lvl>
    <w:lvl w:ilvl="7" w:tplc="0C090003" w:tentative="1">
      <w:start w:val="1"/>
      <w:numFmt w:val="bullet"/>
      <w:lvlText w:val="o"/>
      <w:lvlJc w:val="left"/>
      <w:pPr>
        <w:ind w:left="5108" w:hanging="360"/>
      </w:pPr>
      <w:rPr>
        <w:rFonts w:ascii="Courier New" w:hAnsi="Courier New" w:cs="Courier New" w:hint="default"/>
      </w:rPr>
    </w:lvl>
    <w:lvl w:ilvl="8" w:tplc="0C090005" w:tentative="1">
      <w:start w:val="1"/>
      <w:numFmt w:val="bullet"/>
      <w:lvlText w:val=""/>
      <w:lvlJc w:val="left"/>
      <w:pPr>
        <w:ind w:left="5828" w:hanging="360"/>
      </w:pPr>
      <w:rPr>
        <w:rFonts w:ascii="Wingdings" w:hAnsi="Wingdings" w:hint="default"/>
      </w:rPr>
    </w:lvl>
  </w:abstractNum>
  <w:abstractNum w:abstractNumId="8">
    <w:nsid w:val="1F843A1D"/>
    <w:multiLevelType w:val="hybridMultilevel"/>
    <w:tmpl w:val="EFB45BC8"/>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209B02A7"/>
    <w:multiLevelType w:val="singleLevel"/>
    <w:tmpl w:val="9D8819C8"/>
    <w:lvl w:ilvl="0">
      <w:start w:val="1"/>
      <w:numFmt w:val="bullet"/>
      <w:pStyle w:val="ListBullet2"/>
      <w:lvlText w:val="»"/>
      <w:lvlJc w:val="left"/>
      <w:pPr>
        <w:ind w:left="644" w:hanging="360"/>
      </w:pPr>
      <w:rPr>
        <w:rFonts w:ascii="Times New Roman" w:hAnsi="Times New Roman" w:cs="Times New Roman" w:hint="default"/>
        <w:color w:val="auto"/>
        <w:sz w:val="21"/>
        <w:szCs w:val="21"/>
      </w:rPr>
    </w:lvl>
  </w:abstractNum>
  <w:abstractNum w:abstractNumId="10">
    <w:nsid w:val="25264A5A"/>
    <w:multiLevelType w:val="hybridMultilevel"/>
    <w:tmpl w:val="DA822F1A"/>
    <w:lvl w:ilvl="0" w:tplc="FAAAF8B2">
      <w:start w:val="1"/>
      <w:numFmt w:val="bullet"/>
      <w:pStyle w:val="List-bullet-1"/>
      <w:lvlText w:val=""/>
      <w:lvlJc w:val="left"/>
      <w:pPr>
        <w:tabs>
          <w:tab w:val="num" w:pos="720"/>
        </w:tabs>
        <w:ind w:left="720" w:hanging="363"/>
      </w:pPr>
      <w:rPr>
        <w:rFonts w:ascii="Symbol" w:hAnsi="Symbol" w:hint="default"/>
        <w:color w:val="auto"/>
        <w:sz w:val="20"/>
      </w:rPr>
    </w:lvl>
    <w:lvl w:ilvl="1" w:tplc="04090003">
      <w:start w:val="1"/>
      <w:numFmt w:val="bullet"/>
      <w:lvlText w:val="o"/>
      <w:lvlJc w:val="left"/>
      <w:pPr>
        <w:tabs>
          <w:tab w:val="num" w:pos="1724"/>
        </w:tabs>
        <w:ind w:left="1724" w:hanging="360"/>
      </w:pPr>
      <w:rPr>
        <w:rFonts w:ascii="Courier New" w:hAnsi="Courier New" w:hint="default"/>
      </w:rPr>
    </w:lvl>
    <w:lvl w:ilvl="2" w:tplc="447A71D4">
      <w:start w:val="1"/>
      <w:numFmt w:val="bullet"/>
      <w:lvlText w:val=""/>
      <w:lvlJc w:val="left"/>
      <w:pPr>
        <w:tabs>
          <w:tab w:val="num" w:pos="2480"/>
        </w:tabs>
        <w:ind w:left="2480" w:hanging="396"/>
      </w:pPr>
      <w:rPr>
        <w:rFonts w:ascii="Symbol" w:hAnsi="Symbol" w:hint="default"/>
        <w:color w:val="auto"/>
        <w:sz w:val="20"/>
      </w:rPr>
    </w:lvl>
    <w:lvl w:ilvl="3" w:tplc="0409000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1">
    <w:nsid w:val="27440C8B"/>
    <w:multiLevelType w:val="multilevel"/>
    <w:tmpl w:val="59E651A8"/>
    <w:name w:val="StandardBulletedList"/>
    <w:lvl w:ilvl="0">
      <w:start w:val="1"/>
      <w:numFmt w:val="bullet"/>
      <w:lvlText w:val="•"/>
      <w:lvlJc w:val="left"/>
      <w:pPr>
        <w:tabs>
          <w:tab w:val="num" w:pos="520"/>
        </w:tabs>
        <w:ind w:left="520" w:hanging="520"/>
      </w:pPr>
      <w:rPr>
        <w:rFonts w:ascii="Times New Roman" w:hAnsi="Times New Roman" w:cs="Times New Roman"/>
        <w:b w:val="0"/>
        <w:i w:val="0"/>
      </w:rPr>
    </w:lvl>
    <w:lvl w:ilvl="1">
      <w:start w:val="1"/>
      <w:numFmt w:val="bullet"/>
      <w:lvlText w:val="–"/>
      <w:lvlJc w:val="left"/>
      <w:pPr>
        <w:tabs>
          <w:tab w:val="num" w:pos="1040"/>
        </w:tabs>
        <w:ind w:left="1040" w:hanging="520"/>
      </w:pPr>
      <w:rPr>
        <w:rFonts w:ascii="Times New Roman" w:hAnsi="Times New Roman" w:cs="Times New Roman"/>
        <w:b w:val="0"/>
        <w:i w:val="0"/>
      </w:rPr>
    </w:lvl>
    <w:lvl w:ilvl="2">
      <w:start w:val="1"/>
      <w:numFmt w:val="bullet"/>
      <w:lvlText w:val=":"/>
      <w:lvlJc w:val="left"/>
      <w:pPr>
        <w:tabs>
          <w:tab w:val="num" w:pos="1560"/>
        </w:tabs>
        <w:ind w:left="1560" w:hanging="520"/>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2">
    <w:nsid w:val="27895F49"/>
    <w:multiLevelType w:val="hybridMultilevel"/>
    <w:tmpl w:val="9114551C"/>
    <w:lvl w:ilvl="0" w:tplc="DE9A5BD6">
      <w:start w:val="1"/>
      <w:numFmt w:val="lowerLetter"/>
      <w:pStyle w:val="BoxListNumber2"/>
      <w:lvlText w:val="%1."/>
      <w:lvlJc w:val="left"/>
      <w:pPr>
        <w:ind w:left="644"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3">
    <w:nsid w:val="2B1A4227"/>
    <w:multiLevelType w:val="hybridMultilevel"/>
    <w:tmpl w:val="49C8F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10972D2"/>
    <w:multiLevelType w:val="hybridMultilevel"/>
    <w:tmpl w:val="59A68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20F34F1"/>
    <w:multiLevelType w:val="hybridMultilevel"/>
    <w:tmpl w:val="9138A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2CC7334"/>
    <w:multiLevelType w:val="hybridMultilevel"/>
    <w:tmpl w:val="DD4EB4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14C478C"/>
    <w:multiLevelType w:val="hybridMultilevel"/>
    <w:tmpl w:val="2396A9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46CD579B"/>
    <w:multiLevelType w:val="hybridMultilevel"/>
    <w:tmpl w:val="A5308B10"/>
    <w:lvl w:ilvl="0" w:tplc="35321CFE">
      <w:start w:val="1"/>
      <w:numFmt w:val="bullet"/>
      <w:pStyle w:val="BoxListBullet"/>
      <w:lvlText w:val="›"/>
      <w:lvlJc w:val="left"/>
      <w:pPr>
        <w:ind w:left="360" w:hanging="360"/>
      </w:pPr>
      <w:rPr>
        <w:rFonts w:ascii="Times New Roman" w:hAnsi="Times New Roman" w:cs="Times New Roman" w:hint="default"/>
        <w:color w:val="auto"/>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51F56301"/>
    <w:multiLevelType w:val="hybridMultilevel"/>
    <w:tmpl w:val="E11ED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53692D64"/>
    <w:multiLevelType w:val="hybridMultilevel"/>
    <w:tmpl w:val="3FC0FB20"/>
    <w:lvl w:ilvl="0" w:tplc="6C461E4A">
      <w:start w:val="1"/>
      <w:numFmt w:val="bullet"/>
      <w:pStyle w:val="BoxListBullet2"/>
      <w:lvlText w:val="»"/>
      <w:lvlJc w:val="left"/>
      <w:pPr>
        <w:ind w:left="644" w:hanging="360"/>
      </w:pPr>
      <w:rPr>
        <w:rFonts w:ascii="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598A5214"/>
    <w:multiLevelType w:val="hybridMultilevel"/>
    <w:tmpl w:val="0B5AC610"/>
    <w:lvl w:ilvl="0" w:tplc="FFFFFFFF">
      <w:start w:val="1"/>
      <w:numFmt w:val="decimal"/>
      <w:pStyle w:val="TableListNumber"/>
      <w:lvlText w:val="%1."/>
      <w:lvlJc w:val="left"/>
      <w:pPr>
        <w:tabs>
          <w:tab w:val="num" w:pos="227"/>
        </w:tabs>
        <w:ind w:left="227" w:hanging="227"/>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5B1631FC"/>
    <w:multiLevelType w:val="hybridMultilevel"/>
    <w:tmpl w:val="A030D4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F325843"/>
    <w:multiLevelType w:val="hybridMultilevel"/>
    <w:tmpl w:val="D438F3AC"/>
    <w:lvl w:ilvl="0" w:tplc="0C090001">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5">
    <w:nsid w:val="61A40E1B"/>
    <w:multiLevelType w:val="hybridMultilevel"/>
    <w:tmpl w:val="B8E81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4F264CF"/>
    <w:multiLevelType w:val="multilevel"/>
    <w:tmpl w:val="537047AE"/>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suff w:val="nothing"/>
      <w:lvlText w:val=""/>
      <w:lvlJc w:val="left"/>
      <w:pPr>
        <w:ind w:left="0" w:firstLine="0"/>
      </w:pPr>
      <w:rPr>
        <w:rFonts w:hint="default"/>
        <w:caps/>
        <w:sz w:val="22"/>
        <w:szCs w:val="22"/>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7">
    <w:nsid w:val="655E179A"/>
    <w:multiLevelType w:val="hybridMultilevel"/>
    <w:tmpl w:val="4FF4B7A6"/>
    <w:lvl w:ilvl="0" w:tplc="CBE215DA">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6C55035"/>
    <w:multiLevelType w:val="hybridMultilevel"/>
    <w:tmpl w:val="599E5468"/>
    <w:lvl w:ilvl="0" w:tplc="2A42AF7A">
      <w:start w:val="1"/>
      <w:numFmt w:val="bullet"/>
      <w:pStyle w:val="TableListBullet"/>
      <w:lvlText w:val="›"/>
      <w:lvlJc w:val="left"/>
      <w:pPr>
        <w:ind w:left="360" w:hanging="360"/>
      </w:pPr>
      <w:rPr>
        <w:rFonts w:ascii="Times New Roman" w:hAnsi="Times New Roman" w:cs="Times New Roman" w:hint="default"/>
        <w:color w:val="auto"/>
        <w:spacing w:val="0"/>
        <w:w w:val="100"/>
        <w:position w:val="3"/>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0">
    <w:nsid w:val="79E1124E"/>
    <w:multiLevelType w:val="hybridMultilevel"/>
    <w:tmpl w:val="6D42E656"/>
    <w:lvl w:ilvl="0" w:tplc="FFFFFFFF">
      <w:start w:val="1"/>
      <w:numFmt w:val="lowerLetter"/>
      <w:pStyle w:val="ListNumber2"/>
      <w:lvlText w:val="%1."/>
      <w:lvlJc w:val="left"/>
      <w:pPr>
        <w:tabs>
          <w:tab w:val="num" w:pos="567"/>
        </w:tabs>
        <w:ind w:left="567" w:hanging="283"/>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nsid w:val="7F7A528B"/>
    <w:multiLevelType w:val="hybridMultilevel"/>
    <w:tmpl w:val="A39658C0"/>
    <w:lvl w:ilvl="0" w:tplc="7B640FF6">
      <w:start w:val="1"/>
      <w:numFmt w:val="bullet"/>
      <w:pStyle w:val="ListBullet"/>
      <w:lvlText w:val="›"/>
      <w:lvlJc w:val="left"/>
      <w:pPr>
        <w:ind w:left="360" w:hanging="360"/>
      </w:pPr>
      <w:rPr>
        <w:rFonts w:ascii="Times New Roman" w:hAnsi="Times New Roman" w:cs="Times New Roman" w:hint="default"/>
        <w:color w:val="auto"/>
        <w:position w:val="3"/>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22"/>
  </w:num>
  <w:num w:numId="3">
    <w:abstractNumId w:val="6"/>
  </w:num>
  <w:num w:numId="4">
    <w:abstractNumId w:val="21"/>
  </w:num>
  <w:num w:numId="5">
    <w:abstractNumId w:val="19"/>
  </w:num>
  <w:num w:numId="6">
    <w:abstractNumId w:val="17"/>
  </w:num>
  <w:num w:numId="7">
    <w:abstractNumId w:val="28"/>
  </w:num>
  <w:num w:numId="8">
    <w:abstractNumId w:val="5"/>
  </w:num>
  <w:num w:numId="9">
    <w:abstractNumId w:val="9"/>
  </w:num>
  <w:num w:numId="10">
    <w:abstractNumId w:val="30"/>
  </w:num>
  <w:num w:numId="11">
    <w:abstractNumId w:val="31"/>
  </w:num>
  <w:num w:numId="12">
    <w:abstractNumId w:val="0"/>
  </w:num>
  <w:num w:numId="13">
    <w:abstractNumId w:val="2"/>
  </w:num>
  <w:num w:numId="14">
    <w:abstractNumId w:val="27"/>
  </w:num>
  <w:num w:numId="15">
    <w:abstractNumId w:val="1"/>
  </w:num>
  <w:num w:numId="16">
    <w:abstractNumId w:val="12"/>
  </w:num>
  <w:num w:numId="17">
    <w:abstractNumId w:val="10"/>
  </w:num>
  <w:num w:numId="18">
    <w:abstractNumId w:val="7"/>
  </w:num>
  <w:num w:numId="19">
    <w:abstractNumId w:val="15"/>
  </w:num>
  <w:num w:numId="20">
    <w:abstractNumId w:val="23"/>
  </w:num>
  <w:num w:numId="21">
    <w:abstractNumId w:val="25"/>
  </w:num>
  <w:num w:numId="22">
    <w:abstractNumId w:val="29"/>
  </w:num>
  <w:num w:numId="23">
    <w:abstractNumId w:val="14"/>
  </w:num>
  <w:num w:numId="24">
    <w:abstractNumId w:val="20"/>
  </w:num>
  <w:num w:numId="25">
    <w:abstractNumId w:val="18"/>
  </w:num>
  <w:num w:numId="26">
    <w:abstractNumId w:val="16"/>
  </w:num>
  <w:num w:numId="27">
    <w:abstractNumId w:val="13"/>
  </w:num>
  <w:num w:numId="28">
    <w:abstractNumId w:val="24"/>
  </w:num>
  <w:num w:numId="29">
    <w:abstractNumId w:val="7"/>
  </w:num>
  <w:num w:numId="30">
    <w:abstractNumId w:val="31"/>
  </w:num>
  <w:num w:numId="31">
    <w:abstractNumId w:val="31"/>
  </w:num>
  <w:num w:numId="32">
    <w:abstractNumId w:val="8"/>
  </w:num>
  <w:num w:numId="33">
    <w:abstractNumId w:val="31"/>
  </w:num>
  <w:num w:numId="34">
    <w:abstractNumId w:val="4"/>
  </w:num>
  <w:num w:numId="35">
    <w:abstractNumId w:val="31"/>
  </w:num>
  <w:num w:numId="36">
    <w:abstractNumId w:val="31"/>
  </w:num>
  <w:num w:numId="37">
    <w:abstractNumId w:val="31"/>
  </w:num>
  <w:num w:numId="38">
    <w:abstractNumId w:val="31"/>
  </w:num>
  <w:num w:numId="39">
    <w:abstractNumId w:val="31"/>
  </w:num>
  <w:num w:numId="40">
    <w:abstractNumId w:val="31"/>
  </w:num>
  <w:num w:numId="41">
    <w:abstractNumId w:val="3"/>
  </w:num>
  <w:num w:numId="42">
    <w:abstractNumId w:val="31"/>
  </w:num>
  <w:num w:numId="43">
    <w:abstractNumId w:val="31"/>
  </w:num>
  <w:num w:numId="44">
    <w:abstractNumId w:val="7"/>
  </w:num>
  <w:num w:numId="45">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doNotTrackMove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1DE"/>
    <w:rsid w:val="000004FF"/>
    <w:rsid w:val="0000195D"/>
    <w:rsid w:val="00002161"/>
    <w:rsid w:val="0000242A"/>
    <w:rsid w:val="0000250B"/>
    <w:rsid w:val="00002A92"/>
    <w:rsid w:val="00002E28"/>
    <w:rsid w:val="0000379A"/>
    <w:rsid w:val="000039CF"/>
    <w:rsid w:val="00004E18"/>
    <w:rsid w:val="000076FE"/>
    <w:rsid w:val="00007E94"/>
    <w:rsid w:val="000142A2"/>
    <w:rsid w:val="000143D9"/>
    <w:rsid w:val="00016CB1"/>
    <w:rsid w:val="00020121"/>
    <w:rsid w:val="00020891"/>
    <w:rsid w:val="00021A9E"/>
    <w:rsid w:val="00023A41"/>
    <w:rsid w:val="00025EA0"/>
    <w:rsid w:val="00026AE9"/>
    <w:rsid w:val="00027629"/>
    <w:rsid w:val="00030111"/>
    <w:rsid w:val="00031100"/>
    <w:rsid w:val="00031EB5"/>
    <w:rsid w:val="0003231A"/>
    <w:rsid w:val="00033DCA"/>
    <w:rsid w:val="00036936"/>
    <w:rsid w:val="00040AF6"/>
    <w:rsid w:val="00041AA0"/>
    <w:rsid w:val="000426DF"/>
    <w:rsid w:val="0004649D"/>
    <w:rsid w:val="000529AD"/>
    <w:rsid w:val="0005506B"/>
    <w:rsid w:val="000550B0"/>
    <w:rsid w:val="00055E78"/>
    <w:rsid w:val="00057496"/>
    <w:rsid w:val="00057589"/>
    <w:rsid w:val="00057D09"/>
    <w:rsid w:val="00061FA0"/>
    <w:rsid w:val="0006767E"/>
    <w:rsid w:val="000708EE"/>
    <w:rsid w:val="00071B95"/>
    <w:rsid w:val="0007395B"/>
    <w:rsid w:val="000740E4"/>
    <w:rsid w:val="000745E2"/>
    <w:rsid w:val="00075FDA"/>
    <w:rsid w:val="0007703B"/>
    <w:rsid w:val="00077436"/>
    <w:rsid w:val="000774FD"/>
    <w:rsid w:val="000818C0"/>
    <w:rsid w:val="00081F4E"/>
    <w:rsid w:val="000905A8"/>
    <w:rsid w:val="00091878"/>
    <w:rsid w:val="000926E8"/>
    <w:rsid w:val="00093D04"/>
    <w:rsid w:val="000957FC"/>
    <w:rsid w:val="00095CF5"/>
    <w:rsid w:val="000979A0"/>
    <w:rsid w:val="00097B02"/>
    <w:rsid w:val="000A1618"/>
    <w:rsid w:val="000A4247"/>
    <w:rsid w:val="000B0157"/>
    <w:rsid w:val="000B3121"/>
    <w:rsid w:val="000B68F6"/>
    <w:rsid w:val="000B6BE5"/>
    <w:rsid w:val="000B6FEA"/>
    <w:rsid w:val="000B75E8"/>
    <w:rsid w:val="000B7977"/>
    <w:rsid w:val="000C258A"/>
    <w:rsid w:val="000C29BF"/>
    <w:rsid w:val="000C4A7A"/>
    <w:rsid w:val="000C6080"/>
    <w:rsid w:val="000C60A8"/>
    <w:rsid w:val="000D151B"/>
    <w:rsid w:val="000D1993"/>
    <w:rsid w:val="000D50B6"/>
    <w:rsid w:val="000D5FD5"/>
    <w:rsid w:val="000D733F"/>
    <w:rsid w:val="000D7952"/>
    <w:rsid w:val="000E2E8D"/>
    <w:rsid w:val="000E4573"/>
    <w:rsid w:val="000E7297"/>
    <w:rsid w:val="000E746D"/>
    <w:rsid w:val="000E7A8D"/>
    <w:rsid w:val="000F2D94"/>
    <w:rsid w:val="000F4E77"/>
    <w:rsid w:val="000F67D8"/>
    <w:rsid w:val="00100485"/>
    <w:rsid w:val="00100AA2"/>
    <w:rsid w:val="00103D94"/>
    <w:rsid w:val="00106185"/>
    <w:rsid w:val="00106BDC"/>
    <w:rsid w:val="0010729C"/>
    <w:rsid w:val="00112E97"/>
    <w:rsid w:val="00113634"/>
    <w:rsid w:val="00113650"/>
    <w:rsid w:val="001139DE"/>
    <w:rsid w:val="00114751"/>
    <w:rsid w:val="001154CA"/>
    <w:rsid w:val="001162BE"/>
    <w:rsid w:val="001171DE"/>
    <w:rsid w:val="001174C4"/>
    <w:rsid w:val="00120FC7"/>
    <w:rsid w:val="00122038"/>
    <w:rsid w:val="001227C3"/>
    <w:rsid w:val="0012429A"/>
    <w:rsid w:val="001258C6"/>
    <w:rsid w:val="0012793C"/>
    <w:rsid w:val="00130BE6"/>
    <w:rsid w:val="00131FF0"/>
    <w:rsid w:val="00132003"/>
    <w:rsid w:val="00133AAD"/>
    <w:rsid w:val="00135806"/>
    <w:rsid w:val="001366B4"/>
    <w:rsid w:val="001375E3"/>
    <w:rsid w:val="00140556"/>
    <w:rsid w:val="001407CC"/>
    <w:rsid w:val="00141A30"/>
    <w:rsid w:val="00143053"/>
    <w:rsid w:val="0014411B"/>
    <w:rsid w:val="001448E7"/>
    <w:rsid w:val="00147846"/>
    <w:rsid w:val="0015043E"/>
    <w:rsid w:val="00152B0F"/>
    <w:rsid w:val="00152DFD"/>
    <w:rsid w:val="00153855"/>
    <w:rsid w:val="00154EF9"/>
    <w:rsid w:val="00156A66"/>
    <w:rsid w:val="00157858"/>
    <w:rsid w:val="00161207"/>
    <w:rsid w:val="001612CE"/>
    <w:rsid w:val="001624FB"/>
    <w:rsid w:val="0016523C"/>
    <w:rsid w:val="0016544D"/>
    <w:rsid w:val="001657F1"/>
    <w:rsid w:val="00167331"/>
    <w:rsid w:val="0016740F"/>
    <w:rsid w:val="00171BB2"/>
    <w:rsid w:val="00173BFF"/>
    <w:rsid w:val="00173C6E"/>
    <w:rsid w:val="001742AC"/>
    <w:rsid w:val="00175E4C"/>
    <w:rsid w:val="00180133"/>
    <w:rsid w:val="00180B19"/>
    <w:rsid w:val="0018196F"/>
    <w:rsid w:val="001829BB"/>
    <w:rsid w:val="0018305E"/>
    <w:rsid w:val="0018353A"/>
    <w:rsid w:val="001909AE"/>
    <w:rsid w:val="0019190B"/>
    <w:rsid w:val="00192498"/>
    <w:rsid w:val="001943B6"/>
    <w:rsid w:val="00194806"/>
    <w:rsid w:val="001961A8"/>
    <w:rsid w:val="001A374B"/>
    <w:rsid w:val="001A5723"/>
    <w:rsid w:val="001B10D5"/>
    <w:rsid w:val="001B1868"/>
    <w:rsid w:val="001B1A0C"/>
    <w:rsid w:val="001B1E6C"/>
    <w:rsid w:val="001B2948"/>
    <w:rsid w:val="001B41CD"/>
    <w:rsid w:val="001B44EF"/>
    <w:rsid w:val="001B4EE2"/>
    <w:rsid w:val="001B714C"/>
    <w:rsid w:val="001C1EA0"/>
    <w:rsid w:val="001C31B9"/>
    <w:rsid w:val="001C507E"/>
    <w:rsid w:val="001C700E"/>
    <w:rsid w:val="001C7117"/>
    <w:rsid w:val="001C745A"/>
    <w:rsid w:val="001C7DDD"/>
    <w:rsid w:val="001D20FC"/>
    <w:rsid w:val="001D210A"/>
    <w:rsid w:val="001D6059"/>
    <w:rsid w:val="001D7E98"/>
    <w:rsid w:val="001E2E73"/>
    <w:rsid w:val="001E4BDE"/>
    <w:rsid w:val="001E6635"/>
    <w:rsid w:val="001F12A2"/>
    <w:rsid w:val="001F46FA"/>
    <w:rsid w:val="001F5CB1"/>
    <w:rsid w:val="001F61A8"/>
    <w:rsid w:val="001F7480"/>
    <w:rsid w:val="00201174"/>
    <w:rsid w:val="00202880"/>
    <w:rsid w:val="00202E4E"/>
    <w:rsid w:val="00203BCC"/>
    <w:rsid w:val="00204C67"/>
    <w:rsid w:val="00205E0B"/>
    <w:rsid w:val="00205F2B"/>
    <w:rsid w:val="002115BD"/>
    <w:rsid w:val="002118DA"/>
    <w:rsid w:val="002126BA"/>
    <w:rsid w:val="00212B27"/>
    <w:rsid w:val="00213C2A"/>
    <w:rsid w:val="0021515C"/>
    <w:rsid w:val="00217DAD"/>
    <w:rsid w:val="002227A9"/>
    <w:rsid w:val="002227F8"/>
    <w:rsid w:val="00226DEE"/>
    <w:rsid w:val="00230BC8"/>
    <w:rsid w:val="00231D45"/>
    <w:rsid w:val="002335A9"/>
    <w:rsid w:val="002343CF"/>
    <w:rsid w:val="00235D29"/>
    <w:rsid w:val="00235E28"/>
    <w:rsid w:val="002363D9"/>
    <w:rsid w:val="00236B8C"/>
    <w:rsid w:val="00237C4B"/>
    <w:rsid w:val="00240D59"/>
    <w:rsid w:val="002441D5"/>
    <w:rsid w:val="00246E5F"/>
    <w:rsid w:val="002471A2"/>
    <w:rsid w:val="00251E02"/>
    <w:rsid w:val="002544FA"/>
    <w:rsid w:val="00260CDC"/>
    <w:rsid w:val="00261E78"/>
    <w:rsid w:val="00263907"/>
    <w:rsid w:val="00263F5F"/>
    <w:rsid w:val="00270898"/>
    <w:rsid w:val="00272AF0"/>
    <w:rsid w:val="002739B9"/>
    <w:rsid w:val="00273C6F"/>
    <w:rsid w:val="00275C42"/>
    <w:rsid w:val="00277367"/>
    <w:rsid w:val="002849B4"/>
    <w:rsid w:val="002872AF"/>
    <w:rsid w:val="002911A4"/>
    <w:rsid w:val="00291F1C"/>
    <w:rsid w:val="00292506"/>
    <w:rsid w:val="00297FA7"/>
    <w:rsid w:val="002A1338"/>
    <w:rsid w:val="002A15F4"/>
    <w:rsid w:val="002A1935"/>
    <w:rsid w:val="002A1A79"/>
    <w:rsid w:val="002A21D1"/>
    <w:rsid w:val="002A22F7"/>
    <w:rsid w:val="002A4D70"/>
    <w:rsid w:val="002B0885"/>
    <w:rsid w:val="002B1CB1"/>
    <w:rsid w:val="002B1F66"/>
    <w:rsid w:val="002B31B3"/>
    <w:rsid w:val="002B433A"/>
    <w:rsid w:val="002B61A8"/>
    <w:rsid w:val="002B6B13"/>
    <w:rsid w:val="002B6EBE"/>
    <w:rsid w:val="002B79D4"/>
    <w:rsid w:val="002C15B5"/>
    <w:rsid w:val="002C1E00"/>
    <w:rsid w:val="002C639B"/>
    <w:rsid w:val="002D087B"/>
    <w:rsid w:val="002D1328"/>
    <w:rsid w:val="002D1753"/>
    <w:rsid w:val="002D4E1A"/>
    <w:rsid w:val="002D5D7B"/>
    <w:rsid w:val="002D6914"/>
    <w:rsid w:val="002D6DF0"/>
    <w:rsid w:val="002D7B61"/>
    <w:rsid w:val="002D7FFA"/>
    <w:rsid w:val="002E2299"/>
    <w:rsid w:val="002E3D5B"/>
    <w:rsid w:val="002E55EA"/>
    <w:rsid w:val="002E5604"/>
    <w:rsid w:val="002F479A"/>
    <w:rsid w:val="002F54F3"/>
    <w:rsid w:val="002F5A14"/>
    <w:rsid w:val="002F63FC"/>
    <w:rsid w:val="002F6B4D"/>
    <w:rsid w:val="00303038"/>
    <w:rsid w:val="0030318A"/>
    <w:rsid w:val="00306734"/>
    <w:rsid w:val="00306FED"/>
    <w:rsid w:val="00310426"/>
    <w:rsid w:val="00310974"/>
    <w:rsid w:val="00312AE4"/>
    <w:rsid w:val="00315135"/>
    <w:rsid w:val="00315D13"/>
    <w:rsid w:val="003167E5"/>
    <w:rsid w:val="00320FCE"/>
    <w:rsid w:val="00321293"/>
    <w:rsid w:val="00321891"/>
    <w:rsid w:val="003223F8"/>
    <w:rsid w:val="0032292A"/>
    <w:rsid w:val="00322D92"/>
    <w:rsid w:val="003231DC"/>
    <w:rsid w:val="0032486D"/>
    <w:rsid w:val="003260C0"/>
    <w:rsid w:val="003266E1"/>
    <w:rsid w:val="00326B5A"/>
    <w:rsid w:val="003275D0"/>
    <w:rsid w:val="003279FD"/>
    <w:rsid w:val="003305E3"/>
    <w:rsid w:val="003326BE"/>
    <w:rsid w:val="003327F8"/>
    <w:rsid w:val="003335A7"/>
    <w:rsid w:val="00335F19"/>
    <w:rsid w:val="00335FCF"/>
    <w:rsid w:val="003363C7"/>
    <w:rsid w:val="00341177"/>
    <w:rsid w:val="00341311"/>
    <w:rsid w:val="0034253D"/>
    <w:rsid w:val="00342BF7"/>
    <w:rsid w:val="00343B25"/>
    <w:rsid w:val="0034401A"/>
    <w:rsid w:val="003456DE"/>
    <w:rsid w:val="00345B8E"/>
    <w:rsid w:val="00346F84"/>
    <w:rsid w:val="00351ACA"/>
    <w:rsid w:val="00352AE5"/>
    <w:rsid w:val="003533A3"/>
    <w:rsid w:val="00355925"/>
    <w:rsid w:val="00357648"/>
    <w:rsid w:val="0035775D"/>
    <w:rsid w:val="00357AF7"/>
    <w:rsid w:val="00360662"/>
    <w:rsid w:val="00363A90"/>
    <w:rsid w:val="00364262"/>
    <w:rsid w:val="003669BB"/>
    <w:rsid w:val="00371F53"/>
    <w:rsid w:val="00372E1B"/>
    <w:rsid w:val="003743C8"/>
    <w:rsid w:val="00380347"/>
    <w:rsid w:val="0038064B"/>
    <w:rsid w:val="00383294"/>
    <w:rsid w:val="00383F3F"/>
    <w:rsid w:val="00384342"/>
    <w:rsid w:val="003849ED"/>
    <w:rsid w:val="00385A4C"/>
    <w:rsid w:val="00386310"/>
    <w:rsid w:val="00386EE2"/>
    <w:rsid w:val="00392981"/>
    <w:rsid w:val="003942DB"/>
    <w:rsid w:val="00394CB0"/>
    <w:rsid w:val="0039516A"/>
    <w:rsid w:val="00395CFA"/>
    <w:rsid w:val="003A00EF"/>
    <w:rsid w:val="003A27D2"/>
    <w:rsid w:val="003A2D7B"/>
    <w:rsid w:val="003A344F"/>
    <w:rsid w:val="003A74BF"/>
    <w:rsid w:val="003B122C"/>
    <w:rsid w:val="003B2756"/>
    <w:rsid w:val="003B3B6F"/>
    <w:rsid w:val="003B5F7E"/>
    <w:rsid w:val="003B77E5"/>
    <w:rsid w:val="003C288C"/>
    <w:rsid w:val="003C31EE"/>
    <w:rsid w:val="003C6C5A"/>
    <w:rsid w:val="003C7721"/>
    <w:rsid w:val="003D081D"/>
    <w:rsid w:val="003D2E2F"/>
    <w:rsid w:val="003D44F4"/>
    <w:rsid w:val="003D582D"/>
    <w:rsid w:val="003E09CD"/>
    <w:rsid w:val="003E0E66"/>
    <w:rsid w:val="003E1569"/>
    <w:rsid w:val="003E4982"/>
    <w:rsid w:val="003E63B3"/>
    <w:rsid w:val="003E7AA9"/>
    <w:rsid w:val="003F3D5C"/>
    <w:rsid w:val="003F483B"/>
    <w:rsid w:val="004003A1"/>
    <w:rsid w:val="00402414"/>
    <w:rsid w:val="00402782"/>
    <w:rsid w:val="00402C90"/>
    <w:rsid w:val="00403152"/>
    <w:rsid w:val="00403AAA"/>
    <w:rsid w:val="00406000"/>
    <w:rsid w:val="00412707"/>
    <w:rsid w:val="00413539"/>
    <w:rsid w:val="0041396D"/>
    <w:rsid w:val="00415A92"/>
    <w:rsid w:val="0041730D"/>
    <w:rsid w:val="00420E02"/>
    <w:rsid w:val="004228CD"/>
    <w:rsid w:val="0042527A"/>
    <w:rsid w:val="00425D49"/>
    <w:rsid w:val="00426354"/>
    <w:rsid w:val="004309E9"/>
    <w:rsid w:val="004361C3"/>
    <w:rsid w:val="00437C95"/>
    <w:rsid w:val="00441E77"/>
    <w:rsid w:val="00443639"/>
    <w:rsid w:val="004450BD"/>
    <w:rsid w:val="004453CE"/>
    <w:rsid w:val="00445A3B"/>
    <w:rsid w:val="00445C4E"/>
    <w:rsid w:val="00446742"/>
    <w:rsid w:val="0045448C"/>
    <w:rsid w:val="0045475F"/>
    <w:rsid w:val="00462000"/>
    <w:rsid w:val="00466C98"/>
    <w:rsid w:val="00467C3F"/>
    <w:rsid w:val="00467CE4"/>
    <w:rsid w:val="004706B5"/>
    <w:rsid w:val="00471D7B"/>
    <w:rsid w:val="004747A1"/>
    <w:rsid w:val="0047710F"/>
    <w:rsid w:val="00481777"/>
    <w:rsid w:val="004830F9"/>
    <w:rsid w:val="0048459A"/>
    <w:rsid w:val="00490BDE"/>
    <w:rsid w:val="00494504"/>
    <w:rsid w:val="004957EC"/>
    <w:rsid w:val="00496F8D"/>
    <w:rsid w:val="004A2526"/>
    <w:rsid w:val="004A2EC3"/>
    <w:rsid w:val="004A41FF"/>
    <w:rsid w:val="004A568F"/>
    <w:rsid w:val="004A7400"/>
    <w:rsid w:val="004B201A"/>
    <w:rsid w:val="004B41B9"/>
    <w:rsid w:val="004B467D"/>
    <w:rsid w:val="004B4A44"/>
    <w:rsid w:val="004B64F3"/>
    <w:rsid w:val="004C0324"/>
    <w:rsid w:val="004C0722"/>
    <w:rsid w:val="004C33EA"/>
    <w:rsid w:val="004C36CF"/>
    <w:rsid w:val="004C4A3E"/>
    <w:rsid w:val="004C59EA"/>
    <w:rsid w:val="004C65C6"/>
    <w:rsid w:val="004C660D"/>
    <w:rsid w:val="004C7E92"/>
    <w:rsid w:val="004D0699"/>
    <w:rsid w:val="004D1529"/>
    <w:rsid w:val="004D19CE"/>
    <w:rsid w:val="004D23F6"/>
    <w:rsid w:val="004D2ED0"/>
    <w:rsid w:val="004D4522"/>
    <w:rsid w:val="004E01E9"/>
    <w:rsid w:val="004E1AC4"/>
    <w:rsid w:val="004E3AA3"/>
    <w:rsid w:val="004E3BCF"/>
    <w:rsid w:val="004E3E40"/>
    <w:rsid w:val="004E570D"/>
    <w:rsid w:val="004E6400"/>
    <w:rsid w:val="004E642E"/>
    <w:rsid w:val="004E6924"/>
    <w:rsid w:val="004E6A61"/>
    <w:rsid w:val="004E6E33"/>
    <w:rsid w:val="004E702A"/>
    <w:rsid w:val="004F0C2D"/>
    <w:rsid w:val="004F3D7E"/>
    <w:rsid w:val="004F3EA8"/>
    <w:rsid w:val="004F4630"/>
    <w:rsid w:val="004F521E"/>
    <w:rsid w:val="004F6FEE"/>
    <w:rsid w:val="00500EB4"/>
    <w:rsid w:val="00501CD2"/>
    <w:rsid w:val="005035D4"/>
    <w:rsid w:val="00503974"/>
    <w:rsid w:val="0050439B"/>
    <w:rsid w:val="0050529F"/>
    <w:rsid w:val="00506174"/>
    <w:rsid w:val="00506A51"/>
    <w:rsid w:val="005110C3"/>
    <w:rsid w:val="00511E2A"/>
    <w:rsid w:val="00514B5E"/>
    <w:rsid w:val="005154E4"/>
    <w:rsid w:val="00515578"/>
    <w:rsid w:val="005157C1"/>
    <w:rsid w:val="00515954"/>
    <w:rsid w:val="00515E3D"/>
    <w:rsid w:val="0051677A"/>
    <w:rsid w:val="005204BC"/>
    <w:rsid w:val="005208AC"/>
    <w:rsid w:val="00521D96"/>
    <w:rsid w:val="0052286C"/>
    <w:rsid w:val="00522AB9"/>
    <w:rsid w:val="005265B9"/>
    <w:rsid w:val="005307E8"/>
    <w:rsid w:val="0053138F"/>
    <w:rsid w:val="0053175E"/>
    <w:rsid w:val="00533533"/>
    <w:rsid w:val="005348DD"/>
    <w:rsid w:val="00534CCB"/>
    <w:rsid w:val="00535C99"/>
    <w:rsid w:val="00535E24"/>
    <w:rsid w:val="00537E02"/>
    <w:rsid w:val="00542718"/>
    <w:rsid w:val="00543224"/>
    <w:rsid w:val="005440F6"/>
    <w:rsid w:val="00544CB0"/>
    <w:rsid w:val="00544CCD"/>
    <w:rsid w:val="0054557A"/>
    <w:rsid w:val="00546DD6"/>
    <w:rsid w:val="00550765"/>
    <w:rsid w:val="0055172C"/>
    <w:rsid w:val="00554E20"/>
    <w:rsid w:val="00557706"/>
    <w:rsid w:val="0055771D"/>
    <w:rsid w:val="00564B83"/>
    <w:rsid w:val="00565055"/>
    <w:rsid w:val="00565635"/>
    <w:rsid w:val="00567FCF"/>
    <w:rsid w:val="00570343"/>
    <w:rsid w:val="00570765"/>
    <w:rsid w:val="00571521"/>
    <w:rsid w:val="00572C8B"/>
    <w:rsid w:val="005732BD"/>
    <w:rsid w:val="005733F9"/>
    <w:rsid w:val="00573E59"/>
    <w:rsid w:val="00573F0F"/>
    <w:rsid w:val="00575295"/>
    <w:rsid w:val="00581C01"/>
    <w:rsid w:val="0058242D"/>
    <w:rsid w:val="00583110"/>
    <w:rsid w:val="005845CB"/>
    <w:rsid w:val="0058498A"/>
    <w:rsid w:val="00585AA4"/>
    <w:rsid w:val="00586350"/>
    <w:rsid w:val="00587952"/>
    <w:rsid w:val="0059461A"/>
    <w:rsid w:val="00597520"/>
    <w:rsid w:val="005A18C5"/>
    <w:rsid w:val="005A3ED5"/>
    <w:rsid w:val="005A511C"/>
    <w:rsid w:val="005A7CF6"/>
    <w:rsid w:val="005B1BB7"/>
    <w:rsid w:val="005B42EE"/>
    <w:rsid w:val="005B4F7A"/>
    <w:rsid w:val="005B537E"/>
    <w:rsid w:val="005B726A"/>
    <w:rsid w:val="005B76EC"/>
    <w:rsid w:val="005B7C71"/>
    <w:rsid w:val="005C1B49"/>
    <w:rsid w:val="005C4A6B"/>
    <w:rsid w:val="005C661F"/>
    <w:rsid w:val="005D02A8"/>
    <w:rsid w:val="005D2A59"/>
    <w:rsid w:val="005D3DD3"/>
    <w:rsid w:val="005D41C4"/>
    <w:rsid w:val="005D5575"/>
    <w:rsid w:val="005D5AD4"/>
    <w:rsid w:val="005E054D"/>
    <w:rsid w:val="005E19C0"/>
    <w:rsid w:val="005F0C00"/>
    <w:rsid w:val="005F15ED"/>
    <w:rsid w:val="005F33F2"/>
    <w:rsid w:val="005F460C"/>
    <w:rsid w:val="005F51F6"/>
    <w:rsid w:val="005F700F"/>
    <w:rsid w:val="005F74D0"/>
    <w:rsid w:val="00600404"/>
    <w:rsid w:val="0060117A"/>
    <w:rsid w:val="006060A8"/>
    <w:rsid w:val="0060646D"/>
    <w:rsid w:val="00612E14"/>
    <w:rsid w:val="00616A18"/>
    <w:rsid w:val="00617F30"/>
    <w:rsid w:val="0062052E"/>
    <w:rsid w:val="00620814"/>
    <w:rsid w:val="00622025"/>
    <w:rsid w:val="006227E4"/>
    <w:rsid w:val="006231CF"/>
    <w:rsid w:val="0062598A"/>
    <w:rsid w:val="00625A52"/>
    <w:rsid w:val="0062686B"/>
    <w:rsid w:val="00631D1D"/>
    <w:rsid w:val="006329D9"/>
    <w:rsid w:val="00633A74"/>
    <w:rsid w:val="00637549"/>
    <w:rsid w:val="00642A6F"/>
    <w:rsid w:val="00642E50"/>
    <w:rsid w:val="00646049"/>
    <w:rsid w:val="00647FBA"/>
    <w:rsid w:val="0065243C"/>
    <w:rsid w:val="0065268F"/>
    <w:rsid w:val="0065391A"/>
    <w:rsid w:val="006544BA"/>
    <w:rsid w:val="0065679C"/>
    <w:rsid w:val="00657108"/>
    <w:rsid w:val="00660990"/>
    <w:rsid w:val="006632DD"/>
    <w:rsid w:val="00663306"/>
    <w:rsid w:val="006635D1"/>
    <w:rsid w:val="00663909"/>
    <w:rsid w:val="00663E95"/>
    <w:rsid w:val="006659FF"/>
    <w:rsid w:val="006671BC"/>
    <w:rsid w:val="00670EB5"/>
    <w:rsid w:val="006712AC"/>
    <w:rsid w:val="0067299B"/>
    <w:rsid w:val="00673287"/>
    <w:rsid w:val="006745E6"/>
    <w:rsid w:val="0067581B"/>
    <w:rsid w:val="00675AD8"/>
    <w:rsid w:val="00680679"/>
    <w:rsid w:val="0068146D"/>
    <w:rsid w:val="00682DB1"/>
    <w:rsid w:val="00683FFB"/>
    <w:rsid w:val="00685A2F"/>
    <w:rsid w:val="006875C8"/>
    <w:rsid w:val="0068768A"/>
    <w:rsid w:val="00687B8A"/>
    <w:rsid w:val="00690983"/>
    <w:rsid w:val="00690BEA"/>
    <w:rsid w:val="00695279"/>
    <w:rsid w:val="00697C69"/>
    <w:rsid w:val="006A6476"/>
    <w:rsid w:val="006A6E2D"/>
    <w:rsid w:val="006B05EE"/>
    <w:rsid w:val="006B0F12"/>
    <w:rsid w:val="006B33A7"/>
    <w:rsid w:val="006B6703"/>
    <w:rsid w:val="006C1260"/>
    <w:rsid w:val="006C2232"/>
    <w:rsid w:val="006C4F1D"/>
    <w:rsid w:val="006C6800"/>
    <w:rsid w:val="006D0BC5"/>
    <w:rsid w:val="006D14C2"/>
    <w:rsid w:val="006D2CF2"/>
    <w:rsid w:val="006D2E37"/>
    <w:rsid w:val="006D34C3"/>
    <w:rsid w:val="006D5283"/>
    <w:rsid w:val="006E2839"/>
    <w:rsid w:val="006E327C"/>
    <w:rsid w:val="006E4980"/>
    <w:rsid w:val="006E743B"/>
    <w:rsid w:val="006E7795"/>
    <w:rsid w:val="006E7E9F"/>
    <w:rsid w:val="006E7FA8"/>
    <w:rsid w:val="006F00DB"/>
    <w:rsid w:val="006F4623"/>
    <w:rsid w:val="006F4B40"/>
    <w:rsid w:val="006F6843"/>
    <w:rsid w:val="0070037F"/>
    <w:rsid w:val="007016EA"/>
    <w:rsid w:val="00701FEA"/>
    <w:rsid w:val="007040D1"/>
    <w:rsid w:val="00704C4D"/>
    <w:rsid w:val="00705A00"/>
    <w:rsid w:val="007069F7"/>
    <w:rsid w:val="00706DE1"/>
    <w:rsid w:val="00707DD1"/>
    <w:rsid w:val="00707F37"/>
    <w:rsid w:val="00710059"/>
    <w:rsid w:val="00710337"/>
    <w:rsid w:val="007110C9"/>
    <w:rsid w:val="00712222"/>
    <w:rsid w:val="00712349"/>
    <w:rsid w:val="00712FCE"/>
    <w:rsid w:val="007131CA"/>
    <w:rsid w:val="00714858"/>
    <w:rsid w:val="00714BA3"/>
    <w:rsid w:val="00715180"/>
    <w:rsid w:val="0071537B"/>
    <w:rsid w:val="007167AE"/>
    <w:rsid w:val="00717FE7"/>
    <w:rsid w:val="00721098"/>
    <w:rsid w:val="0072495B"/>
    <w:rsid w:val="007311E0"/>
    <w:rsid w:val="007360D3"/>
    <w:rsid w:val="0073644C"/>
    <w:rsid w:val="00736D2D"/>
    <w:rsid w:val="0073711D"/>
    <w:rsid w:val="00737641"/>
    <w:rsid w:val="00737C72"/>
    <w:rsid w:val="007452F9"/>
    <w:rsid w:val="0074660C"/>
    <w:rsid w:val="00747B69"/>
    <w:rsid w:val="00750E77"/>
    <w:rsid w:val="00751449"/>
    <w:rsid w:val="007525A5"/>
    <w:rsid w:val="0075347D"/>
    <w:rsid w:val="00755674"/>
    <w:rsid w:val="00755D95"/>
    <w:rsid w:val="00756B0E"/>
    <w:rsid w:val="00757BAA"/>
    <w:rsid w:val="00762B9C"/>
    <w:rsid w:val="0076363F"/>
    <w:rsid w:val="00766491"/>
    <w:rsid w:val="00766BCF"/>
    <w:rsid w:val="0076770E"/>
    <w:rsid w:val="00767F39"/>
    <w:rsid w:val="007705BC"/>
    <w:rsid w:val="007726E1"/>
    <w:rsid w:val="00774F4B"/>
    <w:rsid w:val="00776786"/>
    <w:rsid w:val="00784556"/>
    <w:rsid w:val="00787689"/>
    <w:rsid w:val="0079256F"/>
    <w:rsid w:val="0079307B"/>
    <w:rsid w:val="0079311B"/>
    <w:rsid w:val="007941CF"/>
    <w:rsid w:val="007942AA"/>
    <w:rsid w:val="007951A7"/>
    <w:rsid w:val="00796F48"/>
    <w:rsid w:val="00797951"/>
    <w:rsid w:val="007A1F55"/>
    <w:rsid w:val="007A2A5E"/>
    <w:rsid w:val="007A3C6A"/>
    <w:rsid w:val="007A5821"/>
    <w:rsid w:val="007A6ADD"/>
    <w:rsid w:val="007A6B87"/>
    <w:rsid w:val="007B0EBF"/>
    <w:rsid w:val="007B12EF"/>
    <w:rsid w:val="007B51E2"/>
    <w:rsid w:val="007B5E12"/>
    <w:rsid w:val="007B6AB4"/>
    <w:rsid w:val="007B6F81"/>
    <w:rsid w:val="007C08B4"/>
    <w:rsid w:val="007C75C8"/>
    <w:rsid w:val="007C78A7"/>
    <w:rsid w:val="007D0A64"/>
    <w:rsid w:val="007D587A"/>
    <w:rsid w:val="007D5D8D"/>
    <w:rsid w:val="007D608D"/>
    <w:rsid w:val="007E10A5"/>
    <w:rsid w:val="007E1DFA"/>
    <w:rsid w:val="007E2A95"/>
    <w:rsid w:val="007E3D71"/>
    <w:rsid w:val="007E3F72"/>
    <w:rsid w:val="007E6164"/>
    <w:rsid w:val="007F0036"/>
    <w:rsid w:val="007F2841"/>
    <w:rsid w:val="007F3E30"/>
    <w:rsid w:val="007F4745"/>
    <w:rsid w:val="0080096B"/>
    <w:rsid w:val="00800B90"/>
    <w:rsid w:val="00802A66"/>
    <w:rsid w:val="00805ADD"/>
    <w:rsid w:val="008064EF"/>
    <w:rsid w:val="008103A0"/>
    <w:rsid w:val="00810DE3"/>
    <w:rsid w:val="0081154A"/>
    <w:rsid w:val="00816DDA"/>
    <w:rsid w:val="00821541"/>
    <w:rsid w:val="00821A06"/>
    <w:rsid w:val="008220F3"/>
    <w:rsid w:val="00822273"/>
    <w:rsid w:val="008235DB"/>
    <w:rsid w:val="00826FE4"/>
    <w:rsid w:val="00830647"/>
    <w:rsid w:val="00830E80"/>
    <w:rsid w:val="00832911"/>
    <w:rsid w:val="00832CD2"/>
    <w:rsid w:val="00833071"/>
    <w:rsid w:val="00833EB7"/>
    <w:rsid w:val="00836FCE"/>
    <w:rsid w:val="00837FE2"/>
    <w:rsid w:val="0084092F"/>
    <w:rsid w:val="00841895"/>
    <w:rsid w:val="00844C87"/>
    <w:rsid w:val="008478A1"/>
    <w:rsid w:val="00850A87"/>
    <w:rsid w:val="008515EE"/>
    <w:rsid w:val="008532FB"/>
    <w:rsid w:val="008540F0"/>
    <w:rsid w:val="00855CC4"/>
    <w:rsid w:val="008568C0"/>
    <w:rsid w:val="00857851"/>
    <w:rsid w:val="008634F4"/>
    <w:rsid w:val="00863BA9"/>
    <w:rsid w:val="00864874"/>
    <w:rsid w:val="008662B9"/>
    <w:rsid w:val="00871C2C"/>
    <w:rsid w:val="00871CA1"/>
    <w:rsid w:val="00874F47"/>
    <w:rsid w:val="00877D87"/>
    <w:rsid w:val="00880255"/>
    <w:rsid w:val="00880C72"/>
    <w:rsid w:val="008810FA"/>
    <w:rsid w:val="008833E7"/>
    <w:rsid w:val="00883ADF"/>
    <w:rsid w:val="00884878"/>
    <w:rsid w:val="00885B9C"/>
    <w:rsid w:val="008862A2"/>
    <w:rsid w:val="00886D18"/>
    <w:rsid w:val="00892303"/>
    <w:rsid w:val="00894F78"/>
    <w:rsid w:val="0089504F"/>
    <w:rsid w:val="00895E08"/>
    <w:rsid w:val="0089683E"/>
    <w:rsid w:val="00896927"/>
    <w:rsid w:val="00897CA2"/>
    <w:rsid w:val="00897E16"/>
    <w:rsid w:val="008A144E"/>
    <w:rsid w:val="008A310A"/>
    <w:rsid w:val="008A466D"/>
    <w:rsid w:val="008A4D86"/>
    <w:rsid w:val="008A6603"/>
    <w:rsid w:val="008B5F65"/>
    <w:rsid w:val="008C0FBD"/>
    <w:rsid w:val="008C4903"/>
    <w:rsid w:val="008C5617"/>
    <w:rsid w:val="008C6687"/>
    <w:rsid w:val="008C70BD"/>
    <w:rsid w:val="008C79C7"/>
    <w:rsid w:val="008C7AC8"/>
    <w:rsid w:val="008D0242"/>
    <w:rsid w:val="008D27EF"/>
    <w:rsid w:val="008D28DF"/>
    <w:rsid w:val="008D2DC8"/>
    <w:rsid w:val="008D2E38"/>
    <w:rsid w:val="008D31DC"/>
    <w:rsid w:val="008D34F9"/>
    <w:rsid w:val="008D3D46"/>
    <w:rsid w:val="008D745E"/>
    <w:rsid w:val="008E29AB"/>
    <w:rsid w:val="008E44A5"/>
    <w:rsid w:val="008E4EF2"/>
    <w:rsid w:val="008F06F2"/>
    <w:rsid w:val="008F1E28"/>
    <w:rsid w:val="008F2878"/>
    <w:rsid w:val="008F4C1D"/>
    <w:rsid w:val="008F4C4B"/>
    <w:rsid w:val="008F5D80"/>
    <w:rsid w:val="008F7B8C"/>
    <w:rsid w:val="008F7D7D"/>
    <w:rsid w:val="009006D2"/>
    <w:rsid w:val="0090527C"/>
    <w:rsid w:val="009103F3"/>
    <w:rsid w:val="009126A4"/>
    <w:rsid w:val="00913A2A"/>
    <w:rsid w:val="00914428"/>
    <w:rsid w:val="00914F25"/>
    <w:rsid w:val="009163AF"/>
    <w:rsid w:val="00916D52"/>
    <w:rsid w:val="0092263C"/>
    <w:rsid w:val="00923D3D"/>
    <w:rsid w:val="00923F4A"/>
    <w:rsid w:val="00924CCB"/>
    <w:rsid w:val="0092520A"/>
    <w:rsid w:val="00927978"/>
    <w:rsid w:val="00932FAD"/>
    <w:rsid w:val="00936ECF"/>
    <w:rsid w:val="0093725A"/>
    <w:rsid w:val="00937307"/>
    <w:rsid w:val="00941EFF"/>
    <w:rsid w:val="009445BA"/>
    <w:rsid w:val="00945130"/>
    <w:rsid w:val="0094573A"/>
    <w:rsid w:val="00945B0A"/>
    <w:rsid w:val="00946F68"/>
    <w:rsid w:val="009475F3"/>
    <w:rsid w:val="00947645"/>
    <w:rsid w:val="0095115D"/>
    <w:rsid w:val="00951562"/>
    <w:rsid w:val="00951651"/>
    <w:rsid w:val="00953CAB"/>
    <w:rsid w:val="00954EF3"/>
    <w:rsid w:val="00954FB1"/>
    <w:rsid w:val="0095603B"/>
    <w:rsid w:val="00957948"/>
    <w:rsid w:val="00960255"/>
    <w:rsid w:val="009610F8"/>
    <w:rsid w:val="009635D8"/>
    <w:rsid w:val="009668EF"/>
    <w:rsid w:val="009713CF"/>
    <w:rsid w:val="009729A9"/>
    <w:rsid w:val="00973321"/>
    <w:rsid w:val="009761F8"/>
    <w:rsid w:val="00976AF1"/>
    <w:rsid w:val="00976FB3"/>
    <w:rsid w:val="0098030D"/>
    <w:rsid w:val="00981B13"/>
    <w:rsid w:val="00981E62"/>
    <w:rsid w:val="0099194B"/>
    <w:rsid w:val="009928E1"/>
    <w:rsid w:val="0099488A"/>
    <w:rsid w:val="00994D57"/>
    <w:rsid w:val="00996460"/>
    <w:rsid w:val="0099677B"/>
    <w:rsid w:val="009A1E07"/>
    <w:rsid w:val="009A25EB"/>
    <w:rsid w:val="009A290D"/>
    <w:rsid w:val="009A5456"/>
    <w:rsid w:val="009B3F4F"/>
    <w:rsid w:val="009B5190"/>
    <w:rsid w:val="009B5381"/>
    <w:rsid w:val="009B61CB"/>
    <w:rsid w:val="009B654F"/>
    <w:rsid w:val="009B6B75"/>
    <w:rsid w:val="009C16DF"/>
    <w:rsid w:val="009C1FDC"/>
    <w:rsid w:val="009C4804"/>
    <w:rsid w:val="009C6C9E"/>
    <w:rsid w:val="009D104E"/>
    <w:rsid w:val="009D1E4C"/>
    <w:rsid w:val="009D1FDF"/>
    <w:rsid w:val="009D2E21"/>
    <w:rsid w:val="009D3524"/>
    <w:rsid w:val="009D5236"/>
    <w:rsid w:val="009E15BB"/>
    <w:rsid w:val="009E1667"/>
    <w:rsid w:val="009E1CA8"/>
    <w:rsid w:val="009E28E1"/>
    <w:rsid w:val="009E38C1"/>
    <w:rsid w:val="009E6780"/>
    <w:rsid w:val="009E7801"/>
    <w:rsid w:val="009E79EC"/>
    <w:rsid w:val="009F261F"/>
    <w:rsid w:val="009F4D99"/>
    <w:rsid w:val="009F50F0"/>
    <w:rsid w:val="009F6087"/>
    <w:rsid w:val="009F6B10"/>
    <w:rsid w:val="00A01327"/>
    <w:rsid w:val="00A018E7"/>
    <w:rsid w:val="00A0256D"/>
    <w:rsid w:val="00A03911"/>
    <w:rsid w:val="00A05140"/>
    <w:rsid w:val="00A05838"/>
    <w:rsid w:val="00A06FC9"/>
    <w:rsid w:val="00A10DE1"/>
    <w:rsid w:val="00A11D59"/>
    <w:rsid w:val="00A123C7"/>
    <w:rsid w:val="00A13029"/>
    <w:rsid w:val="00A14E44"/>
    <w:rsid w:val="00A14E66"/>
    <w:rsid w:val="00A16A8F"/>
    <w:rsid w:val="00A20730"/>
    <w:rsid w:val="00A22538"/>
    <w:rsid w:val="00A24AE6"/>
    <w:rsid w:val="00A27E2B"/>
    <w:rsid w:val="00A329D8"/>
    <w:rsid w:val="00A33B7B"/>
    <w:rsid w:val="00A34039"/>
    <w:rsid w:val="00A34E6D"/>
    <w:rsid w:val="00A35458"/>
    <w:rsid w:val="00A3552E"/>
    <w:rsid w:val="00A35E94"/>
    <w:rsid w:val="00A36449"/>
    <w:rsid w:val="00A36C34"/>
    <w:rsid w:val="00A417FA"/>
    <w:rsid w:val="00A42760"/>
    <w:rsid w:val="00A441CA"/>
    <w:rsid w:val="00A443C7"/>
    <w:rsid w:val="00A458B3"/>
    <w:rsid w:val="00A45B60"/>
    <w:rsid w:val="00A45E73"/>
    <w:rsid w:val="00A462D9"/>
    <w:rsid w:val="00A467F5"/>
    <w:rsid w:val="00A5551F"/>
    <w:rsid w:val="00A61B0C"/>
    <w:rsid w:val="00A62308"/>
    <w:rsid w:val="00A62E17"/>
    <w:rsid w:val="00A633E6"/>
    <w:rsid w:val="00A65CAA"/>
    <w:rsid w:val="00A662CF"/>
    <w:rsid w:val="00A67DFA"/>
    <w:rsid w:val="00A766FD"/>
    <w:rsid w:val="00A80353"/>
    <w:rsid w:val="00A820E7"/>
    <w:rsid w:val="00A8299C"/>
    <w:rsid w:val="00A82DF8"/>
    <w:rsid w:val="00A9333E"/>
    <w:rsid w:val="00A94EC5"/>
    <w:rsid w:val="00A9554E"/>
    <w:rsid w:val="00AA31F2"/>
    <w:rsid w:val="00AA406C"/>
    <w:rsid w:val="00AA4F9F"/>
    <w:rsid w:val="00AA5E1B"/>
    <w:rsid w:val="00AA7256"/>
    <w:rsid w:val="00AB0987"/>
    <w:rsid w:val="00AB3900"/>
    <w:rsid w:val="00AB3D7D"/>
    <w:rsid w:val="00AB7215"/>
    <w:rsid w:val="00AC005D"/>
    <w:rsid w:val="00AC0558"/>
    <w:rsid w:val="00AC14DE"/>
    <w:rsid w:val="00AC326A"/>
    <w:rsid w:val="00AC56C2"/>
    <w:rsid w:val="00AC5D9E"/>
    <w:rsid w:val="00AC5E19"/>
    <w:rsid w:val="00AC6F49"/>
    <w:rsid w:val="00AD10D8"/>
    <w:rsid w:val="00AD2723"/>
    <w:rsid w:val="00AD3A9D"/>
    <w:rsid w:val="00AD445D"/>
    <w:rsid w:val="00AD6F47"/>
    <w:rsid w:val="00AE0C17"/>
    <w:rsid w:val="00AE12B2"/>
    <w:rsid w:val="00AE2781"/>
    <w:rsid w:val="00AE3CA3"/>
    <w:rsid w:val="00AE5C52"/>
    <w:rsid w:val="00AE6D76"/>
    <w:rsid w:val="00AE6E0A"/>
    <w:rsid w:val="00AF045F"/>
    <w:rsid w:val="00AF0FA2"/>
    <w:rsid w:val="00AF0FDD"/>
    <w:rsid w:val="00AF5A70"/>
    <w:rsid w:val="00AF5C5C"/>
    <w:rsid w:val="00B03FB1"/>
    <w:rsid w:val="00B13943"/>
    <w:rsid w:val="00B13A06"/>
    <w:rsid w:val="00B15829"/>
    <w:rsid w:val="00B164F6"/>
    <w:rsid w:val="00B16BCA"/>
    <w:rsid w:val="00B17A9D"/>
    <w:rsid w:val="00B206FA"/>
    <w:rsid w:val="00B20E0A"/>
    <w:rsid w:val="00B21C2F"/>
    <w:rsid w:val="00B249B7"/>
    <w:rsid w:val="00B2764E"/>
    <w:rsid w:val="00B30E77"/>
    <w:rsid w:val="00B32A66"/>
    <w:rsid w:val="00B33F27"/>
    <w:rsid w:val="00B34B88"/>
    <w:rsid w:val="00B37A25"/>
    <w:rsid w:val="00B44032"/>
    <w:rsid w:val="00B452E4"/>
    <w:rsid w:val="00B456CC"/>
    <w:rsid w:val="00B478EF"/>
    <w:rsid w:val="00B51BAD"/>
    <w:rsid w:val="00B55BE4"/>
    <w:rsid w:val="00B564A3"/>
    <w:rsid w:val="00B56514"/>
    <w:rsid w:val="00B56551"/>
    <w:rsid w:val="00B57AE9"/>
    <w:rsid w:val="00B57CA2"/>
    <w:rsid w:val="00B638BD"/>
    <w:rsid w:val="00B65EB5"/>
    <w:rsid w:val="00B662DA"/>
    <w:rsid w:val="00B66555"/>
    <w:rsid w:val="00B71672"/>
    <w:rsid w:val="00B72CEC"/>
    <w:rsid w:val="00B73156"/>
    <w:rsid w:val="00B744F8"/>
    <w:rsid w:val="00B74929"/>
    <w:rsid w:val="00B7716B"/>
    <w:rsid w:val="00B774C1"/>
    <w:rsid w:val="00B777E6"/>
    <w:rsid w:val="00B80134"/>
    <w:rsid w:val="00B80707"/>
    <w:rsid w:val="00B8198F"/>
    <w:rsid w:val="00B861D4"/>
    <w:rsid w:val="00B8737A"/>
    <w:rsid w:val="00B87675"/>
    <w:rsid w:val="00B910DF"/>
    <w:rsid w:val="00B922B9"/>
    <w:rsid w:val="00B95043"/>
    <w:rsid w:val="00B972FD"/>
    <w:rsid w:val="00B9749F"/>
    <w:rsid w:val="00BA3026"/>
    <w:rsid w:val="00BA3EFF"/>
    <w:rsid w:val="00BA4972"/>
    <w:rsid w:val="00BA5FE7"/>
    <w:rsid w:val="00BA7D12"/>
    <w:rsid w:val="00BB1C24"/>
    <w:rsid w:val="00BB2405"/>
    <w:rsid w:val="00BB2580"/>
    <w:rsid w:val="00BB27EC"/>
    <w:rsid w:val="00BB37EE"/>
    <w:rsid w:val="00BB530B"/>
    <w:rsid w:val="00BB58D3"/>
    <w:rsid w:val="00BC179B"/>
    <w:rsid w:val="00BC432E"/>
    <w:rsid w:val="00BC6774"/>
    <w:rsid w:val="00BC6C8B"/>
    <w:rsid w:val="00BC6EEF"/>
    <w:rsid w:val="00BC7980"/>
    <w:rsid w:val="00BD0A15"/>
    <w:rsid w:val="00BD28C5"/>
    <w:rsid w:val="00BD2BE4"/>
    <w:rsid w:val="00BD2FEE"/>
    <w:rsid w:val="00BD4D43"/>
    <w:rsid w:val="00BD7695"/>
    <w:rsid w:val="00BE0895"/>
    <w:rsid w:val="00BE0D5C"/>
    <w:rsid w:val="00BE0EE1"/>
    <w:rsid w:val="00BE4BDF"/>
    <w:rsid w:val="00BE5FED"/>
    <w:rsid w:val="00BE65E4"/>
    <w:rsid w:val="00BE7D81"/>
    <w:rsid w:val="00BF0796"/>
    <w:rsid w:val="00BF0AA7"/>
    <w:rsid w:val="00BF2F97"/>
    <w:rsid w:val="00BF3214"/>
    <w:rsid w:val="00C00765"/>
    <w:rsid w:val="00C00E26"/>
    <w:rsid w:val="00C03A2E"/>
    <w:rsid w:val="00C06287"/>
    <w:rsid w:val="00C12309"/>
    <w:rsid w:val="00C13E58"/>
    <w:rsid w:val="00C20D5E"/>
    <w:rsid w:val="00C23583"/>
    <w:rsid w:val="00C30229"/>
    <w:rsid w:val="00C312CC"/>
    <w:rsid w:val="00C34E1D"/>
    <w:rsid w:val="00C36C67"/>
    <w:rsid w:val="00C4066A"/>
    <w:rsid w:val="00C40D0E"/>
    <w:rsid w:val="00C44DE7"/>
    <w:rsid w:val="00C469FC"/>
    <w:rsid w:val="00C47041"/>
    <w:rsid w:val="00C51368"/>
    <w:rsid w:val="00C51DF7"/>
    <w:rsid w:val="00C5255D"/>
    <w:rsid w:val="00C52FCA"/>
    <w:rsid w:val="00C557B1"/>
    <w:rsid w:val="00C55862"/>
    <w:rsid w:val="00C56BAB"/>
    <w:rsid w:val="00C57E14"/>
    <w:rsid w:val="00C602B7"/>
    <w:rsid w:val="00C60D92"/>
    <w:rsid w:val="00C63DED"/>
    <w:rsid w:val="00C65930"/>
    <w:rsid w:val="00C72E6B"/>
    <w:rsid w:val="00C75AB0"/>
    <w:rsid w:val="00C75C20"/>
    <w:rsid w:val="00C80A82"/>
    <w:rsid w:val="00C82AA4"/>
    <w:rsid w:val="00C8305C"/>
    <w:rsid w:val="00C844D6"/>
    <w:rsid w:val="00C85FF6"/>
    <w:rsid w:val="00C90E84"/>
    <w:rsid w:val="00C9326B"/>
    <w:rsid w:val="00C95691"/>
    <w:rsid w:val="00C968A7"/>
    <w:rsid w:val="00C96A47"/>
    <w:rsid w:val="00C970CE"/>
    <w:rsid w:val="00CA113C"/>
    <w:rsid w:val="00CA1ECD"/>
    <w:rsid w:val="00CA4746"/>
    <w:rsid w:val="00CA4C7F"/>
    <w:rsid w:val="00CA545B"/>
    <w:rsid w:val="00CB13B7"/>
    <w:rsid w:val="00CB7087"/>
    <w:rsid w:val="00CB723D"/>
    <w:rsid w:val="00CB7F75"/>
    <w:rsid w:val="00CC41EE"/>
    <w:rsid w:val="00CC45D5"/>
    <w:rsid w:val="00CC4A83"/>
    <w:rsid w:val="00CD061B"/>
    <w:rsid w:val="00CD0BF5"/>
    <w:rsid w:val="00CD0FA4"/>
    <w:rsid w:val="00CD1089"/>
    <w:rsid w:val="00CD1BCD"/>
    <w:rsid w:val="00CD3A9C"/>
    <w:rsid w:val="00CD41F8"/>
    <w:rsid w:val="00CD6D61"/>
    <w:rsid w:val="00CD7D66"/>
    <w:rsid w:val="00CD7FFC"/>
    <w:rsid w:val="00CE2C6E"/>
    <w:rsid w:val="00CE2D75"/>
    <w:rsid w:val="00CE6C66"/>
    <w:rsid w:val="00CE799B"/>
    <w:rsid w:val="00CF046A"/>
    <w:rsid w:val="00CF321C"/>
    <w:rsid w:val="00CF4FE6"/>
    <w:rsid w:val="00CF556F"/>
    <w:rsid w:val="00CF5974"/>
    <w:rsid w:val="00D0030F"/>
    <w:rsid w:val="00D00F9F"/>
    <w:rsid w:val="00D0397A"/>
    <w:rsid w:val="00D0445F"/>
    <w:rsid w:val="00D0608D"/>
    <w:rsid w:val="00D061D5"/>
    <w:rsid w:val="00D06E87"/>
    <w:rsid w:val="00D06EFC"/>
    <w:rsid w:val="00D074BF"/>
    <w:rsid w:val="00D07925"/>
    <w:rsid w:val="00D1197E"/>
    <w:rsid w:val="00D122E5"/>
    <w:rsid w:val="00D13402"/>
    <w:rsid w:val="00D1508C"/>
    <w:rsid w:val="00D1619E"/>
    <w:rsid w:val="00D17240"/>
    <w:rsid w:val="00D206B3"/>
    <w:rsid w:val="00D219C1"/>
    <w:rsid w:val="00D22C33"/>
    <w:rsid w:val="00D27373"/>
    <w:rsid w:val="00D32833"/>
    <w:rsid w:val="00D33DA7"/>
    <w:rsid w:val="00D3480D"/>
    <w:rsid w:val="00D3507E"/>
    <w:rsid w:val="00D354D0"/>
    <w:rsid w:val="00D41D9A"/>
    <w:rsid w:val="00D424B5"/>
    <w:rsid w:val="00D461E5"/>
    <w:rsid w:val="00D472D8"/>
    <w:rsid w:val="00D5173C"/>
    <w:rsid w:val="00D5255B"/>
    <w:rsid w:val="00D538F6"/>
    <w:rsid w:val="00D5457D"/>
    <w:rsid w:val="00D54EF5"/>
    <w:rsid w:val="00D56FF4"/>
    <w:rsid w:val="00D61E55"/>
    <w:rsid w:val="00D6213A"/>
    <w:rsid w:val="00D645A6"/>
    <w:rsid w:val="00D70223"/>
    <w:rsid w:val="00D7060F"/>
    <w:rsid w:val="00D707AA"/>
    <w:rsid w:val="00D721CD"/>
    <w:rsid w:val="00D73760"/>
    <w:rsid w:val="00D74036"/>
    <w:rsid w:val="00D75872"/>
    <w:rsid w:val="00D777C4"/>
    <w:rsid w:val="00D802BD"/>
    <w:rsid w:val="00D808EE"/>
    <w:rsid w:val="00D8187F"/>
    <w:rsid w:val="00D847A4"/>
    <w:rsid w:val="00D87FE7"/>
    <w:rsid w:val="00D91885"/>
    <w:rsid w:val="00D93663"/>
    <w:rsid w:val="00D93D9A"/>
    <w:rsid w:val="00D94097"/>
    <w:rsid w:val="00D95DDC"/>
    <w:rsid w:val="00D96B60"/>
    <w:rsid w:val="00DA0634"/>
    <w:rsid w:val="00DA3E6F"/>
    <w:rsid w:val="00DA62C5"/>
    <w:rsid w:val="00DA790E"/>
    <w:rsid w:val="00DA7CB8"/>
    <w:rsid w:val="00DA7DA7"/>
    <w:rsid w:val="00DB0871"/>
    <w:rsid w:val="00DB0CB2"/>
    <w:rsid w:val="00DB2E25"/>
    <w:rsid w:val="00DB58BA"/>
    <w:rsid w:val="00DB6048"/>
    <w:rsid w:val="00DC08BC"/>
    <w:rsid w:val="00DC1F63"/>
    <w:rsid w:val="00DC46EF"/>
    <w:rsid w:val="00DD1011"/>
    <w:rsid w:val="00DD5C03"/>
    <w:rsid w:val="00DD6805"/>
    <w:rsid w:val="00DE1600"/>
    <w:rsid w:val="00DE221F"/>
    <w:rsid w:val="00DE3A2A"/>
    <w:rsid w:val="00DE4C2A"/>
    <w:rsid w:val="00DE4C66"/>
    <w:rsid w:val="00DE55E6"/>
    <w:rsid w:val="00DE5DBB"/>
    <w:rsid w:val="00DF169D"/>
    <w:rsid w:val="00DF35FA"/>
    <w:rsid w:val="00DF4600"/>
    <w:rsid w:val="00DF529A"/>
    <w:rsid w:val="00DF7AE1"/>
    <w:rsid w:val="00E01E6A"/>
    <w:rsid w:val="00E0241F"/>
    <w:rsid w:val="00E04482"/>
    <w:rsid w:val="00E04D37"/>
    <w:rsid w:val="00E05840"/>
    <w:rsid w:val="00E07968"/>
    <w:rsid w:val="00E10BA8"/>
    <w:rsid w:val="00E12448"/>
    <w:rsid w:val="00E14683"/>
    <w:rsid w:val="00E1480E"/>
    <w:rsid w:val="00E17152"/>
    <w:rsid w:val="00E207DB"/>
    <w:rsid w:val="00E21EFB"/>
    <w:rsid w:val="00E2267F"/>
    <w:rsid w:val="00E235D4"/>
    <w:rsid w:val="00E25FBA"/>
    <w:rsid w:val="00E270B7"/>
    <w:rsid w:val="00E27C9F"/>
    <w:rsid w:val="00E36A50"/>
    <w:rsid w:val="00E41292"/>
    <w:rsid w:val="00E41B22"/>
    <w:rsid w:val="00E42816"/>
    <w:rsid w:val="00E43BF2"/>
    <w:rsid w:val="00E43C87"/>
    <w:rsid w:val="00E43E27"/>
    <w:rsid w:val="00E44BDB"/>
    <w:rsid w:val="00E5052C"/>
    <w:rsid w:val="00E5064F"/>
    <w:rsid w:val="00E528EB"/>
    <w:rsid w:val="00E5370B"/>
    <w:rsid w:val="00E567E0"/>
    <w:rsid w:val="00E56811"/>
    <w:rsid w:val="00E56A3E"/>
    <w:rsid w:val="00E56B16"/>
    <w:rsid w:val="00E56BED"/>
    <w:rsid w:val="00E60D26"/>
    <w:rsid w:val="00E61149"/>
    <w:rsid w:val="00E6139F"/>
    <w:rsid w:val="00E61E1E"/>
    <w:rsid w:val="00E62387"/>
    <w:rsid w:val="00E64B3B"/>
    <w:rsid w:val="00E65574"/>
    <w:rsid w:val="00E67D97"/>
    <w:rsid w:val="00E71A05"/>
    <w:rsid w:val="00E724E7"/>
    <w:rsid w:val="00E742BC"/>
    <w:rsid w:val="00E80AB0"/>
    <w:rsid w:val="00E8435E"/>
    <w:rsid w:val="00E90B9D"/>
    <w:rsid w:val="00E923F1"/>
    <w:rsid w:val="00E93762"/>
    <w:rsid w:val="00E96A6F"/>
    <w:rsid w:val="00EA1B79"/>
    <w:rsid w:val="00EA42B1"/>
    <w:rsid w:val="00EA4530"/>
    <w:rsid w:val="00EA4BDE"/>
    <w:rsid w:val="00EA6AFF"/>
    <w:rsid w:val="00EA6D03"/>
    <w:rsid w:val="00EB1B93"/>
    <w:rsid w:val="00EB1D3D"/>
    <w:rsid w:val="00EB3D8A"/>
    <w:rsid w:val="00EB4AF9"/>
    <w:rsid w:val="00EB6139"/>
    <w:rsid w:val="00EB711D"/>
    <w:rsid w:val="00EB7CD5"/>
    <w:rsid w:val="00EC0476"/>
    <w:rsid w:val="00EC2CB5"/>
    <w:rsid w:val="00EC3058"/>
    <w:rsid w:val="00EC71ED"/>
    <w:rsid w:val="00EC7486"/>
    <w:rsid w:val="00ED04F4"/>
    <w:rsid w:val="00ED2536"/>
    <w:rsid w:val="00ED27A5"/>
    <w:rsid w:val="00ED7B38"/>
    <w:rsid w:val="00EE0057"/>
    <w:rsid w:val="00EE0E84"/>
    <w:rsid w:val="00EE120A"/>
    <w:rsid w:val="00EE208F"/>
    <w:rsid w:val="00EE23FF"/>
    <w:rsid w:val="00EE308D"/>
    <w:rsid w:val="00EE3A40"/>
    <w:rsid w:val="00EE44C9"/>
    <w:rsid w:val="00EF087C"/>
    <w:rsid w:val="00EF2769"/>
    <w:rsid w:val="00EF366A"/>
    <w:rsid w:val="00EF3EAB"/>
    <w:rsid w:val="00EF4DF3"/>
    <w:rsid w:val="00EF59E9"/>
    <w:rsid w:val="00EF6082"/>
    <w:rsid w:val="00F01A71"/>
    <w:rsid w:val="00F02F28"/>
    <w:rsid w:val="00F0799D"/>
    <w:rsid w:val="00F12302"/>
    <w:rsid w:val="00F12744"/>
    <w:rsid w:val="00F13F24"/>
    <w:rsid w:val="00F1419E"/>
    <w:rsid w:val="00F1472A"/>
    <w:rsid w:val="00F209D8"/>
    <w:rsid w:val="00F22B18"/>
    <w:rsid w:val="00F24A28"/>
    <w:rsid w:val="00F27ED1"/>
    <w:rsid w:val="00F305AC"/>
    <w:rsid w:val="00F30CF8"/>
    <w:rsid w:val="00F31315"/>
    <w:rsid w:val="00F34E81"/>
    <w:rsid w:val="00F40408"/>
    <w:rsid w:val="00F42301"/>
    <w:rsid w:val="00F42F5E"/>
    <w:rsid w:val="00F43BA3"/>
    <w:rsid w:val="00F46297"/>
    <w:rsid w:val="00F46556"/>
    <w:rsid w:val="00F46ABC"/>
    <w:rsid w:val="00F5172B"/>
    <w:rsid w:val="00F53655"/>
    <w:rsid w:val="00F53C1E"/>
    <w:rsid w:val="00F55290"/>
    <w:rsid w:val="00F55956"/>
    <w:rsid w:val="00F561C2"/>
    <w:rsid w:val="00F56390"/>
    <w:rsid w:val="00F56CA9"/>
    <w:rsid w:val="00F60224"/>
    <w:rsid w:val="00F6071E"/>
    <w:rsid w:val="00F614AD"/>
    <w:rsid w:val="00F616C5"/>
    <w:rsid w:val="00F62CFC"/>
    <w:rsid w:val="00F6357A"/>
    <w:rsid w:val="00F639E2"/>
    <w:rsid w:val="00F65284"/>
    <w:rsid w:val="00F711FF"/>
    <w:rsid w:val="00F71512"/>
    <w:rsid w:val="00F74363"/>
    <w:rsid w:val="00F745DB"/>
    <w:rsid w:val="00F74FA5"/>
    <w:rsid w:val="00F7658C"/>
    <w:rsid w:val="00F769FF"/>
    <w:rsid w:val="00F77E6A"/>
    <w:rsid w:val="00F81D93"/>
    <w:rsid w:val="00F831FB"/>
    <w:rsid w:val="00F86C62"/>
    <w:rsid w:val="00F907B5"/>
    <w:rsid w:val="00F93164"/>
    <w:rsid w:val="00F93332"/>
    <w:rsid w:val="00F940A3"/>
    <w:rsid w:val="00F9413F"/>
    <w:rsid w:val="00F943B0"/>
    <w:rsid w:val="00F94A2D"/>
    <w:rsid w:val="00F94D21"/>
    <w:rsid w:val="00F96EE0"/>
    <w:rsid w:val="00FA11D0"/>
    <w:rsid w:val="00FA14EB"/>
    <w:rsid w:val="00FA2F21"/>
    <w:rsid w:val="00FA344A"/>
    <w:rsid w:val="00FA39DE"/>
    <w:rsid w:val="00FA406D"/>
    <w:rsid w:val="00FA44DE"/>
    <w:rsid w:val="00FA4570"/>
    <w:rsid w:val="00FA690F"/>
    <w:rsid w:val="00FB15F7"/>
    <w:rsid w:val="00FB1DCD"/>
    <w:rsid w:val="00FB3748"/>
    <w:rsid w:val="00FB3BB2"/>
    <w:rsid w:val="00FB462E"/>
    <w:rsid w:val="00FB5056"/>
    <w:rsid w:val="00FB5B4E"/>
    <w:rsid w:val="00FB6A05"/>
    <w:rsid w:val="00FC015B"/>
    <w:rsid w:val="00FC019D"/>
    <w:rsid w:val="00FC19A6"/>
    <w:rsid w:val="00FC2D20"/>
    <w:rsid w:val="00FC389D"/>
    <w:rsid w:val="00FC3C87"/>
    <w:rsid w:val="00FD0CB0"/>
    <w:rsid w:val="00FD1315"/>
    <w:rsid w:val="00FD19F3"/>
    <w:rsid w:val="00FD2A6A"/>
    <w:rsid w:val="00FD4D0C"/>
    <w:rsid w:val="00FD7BD8"/>
    <w:rsid w:val="00FE1536"/>
    <w:rsid w:val="00FE25EE"/>
    <w:rsid w:val="00FE2733"/>
    <w:rsid w:val="00FE4491"/>
    <w:rsid w:val="00FE5435"/>
    <w:rsid w:val="00FE5718"/>
    <w:rsid w:val="00FE68CD"/>
    <w:rsid w:val="00FE691A"/>
    <w:rsid w:val="00FE7682"/>
    <w:rsid w:val="00FF061A"/>
    <w:rsid w:val="00FF2137"/>
    <w:rsid w:val="00FF2D07"/>
    <w:rsid w:val="00FF3DA4"/>
    <w:rsid w:val="00FF6A90"/>
    <w:rsid w:val="00FF6B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7A1F55"/>
    <w:pPr>
      <w:framePr w:hSpace="180" w:wrap="around" w:vAnchor="text" w:hAnchor="text" w:y="1"/>
      <w:tabs>
        <w:tab w:val="left" w:pos="1185"/>
      </w:tabs>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153855"/>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rsid w:val="00153855"/>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aliases w:val="ftref,BVI fnr,BVI fnr Car Car,BVI fnr Car,BVI fnr Car Car Car Car,BVI fnr Car Car Car Car Char,16 Point,Superscript 6 Point,(NECG) Footnote Reference,Fußnotenzeichen DISS,Superscript 6 Point + 11 pt,Ref,de nota al pi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Recommendation,List Paragraph1"/>
    <w:basedOn w:val="BodyText"/>
    <w:link w:val="ListParagraphChar"/>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DFATTable1">
    <w:name w:val="DFAT Table1"/>
    <w:basedOn w:val="TableNormal"/>
    <w:uiPriority w:val="99"/>
    <w:rsid w:val="00235E28"/>
    <w:pPr>
      <w:spacing w:after="0" w:line="240" w:lineRule="auto"/>
    </w:pPr>
    <w:rPr>
      <w:rFonts w:ascii="Helvetica" w:eastAsia="Calibri" w:hAnsi="Helvetica" w:cs="Times New Roman"/>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character" w:customStyle="1" w:styleId="ListParagraphChar">
    <w:name w:val="List Paragraph Char"/>
    <w:aliases w:val="Recommendation Char,List Paragraph1 Char"/>
    <w:basedOn w:val="DefaultParagraphFont"/>
    <w:link w:val="ListParagraph"/>
    <w:uiPriority w:val="34"/>
    <w:locked/>
    <w:rsid w:val="008478A1"/>
    <w:rPr>
      <w:rFonts w:ascii="Times New Roman" w:eastAsia="Times New Roman" w:hAnsi="Times New Roman" w:cs="Times New Roman"/>
      <w:szCs w:val="24"/>
    </w:rPr>
  </w:style>
  <w:style w:type="paragraph" w:customStyle="1" w:styleId="NoteNumber">
    <w:name w:val="Note Number"/>
    <w:basedOn w:val="TableTextEntries"/>
    <w:rsid w:val="006B6703"/>
    <w:pPr>
      <w:numPr>
        <w:numId w:val="22"/>
      </w:numPr>
      <w:spacing w:after="0" w:line="180" w:lineRule="atLeast"/>
    </w:pPr>
    <w:rPr>
      <w:rFonts w:ascii="Times New Roman" w:hAnsi="Times New Roman"/>
      <w:iCs w:val="0"/>
      <w:sz w:val="14"/>
      <w:szCs w:val="14"/>
    </w:rPr>
  </w:style>
  <w:style w:type="table" w:customStyle="1" w:styleId="APPR1">
    <w:name w:val="APPR1"/>
    <w:basedOn w:val="TableNormal"/>
    <w:uiPriority w:val="99"/>
    <w:rsid w:val="0078455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Demi" w:hAnsi="Franklin Gothic Demi"/>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39"/>
    <w:lsdException w:name="toc 5" w:uiPriority="39"/>
    <w:lsdException w:name="toc 6" w:uiPriority="0"/>
    <w:lsdException w:name="toc 7" w:uiPriority="0"/>
    <w:lsdException w:name="toc 8" w:uiPriority="39"/>
    <w:lsdException w:name="toc 9" w:uiPriority="39"/>
    <w:lsdException w:name="footnote text" w:qFormat="1"/>
    <w:lsdException w:name="annotation text" w:uiPriority="0"/>
    <w:lsdException w:name="footer" w:uiPriority="0"/>
    <w:lsdException w:name="caption" w:qFormat="1"/>
    <w:lsdException w:name="table of figures" w:uiPriority="0"/>
    <w:lsdException w:name="annotation reference" w:uiPriority="0"/>
    <w:lsdException w:name="page number" w:uiPriority="0"/>
    <w:lsdException w:name="endnote reference" w:uiPriority="0"/>
    <w:lsdException w:name="endnote text" w:uiPriority="0"/>
    <w:lsdException w:name="List Bullet" w:uiPriority="0" w:qFormat="1"/>
    <w:lsdException w:name="List Number" w:uiPriority="0" w:qFormat="1"/>
    <w:lsdException w:name="List Bullet 2" w:uiPriority="0" w:qFormat="1"/>
    <w:lsdException w:name="List Number 2" w:uiPriority="0" w:qFormat="1"/>
    <w:lsdException w:name="List Number 3" w:uiPriority="0"/>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Date" w:uiPriority="0" w:qFormat="1"/>
    <w:lsdException w:name="Hyperlink" w:uiPriority="0"/>
    <w:lsdException w:name="FollowedHyperlink" w:uiPriority="0"/>
    <w:lsdException w:name="Strong" w:semiHidden="0" w:uiPriority="22" w:unhideWhenUsed="0"/>
    <w:lsdException w:name="Emphasis" w:semiHidden="0" w:uiPriority="20" w:unhideWhenUsed="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71" w:unhideWhenUsed="0"/>
    <w:lsdException w:name="List Paragraph" w:semiHidden="0" w:uiPriority="34" w:unhideWhenUsed="0" w:qFormat="1"/>
    <w:lsdException w:name="Quote" w:semiHidden="0" w:uiPriority="0"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rsid w:val="000D151B"/>
    <w:pPr>
      <w:spacing w:after="0" w:line="240" w:lineRule="auto"/>
    </w:pPr>
    <w:rPr>
      <w:rFonts w:ascii="Times New Roman" w:eastAsia="SimSun" w:hAnsi="Times New Roman" w:cs="Times New Roman"/>
      <w:sz w:val="20"/>
      <w:szCs w:val="24"/>
    </w:rPr>
  </w:style>
  <w:style w:type="paragraph" w:styleId="Heading1">
    <w:name w:val="heading 1"/>
    <w:basedOn w:val="Title"/>
    <w:next w:val="BodyText"/>
    <w:link w:val="Heading1Char"/>
    <w:qFormat/>
    <w:rsid w:val="00F93332"/>
    <w:pPr>
      <w:keepNext/>
      <w:spacing w:before="480" w:after="120"/>
      <w:outlineLvl w:val="0"/>
    </w:pPr>
    <w:rPr>
      <w:rFonts w:cs="Arial"/>
      <w:sz w:val="28"/>
      <w:szCs w:val="28"/>
    </w:rPr>
  </w:style>
  <w:style w:type="paragraph" w:styleId="Heading2">
    <w:name w:val="heading 2"/>
    <w:basedOn w:val="Normal"/>
    <w:next w:val="BodyText"/>
    <w:link w:val="Heading2Char"/>
    <w:qFormat/>
    <w:rsid w:val="006D0BC5"/>
    <w:pPr>
      <w:keepNext/>
      <w:spacing w:before="360" w:after="120"/>
      <w:outlineLvl w:val="1"/>
    </w:pPr>
    <w:rPr>
      <w:rFonts w:ascii="Helvetica" w:eastAsia="Times New Roman" w:hAnsi="Helvetica" w:cs="Arial"/>
      <w:color w:val="007FAD"/>
      <w:kern w:val="28"/>
      <w:sz w:val="24"/>
      <w:szCs w:val="28"/>
    </w:rPr>
  </w:style>
  <w:style w:type="paragraph" w:styleId="Heading3">
    <w:name w:val="heading 3"/>
    <w:basedOn w:val="Heading2"/>
    <w:next w:val="BodyText"/>
    <w:link w:val="Heading3Char"/>
    <w:autoRedefine/>
    <w:qFormat/>
    <w:rsid w:val="006D0BC5"/>
    <w:pPr>
      <w:keepNext w:val="0"/>
      <w:numPr>
        <w:ilvl w:val="2"/>
      </w:numPr>
      <w:spacing w:before="240"/>
      <w:outlineLvl w:val="2"/>
    </w:pPr>
    <w:rPr>
      <w:b/>
      <w:color w:val="124486"/>
      <w:sz w:val="22"/>
      <w:szCs w:val="22"/>
      <w:lang w:eastAsia="zh-CN"/>
    </w:rPr>
  </w:style>
  <w:style w:type="paragraph" w:styleId="Heading4">
    <w:name w:val="heading 4"/>
    <w:basedOn w:val="Heading3"/>
    <w:next w:val="BodyText"/>
    <w:link w:val="Heading4Char"/>
    <w:qFormat/>
    <w:rsid w:val="009E79EC"/>
    <w:pPr>
      <w:numPr>
        <w:ilvl w:val="3"/>
        <w:numId w:val="1"/>
      </w:numPr>
      <w:spacing w:before="320" w:after="0"/>
      <w:outlineLvl w:val="3"/>
    </w:pPr>
    <w:rPr>
      <w:b w:val="0"/>
    </w:rPr>
  </w:style>
  <w:style w:type="paragraph" w:styleId="Heading5">
    <w:name w:val="heading 5"/>
    <w:basedOn w:val="BodyText"/>
    <w:next w:val="BodyText"/>
    <w:link w:val="Heading5Char"/>
    <w:rsid w:val="009E79EC"/>
    <w:pPr>
      <w:keepNext/>
      <w:numPr>
        <w:ilvl w:val="4"/>
        <w:numId w:val="1"/>
      </w:numPr>
      <w:spacing w:before="320" w:after="0"/>
      <w:outlineLvl w:val="4"/>
    </w:pPr>
    <w:rPr>
      <w:rFonts w:ascii="Helvetica" w:hAnsi="Helvetica"/>
      <w:b/>
      <w:color w:val="A8A5A8"/>
      <w:sz w:val="22"/>
    </w:rPr>
  </w:style>
  <w:style w:type="paragraph" w:styleId="Heading6">
    <w:name w:val="heading 6"/>
    <w:next w:val="BodyText"/>
    <w:link w:val="Heading6Char"/>
    <w:rsid w:val="009E79EC"/>
    <w:pPr>
      <w:spacing w:after="240" w:line="280" w:lineRule="atLeast"/>
      <w:outlineLvl w:val="5"/>
    </w:pPr>
    <w:rPr>
      <w:rFonts w:ascii="Franklin Gothic Book" w:eastAsia="Times New Roman" w:hAnsi="Franklin Gothic Book" w:cs="Times New Roman"/>
      <w:b/>
      <w:spacing w:val="-10"/>
      <w:kern w:val="28"/>
      <w:szCs w:val="19"/>
    </w:rPr>
  </w:style>
  <w:style w:type="paragraph" w:styleId="Heading7">
    <w:name w:val="heading 7"/>
    <w:basedOn w:val="Heading6"/>
    <w:next w:val="BodyText"/>
    <w:link w:val="Heading7Char"/>
    <w:rsid w:val="007E10A5"/>
    <w:pPr>
      <w:numPr>
        <w:ilvl w:val="6"/>
      </w:numPr>
      <w:outlineLvl w:val="6"/>
    </w:pPr>
  </w:style>
  <w:style w:type="paragraph" w:styleId="Heading8">
    <w:name w:val="heading 8"/>
    <w:basedOn w:val="Heading7"/>
    <w:next w:val="BodyText"/>
    <w:link w:val="Heading8Char"/>
    <w:rsid w:val="0050529F"/>
    <w:pPr>
      <w:numPr>
        <w:ilvl w:val="7"/>
      </w:numPr>
      <w:outlineLvl w:val="7"/>
    </w:pPr>
  </w:style>
  <w:style w:type="paragraph" w:styleId="Heading9">
    <w:name w:val="heading 9"/>
    <w:basedOn w:val="Heading8"/>
    <w:next w:val="BodyText"/>
    <w:link w:val="Heading9Char"/>
    <w:rsid w:val="0050529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3332"/>
    <w:rPr>
      <w:rFonts w:ascii="Helvetica" w:eastAsia="Times New Roman" w:hAnsi="Helvetica" w:cs="Arial"/>
      <w:color w:val="124486"/>
      <w:spacing w:val="-10"/>
      <w:kern w:val="28"/>
      <w:sz w:val="28"/>
      <w:szCs w:val="28"/>
    </w:rPr>
  </w:style>
  <w:style w:type="paragraph" w:styleId="BodyText">
    <w:name w:val="Body Text"/>
    <w:basedOn w:val="Normal"/>
    <w:link w:val="BodyTextChar"/>
    <w:qFormat/>
    <w:rsid w:val="00F93332"/>
    <w:pPr>
      <w:spacing w:after="160" w:line="280" w:lineRule="exact"/>
    </w:pPr>
    <w:rPr>
      <w:rFonts w:ascii="Franklin Gothic Book" w:eastAsia="Times New Roman" w:hAnsi="Franklin Gothic Book"/>
      <w:sz w:val="21"/>
    </w:rPr>
  </w:style>
  <w:style w:type="character" w:customStyle="1" w:styleId="BodyTextChar">
    <w:name w:val="Body Text Char"/>
    <w:basedOn w:val="DefaultParagraphFont"/>
    <w:link w:val="BodyText"/>
    <w:rsid w:val="00F93332"/>
    <w:rPr>
      <w:rFonts w:ascii="Franklin Gothic Book" w:eastAsia="Times New Roman" w:hAnsi="Franklin Gothic Book" w:cs="Times New Roman"/>
      <w:sz w:val="21"/>
      <w:szCs w:val="24"/>
    </w:rPr>
  </w:style>
  <w:style w:type="character" w:customStyle="1" w:styleId="Heading2Char">
    <w:name w:val="Heading 2 Char"/>
    <w:basedOn w:val="DefaultParagraphFont"/>
    <w:link w:val="Heading2"/>
    <w:rsid w:val="006D0BC5"/>
    <w:rPr>
      <w:rFonts w:ascii="Helvetica" w:eastAsia="Times New Roman" w:hAnsi="Helvetica" w:cs="Arial"/>
      <w:color w:val="007FAD"/>
      <w:kern w:val="28"/>
      <w:sz w:val="24"/>
      <w:szCs w:val="28"/>
    </w:rPr>
  </w:style>
  <w:style w:type="character" w:customStyle="1" w:styleId="Heading3Char">
    <w:name w:val="Heading 3 Char"/>
    <w:basedOn w:val="DefaultParagraphFont"/>
    <w:link w:val="Heading3"/>
    <w:rsid w:val="006D0BC5"/>
    <w:rPr>
      <w:rFonts w:ascii="Helvetica" w:eastAsia="Times New Roman" w:hAnsi="Helvetica" w:cs="Arial"/>
      <w:b/>
      <w:color w:val="124486"/>
      <w:kern w:val="28"/>
      <w:lang w:eastAsia="zh-CN"/>
    </w:rPr>
  </w:style>
  <w:style w:type="character" w:customStyle="1" w:styleId="Heading4Char">
    <w:name w:val="Heading 4 Char"/>
    <w:basedOn w:val="DefaultParagraphFont"/>
    <w:link w:val="Heading4"/>
    <w:rsid w:val="009E79EC"/>
    <w:rPr>
      <w:rFonts w:ascii="Helvetica" w:eastAsia="Times New Roman" w:hAnsi="Helvetica" w:cs="Arial"/>
      <w:color w:val="124486"/>
      <w:kern w:val="28"/>
      <w:lang w:eastAsia="zh-CN"/>
    </w:rPr>
  </w:style>
  <w:style w:type="character" w:customStyle="1" w:styleId="Heading5Char">
    <w:name w:val="Heading 5 Char"/>
    <w:basedOn w:val="DefaultParagraphFont"/>
    <w:link w:val="Heading5"/>
    <w:rsid w:val="009E79EC"/>
    <w:rPr>
      <w:rFonts w:ascii="Helvetica" w:eastAsia="Times New Roman" w:hAnsi="Helvetica" w:cs="Times New Roman"/>
      <w:b/>
      <w:color w:val="A8A5A8"/>
      <w:szCs w:val="24"/>
    </w:rPr>
  </w:style>
  <w:style w:type="character" w:customStyle="1" w:styleId="Heading6Char">
    <w:name w:val="Heading 6 Char"/>
    <w:basedOn w:val="DefaultParagraphFont"/>
    <w:link w:val="Heading6"/>
    <w:rsid w:val="009E79EC"/>
    <w:rPr>
      <w:rFonts w:ascii="Franklin Gothic Book" w:eastAsia="Times New Roman" w:hAnsi="Franklin Gothic Book" w:cs="Times New Roman"/>
      <w:b/>
      <w:spacing w:val="-10"/>
      <w:kern w:val="28"/>
      <w:szCs w:val="19"/>
    </w:rPr>
  </w:style>
  <w:style w:type="character" w:customStyle="1" w:styleId="Heading7Char">
    <w:name w:val="Heading 7 Char"/>
    <w:basedOn w:val="DefaultParagraphFont"/>
    <w:link w:val="Heading7"/>
    <w:rsid w:val="007E10A5"/>
    <w:rPr>
      <w:rFonts w:ascii="Times New Roman" w:eastAsia="Times New Roman" w:hAnsi="Times New Roman" w:cs="Times New Roman"/>
      <w:b/>
      <w:spacing w:val="-10"/>
      <w:kern w:val="28"/>
      <w:szCs w:val="19"/>
    </w:rPr>
  </w:style>
  <w:style w:type="character" w:customStyle="1" w:styleId="Heading8Char">
    <w:name w:val="Heading 8 Char"/>
    <w:basedOn w:val="DefaultParagraphFont"/>
    <w:link w:val="Heading8"/>
    <w:rsid w:val="007E10A5"/>
    <w:rPr>
      <w:rFonts w:ascii="Times New Roman" w:eastAsia="Times New Roman" w:hAnsi="Times New Roman" w:cs="Times New Roman"/>
      <w:b/>
      <w:spacing w:val="-10"/>
      <w:kern w:val="28"/>
      <w:szCs w:val="19"/>
    </w:rPr>
  </w:style>
  <w:style w:type="character" w:customStyle="1" w:styleId="Heading9Char">
    <w:name w:val="Heading 9 Char"/>
    <w:basedOn w:val="DefaultParagraphFont"/>
    <w:link w:val="Heading9"/>
    <w:rsid w:val="007E10A5"/>
    <w:rPr>
      <w:rFonts w:ascii="Times New Roman" w:eastAsia="Times New Roman" w:hAnsi="Times New Roman" w:cs="Times New Roman"/>
      <w:b/>
      <w:spacing w:val="-10"/>
      <w:kern w:val="28"/>
      <w:szCs w:val="19"/>
    </w:rPr>
  </w:style>
  <w:style w:type="paragraph" w:styleId="Subtitle">
    <w:name w:val="Subtitle"/>
    <w:basedOn w:val="Normal"/>
    <w:next w:val="Normal"/>
    <w:link w:val="SubtitleChar"/>
    <w:qFormat/>
    <w:rsid w:val="00E36A50"/>
    <w:pPr>
      <w:spacing w:before="120" w:after="360"/>
    </w:pPr>
    <w:rPr>
      <w:rFonts w:ascii="Helvetica" w:eastAsia="Times New Roman" w:hAnsi="Helvetica"/>
      <w:color w:val="007FAD"/>
      <w:spacing w:val="-10"/>
      <w:kern w:val="28"/>
      <w:sz w:val="28"/>
      <w:szCs w:val="28"/>
    </w:rPr>
  </w:style>
  <w:style w:type="paragraph" w:customStyle="1" w:styleId="PublicationDate">
    <w:name w:val="Publication Date"/>
    <w:next w:val="Heading1"/>
    <w:rsid w:val="00F93332"/>
    <w:pPr>
      <w:spacing w:after="360"/>
    </w:pPr>
    <w:rPr>
      <w:rFonts w:ascii="Helvetica" w:eastAsia="Times New Roman" w:hAnsi="Helvetica" w:cs="Times New Roman"/>
      <w:color w:val="A8A5A8"/>
      <w:spacing w:val="-10"/>
      <w:kern w:val="24"/>
      <w:sz w:val="24"/>
      <w:szCs w:val="28"/>
    </w:rPr>
  </w:style>
  <w:style w:type="character" w:customStyle="1" w:styleId="SubtitleChar">
    <w:name w:val="Subtitle Char"/>
    <w:basedOn w:val="DefaultParagraphFont"/>
    <w:link w:val="Subtitle"/>
    <w:rsid w:val="00E36A50"/>
    <w:rPr>
      <w:rFonts w:ascii="Helvetica" w:eastAsia="Times New Roman" w:hAnsi="Helvetica" w:cs="Times New Roman"/>
      <w:color w:val="007FAD"/>
      <w:spacing w:val="-10"/>
      <w:kern w:val="28"/>
      <w:sz w:val="28"/>
      <w:szCs w:val="28"/>
    </w:rPr>
  </w:style>
  <w:style w:type="paragraph" w:styleId="Footer">
    <w:name w:val="footer"/>
    <w:basedOn w:val="Normal"/>
    <w:link w:val="FooterChar"/>
    <w:unhideWhenUsed/>
    <w:rsid w:val="009E79EC"/>
    <w:pPr>
      <w:tabs>
        <w:tab w:val="right" w:pos="8222"/>
      </w:tabs>
    </w:pPr>
    <w:rPr>
      <w:rFonts w:ascii="Franklin Gothic Book" w:hAnsi="Franklin Gothic Book"/>
      <w:color w:val="A8A5A8"/>
      <w:sz w:val="14"/>
    </w:rPr>
  </w:style>
  <w:style w:type="paragraph" w:styleId="Title">
    <w:name w:val="Title"/>
    <w:basedOn w:val="Normal"/>
    <w:next w:val="Normal"/>
    <w:link w:val="TitleChar"/>
    <w:qFormat/>
    <w:rsid w:val="00AA406C"/>
    <w:pPr>
      <w:spacing w:before="120" w:after="240"/>
    </w:pPr>
    <w:rPr>
      <w:rFonts w:ascii="Helvetica" w:eastAsia="Times New Roman" w:hAnsi="Helvetica"/>
      <w:color w:val="007FAD"/>
      <w:spacing w:val="-10"/>
      <w:kern w:val="28"/>
      <w:sz w:val="40"/>
      <w:szCs w:val="20"/>
    </w:rPr>
  </w:style>
  <w:style w:type="character" w:customStyle="1" w:styleId="TitleChar">
    <w:name w:val="Title Char"/>
    <w:basedOn w:val="DefaultParagraphFont"/>
    <w:link w:val="Title"/>
    <w:rsid w:val="00AA406C"/>
    <w:rPr>
      <w:rFonts w:ascii="Helvetica" w:eastAsia="Times New Roman" w:hAnsi="Helvetica" w:cs="Times New Roman"/>
      <w:color w:val="007FAD"/>
      <w:spacing w:val="-10"/>
      <w:kern w:val="28"/>
      <w:sz w:val="40"/>
      <w:szCs w:val="20"/>
    </w:rPr>
  </w:style>
  <w:style w:type="character" w:customStyle="1" w:styleId="FooterChar">
    <w:name w:val="Footer Char"/>
    <w:basedOn w:val="DefaultParagraphFont"/>
    <w:link w:val="Footer"/>
    <w:rsid w:val="009E79EC"/>
    <w:rPr>
      <w:rFonts w:ascii="Franklin Gothic Book" w:eastAsia="SimSun" w:hAnsi="Franklin Gothic Book" w:cs="Times New Roman"/>
      <w:color w:val="A8A5A8"/>
      <w:sz w:val="14"/>
      <w:szCs w:val="24"/>
    </w:rPr>
  </w:style>
  <w:style w:type="paragraph" w:styleId="Caption">
    <w:name w:val="caption"/>
    <w:basedOn w:val="Normal"/>
    <w:next w:val="BodyText"/>
    <w:link w:val="CaptionChar"/>
    <w:autoRedefine/>
    <w:uiPriority w:val="99"/>
    <w:qFormat/>
    <w:rsid w:val="001171DE"/>
    <w:pPr>
      <w:keepNext/>
      <w:spacing w:before="80" w:after="80" w:line="280" w:lineRule="atLeast"/>
    </w:pPr>
    <w:rPr>
      <w:rFonts w:ascii="Franklin Gothic Book" w:eastAsia="Times New Roman" w:hAnsi="Franklin Gothic Book" w:cs="Arial"/>
      <w:szCs w:val="19"/>
    </w:rPr>
  </w:style>
  <w:style w:type="paragraph" w:customStyle="1" w:styleId="Note">
    <w:name w:val="Note"/>
    <w:basedOn w:val="TableTextEntries"/>
    <w:next w:val="BodyText"/>
    <w:link w:val="NoteCharChar"/>
    <w:autoRedefine/>
    <w:rsid w:val="006D0BC5"/>
    <w:pPr>
      <w:keepNext/>
      <w:spacing w:before="20" w:after="20" w:line="180" w:lineRule="atLeast"/>
      <w:jc w:val="both"/>
    </w:pPr>
    <w:rPr>
      <w:iCs w:val="0"/>
      <w:sz w:val="14"/>
      <w:szCs w:val="14"/>
      <w:lang w:eastAsia="en-AU"/>
    </w:rPr>
  </w:style>
  <w:style w:type="paragraph" w:customStyle="1" w:styleId="TableTextEntries">
    <w:name w:val="Table Text Entries"/>
    <w:rsid w:val="00B249B7"/>
    <w:pPr>
      <w:keepLines/>
      <w:spacing w:before="40" w:after="40" w:line="200" w:lineRule="atLeast"/>
    </w:pPr>
    <w:rPr>
      <w:rFonts w:ascii="Franklin Gothic Book" w:eastAsia="Times New Roman" w:hAnsi="Franklin Gothic Book" w:cs="Times New Roman"/>
      <w:iCs/>
      <w:sz w:val="17"/>
      <w:szCs w:val="17"/>
      <w:lang w:eastAsia="en-US"/>
    </w:rPr>
  </w:style>
  <w:style w:type="character" w:customStyle="1" w:styleId="NoteCharChar">
    <w:name w:val="Note Char Char"/>
    <w:link w:val="Note"/>
    <w:rsid w:val="006D0BC5"/>
    <w:rPr>
      <w:rFonts w:ascii="Franklin Gothic Book" w:eastAsia="Times New Roman" w:hAnsi="Franklin Gothic Book" w:cs="Times New Roman"/>
      <w:sz w:val="14"/>
      <w:szCs w:val="14"/>
    </w:rPr>
  </w:style>
  <w:style w:type="paragraph" w:customStyle="1" w:styleId="TableDataEntries">
    <w:name w:val="Table Data Entries"/>
    <w:basedOn w:val="TableTextEntries"/>
    <w:rsid w:val="0050529F"/>
    <w:pPr>
      <w:jc w:val="right"/>
    </w:pPr>
  </w:style>
  <w:style w:type="paragraph" w:customStyle="1" w:styleId="TableDataColumnHeading">
    <w:name w:val="Table Data Column Heading"/>
    <w:basedOn w:val="TableDataEntries"/>
    <w:rsid w:val="0050529F"/>
    <w:pPr>
      <w:spacing w:before="80" w:after="80"/>
    </w:pPr>
    <w:rPr>
      <w:rFonts w:ascii="Franklin Gothic Medium" w:hAnsi="Franklin Gothic Medium"/>
    </w:rPr>
  </w:style>
  <w:style w:type="paragraph" w:customStyle="1" w:styleId="TableTextColumnHeading">
    <w:name w:val="Table Text Column Heading"/>
    <w:basedOn w:val="TableDataColumnHeading"/>
    <w:autoRedefine/>
    <w:rsid w:val="007A1F55"/>
    <w:pPr>
      <w:framePr w:hSpace="180" w:wrap="around" w:vAnchor="text" w:hAnchor="text" w:y="1"/>
      <w:tabs>
        <w:tab w:val="left" w:pos="1185"/>
      </w:tabs>
      <w:jc w:val="left"/>
    </w:pPr>
    <w:rPr>
      <w:b/>
    </w:rPr>
  </w:style>
  <w:style w:type="paragraph" w:styleId="ListBullet3">
    <w:name w:val="List Bullet 3"/>
    <w:basedOn w:val="ListBullet2"/>
    <w:uiPriority w:val="99"/>
    <w:unhideWhenUsed/>
    <w:rsid w:val="007E3D71"/>
    <w:pPr>
      <w:numPr>
        <w:numId w:val="15"/>
      </w:numPr>
      <w:tabs>
        <w:tab w:val="left" w:pos="567"/>
      </w:tabs>
      <w:ind w:left="851" w:hanging="284"/>
      <w:contextualSpacing/>
    </w:pPr>
  </w:style>
  <w:style w:type="table" w:customStyle="1" w:styleId="DFATTable">
    <w:name w:val="DFAT Table"/>
    <w:basedOn w:val="TableNormal"/>
    <w:uiPriority w:val="99"/>
    <w:rsid w:val="003B2756"/>
    <w:pPr>
      <w:spacing w:after="0" w:line="240" w:lineRule="auto"/>
    </w:pPr>
    <w:rPr>
      <w:rFonts w:ascii="Helvetica" w:hAnsi="Helvetica"/>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table" w:customStyle="1" w:styleId="DFATBox">
    <w:name w:val="DFAT Box"/>
    <w:basedOn w:val="TableNormal"/>
    <w:uiPriority w:val="99"/>
    <w:rsid w:val="00AA406C"/>
    <w:pPr>
      <w:spacing w:after="0" w:line="240" w:lineRule="auto"/>
    </w:pPr>
    <w:rPr>
      <w:rFonts w:ascii="Helvetica" w:hAnsi="Helvetica"/>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C7D5E6"/>
    </w:tcPr>
  </w:style>
  <w:style w:type="paragraph" w:styleId="ListBullet">
    <w:name w:val="List Bullet"/>
    <w:basedOn w:val="BodyText"/>
    <w:qFormat/>
    <w:rsid w:val="00153855"/>
    <w:pPr>
      <w:numPr>
        <w:numId w:val="11"/>
      </w:numPr>
      <w:tabs>
        <w:tab w:val="left" w:pos="284"/>
      </w:tabs>
      <w:spacing w:after="120"/>
    </w:pPr>
  </w:style>
  <w:style w:type="paragraph" w:styleId="ListBullet2">
    <w:name w:val="List Bullet 2"/>
    <w:basedOn w:val="ListBullet"/>
    <w:qFormat/>
    <w:rsid w:val="00F42F5E"/>
    <w:pPr>
      <w:numPr>
        <w:numId w:val="9"/>
      </w:numPr>
      <w:ind w:left="568" w:hanging="284"/>
    </w:pPr>
  </w:style>
  <w:style w:type="paragraph" w:styleId="ListNumber">
    <w:name w:val="List Number"/>
    <w:basedOn w:val="ListBullet"/>
    <w:qFormat/>
    <w:rsid w:val="00F93332"/>
    <w:pPr>
      <w:numPr>
        <w:numId w:val="14"/>
      </w:numPr>
      <w:ind w:left="284" w:hanging="284"/>
    </w:pPr>
  </w:style>
  <w:style w:type="paragraph" w:styleId="ListNumber2">
    <w:name w:val="List Number 2"/>
    <w:basedOn w:val="ListNumber"/>
    <w:qFormat/>
    <w:rsid w:val="007E3D71"/>
    <w:pPr>
      <w:numPr>
        <w:numId w:val="10"/>
      </w:numPr>
      <w:ind w:left="568" w:hanging="284"/>
    </w:pPr>
  </w:style>
  <w:style w:type="paragraph" w:styleId="BalloonText">
    <w:name w:val="Balloon Text"/>
    <w:basedOn w:val="Normal"/>
    <w:link w:val="BalloonTextChar"/>
    <w:semiHidden/>
    <w:unhideWhenUsed/>
    <w:rsid w:val="009E79EC"/>
    <w:rPr>
      <w:rFonts w:ascii="Franklin Gothic Book" w:hAnsi="Franklin Gothic Book" w:cs="Tahoma"/>
      <w:sz w:val="16"/>
      <w:szCs w:val="16"/>
    </w:rPr>
  </w:style>
  <w:style w:type="paragraph" w:styleId="Header">
    <w:name w:val="header"/>
    <w:basedOn w:val="Normal"/>
    <w:link w:val="HeaderChar"/>
    <w:uiPriority w:val="99"/>
    <w:unhideWhenUsed/>
    <w:rsid w:val="009E79EC"/>
    <w:pPr>
      <w:tabs>
        <w:tab w:val="center" w:pos="4513"/>
        <w:tab w:val="right" w:pos="9026"/>
      </w:tabs>
    </w:pPr>
  </w:style>
  <w:style w:type="paragraph" w:styleId="Date">
    <w:name w:val="Date"/>
    <w:basedOn w:val="Normal"/>
    <w:next w:val="Normal"/>
    <w:link w:val="DateChar"/>
    <w:unhideWhenUsed/>
    <w:qFormat/>
    <w:rsid w:val="009E79EC"/>
    <w:rPr>
      <w:rFonts w:ascii="Franklin Gothic Book" w:hAnsi="Franklin Gothic Book"/>
    </w:rPr>
  </w:style>
  <w:style w:type="character" w:styleId="PageNumber">
    <w:name w:val="page number"/>
    <w:semiHidden/>
    <w:rsid w:val="009E79EC"/>
    <w:rPr>
      <w:rFonts w:ascii="Helvetica" w:hAnsi="Helvetica"/>
      <w:color w:val="A8A5A8"/>
      <w:sz w:val="14"/>
      <w:szCs w:val="14"/>
    </w:rPr>
  </w:style>
  <w:style w:type="paragraph" w:styleId="TOC1">
    <w:name w:val="toc 1"/>
    <w:basedOn w:val="BodyText"/>
    <w:next w:val="BodyText"/>
    <w:rsid w:val="00153855"/>
    <w:pPr>
      <w:tabs>
        <w:tab w:val="left" w:pos="397"/>
        <w:tab w:val="right" w:pos="7938"/>
      </w:tabs>
      <w:spacing w:before="180" w:after="0"/>
      <w:ind w:left="397" w:right="567" w:hanging="397"/>
    </w:pPr>
    <w:rPr>
      <w:rFonts w:ascii="Helvetica" w:hAnsi="Helvetica"/>
      <w:color w:val="A8A5A8"/>
    </w:rPr>
  </w:style>
  <w:style w:type="paragraph" w:styleId="TOC2">
    <w:name w:val="toc 2"/>
    <w:basedOn w:val="TOC1"/>
    <w:next w:val="TOC1"/>
    <w:semiHidden/>
    <w:rsid w:val="009E79EC"/>
    <w:pPr>
      <w:spacing w:before="120" w:line="200" w:lineRule="atLeast"/>
      <w:ind w:left="0" w:firstLine="0"/>
    </w:pPr>
    <w:rPr>
      <w:color w:val="007FAD"/>
      <w:szCs w:val="21"/>
    </w:rPr>
  </w:style>
  <w:style w:type="character" w:customStyle="1" w:styleId="BalloonTextChar">
    <w:name w:val="Balloon Text Char"/>
    <w:basedOn w:val="DefaultParagraphFont"/>
    <w:link w:val="BalloonText"/>
    <w:semiHidden/>
    <w:rsid w:val="009E79EC"/>
    <w:rPr>
      <w:rFonts w:ascii="Franklin Gothic Book" w:eastAsia="SimSun" w:hAnsi="Franklin Gothic Book" w:cs="Tahoma"/>
      <w:sz w:val="16"/>
      <w:szCs w:val="16"/>
    </w:rPr>
  </w:style>
  <w:style w:type="paragraph" w:customStyle="1" w:styleId="BoxListBullet">
    <w:name w:val="Box List Bullet"/>
    <w:basedOn w:val="BoxText"/>
    <w:rsid w:val="00976FB3"/>
    <w:pPr>
      <w:keepLines/>
      <w:numPr>
        <w:numId w:val="5"/>
      </w:numPr>
      <w:spacing w:line="240" w:lineRule="auto"/>
      <w:ind w:left="284" w:hanging="284"/>
      <w:contextualSpacing/>
      <w:mirrorIndents/>
    </w:pPr>
  </w:style>
  <w:style w:type="paragraph" w:customStyle="1" w:styleId="BoxText">
    <w:name w:val="Box Text"/>
    <w:link w:val="BoxTextChar"/>
    <w:autoRedefine/>
    <w:rsid w:val="00FD1315"/>
    <w:pPr>
      <w:pBdr>
        <w:top w:val="single" w:sz="4" w:space="10" w:color="auto"/>
        <w:left w:val="single" w:sz="4" w:space="10" w:color="auto"/>
        <w:bottom w:val="single" w:sz="4" w:space="10" w:color="auto"/>
        <w:right w:val="single" w:sz="4" w:space="10" w:color="auto"/>
      </w:pBdr>
      <w:shd w:val="clear" w:color="auto" w:fill="C7D5E6"/>
      <w:spacing w:after="120" w:line="280" w:lineRule="exact"/>
    </w:pPr>
    <w:rPr>
      <w:rFonts w:ascii="Franklin Gothic Book" w:eastAsia="Times New Roman" w:hAnsi="Franklin Gothic Book" w:cs="Times New Roman"/>
      <w:iCs/>
      <w:sz w:val="20"/>
      <w:szCs w:val="20"/>
    </w:rPr>
  </w:style>
  <w:style w:type="character" w:customStyle="1" w:styleId="BoxTextChar">
    <w:name w:val="Box Text Char"/>
    <w:link w:val="BoxText"/>
    <w:rsid w:val="00FD1315"/>
    <w:rPr>
      <w:rFonts w:ascii="Franklin Gothic Book" w:eastAsia="Times New Roman" w:hAnsi="Franklin Gothic Book" w:cs="Times New Roman"/>
      <w:iCs/>
      <w:sz w:val="20"/>
      <w:szCs w:val="20"/>
      <w:shd w:val="clear" w:color="auto" w:fill="C7D5E6"/>
    </w:rPr>
  </w:style>
  <w:style w:type="character" w:customStyle="1" w:styleId="HeaderChar">
    <w:name w:val="Header Char"/>
    <w:basedOn w:val="DefaultParagraphFont"/>
    <w:link w:val="Header"/>
    <w:uiPriority w:val="99"/>
    <w:rsid w:val="009E79EC"/>
    <w:rPr>
      <w:rFonts w:ascii="Times New Roman" w:eastAsia="SimSun" w:hAnsi="Times New Roman" w:cs="Times New Roman"/>
      <w:sz w:val="20"/>
      <w:szCs w:val="24"/>
    </w:rPr>
  </w:style>
  <w:style w:type="paragraph" w:customStyle="1" w:styleId="BoxHeading1">
    <w:name w:val="Box Heading 1"/>
    <w:basedOn w:val="BoxText"/>
    <w:next w:val="BoxText"/>
    <w:rsid w:val="0016740F"/>
    <w:pPr>
      <w:spacing w:before="120" w:line="240" w:lineRule="auto"/>
    </w:pPr>
    <w:rPr>
      <w:b/>
      <w:color w:val="000000"/>
    </w:rPr>
  </w:style>
  <w:style w:type="paragraph" w:customStyle="1" w:styleId="BoxHeading2">
    <w:name w:val="Box Heading 2"/>
    <w:basedOn w:val="BoxHeading1"/>
    <w:next w:val="BoxText"/>
    <w:rsid w:val="0016740F"/>
    <w:rPr>
      <w:i/>
      <w:color w:val="auto"/>
    </w:rPr>
  </w:style>
  <w:style w:type="paragraph" w:customStyle="1" w:styleId="TableListBullet">
    <w:name w:val="Table List Bullet"/>
    <w:basedOn w:val="TableTextEntries"/>
    <w:rsid w:val="00235D29"/>
    <w:pPr>
      <w:numPr>
        <w:numId w:val="7"/>
      </w:numPr>
    </w:pPr>
    <w:rPr>
      <w:rFonts w:ascii="Helvetica" w:hAnsi="Helvetica"/>
    </w:rPr>
  </w:style>
  <w:style w:type="paragraph" w:styleId="TOC3">
    <w:name w:val="toc 3"/>
    <w:basedOn w:val="TOC2"/>
    <w:next w:val="BodyText"/>
    <w:semiHidden/>
    <w:rsid w:val="009E79EC"/>
    <w:pPr>
      <w:tabs>
        <w:tab w:val="clear" w:pos="397"/>
      </w:tabs>
      <w:spacing w:before="40" w:line="230" w:lineRule="atLeast"/>
      <w:ind w:left="567" w:hanging="567"/>
    </w:pPr>
    <w:rPr>
      <w:color w:val="auto"/>
      <w:sz w:val="19"/>
      <w:szCs w:val="19"/>
    </w:rPr>
  </w:style>
  <w:style w:type="paragraph" w:styleId="CommentText">
    <w:name w:val="annotation text"/>
    <w:basedOn w:val="BodyText"/>
    <w:link w:val="CommentTextChar"/>
    <w:rsid w:val="009E79EC"/>
    <w:pPr>
      <w:spacing w:line="240" w:lineRule="atLeast"/>
    </w:pPr>
    <w:rPr>
      <w:sz w:val="18"/>
      <w:szCs w:val="18"/>
    </w:rPr>
  </w:style>
  <w:style w:type="character" w:customStyle="1" w:styleId="CommentTextChar">
    <w:name w:val="Comment Text Char"/>
    <w:basedOn w:val="DefaultParagraphFont"/>
    <w:link w:val="CommentText"/>
    <w:rsid w:val="009E79EC"/>
    <w:rPr>
      <w:rFonts w:ascii="Franklin Gothic Book" w:eastAsia="Times New Roman" w:hAnsi="Franklin Gothic Book" w:cs="Times New Roman"/>
      <w:sz w:val="18"/>
      <w:szCs w:val="18"/>
    </w:rPr>
  </w:style>
  <w:style w:type="character" w:styleId="Hyperlink">
    <w:name w:val="Hyperlink"/>
    <w:rsid w:val="0050529F"/>
    <w:rPr>
      <w:color w:val="00467F"/>
      <w:sz w:val="20"/>
      <w:szCs w:val="20"/>
      <w:u w:val="none"/>
    </w:rPr>
  </w:style>
  <w:style w:type="paragraph" w:customStyle="1" w:styleId="TableHeading1">
    <w:name w:val="Table Heading 1"/>
    <w:basedOn w:val="TableTextEntries"/>
    <w:next w:val="TableTextEntries"/>
    <w:rsid w:val="00D6213A"/>
    <w:pPr>
      <w:spacing w:before="80" w:after="80"/>
    </w:pPr>
    <w:rPr>
      <w:b/>
    </w:rPr>
  </w:style>
  <w:style w:type="paragraph" w:customStyle="1" w:styleId="TableHeading2">
    <w:name w:val="Table Heading 2"/>
    <w:basedOn w:val="TableHeading1"/>
    <w:next w:val="TableTextEntries"/>
    <w:rsid w:val="00235D29"/>
    <w:pPr>
      <w:spacing w:before="40" w:after="40"/>
    </w:pPr>
    <w:rPr>
      <w:i/>
    </w:rPr>
  </w:style>
  <w:style w:type="paragraph" w:customStyle="1" w:styleId="TableListBullet2">
    <w:name w:val="Table List Bullet 2"/>
    <w:basedOn w:val="TableListBullet"/>
    <w:link w:val="TableListBullet2Char"/>
    <w:rsid w:val="00235D29"/>
    <w:pPr>
      <w:numPr>
        <w:numId w:val="8"/>
      </w:numPr>
      <w:ind w:left="568" w:hanging="284"/>
    </w:pPr>
  </w:style>
  <w:style w:type="character" w:customStyle="1" w:styleId="TableListBullet2Char">
    <w:name w:val="Table List Bullet 2 Char"/>
    <w:link w:val="TableListBullet2"/>
    <w:rsid w:val="00235D29"/>
    <w:rPr>
      <w:rFonts w:ascii="Helvetica" w:eastAsia="Times New Roman" w:hAnsi="Helvetica" w:cs="Times New Roman"/>
      <w:iCs/>
      <w:sz w:val="17"/>
      <w:szCs w:val="17"/>
      <w:lang w:eastAsia="en-US"/>
    </w:rPr>
  </w:style>
  <w:style w:type="paragraph" w:customStyle="1" w:styleId="TableListNumber">
    <w:name w:val="Table List Number"/>
    <w:basedOn w:val="TableTextEntries"/>
    <w:rsid w:val="00235D29"/>
    <w:pPr>
      <w:numPr>
        <w:numId w:val="2"/>
      </w:numPr>
      <w:ind w:left="284" w:hanging="284"/>
    </w:pPr>
    <w:rPr>
      <w:rFonts w:ascii="Helvetica" w:hAnsi="Helvetica"/>
    </w:rPr>
  </w:style>
  <w:style w:type="paragraph" w:customStyle="1" w:styleId="TableListNumber2">
    <w:name w:val="Table List Number 2"/>
    <w:basedOn w:val="TableListNumber"/>
    <w:rsid w:val="00235D29"/>
    <w:pPr>
      <w:numPr>
        <w:numId w:val="3"/>
      </w:numPr>
      <w:ind w:left="568" w:hanging="284"/>
    </w:pPr>
  </w:style>
  <w:style w:type="character" w:styleId="FollowedHyperlink">
    <w:name w:val="FollowedHyperlink"/>
    <w:semiHidden/>
    <w:rsid w:val="0050529F"/>
    <w:rPr>
      <w:color w:val="333399"/>
      <w:u w:val="none"/>
    </w:rPr>
  </w:style>
  <w:style w:type="paragraph" w:customStyle="1" w:styleId="BoxListBullet2">
    <w:name w:val="Box List Bullet 2"/>
    <w:basedOn w:val="BoxText"/>
    <w:rsid w:val="00BD7695"/>
    <w:pPr>
      <w:keepLines/>
      <w:numPr>
        <w:numId w:val="4"/>
      </w:numPr>
      <w:tabs>
        <w:tab w:val="left" w:pos="284"/>
        <w:tab w:val="left" w:pos="851"/>
      </w:tabs>
      <w:spacing w:line="240" w:lineRule="auto"/>
      <w:ind w:left="284" w:hanging="284"/>
      <w:contextualSpacing/>
      <w:mirrorIndents/>
    </w:pPr>
    <w:rPr>
      <w:szCs w:val="18"/>
    </w:rPr>
  </w:style>
  <w:style w:type="paragraph" w:customStyle="1" w:styleId="BoxListNumber">
    <w:name w:val="Box List Number"/>
    <w:basedOn w:val="BoxListBullet"/>
    <w:rsid w:val="00BD7695"/>
    <w:pPr>
      <w:numPr>
        <w:numId w:val="6"/>
      </w:numPr>
      <w:tabs>
        <w:tab w:val="left" w:pos="284"/>
      </w:tabs>
      <w:ind w:left="568"/>
    </w:pPr>
  </w:style>
  <w:style w:type="paragraph" w:customStyle="1" w:styleId="BoxListNumber2">
    <w:name w:val="Box List Number 2"/>
    <w:basedOn w:val="BoxListNumber"/>
    <w:rsid w:val="00BD7695"/>
    <w:pPr>
      <w:numPr>
        <w:numId w:val="16"/>
      </w:numPr>
      <w:tabs>
        <w:tab w:val="left" w:pos="284"/>
      </w:tabs>
      <w:ind w:left="284" w:hanging="284"/>
    </w:pPr>
    <w:rPr>
      <w:szCs w:val="22"/>
    </w:rPr>
  </w:style>
  <w:style w:type="paragraph" w:customStyle="1" w:styleId="BoxNoteSource">
    <w:name w:val="Box Note/Source"/>
    <w:basedOn w:val="BoxText"/>
    <w:rsid w:val="00701FEA"/>
    <w:pPr>
      <w:spacing w:before="100" w:after="100" w:line="180" w:lineRule="atLeast"/>
    </w:pPr>
    <w:rPr>
      <w:sz w:val="14"/>
      <w:szCs w:val="14"/>
    </w:rPr>
  </w:style>
  <w:style w:type="paragraph" w:customStyle="1" w:styleId="BoxQuote">
    <w:name w:val="Box Quote"/>
    <w:basedOn w:val="BoxText"/>
    <w:next w:val="BoxText"/>
    <w:rsid w:val="0050529F"/>
    <w:pPr>
      <w:spacing w:line="240" w:lineRule="atLeast"/>
      <w:ind w:left="284"/>
    </w:pPr>
    <w:rPr>
      <w:sz w:val="16"/>
      <w:szCs w:val="16"/>
    </w:rPr>
  </w:style>
  <w:style w:type="paragraph" w:customStyle="1" w:styleId="Photocaption">
    <w:name w:val="Photo caption"/>
    <w:basedOn w:val="Normal"/>
    <w:next w:val="BodyText"/>
    <w:semiHidden/>
    <w:rsid w:val="009E79EC"/>
    <w:pPr>
      <w:spacing w:before="140" w:after="240" w:line="180" w:lineRule="exact"/>
    </w:pPr>
    <w:rPr>
      <w:rFonts w:ascii="Franklin Gothic Book" w:eastAsia="Times New Roman" w:hAnsi="Franklin Gothic Book"/>
      <w:color w:val="A8A5A8"/>
      <w:sz w:val="14"/>
      <w:szCs w:val="14"/>
    </w:rPr>
  </w:style>
  <w:style w:type="table" w:styleId="TableGrid">
    <w:name w:val="Table Grid"/>
    <w:basedOn w:val="TableNormal"/>
    <w:rsid w:val="005052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2-Accent2">
    <w:name w:val="Medium Grid 2 Accent 2"/>
    <w:basedOn w:val="TableNormal"/>
    <w:uiPriority w:val="68"/>
    <w:rsid w:val="0050529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LightShading">
    <w:name w:val="Light Shading"/>
    <w:basedOn w:val="TableNormal"/>
    <w:uiPriority w:val="60"/>
    <w:rsid w:val="00706DE1"/>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2-Accent5">
    <w:name w:val="Medium Shading 2 Accent 5"/>
    <w:basedOn w:val="TableNormal"/>
    <w:uiPriority w:val="64"/>
    <w:rsid w:val="00706DE1"/>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Accent1">
    <w:name w:val="Light Shading Accent 1"/>
    <w:basedOn w:val="TableNormal"/>
    <w:uiPriority w:val="60"/>
    <w:rsid w:val="00706DE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Revision">
    <w:name w:val="Revision"/>
    <w:hidden/>
    <w:uiPriority w:val="71"/>
    <w:rsid w:val="00F53655"/>
    <w:pPr>
      <w:spacing w:after="0" w:line="240" w:lineRule="auto"/>
    </w:pPr>
    <w:rPr>
      <w:rFonts w:ascii="Times New Roman" w:eastAsia="Times New Roman" w:hAnsi="Times New Roman" w:cs="Times New Roman"/>
      <w:sz w:val="20"/>
      <w:szCs w:val="24"/>
    </w:rPr>
  </w:style>
  <w:style w:type="paragraph" w:styleId="ListNumber3">
    <w:name w:val="List Number 3"/>
    <w:basedOn w:val="ListNumber2"/>
    <w:rsid w:val="007E3D71"/>
    <w:pPr>
      <w:numPr>
        <w:numId w:val="12"/>
      </w:numPr>
      <w:ind w:left="851" w:hanging="284"/>
    </w:pPr>
  </w:style>
  <w:style w:type="paragraph" w:styleId="EndnoteText">
    <w:name w:val="endnote text"/>
    <w:basedOn w:val="Normal"/>
    <w:link w:val="EndnoteTextChar"/>
    <w:rsid w:val="009E79EC"/>
    <w:rPr>
      <w:rFonts w:ascii="Franklin Gothic Book" w:eastAsia="Times New Roman" w:hAnsi="Franklin Gothic Book"/>
      <w:sz w:val="21"/>
      <w:szCs w:val="20"/>
    </w:rPr>
  </w:style>
  <w:style w:type="character" w:customStyle="1" w:styleId="EndnoteTextChar">
    <w:name w:val="Endnote Text Char"/>
    <w:basedOn w:val="DefaultParagraphFont"/>
    <w:link w:val="EndnoteText"/>
    <w:rsid w:val="009E79EC"/>
    <w:rPr>
      <w:rFonts w:ascii="Franklin Gothic Book" w:eastAsia="Times New Roman" w:hAnsi="Franklin Gothic Book" w:cs="Times New Roman"/>
      <w:sz w:val="21"/>
      <w:szCs w:val="20"/>
    </w:rPr>
  </w:style>
  <w:style w:type="character" w:styleId="EndnoteReference">
    <w:name w:val="endnote reference"/>
    <w:rsid w:val="009E79EC"/>
    <w:rPr>
      <w:rFonts w:ascii="Franklin Gothic Book" w:hAnsi="Franklin Gothic Book"/>
      <w:sz w:val="21"/>
      <w:vertAlign w:val="superscript"/>
    </w:rPr>
  </w:style>
  <w:style w:type="numbering" w:customStyle="1" w:styleId="StyleBulletedSymbolsymbol95ptLeft063cmHanging">
    <w:name w:val="Style Bulleted Symbol (symbol) 9.5 pt Left:  0.63 cm Hanging:  ..."/>
    <w:basedOn w:val="NoList"/>
    <w:rsid w:val="002A1935"/>
    <w:pPr>
      <w:numPr>
        <w:numId w:val="13"/>
      </w:numPr>
    </w:pPr>
  </w:style>
  <w:style w:type="character" w:customStyle="1" w:styleId="CaptionChar">
    <w:name w:val="Caption Char"/>
    <w:link w:val="Caption"/>
    <w:uiPriority w:val="99"/>
    <w:locked/>
    <w:rsid w:val="001171DE"/>
    <w:rPr>
      <w:rFonts w:ascii="Franklin Gothic Book" w:eastAsia="Times New Roman" w:hAnsi="Franklin Gothic Book" w:cs="Arial"/>
      <w:sz w:val="20"/>
      <w:szCs w:val="19"/>
    </w:rPr>
  </w:style>
  <w:style w:type="paragraph" w:styleId="FootnoteText">
    <w:name w:val="footnote text"/>
    <w:basedOn w:val="BodyText"/>
    <w:link w:val="FootnoteTextChar"/>
    <w:uiPriority w:val="99"/>
    <w:unhideWhenUsed/>
    <w:qFormat/>
    <w:rsid w:val="00DA7CB8"/>
    <w:pPr>
      <w:spacing w:after="0"/>
      <w:contextualSpacing/>
    </w:pPr>
    <w:rPr>
      <w:sz w:val="16"/>
      <w:szCs w:val="20"/>
    </w:rPr>
  </w:style>
  <w:style w:type="character" w:customStyle="1" w:styleId="FootnoteTextChar">
    <w:name w:val="Footnote Text Char"/>
    <w:basedOn w:val="DefaultParagraphFont"/>
    <w:link w:val="FootnoteText"/>
    <w:uiPriority w:val="99"/>
    <w:rsid w:val="00DA7CB8"/>
    <w:rPr>
      <w:rFonts w:ascii="Times New Roman" w:eastAsia="Times New Roman" w:hAnsi="Times New Roman" w:cs="Times New Roman"/>
      <w:sz w:val="16"/>
      <w:szCs w:val="20"/>
    </w:rPr>
  </w:style>
  <w:style w:type="character" w:styleId="FootnoteReference">
    <w:name w:val="footnote reference"/>
    <w:aliases w:val="ftref,BVI fnr,BVI fnr Car Car,BVI fnr Car,BVI fnr Car Car Car Car,BVI fnr Car Car Car Car Char,16 Point,Superscript 6 Point,(NECG) Footnote Reference,Fußnotenzeichen DISS,Superscript 6 Point + 11 pt,Ref,de nota al pie"/>
    <w:uiPriority w:val="99"/>
    <w:rsid w:val="003B2756"/>
    <w:rPr>
      <w:rFonts w:ascii="Times New Roman" w:hAnsi="Times New Roman"/>
      <w:w w:val="100"/>
      <w:position w:val="6"/>
      <w:sz w:val="16"/>
      <w:szCs w:val="12"/>
      <w:vertAlign w:val="baseline"/>
    </w:rPr>
  </w:style>
  <w:style w:type="paragraph" w:styleId="NormalWeb">
    <w:name w:val="Normal (Web)"/>
    <w:basedOn w:val="Normal"/>
    <w:uiPriority w:val="99"/>
    <w:semiHidden/>
    <w:unhideWhenUsed/>
    <w:rsid w:val="00AB0987"/>
    <w:pPr>
      <w:spacing w:before="100" w:beforeAutospacing="1" w:after="100" w:afterAutospacing="1"/>
    </w:pPr>
    <w:rPr>
      <w:rFonts w:eastAsia="Times New Roman"/>
      <w:sz w:val="24"/>
    </w:rPr>
  </w:style>
  <w:style w:type="table" w:styleId="LightShading-Accent3">
    <w:name w:val="Light Shading Accent 3"/>
    <w:basedOn w:val="TableNormal"/>
    <w:uiPriority w:val="60"/>
    <w:rsid w:val="00F02F28"/>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CommentReference">
    <w:name w:val="annotation reference"/>
    <w:basedOn w:val="DefaultParagraphFont"/>
    <w:unhideWhenUsed/>
    <w:rsid w:val="009E79EC"/>
    <w:rPr>
      <w:rFonts w:ascii="Franklin Gothic Book" w:hAnsi="Franklin Gothic Book"/>
      <w:sz w:val="16"/>
      <w:szCs w:val="16"/>
    </w:rPr>
  </w:style>
  <w:style w:type="paragraph" w:styleId="CommentSubject">
    <w:name w:val="annotation subject"/>
    <w:basedOn w:val="CommentText"/>
    <w:next w:val="CommentText"/>
    <w:link w:val="CommentSubjectChar"/>
    <w:semiHidden/>
    <w:unhideWhenUsed/>
    <w:rsid w:val="009E79EC"/>
    <w:pPr>
      <w:spacing w:after="0" w:line="240" w:lineRule="auto"/>
    </w:pPr>
    <w:rPr>
      <w:rFonts w:eastAsia="SimSun"/>
      <w:b/>
      <w:bCs/>
      <w:sz w:val="20"/>
      <w:szCs w:val="20"/>
    </w:rPr>
  </w:style>
  <w:style w:type="character" w:customStyle="1" w:styleId="CommentSubjectChar">
    <w:name w:val="Comment Subject Char"/>
    <w:basedOn w:val="CommentTextChar"/>
    <w:link w:val="CommentSubject"/>
    <w:semiHidden/>
    <w:rsid w:val="009E79EC"/>
    <w:rPr>
      <w:rFonts w:ascii="Franklin Gothic Book" w:eastAsia="SimSun" w:hAnsi="Franklin Gothic Book" w:cs="Times New Roman"/>
      <w:b/>
      <w:bCs/>
      <w:sz w:val="20"/>
      <w:szCs w:val="20"/>
    </w:rPr>
  </w:style>
  <w:style w:type="character" w:customStyle="1" w:styleId="DateChar">
    <w:name w:val="Date Char"/>
    <w:basedOn w:val="DefaultParagraphFont"/>
    <w:link w:val="Date"/>
    <w:rsid w:val="009E79EC"/>
    <w:rPr>
      <w:rFonts w:ascii="Franklin Gothic Book" w:eastAsia="SimSun" w:hAnsi="Franklin Gothic Book" w:cs="Times New Roman"/>
      <w:sz w:val="20"/>
      <w:szCs w:val="24"/>
    </w:rPr>
  </w:style>
  <w:style w:type="paragraph" w:customStyle="1" w:styleId="GuidanceText">
    <w:name w:val="Guidance Text"/>
    <w:basedOn w:val="BodyText"/>
    <w:rsid w:val="00C85FF6"/>
    <w:pPr>
      <w:spacing w:before="60" w:after="60" w:line="240" w:lineRule="atLeast"/>
    </w:pPr>
    <w:rPr>
      <w:rFonts w:ascii="Calibri" w:hAnsi="Calibri"/>
      <w:color w:val="0000FF"/>
      <w:sz w:val="20"/>
      <w:szCs w:val="20"/>
    </w:rPr>
  </w:style>
  <w:style w:type="paragraph" w:customStyle="1" w:styleId="List-bullet-1">
    <w:name w:val="List-bullet-1"/>
    <w:basedOn w:val="Normal"/>
    <w:link w:val="List-bullet-1Char"/>
    <w:rsid w:val="00FD7BD8"/>
    <w:pPr>
      <w:numPr>
        <w:numId w:val="17"/>
      </w:numPr>
      <w:spacing w:before="120"/>
    </w:pPr>
    <w:rPr>
      <w:rFonts w:ascii="Arial" w:eastAsia="Times New Roman" w:hAnsi="Arial" w:cs="Arial"/>
      <w:szCs w:val="22"/>
      <w:lang w:eastAsia="en-US"/>
    </w:rPr>
  </w:style>
  <w:style w:type="character" w:customStyle="1" w:styleId="List-bullet-1Char">
    <w:name w:val="List-bullet-1 Char"/>
    <w:link w:val="List-bullet-1"/>
    <w:rsid w:val="00FD7BD8"/>
    <w:rPr>
      <w:rFonts w:ascii="Arial" w:eastAsia="Times New Roman" w:hAnsi="Arial" w:cs="Arial"/>
      <w:sz w:val="20"/>
      <w:lang w:eastAsia="en-US"/>
    </w:rPr>
  </w:style>
  <w:style w:type="paragraph" w:styleId="ListParagraph">
    <w:name w:val="List Paragraph"/>
    <w:aliases w:val="Recommendation,List Paragraph1"/>
    <w:basedOn w:val="BodyText"/>
    <w:link w:val="ListParagraphChar"/>
    <w:uiPriority w:val="34"/>
    <w:qFormat/>
    <w:rsid w:val="00FD7BD8"/>
    <w:pPr>
      <w:numPr>
        <w:numId w:val="18"/>
      </w:numPr>
      <w:spacing w:after="120" w:line="240" w:lineRule="auto"/>
    </w:pPr>
    <w:rPr>
      <w:rFonts w:ascii="Times New Roman" w:hAnsi="Times New Roman"/>
      <w:sz w:val="22"/>
    </w:rPr>
  </w:style>
  <w:style w:type="table" w:customStyle="1" w:styleId="APPR">
    <w:name w:val="APPR"/>
    <w:basedOn w:val="TableNormal"/>
    <w:uiPriority w:val="99"/>
    <w:rsid w:val="002B1F6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table" w:customStyle="1" w:styleId="DFATTable1">
    <w:name w:val="DFAT Table1"/>
    <w:basedOn w:val="TableNormal"/>
    <w:uiPriority w:val="99"/>
    <w:rsid w:val="00235E28"/>
    <w:pPr>
      <w:spacing w:after="0" w:line="240" w:lineRule="auto"/>
    </w:pPr>
    <w:rPr>
      <w:rFonts w:ascii="Helvetica" w:eastAsia="Calibri" w:hAnsi="Helvetica" w:cs="Times New Roman"/>
      <w:sz w:val="17"/>
    </w:rPr>
    <w:tblPr>
      <w:tblInd w:w="0" w:type="dxa"/>
      <w:tblBorders>
        <w:top w:val="single" w:sz="12" w:space="0" w:color="auto"/>
        <w:bottom w:val="single" w:sz="12" w:space="0" w:color="auto"/>
      </w:tblBorders>
      <w:tblCellMar>
        <w:top w:w="0" w:type="dxa"/>
        <w:left w:w="108" w:type="dxa"/>
        <w:bottom w:w="0" w:type="dxa"/>
        <w:right w:w="108" w:type="dxa"/>
      </w:tblCellMar>
    </w:tblPr>
  </w:style>
  <w:style w:type="character" w:customStyle="1" w:styleId="ListParagraphChar">
    <w:name w:val="List Paragraph Char"/>
    <w:aliases w:val="Recommendation Char,List Paragraph1 Char"/>
    <w:basedOn w:val="DefaultParagraphFont"/>
    <w:link w:val="ListParagraph"/>
    <w:uiPriority w:val="34"/>
    <w:locked/>
    <w:rsid w:val="008478A1"/>
    <w:rPr>
      <w:rFonts w:ascii="Times New Roman" w:eastAsia="Times New Roman" w:hAnsi="Times New Roman" w:cs="Times New Roman"/>
      <w:szCs w:val="24"/>
    </w:rPr>
  </w:style>
  <w:style w:type="paragraph" w:customStyle="1" w:styleId="NoteNumber">
    <w:name w:val="Note Number"/>
    <w:basedOn w:val="TableTextEntries"/>
    <w:rsid w:val="006B6703"/>
    <w:pPr>
      <w:numPr>
        <w:numId w:val="22"/>
      </w:numPr>
      <w:spacing w:after="0" w:line="180" w:lineRule="atLeast"/>
    </w:pPr>
    <w:rPr>
      <w:rFonts w:ascii="Times New Roman" w:hAnsi="Times New Roman"/>
      <w:iCs w:val="0"/>
      <w:sz w:val="14"/>
      <w:szCs w:val="14"/>
    </w:rPr>
  </w:style>
  <w:style w:type="table" w:customStyle="1" w:styleId="APPR1">
    <w:name w:val="APPR1"/>
    <w:basedOn w:val="TableNormal"/>
    <w:uiPriority w:val="99"/>
    <w:rsid w:val="00784556"/>
    <w:pPr>
      <w:spacing w:after="0" w:line="240" w:lineRule="auto"/>
    </w:pPr>
    <w:rPr>
      <w:rFonts w:ascii="Franklin Gothic Book" w:hAnsi="Franklin Gothic Book"/>
      <w:sz w:val="17"/>
    </w:rPr>
    <w:tblPr>
      <w:tblStyleRowBandSize w:val="1"/>
      <w:tblCellSpacing w:w="14" w:type="dxa"/>
      <w:tblInd w:w="0" w:type="dxa"/>
      <w:tblBorders>
        <w:top w:val="single" w:sz="12" w:space="0" w:color="000000" w:themeColor="text1"/>
        <w:bottom w:val="single" w:sz="12" w:space="0" w:color="000000" w:themeColor="text1"/>
      </w:tblBorders>
      <w:tblCellMar>
        <w:top w:w="0" w:type="dxa"/>
        <w:left w:w="108" w:type="dxa"/>
        <w:bottom w:w="0" w:type="dxa"/>
        <w:right w:w="108" w:type="dxa"/>
      </w:tblCellMar>
    </w:tblPr>
    <w:trPr>
      <w:tblHeader/>
      <w:tblCellSpacing w:w="14" w:type="dxa"/>
    </w:trPr>
    <w:tblStylePr w:type="firstRow">
      <w:pPr>
        <w:wordWrap/>
      </w:pPr>
      <w:rPr>
        <w:rFonts w:ascii="Franklin Gothic Demi" w:hAnsi="Franklin Gothic Demi"/>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800594">
      <w:bodyDiv w:val="1"/>
      <w:marLeft w:val="0"/>
      <w:marRight w:val="0"/>
      <w:marTop w:val="0"/>
      <w:marBottom w:val="0"/>
      <w:divBdr>
        <w:top w:val="none" w:sz="0" w:space="0" w:color="auto"/>
        <w:left w:val="none" w:sz="0" w:space="0" w:color="auto"/>
        <w:bottom w:val="none" w:sz="0" w:space="0" w:color="auto"/>
        <w:right w:val="none" w:sz="0" w:space="0" w:color="auto"/>
      </w:divBdr>
      <w:divsChild>
        <w:div w:id="1849826520">
          <w:marLeft w:val="0"/>
          <w:marRight w:val="0"/>
          <w:marTop w:val="0"/>
          <w:marBottom w:val="0"/>
          <w:divBdr>
            <w:top w:val="none" w:sz="0" w:space="0" w:color="auto"/>
            <w:left w:val="none" w:sz="0" w:space="0" w:color="auto"/>
            <w:bottom w:val="none" w:sz="0" w:space="0" w:color="auto"/>
            <w:right w:val="none" w:sz="0" w:space="0" w:color="auto"/>
          </w:divBdr>
        </w:div>
      </w:divsChild>
    </w:div>
    <w:div w:id="184247592">
      <w:bodyDiv w:val="1"/>
      <w:marLeft w:val="0"/>
      <w:marRight w:val="0"/>
      <w:marTop w:val="0"/>
      <w:marBottom w:val="0"/>
      <w:divBdr>
        <w:top w:val="none" w:sz="0" w:space="0" w:color="auto"/>
        <w:left w:val="none" w:sz="0" w:space="0" w:color="auto"/>
        <w:bottom w:val="none" w:sz="0" w:space="0" w:color="auto"/>
        <w:right w:val="none" w:sz="0" w:space="0" w:color="auto"/>
      </w:divBdr>
    </w:div>
    <w:div w:id="418449527">
      <w:bodyDiv w:val="1"/>
      <w:marLeft w:val="0"/>
      <w:marRight w:val="0"/>
      <w:marTop w:val="0"/>
      <w:marBottom w:val="0"/>
      <w:divBdr>
        <w:top w:val="none" w:sz="0" w:space="0" w:color="auto"/>
        <w:left w:val="none" w:sz="0" w:space="0" w:color="auto"/>
        <w:bottom w:val="none" w:sz="0" w:space="0" w:color="auto"/>
        <w:right w:val="none" w:sz="0" w:space="0" w:color="auto"/>
      </w:divBdr>
    </w:div>
    <w:div w:id="530149656">
      <w:bodyDiv w:val="1"/>
      <w:marLeft w:val="0"/>
      <w:marRight w:val="0"/>
      <w:marTop w:val="0"/>
      <w:marBottom w:val="0"/>
      <w:divBdr>
        <w:top w:val="none" w:sz="0" w:space="0" w:color="auto"/>
        <w:left w:val="none" w:sz="0" w:space="0" w:color="auto"/>
        <w:bottom w:val="none" w:sz="0" w:space="0" w:color="auto"/>
        <w:right w:val="none" w:sz="0" w:space="0" w:color="auto"/>
      </w:divBdr>
    </w:div>
    <w:div w:id="705637071">
      <w:bodyDiv w:val="1"/>
      <w:marLeft w:val="0"/>
      <w:marRight w:val="0"/>
      <w:marTop w:val="0"/>
      <w:marBottom w:val="0"/>
      <w:divBdr>
        <w:top w:val="none" w:sz="0" w:space="0" w:color="auto"/>
        <w:left w:val="none" w:sz="0" w:space="0" w:color="auto"/>
        <w:bottom w:val="none" w:sz="0" w:space="0" w:color="auto"/>
        <w:right w:val="none" w:sz="0" w:space="0" w:color="auto"/>
      </w:divBdr>
    </w:div>
    <w:div w:id="790975192">
      <w:bodyDiv w:val="1"/>
      <w:marLeft w:val="0"/>
      <w:marRight w:val="0"/>
      <w:marTop w:val="0"/>
      <w:marBottom w:val="0"/>
      <w:divBdr>
        <w:top w:val="none" w:sz="0" w:space="0" w:color="auto"/>
        <w:left w:val="none" w:sz="0" w:space="0" w:color="auto"/>
        <w:bottom w:val="none" w:sz="0" w:space="0" w:color="auto"/>
        <w:right w:val="none" w:sz="0" w:space="0" w:color="auto"/>
      </w:divBdr>
    </w:div>
    <w:div w:id="829951199">
      <w:bodyDiv w:val="1"/>
      <w:marLeft w:val="0"/>
      <w:marRight w:val="0"/>
      <w:marTop w:val="0"/>
      <w:marBottom w:val="0"/>
      <w:divBdr>
        <w:top w:val="none" w:sz="0" w:space="0" w:color="auto"/>
        <w:left w:val="none" w:sz="0" w:space="0" w:color="auto"/>
        <w:bottom w:val="none" w:sz="0" w:space="0" w:color="auto"/>
        <w:right w:val="none" w:sz="0" w:space="0" w:color="auto"/>
      </w:divBdr>
    </w:div>
    <w:div w:id="849375196">
      <w:bodyDiv w:val="1"/>
      <w:marLeft w:val="0"/>
      <w:marRight w:val="0"/>
      <w:marTop w:val="0"/>
      <w:marBottom w:val="0"/>
      <w:divBdr>
        <w:top w:val="none" w:sz="0" w:space="0" w:color="auto"/>
        <w:left w:val="none" w:sz="0" w:space="0" w:color="auto"/>
        <w:bottom w:val="none" w:sz="0" w:space="0" w:color="auto"/>
        <w:right w:val="none" w:sz="0" w:space="0" w:color="auto"/>
      </w:divBdr>
      <w:divsChild>
        <w:div w:id="958099486">
          <w:marLeft w:val="0"/>
          <w:marRight w:val="0"/>
          <w:marTop w:val="0"/>
          <w:marBottom w:val="0"/>
          <w:divBdr>
            <w:top w:val="none" w:sz="0" w:space="0" w:color="auto"/>
            <w:left w:val="none" w:sz="0" w:space="0" w:color="auto"/>
            <w:bottom w:val="none" w:sz="0" w:space="0" w:color="auto"/>
            <w:right w:val="none" w:sz="0" w:space="0" w:color="auto"/>
          </w:divBdr>
        </w:div>
        <w:div w:id="1610623587">
          <w:marLeft w:val="0"/>
          <w:marRight w:val="0"/>
          <w:marTop w:val="0"/>
          <w:marBottom w:val="0"/>
          <w:divBdr>
            <w:top w:val="none" w:sz="0" w:space="0" w:color="auto"/>
            <w:left w:val="none" w:sz="0" w:space="0" w:color="auto"/>
            <w:bottom w:val="none" w:sz="0" w:space="0" w:color="auto"/>
            <w:right w:val="none" w:sz="0" w:space="0" w:color="auto"/>
          </w:divBdr>
        </w:div>
      </w:divsChild>
    </w:div>
    <w:div w:id="852107683">
      <w:bodyDiv w:val="1"/>
      <w:marLeft w:val="0"/>
      <w:marRight w:val="0"/>
      <w:marTop w:val="0"/>
      <w:marBottom w:val="0"/>
      <w:divBdr>
        <w:top w:val="none" w:sz="0" w:space="0" w:color="auto"/>
        <w:left w:val="none" w:sz="0" w:space="0" w:color="auto"/>
        <w:bottom w:val="none" w:sz="0" w:space="0" w:color="auto"/>
        <w:right w:val="none" w:sz="0" w:space="0" w:color="auto"/>
      </w:divBdr>
    </w:div>
    <w:div w:id="869995118">
      <w:bodyDiv w:val="1"/>
      <w:marLeft w:val="0"/>
      <w:marRight w:val="0"/>
      <w:marTop w:val="0"/>
      <w:marBottom w:val="0"/>
      <w:divBdr>
        <w:top w:val="none" w:sz="0" w:space="0" w:color="auto"/>
        <w:left w:val="none" w:sz="0" w:space="0" w:color="auto"/>
        <w:bottom w:val="none" w:sz="0" w:space="0" w:color="auto"/>
        <w:right w:val="none" w:sz="0" w:space="0" w:color="auto"/>
      </w:divBdr>
    </w:div>
    <w:div w:id="906887770">
      <w:bodyDiv w:val="1"/>
      <w:marLeft w:val="0"/>
      <w:marRight w:val="0"/>
      <w:marTop w:val="0"/>
      <w:marBottom w:val="0"/>
      <w:divBdr>
        <w:top w:val="none" w:sz="0" w:space="0" w:color="auto"/>
        <w:left w:val="none" w:sz="0" w:space="0" w:color="auto"/>
        <w:bottom w:val="none" w:sz="0" w:space="0" w:color="auto"/>
        <w:right w:val="none" w:sz="0" w:space="0" w:color="auto"/>
      </w:divBdr>
      <w:divsChild>
        <w:div w:id="1687058485">
          <w:marLeft w:val="0"/>
          <w:marRight w:val="0"/>
          <w:marTop w:val="0"/>
          <w:marBottom w:val="0"/>
          <w:divBdr>
            <w:top w:val="none" w:sz="0" w:space="0" w:color="auto"/>
            <w:left w:val="none" w:sz="0" w:space="0" w:color="auto"/>
            <w:bottom w:val="none" w:sz="0" w:space="0" w:color="auto"/>
            <w:right w:val="none" w:sz="0" w:space="0" w:color="auto"/>
          </w:divBdr>
          <w:divsChild>
            <w:div w:id="1750345560">
              <w:marLeft w:val="0"/>
              <w:marRight w:val="0"/>
              <w:marTop w:val="0"/>
              <w:marBottom w:val="0"/>
              <w:divBdr>
                <w:top w:val="none" w:sz="0" w:space="0" w:color="auto"/>
                <w:left w:val="none" w:sz="0" w:space="0" w:color="auto"/>
                <w:bottom w:val="none" w:sz="0" w:space="0" w:color="auto"/>
                <w:right w:val="none" w:sz="0" w:space="0" w:color="auto"/>
              </w:divBdr>
              <w:divsChild>
                <w:div w:id="987590386">
                  <w:marLeft w:val="0"/>
                  <w:marRight w:val="0"/>
                  <w:marTop w:val="0"/>
                  <w:marBottom w:val="0"/>
                  <w:divBdr>
                    <w:top w:val="none" w:sz="0" w:space="0" w:color="auto"/>
                    <w:left w:val="none" w:sz="0" w:space="0" w:color="auto"/>
                    <w:bottom w:val="none" w:sz="0" w:space="0" w:color="auto"/>
                    <w:right w:val="none" w:sz="0" w:space="0" w:color="auto"/>
                  </w:divBdr>
                  <w:divsChild>
                    <w:div w:id="1207717354">
                      <w:marLeft w:val="2325"/>
                      <w:marRight w:val="0"/>
                      <w:marTop w:val="0"/>
                      <w:marBottom w:val="0"/>
                      <w:divBdr>
                        <w:top w:val="none" w:sz="0" w:space="0" w:color="auto"/>
                        <w:left w:val="none" w:sz="0" w:space="0" w:color="auto"/>
                        <w:bottom w:val="none" w:sz="0" w:space="0" w:color="auto"/>
                        <w:right w:val="none" w:sz="0" w:space="0" w:color="auto"/>
                      </w:divBdr>
                      <w:divsChild>
                        <w:div w:id="397361162">
                          <w:marLeft w:val="0"/>
                          <w:marRight w:val="0"/>
                          <w:marTop w:val="0"/>
                          <w:marBottom w:val="0"/>
                          <w:divBdr>
                            <w:top w:val="none" w:sz="0" w:space="0" w:color="auto"/>
                            <w:left w:val="none" w:sz="0" w:space="0" w:color="auto"/>
                            <w:bottom w:val="none" w:sz="0" w:space="0" w:color="auto"/>
                            <w:right w:val="none" w:sz="0" w:space="0" w:color="auto"/>
                          </w:divBdr>
                          <w:divsChild>
                            <w:div w:id="1968852841">
                              <w:marLeft w:val="0"/>
                              <w:marRight w:val="0"/>
                              <w:marTop w:val="0"/>
                              <w:marBottom w:val="0"/>
                              <w:divBdr>
                                <w:top w:val="none" w:sz="0" w:space="0" w:color="auto"/>
                                <w:left w:val="none" w:sz="0" w:space="0" w:color="auto"/>
                                <w:bottom w:val="none" w:sz="0" w:space="0" w:color="auto"/>
                                <w:right w:val="none" w:sz="0" w:space="0" w:color="auto"/>
                              </w:divBdr>
                              <w:divsChild>
                                <w:div w:id="519928029">
                                  <w:marLeft w:val="0"/>
                                  <w:marRight w:val="0"/>
                                  <w:marTop w:val="0"/>
                                  <w:marBottom w:val="0"/>
                                  <w:divBdr>
                                    <w:top w:val="none" w:sz="0" w:space="0" w:color="auto"/>
                                    <w:left w:val="none" w:sz="0" w:space="0" w:color="auto"/>
                                    <w:bottom w:val="none" w:sz="0" w:space="0" w:color="auto"/>
                                    <w:right w:val="none" w:sz="0" w:space="0" w:color="auto"/>
                                  </w:divBdr>
                                  <w:divsChild>
                                    <w:div w:id="419180244">
                                      <w:marLeft w:val="0"/>
                                      <w:marRight w:val="0"/>
                                      <w:marTop w:val="0"/>
                                      <w:marBottom w:val="0"/>
                                      <w:divBdr>
                                        <w:top w:val="none" w:sz="0" w:space="0" w:color="auto"/>
                                        <w:left w:val="none" w:sz="0" w:space="0" w:color="auto"/>
                                        <w:bottom w:val="none" w:sz="0" w:space="0" w:color="auto"/>
                                        <w:right w:val="none" w:sz="0" w:space="0" w:color="auto"/>
                                      </w:divBdr>
                                      <w:divsChild>
                                        <w:div w:id="846676688">
                                          <w:marLeft w:val="0"/>
                                          <w:marRight w:val="0"/>
                                          <w:marTop w:val="0"/>
                                          <w:marBottom w:val="0"/>
                                          <w:divBdr>
                                            <w:top w:val="none" w:sz="0" w:space="0" w:color="auto"/>
                                            <w:left w:val="none" w:sz="0" w:space="0" w:color="auto"/>
                                            <w:bottom w:val="none" w:sz="0" w:space="0" w:color="auto"/>
                                            <w:right w:val="none" w:sz="0" w:space="0" w:color="auto"/>
                                          </w:divBdr>
                                          <w:divsChild>
                                            <w:div w:id="1963998040">
                                              <w:marLeft w:val="0"/>
                                              <w:marRight w:val="0"/>
                                              <w:marTop w:val="0"/>
                                              <w:marBottom w:val="0"/>
                                              <w:divBdr>
                                                <w:top w:val="none" w:sz="0" w:space="0" w:color="auto"/>
                                                <w:left w:val="none" w:sz="0" w:space="0" w:color="auto"/>
                                                <w:bottom w:val="none" w:sz="0" w:space="0" w:color="auto"/>
                                                <w:right w:val="none" w:sz="0" w:space="0" w:color="auto"/>
                                              </w:divBdr>
                                              <w:divsChild>
                                                <w:div w:id="260185647">
                                                  <w:marLeft w:val="0"/>
                                                  <w:marRight w:val="0"/>
                                                  <w:marTop w:val="0"/>
                                                  <w:marBottom w:val="0"/>
                                                  <w:divBdr>
                                                    <w:top w:val="none" w:sz="0" w:space="0" w:color="auto"/>
                                                    <w:left w:val="none" w:sz="0" w:space="0" w:color="auto"/>
                                                    <w:bottom w:val="none" w:sz="0" w:space="0" w:color="auto"/>
                                                    <w:right w:val="none" w:sz="0" w:space="0" w:color="auto"/>
                                                  </w:divBdr>
                                                  <w:divsChild>
                                                    <w:div w:id="1983389395">
                                                      <w:marLeft w:val="0"/>
                                                      <w:marRight w:val="0"/>
                                                      <w:marTop w:val="0"/>
                                                      <w:marBottom w:val="0"/>
                                                      <w:divBdr>
                                                        <w:top w:val="none" w:sz="0" w:space="0" w:color="auto"/>
                                                        <w:left w:val="none" w:sz="0" w:space="0" w:color="auto"/>
                                                        <w:bottom w:val="none" w:sz="0" w:space="0" w:color="auto"/>
                                                        <w:right w:val="none" w:sz="0" w:space="0" w:color="auto"/>
                                                      </w:divBdr>
                                                      <w:divsChild>
                                                        <w:div w:id="1875917744">
                                                          <w:marLeft w:val="0"/>
                                                          <w:marRight w:val="0"/>
                                                          <w:marTop w:val="15"/>
                                                          <w:marBottom w:val="15"/>
                                                          <w:divBdr>
                                                            <w:top w:val="none" w:sz="0" w:space="0" w:color="auto"/>
                                                            <w:left w:val="none" w:sz="0" w:space="0" w:color="auto"/>
                                                            <w:bottom w:val="none" w:sz="0" w:space="0" w:color="auto"/>
                                                            <w:right w:val="none" w:sz="0" w:space="0" w:color="auto"/>
                                                          </w:divBdr>
                                                          <w:divsChild>
                                                            <w:div w:id="1225338489">
                                                              <w:marLeft w:val="0"/>
                                                              <w:marRight w:val="0"/>
                                                              <w:marTop w:val="0"/>
                                                              <w:marBottom w:val="0"/>
                                                              <w:divBdr>
                                                                <w:top w:val="none" w:sz="0" w:space="0" w:color="auto"/>
                                                                <w:left w:val="none" w:sz="0" w:space="0" w:color="auto"/>
                                                                <w:bottom w:val="none" w:sz="0" w:space="0" w:color="auto"/>
                                                                <w:right w:val="none" w:sz="0" w:space="0" w:color="auto"/>
                                                              </w:divBdr>
                                                              <w:divsChild>
                                                                <w:div w:id="1743914366">
                                                                  <w:marLeft w:val="0"/>
                                                                  <w:marRight w:val="0"/>
                                                                  <w:marTop w:val="0"/>
                                                                  <w:marBottom w:val="0"/>
                                                                  <w:divBdr>
                                                                    <w:top w:val="none" w:sz="0" w:space="0" w:color="auto"/>
                                                                    <w:left w:val="none" w:sz="0" w:space="0" w:color="auto"/>
                                                                    <w:bottom w:val="none" w:sz="0" w:space="0" w:color="auto"/>
                                                                    <w:right w:val="none" w:sz="0" w:space="0" w:color="auto"/>
                                                                  </w:divBdr>
                                                                  <w:divsChild>
                                                                    <w:div w:id="2131656692">
                                                                      <w:marLeft w:val="0"/>
                                                                      <w:marRight w:val="0"/>
                                                                      <w:marTop w:val="0"/>
                                                                      <w:marBottom w:val="0"/>
                                                                      <w:divBdr>
                                                                        <w:top w:val="none" w:sz="0" w:space="0" w:color="auto"/>
                                                                        <w:left w:val="none" w:sz="0" w:space="0" w:color="auto"/>
                                                                        <w:bottom w:val="none" w:sz="0" w:space="0" w:color="auto"/>
                                                                        <w:right w:val="none" w:sz="0" w:space="0" w:color="auto"/>
                                                                      </w:divBdr>
                                                                      <w:divsChild>
                                                                        <w:div w:id="2075080198">
                                                                          <w:marLeft w:val="0"/>
                                                                          <w:marRight w:val="0"/>
                                                                          <w:marTop w:val="0"/>
                                                                          <w:marBottom w:val="0"/>
                                                                          <w:divBdr>
                                                                            <w:top w:val="none" w:sz="0" w:space="0" w:color="auto"/>
                                                                            <w:left w:val="none" w:sz="0" w:space="0" w:color="auto"/>
                                                                            <w:bottom w:val="none" w:sz="0" w:space="0" w:color="auto"/>
                                                                            <w:right w:val="none" w:sz="0" w:space="0" w:color="auto"/>
                                                                          </w:divBdr>
                                                                          <w:divsChild>
                                                                            <w:div w:id="1240795041">
                                                                              <w:marLeft w:val="0"/>
                                                                              <w:marRight w:val="0"/>
                                                                              <w:marTop w:val="0"/>
                                                                              <w:marBottom w:val="0"/>
                                                                              <w:divBdr>
                                                                                <w:top w:val="none" w:sz="0" w:space="0" w:color="auto"/>
                                                                                <w:left w:val="none" w:sz="0" w:space="0" w:color="auto"/>
                                                                                <w:bottom w:val="none" w:sz="0" w:space="0" w:color="auto"/>
                                                                                <w:right w:val="none" w:sz="0" w:space="0" w:color="auto"/>
                                                                              </w:divBdr>
                                                                              <w:divsChild>
                                                                                <w:div w:id="160045370">
                                                                                  <w:marLeft w:val="0"/>
                                                                                  <w:marRight w:val="0"/>
                                                                                  <w:marTop w:val="0"/>
                                                                                  <w:marBottom w:val="0"/>
                                                                                  <w:divBdr>
                                                                                    <w:top w:val="none" w:sz="0" w:space="0" w:color="auto"/>
                                                                                    <w:left w:val="none" w:sz="0" w:space="0" w:color="auto"/>
                                                                                    <w:bottom w:val="none" w:sz="0" w:space="0" w:color="auto"/>
                                                                                    <w:right w:val="none" w:sz="0" w:space="0" w:color="auto"/>
                                                                                  </w:divBdr>
                                                                                  <w:divsChild>
                                                                                    <w:div w:id="215051749">
                                                                                      <w:marLeft w:val="0"/>
                                                                                      <w:marRight w:val="0"/>
                                                                                      <w:marTop w:val="0"/>
                                                                                      <w:marBottom w:val="0"/>
                                                                                      <w:divBdr>
                                                                                        <w:top w:val="none" w:sz="0" w:space="0" w:color="auto"/>
                                                                                        <w:left w:val="none" w:sz="0" w:space="0" w:color="auto"/>
                                                                                        <w:bottom w:val="none" w:sz="0" w:space="0" w:color="auto"/>
                                                                                        <w:right w:val="none" w:sz="0" w:space="0" w:color="auto"/>
                                                                                      </w:divBdr>
                                                                                      <w:divsChild>
                                                                                        <w:div w:id="1480030714">
                                                                                          <w:marLeft w:val="0"/>
                                                                                          <w:marRight w:val="0"/>
                                                                                          <w:marTop w:val="0"/>
                                                                                          <w:marBottom w:val="0"/>
                                                                                          <w:divBdr>
                                                                                            <w:top w:val="none" w:sz="0" w:space="0" w:color="auto"/>
                                                                                            <w:left w:val="none" w:sz="0" w:space="0" w:color="auto"/>
                                                                                            <w:bottom w:val="none" w:sz="0" w:space="0" w:color="auto"/>
                                                                                            <w:right w:val="none" w:sz="0" w:space="0" w:color="auto"/>
                                                                                          </w:divBdr>
                                                                                          <w:divsChild>
                                                                                            <w:div w:id="7829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7388251">
      <w:bodyDiv w:val="1"/>
      <w:marLeft w:val="0"/>
      <w:marRight w:val="0"/>
      <w:marTop w:val="0"/>
      <w:marBottom w:val="0"/>
      <w:divBdr>
        <w:top w:val="none" w:sz="0" w:space="0" w:color="auto"/>
        <w:left w:val="none" w:sz="0" w:space="0" w:color="auto"/>
        <w:bottom w:val="none" w:sz="0" w:space="0" w:color="auto"/>
        <w:right w:val="none" w:sz="0" w:space="0" w:color="auto"/>
      </w:divBdr>
    </w:div>
    <w:div w:id="1092581698">
      <w:bodyDiv w:val="1"/>
      <w:marLeft w:val="0"/>
      <w:marRight w:val="0"/>
      <w:marTop w:val="0"/>
      <w:marBottom w:val="0"/>
      <w:divBdr>
        <w:top w:val="none" w:sz="0" w:space="0" w:color="auto"/>
        <w:left w:val="none" w:sz="0" w:space="0" w:color="auto"/>
        <w:bottom w:val="none" w:sz="0" w:space="0" w:color="auto"/>
        <w:right w:val="none" w:sz="0" w:space="0" w:color="auto"/>
      </w:divBdr>
      <w:divsChild>
        <w:div w:id="2052915962">
          <w:marLeft w:val="0"/>
          <w:marRight w:val="0"/>
          <w:marTop w:val="0"/>
          <w:marBottom w:val="0"/>
          <w:divBdr>
            <w:top w:val="none" w:sz="0" w:space="0" w:color="auto"/>
            <w:left w:val="none" w:sz="0" w:space="0" w:color="auto"/>
            <w:bottom w:val="none" w:sz="0" w:space="0" w:color="auto"/>
            <w:right w:val="none" w:sz="0" w:space="0" w:color="auto"/>
          </w:divBdr>
        </w:div>
      </w:divsChild>
    </w:div>
    <w:div w:id="1225022999">
      <w:bodyDiv w:val="1"/>
      <w:marLeft w:val="0"/>
      <w:marRight w:val="0"/>
      <w:marTop w:val="0"/>
      <w:marBottom w:val="0"/>
      <w:divBdr>
        <w:top w:val="none" w:sz="0" w:space="0" w:color="auto"/>
        <w:left w:val="none" w:sz="0" w:space="0" w:color="auto"/>
        <w:bottom w:val="none" w:sz="0" w:space="0" w:color="auto"/>
        <w:right w:val="none" w:sz="0" w:space="0" w:color="auto"/>
      </w:divBdr>
      <w:divsChild>
        <w:div w:id="933049636">
          <w:marLeft w:val="0"/>
          <w:marRight w:val="0"/>
          <w:marTop w:val="0"/>
          <w:marBottom w:val="0"/>
          <w:divBdr>
            <w:top w:val="none" w:sz="0" w:space="0" w:color="auto"/>
            <w:left w:val="none" w:sz="0" w:space="0" w:color="auto"/>
            <w:bottom w:val="none" w:sz="0" w:space="0" w:color="auto"/>
            <w:right w:val="none" w:sz="0" w:space="0" w:color="auto"/>
          </w:divBdr>
        </w:div>
      </w:divsChild>
    </w:div>
    <w:div w:id="1283151696">
      <w:bodyDiv w:val="1"/>
      <w:marLeft w:val="0"/>
      <w:marRight w:val="0"/>
      <w:marTop w:val="0"/>
      <w:marBottom w:val="0"/>
      <w:divBdr>
        <w:top w:val="none" w:sz="0" w:space="0" w:color="auto"/>
        <w:left w:val="none" w:sz="0" w:space="0" w:color="auto"/>
        <w:bottom w:val="none" w:sz="0" w:space="0" w:color="auto"/>
        <w:right w:val="none" w:sz="0" w:space="0" w:color="auto"/>
      </w:divBdr>
    </w:div>
    <w:div w:id="1289630923">
      <w:bodyDiv w:val="1"/>
      <w:marLeft w:val="0"/>
      <w:marRight w:val="0"/>
      <w:marTop w:val="0"/>
      <w:marBottom w:val="0"/>
      <w:divBdr>
        <w:top w:val="none" w:sz="0" w:space="0" w:color="auto"/>
        <w:left w:val="none" w:sz="0" w:space="0" w:color="auto"/>
        <w:bottom w:val="none" w:sz="0" w:space="0" w:color="auto"/>
        <w:right w:val="none" w:sz="0" w:space="0" w:color="auto"/>
      </w:divBdr>
    </w:div>
    <w:div w:id="1319577261">
      <w:bodyDiv w:val="1"/>
      <w:marLeft w:val="0"/>
      <w:marRight w:val="0"/>
      <w:marTop w:val="0"/>
      <w:marBottom w:val="0"/>
      <w:divBdr>
        <w:top w:val="none" w:sz="0" w:space="0" w:color="auto"/>
        <w:left w:val="none" w:sz="0" w:space="0" w:color="auto"/>
        <w:bottom w:val="none" w:sz="0" w:space="0" w:color="auto"/>
        <w:right w:val="none" w:sz="0" w:space="0" w:color="auto"/>
      </w:divBdr>
      <w:divsChild>
        <w:div w:id="1633053962">
          <w:marLeft w:val="0"/>
          <w:marRight w:val="0"/>
          <w:marTop w:val="0"/>
          <w:marBottom w:val="0"/>
          <w:divBdr>
            <w:top w:val="none" w:sz="0" w:space="0" w:color="auto"/>
            <w:left w:val="none" w:sz="0" w:space="0" w:color="auto"/>
            <w:bottom w:val="none" w:sz="0" w:space="0" w:color="auto"/>
            <w:right w:val="none" w:sz="0" w:space="0" w:color="auto"/>
          </w:divBdr>
        </w:div>
      </w:divsChild>
    </w:div>
    <w:div w:id="1327856098">
      <w:bodyDiv w:val="1"/>
      <w:marLeft w:val="0"/>
      <w:marRight w:val="0"/>
      <w:marTop w:val="0"/>
      <w:marBottom w:val="0"/>
      <w:divBdr>
        <w:top w:val="none" w:sz="0" w:space="0" w:color="auto"/>
        <w:left w:val="none" w:sz="0" w:space="0" w:color="auto"/>
        <w:bottom w:val="none" w:sz="0" w:space="0" w:color="auto"/>
        <w:right w:val="none" w:sz="0" w:space="0" w:color="auto"/>
      </w:divBdr>
    </w:div>
    <w:div w:id="1341005079">
      <w:bodyDiv w:val="1"/>
      <w:marLeft w:val="0"/>
      <w:marRight w:val="0"/>
      <w:marTop w:val="0"/>
      <w:marBottom w:val="0"/>
      <w:divBdr>
        <w:top w:val="none" w:sz="0" w:space="0" w:color="auto"/>
        <w:left w:val="none" w:sz="0" w:space="0" w:color="auto"/>
        <w:bottom w:val="none" w:sz="0" w:space="0" w:color="auto"/>
        <w:right w:val="none" w:sz="0" w:space="0" w:color="auto"/>
      </w:divBdr>
    </w:div>
    <w:div w:id="1380325735">
      <w:bodyDiv w:val="1"/>
      <w:marLeft w:val="0"/>
      <w:marRight w:val="0"/>
      <w:marTop w:val="0"/>
      <w:marBottom w:val="0"/>
      <w:divBdr>
        <w:top w:val="none" w:sz="0" w:space="0" w:color="auto"/>
        <w:left w:val="none" w:sz="0" w:space="0" w:color="auto"/>
        <w:bottom w:val="none" w:sz="0" w:space="0" w:color="auto"/>
        <w:right w:val="none" w:sz="0" w:space="0" w:color="auto"/>
      </w:divBdr>
    </w:div>
    <w:div w:id="1419205662">
      <w:bodyDiv w:val="1"/>
      <w:marLeft w:val="0"/>
      <w:marRight w:val="0"/>
      <w:marTop w:val="0"/>
      <w:marBottom w:val="0"/>
      <w:divBdr>
        <w:top w:val="none" w:sz="0" w:space="0" w:color="auto"/>
        <w:left w:val="none" w:sz="0" w:space="0" w:color="auto"/>
        <w:bottom w:val="none" w:sz="0" w:space="0" w:color="auto"/>
        <w:right w:val="none" w:sz="0" w:space="0" w:color="auto"/>
      </w:divBdr>
    </w:div>
    <w:div w:id="1423917138">
      <w:bodyDiv w:val="1"/>
      <w:marLeft w:val="0"/>
      <w:marRight w:val="0"/>
      <w:marTop w:val="0"/>
      <w:marBottom w:val="0"/>
      <w:divBdr>
        <w:top w:val="none" w:sz="0" w:space="0" w:color="auto"/>
        <w:left w:val="none" w:sz="0" w:space="0" w:color="auto"/>
        <w:bottom w:val="none" w:sz="0" w:space="0" w:color="auto"/>
        <w:right w:val="none" w:sz="0" w:space="0" w:color="auto"/>
      </w:divBdr>
      <w:divsChild>
        <w:div w:id="1976829254">
          <w:marLeft w:val="0"/>
          <w:marRight w:val="0"/>
          <w:marTop w:val="0"/>
          <w:marBottom w:val="0"/>
          <w:divBdr>
            <w:top w:val="none" w:sz="0" w:space="0" w:color="auto"/>
            <w:left w:val="none" w:sz="0" w:space="0" w:color="auto"/>
            <w:bottom w:val="none" w:sz="0" w:space="0" w:color="auto"/>
            <w:right w:val="none" w:sz="0" w:space="0" w:color="auto"/>
          </w:divBdr>
        </w:div>
      </w:divsChild>
    </w:div>
    <w:div w:id="1446346657">
      <w:bodyDiv w:val="1"/>
      <w:marLeft w:val="0"/>
      <w:marRight w:val="0"/>
      <w:marTop w:val="0"/>
      <w:marBottom w:val="0"/>
      <w:divBdr>
        <w:top w:val="none" w:sz="0" w:space="0" w:color="auto"/>
        <w:left w:val="none" w:sz="0" w:space="0" w:color="auto"/>
        <w:bottom w:val="none" w:sz="0" w:space="0" w:color="auto"/>
        <w:right w:val="none" w:sz="0" w:space="0" w:color="auto"/>
      </w:divBdr>
    </w:div>
    <w:div w:id="1565141767">
      <w:bodyDiv w:val="1"/>
      <w:marLeft w:val="0"/>
      <w:marRight w:val="0"/>
      <w:marTop w:val="0"/>
      <w:marBottom w:val="0"/>
      <w:divBdr>
        <w:top w:val="none" w:sz="0" w:space="0" w:color="auto"/>
        <w:left w:val="none" w:sz="0" w:space="0" w:color="auto"/>
        <w:bottom w:val="none" w:sz="0" w:space="0" w:color="auto"/>
        <w:right w:val="none" w:sz="0" w:space="0" w:color="auto"/>
      </w:divBdr>
    </w:div>
    <w:div w:id="1599942038">
      <w:bodyDiv w:val="1"/>
      <w:marLeft w:val="0"/>
      <w:marRight w:val="0"/>
      <w:marTop w:val="0"/>
      <w:marBottom w:val="0"/>
      <w:divBdr>
        <w:top w:val="none" w:sz="0" w:space="0" w:color="auto"/>
        <w:left w:val="none" w:sz="0" w:space="0" w:color="auto"/>
        <w:bottom w:val="none" w:sz="0" w:space="0" w:color="auto"/>
        <w:right w:val="none" w:sz="0" w:space="0" w:color="auto"/>
      </w:divBdr>
    </w:div>
    <w:div w:id="1647008294">
      <w:bodyDiv w:val="1"/>
      <w:marLeft w:val="0"/>
      <w:marRight w:val="0"/>
      <w:marTop w:val="0"/>
      <w:marBottom w:val="0"/>
      <w:divBdr>
        <w:top w:val="none" w:sz="0" w:space="0" w:color="auto"/>
        <w:left w:val="none" w:sz="0" w:space="0" w:color="auto"/>
        <w:bottom w:val="none" w:sz="0" w:space="0" w:color="auto"/>
        <w:right w:val="none" w:sz="0" w:space="0" w:color="auto"/>
      </w:divBdr>
    </w:div>
    <w:div w:id="1652325527">
      <w:bodyDiv w:val="1"/>
      <w:marLeft w:val="0"/>
      <w:marRight w:val="0"/>
      <w:marTop w:val="0"/>
      <w:marBottom w:val="0"/>
      <w:divBdr>
        <w:top w:val="none" w:sz="0" w:space="0" w:color="auto"/>
        <w:left w:val="none" w:sz="0" w:space="0" w:color="auto"/>
        <w:bottom w:val="none" w:sz="0" w:space="0" w:color="auto"/>
        <w:right w:val="none" w:sz="0" w:space="0" w:color="auto"/>
      </w:divBdr>
      <w:divsChild>
        <w:div w:id="421488937">
          <w:marLeft w:val="0"/>
          <w:marRight w:val="0"/>
          <w:marTop w:val="0"/>
          <w:marBottom w:val="0"/>
          <w:divBdr>
            <w:top w:val="none" w:sz="0" w:space="0" w:color="auto"/>
            <w:left w:val="none" w:sz="0" w:space="0" w:color="auto"/>
            <w:bottom w:val="none" w:sz="0" w:space="0" w:color="auto"/>
            <w:right w:val="none" w:sz="0" w:space="0" w:color="auto"/>
          </w:divBdr>
          <w:divsChild>
            <w:div w:id="166599492">
              <w:marLeft w:val="0"/>
              <w:marRight w:val="0"/>
              <w:marTop w:val="0"/>
              <w:marBottom w:val="0"/>
              <w:divBdr>
                <w:top w:val="none" w:sz="0" w:space="0" w:color="auto"/>
                <w:left w:val="none" w:sz="0" w:space="0" w:color="auto"/>
                <w:bottom w:val="none" w:sz="0" w:space="0" w:color="auto"/>
                <w:right w:val="none" w:sz="0" w:space="0" w:color="auto"/>
              </w:divBdr>
              <w:divsChild>
                <w:div w:id="584343549">
                  <w:marLeft w:val="0"/>
                  <w:marRight w:val="0"/>
                  <w:marTop w:val="0"/>
                  <w:marBottom w:val="0"/>
                  <w:divBdr>
                    <w:top w:val="none" w:sz="0" w:space="0" w:color="auto"/>
                    <w:left w:val="none" w:sz="0" w:space="0" w:color="auto"/>
                    <w:bottom w:val="none" w:sz="0" w:space="0" w:color="auto"/>
                    <w:right w:val="none" w:sz="0" w:space="0" w:color="auto"/>
                  </w:divBdr>
                  <w:divsChild>
                    <w:div w:id="1326397638">
                      <w:marLeft w:val="2325"/>
                      <w:marRight w:val="0"/>
                      <w:marTop w:val="0"/>
                      <w:marBottom w:val="0"/>
                      <w:divBdr>
                        <w:top w:val="none" w:sz="0" w:space="0" w:color="auto"/>
                        <w:left w:val="none" w:sz="0" w:space="0" w:color="auto"/>
                        <w:bottom w:val="none" w:sz="0" w:space="0" w:color="auto"/>
                        <w:right w:val="none" w:sz="0" w:space="0" w:color="auto"/>
                      </w:divBdr>
                      <w:divsChild>
                        <w:div w:id="1988512745">
                          <w:marLeft w:val="0"/>
                          <w:marRight w:val="0"/>
                          <w:marTop w:val="0"/>
                          <w:marBottom w:val="0"/>
                          <w:divBdr>
                            <w:top w:val="none" w:sz="0" w:space="0" w:color="auto"/>
                            <w:left w:val="none" w:sz="0" w:space="0" w:color="auto"/>
                            <w:bottom w:val="none" w:sz="0" w:space="0" w:color="auto"/>
                            <w:right w:val="none" w:sz="0" w:space="0" w:color="auto"/>
                          </w:divBdr>
                          <w:divsChild>
                            <w:div w:id="347098481">
                              <w:marLeft w:val="0"/>
                              <w:marRight w:val="0"/>
                              <w:marTop w:val="0"/>
                              <w:marBottom w:val="0"/>
                              <w:divBdr>
                                <w:top w:val="none" w:sz="0" w:space="0" w:color="auto"/>
                                <w:left w:val="none" w:sz="0" w:space="0" w:color="auto"/>
                                <w:bottom w:val="none" w:sz="0" w:space="0" w:color="auto"/>
                                <w:right w:val="none" w:sz="0" w:space="0" w:color="auto"/>
                              </w:divBdr>
                              <w:divsChild>
                                <w:div w:id="1839804660">
                                  <w:marLeft w:val="0"/>
                                  <w:marRight w:val="0"/>
                                  <w:marTop w:val="0"/>
                                  <w:marBottom w:val="0"/>
                                  <w:divBdr>
                                    <w:top w:val="none" w:sz="0" w:space="0" w:color="auto"/>
                                    <w:left w:val="none" w:sz="0" w:space="0" w:color="auto"/>
                                    <w:bottom w:val="none" w:sz="0" w:space="0" w:color="auto"/>
                                    <w:right w:val="none" w:sz="0" w:space="0" w:color="auto"/>
                                  </w:divBdr>
                                  <w:divsChild>
                                    <w:div w:id="2095658928">
                                      <w:marLeft w:val="0"/>
                                      <w:marRight w:val="0"/>
                                      <w:marTop w:val="0"/>
                                      <w:marBottom w:val="0"/>
                                      <w:divBdr>
                                        <w:top w:val="none" w:sz="0" w:space="0" w:color="auto"/>
                                        <w:left w:val="none" w:sz="0" w:space="0" w:color="auto"/>
                                        <w:bottom w:val="none" w:sz="0" w:space="0" w:color="auto"/>
                                        <w:right w:val="none" w:sz="0" w:space="0" w:color="auto"/>
                                      </w:divBdr>
                                      <w:divsChild>
                                        <w:div w:id="721366120">
                                          <w:marLeft w:val="0"/>
                                          <w:marRight w:val="0"/>
                                          <w:marTop w:val="0"/>
                                          <w:marBottom w:val="0"/>
                                          <w:divBdr>
                                            <w:top w:val="none" w:sz="0" w:space="0" w:color="auto"/>
                                            <w:left w:val="none" w:sz="0" w:space="0" w:color="auto"/>
                                            <w:bottom w:val="none" w:sz="0" w:space="0" w:color="auto"/>
                                            <w:right w:val="none" w:sz="0" w:space="0" w:color="auto"/>
                                          </w:divBdr>
                                          <w:divsChild>
                                            <w:div w:id="1299870889">
                                              <w:marLeft w:val="0"/>
                                              <w:marRight w:val="0"/>
                                              <w:marTop w:val="0"/>
                                              <w:marBottom w:val="0"/>
                                              <w:divBdr>
                                                <w:top w:val="none" w:sz="0" w:space="0" w:color="auto"/>
                                                <w:left w:val="none" w:sz="0" w:space="0" w:color="auto"/>
                                                <w:bottom w:val="none" w:sz="0" w:space="0" w:color="auto"/>
                                                <w:right w:val="none" w:sz="0" w:space="0" w:color="auto"/>
                                              </w:divBdr>
                                              <w:divsChild>
                                                <w:div w:id="1994791883">
                                                  <w:marLeft w:val="0"/>
                                                  <w:marRight w:val="0"/>
                                                  <w:marTop w:val="0"/>
                                                  <w:marBottom w:val="0"/>
                                                  <w:divBdr>
                                                    <w:top w:val="none" w:sz="0" w:space="0" w:color="auto"/>
                                                    <w:left w:val="none" w:sz="0" w:space="0" w:color="auto"/>
                                                    <w:bottom w:val="none" w:sz="0" w:space="0" w:color="auto"/>
                                                    <w:right w:val="none" w:sz="0" w:space="0" w:color="auto"/>
                                                  </w:divBdr>
                                                  <w:divsChild>
                                                    <w:div w:id="1403261082">
                                                      <w:marLeft w:val="0"/>
                                                      <w:marRight w:val="0"/>
                                                      <w:marTop w:val="0"/>
                                                      <w:marBottom w:val="0"/>
                                                      <w:divBdr>
                                                        <w:top w:val="none" w:sz="0" w:space="0" w:color="auto"/>
                                                        <w:left w:val="none" w:sz="0" w:space="0" w:color="auto"/>
                                                        <w:bottom w:val="none" w:sz="0" w:space="0" w:color="auto"/>
                                                        <w:right w:val="none" w:sz="0" w:space="0" w:color="auto"/>
                                                      </w:divBdr>
                                                      <w:divsChild>
                                                        <w:div w:id="746343835">
                                                          <w:marLeft w:val="0"/>
                                                          <w:marRight w:val="0"/>
                                                          <w:marTop w:val="15"/>
                                                          <w:marBottom w:val="15"/>
                                                          <w:divBdr>
                                                            <w:top w:val="none" w:sz="0" w:space="0" w:color="auto"/>
                                                            <w:left w:val="none" w:sz="0" w:space="0" w:color="auto"/>
                                                            <w:bottom w:val="none" w:sz="0" w:space="0" w:color="auto"/>
                                                            <w:right w:val="none" w:sz="0" w:space="0" w:color="auto"/>
                                                          </w:divBdr>
                                                          <w:divsChild>
                                                            <w:div w:id="420953050">
                                                              <w:marLeft w:val="0"/>
                                                              <w:marRight w:val="0"/>
                                                              <w:marTop w:val="0"/>
                                                              <w:marBottom w:val="0"/>
                                                              <w:divBdr>
                                                                <w:top w:val="none" w:sz="0" w:space="0" w:color="auto"/>
                                                                <w:left w:val="none" w:sz="0" w:space="0" w:color="auto"/>
                                                                <w:bottom w:val="none" w:sz="0" w:space="0" w:color="auto"/>
                                                                <w:right w:val="none" w:sz="0" w:space="0" w:color="auto"/>
                                                              </w:divBdr>
                                                              <w:divsChild>
                                                                <w:div w:id="1451508521">
                                                                  <w:marLeft w:val="0"/>
                                                                  <w:marRight w:val="0"/>
                                                                  <w:marTop w:val="0"/>
                                                                  <w:marBottom w:val="0"/>
                                                                  <w:divBdr>
                                                                    <w:top w:val="none" w:sz="0" w:space="0" w:color="auto"/>
                                                                    <w:left w:val="none" w:sz="0" w:space="0" w:color="auto"/>
                                                                    <w:bottom w:val="none" w:sz="0" w:space="0" w:color="auto"/>
                                                                    <w:right w:val="none" w:sz="0" w:space="0" w:color="auto"/>
                                                                  </w:divBdr>
                                                                  <w:divsChild>
                                                                    <w:div w:id="336738887">
                                                                      <w:marLeft w:val="0"/>
                                                                      <w:marRight w:val="0"/>
                                                                      <w:marTop w:val="0"/>
                                                                      <w:marBottom w:val="0"/>
                                                                      <w:divBdr>
                                                                        <w:top w:val="none" w:sz="0" w:space="0" w:color="auto"/>
                                                                        <w:left w:val="none" w:sz="0" w:space="0" w:color="auto"/>
                                                                        <w:bottom w:val="none" w:sz="0" w:space="0" w:color="auto"/>
                                                                        <w:right w:val="none" w:sz="0" w:space="0" w:color="auto"/>
                                                                      </w:divBdr>
                                                                      <w:divsChild>
                                                                        <w:div w:id="279529876">
                                                                          <w:marLeft w:val="0"/>
                                                                          <w:marRight w:val="0"/>
                                                                          <w:marTop w:val="0"/>
                                                                          <w:marBottom w:val="0"/>
                                                                          <w:divBdr>
                                                                            <w:top w:val="none" w:sz="0" w:space="0" w:color="auto"/>
                                                                            <w:left w:val="none" w:sz="0" w:space="0" w:color="auto"/>
                                                                            <w:bottom w:val="none" w:sz="0" w:space="0" w:color="auto"/>
                                                                            <w:right w:val="none" w:sz="0" w:space="0" w:color="auto"/>
                                                                          </w:divBdr>
                                                                          <w:divsChild>
                                                                            <w:div w:id="455299996">
                                                                              <w:marLeft w:val="0"/>
                                                                              <w:marRight w:val="0"/>
                                                                              <w:marTop w:val="0"/>
                                                                              <w:marBottom w:val="0"/>
                                                                              <w:divBdr>
                                                                                <w:top w:val="none" w:sz="0" w:space="0" w:color="auto"/>
                                                                                <w:left w:val="none" w:sz="0" w:space="0" w:color="auto"/>
                                                                                <w:bottom w:val="none" w:sz="0" w:space="0" w:color="auto"/>
                                                                                <w:right w:val="none" w:sz="0" w:space="0" w:color="auto"/>
                                                                              </w:divBdr>
                                                                              <w:divsChild>
                                                                                <w:div w:id="1721709142">
                                                                                  <w:marLeft w:val="0"/>
                                                                                  <w:marRight w:val="0"/>
                                                                                  <w:marTop w:val="0"/>
                                                                                  <w:marBottom w:val="0"/>
                                                                                  <w:divBdr>
                                                                                    <w:top w:val="none" w:sz="0" w:space="0" w:color="auto"/>
                                                                                    <w:left w:val="none" w:sz="0" w:space="0" w:color="auto"/>
                                                                                    <w:bottom w:val="none" w:sz="0" w:space="0" w:color="auto"/>
                                                                                    <w:right w:val="none" w:sz="0" w:space="0" w:color="auto"/>
                                                                                  </w:divBdr>
                                                                                  <w:divsChild>
                                                                                    <w:div w:id="1334409477">
                                                                                      <w:marLeft w:val="0"/>
                                                                                      <w:marRight w:val="0"/>
                                                                                      <w:marTop w:val="0"/>
                                                                                      <w:marBottom w:val="0"/>
                                                                                      <w:divBdr>
                                                                                        <w:top w:val="none" w:sz="0" w:space="0" w:color="auto"/>
                                                                                        <w:left w:val="none" w:sz="0" w:space="0" w:color="auto"/>
                                                                                        <w:bottom w:val="none" w:sz="0" w:space="0" w:color="auto"/>
                                                                                        <w:right w:val="none" w:sz="0" w:space="0" w:color="auto"/>
                                                                                      </w:divBdr>
                                                                                      <w:divsChild>
                                                                                        <w:div w:id="1203245876">
                                                                                          <w:marLeft w:val="0"/>
                                                                                          <w:marRight w:val="0"/>
                                                                                          <w:marTop w:val="0"/>
                                                                                          <w:marBottom w:val="0"/>
                                                                                          <w:divBdr>
                                                                                            <w:top w:val="none" w:sz="0" w:space="0" w:color="auto"/>
                                                                                            <w:left w:val="none" w:sz="0" w:space="0" w:color="auto"/>
                                                                                            <w:bottom w:val="none" w:sz="0" w:space="0" w:color="auto"/>
                                                                                            <w:right w:val="none" w:sz="0" w:space="0" w:color="auto"/>
                                                                                          </w:divBdr>
                                                                                          <w:divsChild>
                                                                                            <w:div w:id="982543266">
                                                                                              <w:marLeft w:val="0"/>
                                                                                              <w:marRight w:val="0"/>
                                                                                              <w:marTop w:val="0"/>
                                                                                              <w:marBottom w:val="0"/>
                                                                                              <w:divBdr>
                                                                                                <w:top w:val="none" w:sz="0" w:space="0" w:color="auto"/>
                                                                                                <w:left w:val="none" w:sz="0" w:space="0" w:color="auto"/>
                                                                                                <w:bottom w:val="none" w:sz="0" w:space="0" w:color="auto"/>
                                                                                                <w:right w:val="none" w:sz="0" w:space="0" w:color="auto"/>
                                                                                              </w:divBdr>
                                                                                              <w:divsChild>
                                                                                                <w:div w:id="1430079688">
                                                                                                  <w:marLeft w:val="0"/>
                                                                                                  <w:marRight w:val="0"/>
                                                                                                  <w:marTop w:val="0"/>
                                                                                                  <w:marBottom w:val="0"/>
                                                                                                  <w:divBdr>
                                                                                                    <w:top w:val="none" w:sz="0" w:space="0" w:color="auto"/>
                                                                                                    <w:left w:val="none" w:sz="0" w:space="0" w:color="auto"/>
                                                                                                    <w:bottom w:val="none" w:sz="0" w:space="0" w:color="auto"/>
                                                                                                    <w:right w:val="none" w:sz="0" w:space="0" w:color="auto"/>
                                                                                                  </w:divBdr>
                                                                                                  <w:divsChild>
                                                                                                    <w:div w:id="62217148">
                                                                                                      <w:marLeft w:val="0"/>
                                                                                                      <w:marRight w:val="0"/>
                                                                                                      <w:marTop w:val="0"/>
                                                                                                      <w:marBottom w:val="0"/>
                                                                                                      <w:divBdr>
                                                                                                        <w:top w:val="none" w:sz="0" w:space="0" w:color="auto"/>
                                                                                                        <w:left w:val="none" w:sz="0" w:space="0" w:color="auto"/>
                                                                                                        <w:bottom w:val="none" w:sz="0" w:space="0" w:color="auto"/>
                                                                                                        <w:right w:val="none" w:sz="0" w:space="0" w:color="auto"/>
                                                                                                      </w:divBdr>
                                                                                                      <w:divsChild>
                                                                                                        <w:div w:id="204448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265199">
      <w:bodyDiv w:val="1"/>
      <w:marLeft w:val="0"/>
      <w:marRight w:val="0"/>
      <w:marTop w:val="0"/>
      <w:marBottom w:val="0"/>
      <w:divBdr>
        <w:top w:val="none" w:sz="0" w:space="0" w:color="auto"/>
        <w:left w:val="none" w:sz="0" w:space="0" w:color="auto"/>
        <w:bottom w:val="none" w:sz="0" w:space="0" w:color="auto"/>
        <w:right w:val="none" w:sz="0" w:space="0" w:color="auto"/>
      </w:divBdr>
    </w:div>
    <w:div w:id="1906791556">
      <w:bodyDiv w:val="1"/>
      <w:marLeft w:val="0"/>
      <w:marRight w:val="0"/>
      <w:marTop w:val="0"/>
      <w:marBottom w:val="0"/>
      <w:divBdr>
        <w:top w:val="none" w:sz="0" w:space="0" w:color="auto"/>
        <w:left w:val="none" w:sz="0" w:space="0" w:color="auto"/>
        <w:bottom w:val="none" w:sz="0" w:space="0" w:color="auto"/>
        <w:right w:val="none" w:sz="0" w:space="0" w:color="auto"/>
      </w:divBdr>
    </w:div>
    <w:div w:id="1928731132">
      <w:bodyDiv w:val="1"/>
      <w:marLeft w:val="0"/>
      <w:marRight w:val="0"/>
      <w:marTop w:val="0"/>
      <w:marBottom w:val="0"/>
      <w:divBdr>
        <w:top w:val="none" w:sz="0" w:space="0" w:color="auto"/>
        <w:left w:val="none" w:sz="0" w:space="0" w:color="auto"/>
        <w:bottom w:val="none" w:sz="0" w:space="0" w:color="auto"/>
        <w:right w:val="none" w:sz="0" w:space="0" w:color="auto"/>
      </w:divBdr>
    </w:div>
    <w:div w:id="1967467924">
      <w:bodyDiv w:val="1"/>
      <w:marLeft w:val="0"/>
      <w:marRight w:val="0"/>
      <w:marTop w:val="0"/>
      <w:marBottom w:val="0"/>
      <w:divBdr>
        <w:top w:val="none" w:sz="0" w:space="0" w:color="auto"/>
        <w:left w:val="none" w:sz="0" w:space="0" w:color="auto"/>
        <w:bottom w:val="none" w:sz="0" w:space="0" w:color="auto"/>
        <w:right w:val="none" w:sz="0" w:space="0" w:color="auto"/>
      </w:divBdr>
    </w:div>
    <w:div w:id="1984970476">
      <w:bodyDiv w:val="1"/>
      <w:marLeft w:val="0"/>
      <w:marRight w:val="0"/>
      <w:marTop w:val="0"/>
      <w:marBottom w:val="0"/>
      <w:divBdr>
        <w:top w:val="none" w:sz="0" w:space="0" w:color="auto"/>
        <w:left w:val="none" w:sz="0" w:space="0" w:color="auto"/>
        <w:bottom w:val="none" w:sz="0" w:space="0" w:color="auto"/>
        <w:right w:val="none" w:sz="0" w:space="0" w:color="auto"/>
      </w:divBdr>
    </w:div>
    <w:div w:id="1999266212">
      <w:bodyDiv w:val="1"/>
      <w:marLeft w:val="0"/>
      <w:marRight w:val="0"/>
      <w:marTop w:val="0"/>
      <w:marBottom w:val="0"/>
      <w:divBdr>
        <w:top w:val="none" w:sz="0" w:space="0" w:color="auto"/>
        <w:left w:val="none" w:sz="0" w:space="0" w:color="auto"/>
        <w:bottom w:val="none" w:sz="0" w:space="0" w:color="auto"/>
        <w:right w:val="none" w:sz="0" w:space="0" w:color="auto"/>
      </w:divBdr>
    </w:div>
    <w:div w:id="2018461168">
      <w:bodyDiv w:val="1"/>
      <w:marLeft w:val="0"/>
      <w:marRight w:val="0"/>
      <w:marTop w:val="0"/>
      <w:marBottom w:val="0"/>
      <w:divBdr>
        <w:top w:val="none" w:sz="0" w:space="0" w:color="auto"/>
        <w:left w:val="none" w:sz="0" w:space="0" w:color="auto"/>
        <w:bottom w:val="none" w:sz="0" w:space="0" w:color="auto"/>
        <w:right w:val="none" w:sz="0" w:space="0" w:color="auto"/>
      </w:divBdr>
    </w:div>
    <w:div w:id="2080440744">
      <w:bodyDiv w:val="1"/>
      <w:marLeft w:val="0"/>
      <w:marRight w:val="0"/>
      <w:marTop w:val="0"/>
      <w:marBottom w:val="0"/>
      <w:divBdr>
        <w:top w:val="none" w:sz="0" w:space="0" w:color="auto"/>
        <w:left w:val="none" w:sz="0" w:space="0" w:color="auto"/>
        <w:bottom w:val="none" w:sz="0" w:space="0" w:color="auto"/>
        <w:right w:val="none" w:sz="0" w:space="0" w:color="auto"/>
      </w:divBdr>
      <w:divsChild>
        <w:div w:id="482626885">
          <w:marLeft w:val="0"/>
          <w:marRight w:val="0"/>
          <w:marTop w:val="0"/>
          <w:marBottom w:val="0"/>
          <w:divBdr>
            <w:top w:val="none" w:sz="0" w:space="0" w:color="auto"/>
            <w:left w:val="none" w:sz="0" w:space="0" w:color="auto"/>
            <w:bottom w:val="none" w:sz="0" w:space="0" w:color="auto"/>
            <w:right w:val="none" w:sz="0" w:space="0" w:color="auto"/>
          </w:divBdr>
          <w:divsChild>
            <w:div w:id="1090394708">
              <w:marLeft w:val="0"/>
              <w:marRight w:val="0"/>
              <w:marTop w:val="0"/>
              <w:marBottom w:val="0"/>
              <w:divBdr>
                <w:top w:val="none" w:sz="0" w:space="0" w:color="auto"/>
                <w:left w:val="none" w:sz="0" w:space="0" w:color="auto"/>
                <w:bottom w:val="none" w:sz="0" w:space="0" w:color="auto"/>
                <w:right w:val="none" w:sz="0" w:space="0" w:color="auto"/>
              </w:divBdr>
              <w:divsChild>
                <w:div w:id="1027752456">
                  <w:marLeft w:val="0"/>
                  <w:marRight w:val="0"/>
                  <w:marTop w:val="0"/>
                  <w:marBottom w:val="0"/>
                  <w:divBdr>
                    <w:top w:val="none" w:sz="0" w:space="0" w:color="auto"/>
                    <w:left w:val="none" w:sz="0" w:space="0" w:color="auto"/>
                    <w:bottom w:val="none" w:sz="0" w:space="0" w:color="auto"/>
                    <w:right w:val="none" w:sz="0" w:space="0" w:color="auto"/>
                  </w:divBdr>
                  <w:divsChild>
                    <w:div w:id="1281646560">
                      <w:marLeft w:val="0"/>
                      <w:marRight w:val="0"/>
                      <w:marTop w:val="0"/>
                      <w:marBottom w:val="0"/>
                      <w:divBdr>
                        <w:top w:val="none" w:sz="0" w:space="0" w:color="auto"/>
                        <w:left w:val="none" w:sz="0" w:space="0" w:color="auto"/>
                        <w:bottom w:val="none" w:sz="0" w:space="0" w:color="auto"/>
                        <w:right w:val="none" w:sz="0" w:space="0" w:color="auto"/>
                      </w:divBdr>
                      <w:divsChild>
                        <w:div w:id="423303639">
                          <w:marLeft w:val="0"/>
                          <w:marRight w:val="0"/>
                          <w:marTop w:val="0"/>
                          <w:marBottom w:val="0"/>
                          <w:divBdr>
                            <w:top w:val="none" w:sz="0" w:space="0" w:color="auto"/>
                            <w:left w:val="none" w:sz="0" w:space="0" w:color="auto"/>
                            <w:bottom w:val="none" w:sz="0" w:space="0" w:color="auto"/>
                            <w:right w:val="none" w:sz="0" w:space="0" w:color="auto"/>
                          </w:divBdr>
                          <w:divsChild>
                            <w:div w:id="519128867">
                              <w:marLeft w:val="0"/>
                              <w:marRight w:val="0"/>
                              <w:marTop w:val="0"/>
                              <w:marBottom w:val="0"/>
                              <w:divBdr>
                                <w:top w:val="none" w:sz="0" w:space="0" w:color="auto"/>
                                <w:left w:val="none" w:sz="0" w:space="0" w:color="auto"/>
                                <w:bottom w:val="none" w:sz="0" w:space="0" w:color="auto"/>
                                <w:right w:val="none" w:sz="0" w:space="0" w:color="auto"/>
                              </w:divBdr>
                              <w:divsChild>
                                <w:div w:id="605581978">
                                  <w:marLeft w:val="0"/>
                                  <w:marRight w:val="0"/>
                                  <w:marTop w:val="0"/>
                                  <w:marBottom w:val="0"/>
                                  <w:divBdr>
                                    <w:top w:val="none" w:sz="0" w:space="0" w:color="auto"/>
                                    <w:left w:val="none" w:sz="0" w:space="0" w:color="auto"/>
                                    <w:bottom w:val="none" w:sz="0" w:space="0" w:color="auto"/>
                                    <w:right w:val="none" w:sz="0" w:space="0" w:color="auto"/>
                                  </w:divBdr>
                                  <w:divsChild>
                                    <w:div w:id="743455315">
                                      <w:marLeft w:val="0"/>
                                      <w:marRight w:val="0"/>
                                      <w:marTop w:val="0"/>
                                      <w:marBottom w:val="0"/>
                                      <w:divBdr>
                                        <w:top w:val="none" w:sz="0" w:space="0" w:color="auto"/>
                                        <w:left w:val="none" w:sz="0" w:space="0" w:color="auto"/>
                                        <w:bottom w:val="none" w:sz="0" w:space="0" w:color="auto"/>
                                        <w:right w:val="none" w:sz="0" w:space="0" w:color="auto"/>
                                      </w:divBdr>
                                      <w:divsChild>
                                        <w:div w:id="477382358">
                                          <w:marLeft w:val="0"/>
                                          <w:marRight w:val="0"/>
                                          <w:marTop w:val="0"/>
                                          <w:marBottom w:val="0"/>
                                          <w:divBdr>
                                            <w:top w:val="none" w:sz="0" w:space="0" w:color="auto"/>
                                            <w:left w:val="none" w:sz="0" w:space="0" w:color="auto"/>
                                            <w:bottom w:val="none" w:sz="0" w:space="0" w:color="auto"/>
                                            <w:right w:val="none" w:sz="0" w:space="0" w:color="auto"/>
                                          </w:divBdr>
                                          <w:divsChild>
                                            <w:div w:id="22560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4379645">
      <w:bodyDiv w:val="1"/>
      <w:marLeft w:val="0"/>
      <w:marRight w:val="0"/>
      <w:marTop w:val="0"/>
      <w:marBottom w:val="0"/>
      <w:divBdr>
        <w:top w:val="none" w:sz="0" w:space="0" w:color="auto"/>
        <w:left w:val="none" w:sz="0" w:space="0" w:color="auto"/>
        <w:bottom w:val="none" w:sz="0" w:space="0" w:color="auto"/>
        <w:right w:val="none" w:sz="0" w:space="0" w:color="auto"/>
      </w:divBdr>
      <w:divsChild>
        <w:div w:id="1684238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customXml" Target="../customXml/item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fontTable" Target="fontTable.xml"/></Relationships>
</file>

<file path=word/_rels/foot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_rels/theme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blipFill dpi="0" rotWithShape="0">
          <a:blip xmlns:r="http://schemas.openxmlformats.org/officeDocument/2006/relationships" r:embed="rId1"/>
          <a:srcRect/>
          <a:stretch>
            <a:fillRect/>
          </a:stretch>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rot="0" vert="horz" wrap="square" lIns="91440" tIns="91440" rIns="91440" bIns="9144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8A10B62-E375-47DE-982E-E83F0FCD1855}"/>
</file>

<file path=customXml/itemProps2.xml><?xml version="1.0" encoding="utf-8"?>
<ds:datastoreItem xmlns:ds="http://schemas.openxmlformats.org/officeDocument/2006/customXml" ds:itemID="{C7F81451-DF66-4A3D-9C4E-0461BFFCEBE8}"/>
</file>

<file path=customXml/itemProps3.xml><?xml version="1.0" encoding="utf-8"?>
<ds:datastoreItem xmlns:ds="http://schemas.openxmlformats.org/officeDocument/2006/customXml" ds:itemID="{281FA704-2F42-4C10-8828-5745F4395D68}"/>
</file>

<file path=customXml/itemProps4.xml><?xml version="1.0" encoding="utf-8"?>
<ds:datastoreItem xmlns:ds="http://schemas.openxmlformats.org/officeDocument/2006/customXml" ds:itemID="{2E883631-6C8C-455B-A62C-C84F8A6E54F7}"/>
</file>

<file path=docProps/app.xml><?xml version="1.0" encoding="utf-8"?>
<Properties xmlns="http://schemas.openxmlformats.org/officeDocument/2006/extended-properties" xmlns:vt="http://schemas.openxmlformats.org/officeDocument/2006/docPropsVTypes">
  <Template>6A36DDEF</Template>
  <TotalTime>0</TotalTime>
  <Pages>30</Pages>
  <Words>12148</Words>
  <Characters>69244</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2014-10-29T03:17:00Z</dcterms:created>
  <dcterms:modified xsi:type="dcterms:W3CDTF">2014-10-29T03:17:00Z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911700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