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F4FEE" w14:textId="23F558E5" w:rsidR="0079782B" w:rsidRPr="00B64B80" w:rsidRDefault="005E0927" w:rsidP="00AA1A95">
      <w:pPr>
        <w:pStyle w:val="Heading1"/>
        <w:spacing w:before="0" w:after="200" w:line="276" w:lineRule="auto"/>
        <w:jc w:val="both"/>
        <w:rPr>
          <w:rFonts w:asciiTheme="minorHAnsi" w:hAnsiTheme="minorHAnsi" w:cstheme="minorHAnsi"/>
          <w:b/>
          <w:caps/>
          <w:sz w:val="28"/>
          <w:szCs w:val="28"/>
          <w:lang w:val="en-AU"/>
        </w:rPr>
      </w:pPr>
      <w:r w:rsidRPr="00B64B80">
        <w:rPr>
          <w:rFonts w:asciiTheme="minorHAnsi" w:hAnsiTheme="minorHAnsi" w:cstheme="minorHAnsi"/>
          <w:b/>
          <w:caps/>
          <w:sz w:val="28"/>
          <w:szCs w:val="28"/>
          <w:lang w:val="en-AU"/>
        </w:rPr>
        <w:t xml:space="preserve">chapter summary: </w:t>
      </w:r>
      <w:r w:rsidR="00A7274B" w:rsidRPr="00B64B80">
        <w:rPr>
          <w:rFonts w:asciiTheme="minorHAnsi" w:hAnsiTheme="minorHAnsi" w:cstheme="minorHAnsi"/>
          <w:b/>
          <w:caps/>
          <w:sz w:val="28"/>
          <w:szCs w:val="28"/>
          <w:lang w:val="en-AU"/>
        </w:rPr>
        <w:t xml:space="preserve">technical barriers to trade </w:t>
      </w:r>
      <w:r w:rsidR="0052077E" w:rsidRPr="00B64B80">
        <w:rPr>
          <w:rFonts w:asciiTheme="minorHAnsi" w:hAnsiTheme="minorHAnsi" w:cstheme="minorHAnsi"/>
          <w:b/>
          <w:caps/>
          <w:sz w:val="28"/>
          <w:szCs w:val="28"/>
          <w:lang w:val="en-AU"/>
        </w:rPr>
        <w:t xml:space="preserve"> </w:t>
      </w:r>
    </w:p>
    <w:p w14:paraId="7298328F" w14:textId="0F47669E"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The Technical Barriers to Trade (TBT) </w:t>
      </w:r>
      <w:r w:rsidR="00BE3DB8">
        <w:rPr>
          <w:rFonts w:asciiTheme="minorHAnsi" w:hAnsiTheme="minorHAnsi" w:cstheme="minorHAnsi"/>
          <w:sz w:val="22"/>
        </w:rPr>
        <w:t>C</w:t>
      </w:r>
      <w:r w:rsidRPr="00B64B80">
        <w:rPr>
          <w:rFonts w:asciiTheme="minorHAnsi" w:hAnsiTheme="minorHAnsi" w:cstheme="minorHAnsi"/>
          <w:sz w:val="22"/>
        </w:rPr>
        <w:t xml:space="preserve">hapter sets out the basic rights and obligations of </w:t>
      </w:r>
      <w:r w:rsidR="007321B5" w:rsidRPr="00B64B80">
        <w:rPr>
          <w:rFonts w:asciiTheme="minorHAnsi" w:hAnsiTheme="minorHAnsi" w:cstheme="minorHAnsi"/>
          <w:sz w:val="22"/>
        </w:rPr>
        <w:t>TPP P</w:t>
      </w:r>
      <w:r w:rsidRPr="00B64B80">
        <w:rPr>
          <w:rFonts w:asciiTheme="minorHAnsi" w:hAnsiTheme="minorHAnsi" w:cstheme="minorHAnsi"/>
          <w:sz w:val="22"/>
        </w:rPr>
        <w:t xml:space="preserve">arties when putting in place technical regulations and standards. These technical requirements take a wide range of forms and include design and content requirements, safety standards and testing procedures.  Technical requirements are supported by assessment and certification procedures. </w:t>
      </w:r>
    </w:p>
    <w:p w14:paraId="0295A2B7" w14:textId="7162995A"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The TBT chapter does not </w:t>
      </w:r>
      <w:r w:rsidR="00177BCE" w:rsidRPr="00B64B80">
        <w:rPr>
          <w:rFonts w:asciiTheme="minorHAnsi" w:hAnsiTheme="minorHAnsi" w:cstheme="minorHAnsi"/>
          <w:sz w:val="22"/>
        </w:rPr>
        <w:t xml:space="preserve">take away </w:t>
      </w:r>
      <w:r w:rsidRPr="00B64B80">
        <w:rPr>
          <w:rFonts w:asciiTheme="minorHAnsi" w:hAnsiTheme="minorHAnsi" w:cstheme="minorHAnsi"/>
          <w:sz w:val="22"/>
        </w:rPr>
        <w:t xml:space="preserve">Australia’s right to impose technical requirements, standards or labels to products imported and sold in Australia. It does not </w:t>
      </w:r>
      <w:r w:rsidR="007321B5" w:rsidRPr="00B64B80">
        <w:rPr>
          <w:rFonts w:asciiTheme="minorHAnsi" w:hAnsiTheme="minorHAnsi" w:cstheme="minorHAnsi"/>
          <w:sz w:val="22"/>
        </w:rPr>
        <w:t xml:space="preserve">create </w:t>
      </w:r>
      <w:r w:rsidRPr="00B64B80">
        <w:rPr>
          <w:rFonts w:asciiTheme="minorHAnsi" w:hAnsiTheme="minorHAnsi" w:cstheme="minorHAnsi"/>
          <w:sz w:val="22"/>
        </w:rPr>
        <w:t xml:space="preserve">technical requirements or standards for specific products. </w:t>
      </w:r>
    </w:p>
    <w:p w14:paraId="65B9F220" w14:textId="77777777" w:rsidR="007321B5" w:rsidRPr="00B64B80" w:rsidRDefault="007321B5" w:rsidP="00AA1A95">
      <w:pPr>
        <w:pStyle w:val="Heading1"/>
        <w:spacing w:before="0" w:after="200" w:line="276" w:lineRule="auto"/>
        <w:jc w:val="both"/>
        <w:rPr>
          <w:b/>
          <w:caps/>
          <w:sz w:val="24"/>
          <w:szCs w:val="24"/>
          <w:lang w:val="en-AU"/>
        </w:rPr>
      </w:pPr>
      <w:r w:rsidRPr="00B64B80">
        <w:rPr>
          <w:b/>
          <w:caps/>
          <w:sz w:val="24"/>
          <w:szCs w:val="24"/>
          <w:lang w:val="en-AU"/>
        </w:rPr>
        <w:t>more information on the chapter</w:t>
      </w:r>
    </w:p>
    <w:p w14:paraId="6B61DA11" w14:textId="2B604220" w:rsidR="00A7274B" w:rsidRPr="00B64B80" w:rsidRDefault="00A7274B" w:rsidP="00CC6990">
      <w:pPr>
        <w:spacing w:after="200" w:line="276" w:lineRule="auto"/>
        <w:jc w:val="both"/>
        <w:rPr>
          <w:rFonts w:asciiTheme="minorHAnsi" w:hAnsiTheme="minorHAnsi" w:cstheme="minorHAnsi"/>
          <w:sz w:val="22"/>
        </w:rPr>
      </w:pPr>
      <w:r w:rsidRPr="00B64B80">
        <w:rPr>
          <w:rFonts w:asciiTheme="minorHAnsi" w:hAnsiTheme="minorHAnsi" w:cstheme="minorHAnsi"/>
          <w:sz w:val="22"/>
        </w:rPr>
        <w:t>T</w:t>
      </w:r>
      <w:bookmarkStart w:id="0" w:name="_GoBack"/>
      <w:r w:rsidRPr="00B64B80">
        <w:rPr>
          <w:rFonts w:asciiTheme="minorHAnsi" w:hAnsiTheme="minorHAnsi" w:cstheme="minorHAnsi"/>
          <w:sz w:val="22"/>
        </w:rPr>
        <w:t xml:space="preserve">he </w:t>
      </w:r>
      <w:r w:rsidR="007321B5" w:rsidRPr="00B64B80">
        <w:rPr>
          <w:rFonts w:asciiTheme="minorHAnsi" w:hAnsiTheme="minorHAnsi" w:cstheme="minorHAnsi"/>
          <w:sz w:val="22"/>
        </w:rPr>
        <w:t xml:space="preserve">Chapter’s </w:t>
      </w:r>
      <w:r w:rsidRPr="00B64B80">
        <w:rPr>
          <w:rFonts w:asciiTheme="minorHAnsi" w:hAnsiTheme="minorHAnsi" w:cstheme="minorHAnsi"/>
          <w:sz w:val="22"/>
        </w:rPr>
        <w:t>primary aim is to facilitate trade, including by eliminating discriminatory barriers to trade and those that are more trade</w:t>
      </w:r>
      <w:r w:rsidR="00177BCE" w:rsidRPr="00B64B80">
        <w:rPr>
          <w:rFonts w:asciiTheme="minorHAnsi" w:hAnsiTheme="minorHAnsi" w:cstheme="minorHAnsi"/>
          <w:sz w:val="22"/>
        </w:rPr>
        <w:t xml:space="preserve"> </w:t>
      </w:r>
      <w:r w:rsidRPr="00B64B80">
        <w:rPr>
          <w:rFonts w:asciiTheme="minorHAnsi" w:hAnsiTheme="minorHAnsi" w:cstheme="minorHAnsi"/>
          <w:sz w:val="22"/>
        </w:rPr>
        <w:t xml:space="preserve">restrictive than necessary. It also enhances transparency and promotes good practice and greater regulatory cooperation. </w:t>
      </w:r>
    </w:p>
    <w:p w14:paraId="712D0DF8" w14:textId="0FA853F1" w:rsidR="00A7274B" w:rsidRPr="00B64B80" w:rsidRDefault="00A7274B" w:rsidP="00CC6990">
      <w:pPr>
        <w:spacing w:after="200" w:line="276" w:lineRule="auto"/>
        <w:jc w:val="both"/>
        <w:rPr>
          <w:rFonts w:asciiTheme="minorHAnsi" w:hAnsiTheme="minorHAnsi" w:cstheme="minorHAnsi"/>
          <w:sz w:val="22"/>
        </w:rPr>
      </w:pPr>
      <w:r w:rsidRPr="0017394A">
        <w:rPr>
          <w:rFonts w:asciiTheme="minorHAnsi" w:hAnsiTheme="minorHAnsi" w:cstheme="minorHAnsi"/>
          <w:sz w:val="22"/>
        </w:rPr>
        <w:t>Australia’s two way goods trade with TPP countries was valued at $</w:t>
      </w:r>
      <w:r w:rsidR="00945BD8" w:rsidRPr="0017394A">
        <w:rPr>
          <w:rFonts w:asciiTheme="minorHAnsi" w:hAnsiTheme="minorHAnsi" w:cstheme="minorHAnsi"/>
          <w:sz w:val="22"/>
        </w:rPr>
        <w:t>162</w:t>
      </w:r>
      <w:r w:rsidRPr="0017394A">
        <w:rPr>
          <w:rFonts w:asciiTheme="minorHAnsi" w:hAnsiTheme="minorHAnsi" w:cstheme="minorHAnsi"/>
          <w:sz w:val="22"/>
        </w:rPr>
        <w:t xml:space="preserve"> billion in 201</w:t>
      </w:r>
      <w:r w:rsidR="001D7B70" w:rsidRPr="0017394A">
        <w:rPr>
          <w:rFonts w:asciiTheme="minorHAnsi" w:hAnsiTheme="minorHAnsi" w:cstheme="minorHAnsi"/>
          <w:sz w:val="22"/>
        </w:rPr>
        <w:t>5</w:t>
      </w:r>
      <w:r w:rsidR="00945BD8" w:rsidRPr="0017394A">
        <w:rPr>
          <w:rFonts w:asciiTheme="minorHAnsi" w:hAnsiTheme="minorHAnsi" w:cstheme="minorHAnsi"/>
          <w:sz w:val="22"/>
        </w:rPr>
        <w:t>-16</w:t>
      </w:r>
      <w:r w:rsidR="00786B48" w:rsidRPr="0017394A">
        <w:rPr>
          <w:rFonts w:asciiTheme="minorHAnsi" w:hAnsiTheme="minorHAnsi" w:cstheme="minorHAnsi"/>
          <w:sz w:val="22"/>
        </w:rPr>
        <w:t>,</w:t>
      </w:r>
      <w:r w:rsidRPr="0017394A">
        <w:rPr>
          <w:rFonts w:asciiTheme="minorHAnsi" w:hAnsiTheme="minorHAnsi" w:cstheme="minorHAnsi"/>
          <w:sz w:val="22"/>
        </w:rPr>
        <w:t xml:space="preserve"> with exports to </w:t>
      </w:r>
      <w:r w:rsidR="00786B48" w:rsidRPr="0017394A">
        <w:rPr>
          <w:rFonts w:asciiTheme="minorHAnsi" w:hAnsiTheme="minorHAnsi" w:cstheme="minorHAnsi"/>
          <w:sz w:val="22"/>
        </w:rPr>
        <w:t xml:space="preserve">TPP countries </w:t>
      </w:r>
      <w:r w:rsidRPr="0017394A">
        <w:rPr>
          <w:rFonts w:asciiTheme="minorHAnsi" w:hAnsiTheme="minorHAnsi" w:cstheme="minorHAnsi"/>
          <w:sz w:val="22"/>
        </w:rPr>
        <w:t>worth $</w:t>
      </w:r>
      <w:r w:rsidR="00945BD8" w:rsidRPr="0017394A">
        <w:rPr>
          <w:rFonts w:asciiTheme="minorHAnsi" w:hAnsiTheme="minorHAnsi" w:cstheme="minorHAnsi"/>
          <w:sz w:val="22"/>
        </w:rPr>
        <w:t xml:space="preserve">75 </w:t>
      </w:r>
      <w:r w:rsidRPr="0017394A">
        <w:rPr>
          <w:rFonts w:asciiTheme="minorHAnsi" w:hAnsiTheme="minorHAnsi" w:cstheme="minorHAnsi"/>
          <w:sz w:val="22"/>
        </w:rPr>
        <w:t>billion.</w:t>
      </w:r>
      <w:r w:rsidRPr="00B64B80">
        <w:rPr>
          <w:rFonts w:asciiTheme="minorHAnsi" w:hAnsiTheme="minorHAnsi" w:cstheme="minorHAnsi"/>
          <w:sz w:val="22"/>
        </w:rPr>
        <w:t xml:space="preserve"> Many exports are subject to technical barriers to trade, often referred to as non-tariff barriers (NTBs), in the form of licences, technical requirements and standards or labelling requirements. According to many businesses</w:t>
      </w:r>
      <w:r w:rsidR="007321B5" w:rsidRPr="00B64B80">
        <w:rPr>
          <w:rFonts w:asciiTheme="minorHAnsi" w:hAnsiTheme="minorHAnsi" w:cstheme="minorHAnsi"/>
          <w:sz w:val="22"/>
        </w:rPr>
        <w:t>,</w:t>
      </w:r>
      <w:r w:rsidRPr="00B64B80">
        <w:rPr>
          <w:rFonts w:asciiTheme="minorHAnsi" w:hAnsiTheme="minorHAnsi" w:cstheme="minorHAnsi"/>
          <w:sz w:val="22"/>
        </w:rPr>
        <w:t xml:space="preserve"> the greatest deterrent to exporting is the complexity of the regulations they face entering new markets. Reducing unnecessary NTBs and improving access to information on technical requirements and certification procedures will reduce transaction costs to the benefit of Australian exporters. Closer cooperation between </w:t>
      </w:r>
      <w:r w:rsidR="007321B5" w:rsidRPr="00B64B80">
        <w:rPr>
          <w:rFonts w:asciiTheme="minorHAnsi" w:hAnsiTheme="minorHAnsi" w:cstheme="minorHAnsi"/>
          <w:sz w:val="22"/>
        </w:rPr>
        <w:t xml:space="preserve">TPP </w:t>
      </w:r>
      <w:r w:rsidRPr="00B64B80">
        <w:rPr>
          <w:rFonts w:asciiTheme="minorHAnsi" w:hAnsiTheme="minorHAnsi" w:cstheme="minorHAnsi"/>
          <w:sz w:val="22"/>
        </w:rPr>
        <w:t xml:space="preserve">Parties on technical regulations and a better understanding of each </w:t>
      </w:r>
      <w:r w:rsidR="007321B5" w:rsidRPr="00B64B80">
        <w:rPr>
          <w:rFonts w:asciiTheme="minorHAnsi" w:hAnsiTheme="minorHAnsi" w:cstheme="minorHAnsi"/>
          <w:sz w:val="22"/>
        </w:rPr>
        <w:t xml:space="preserve">TPP </w:t>
      </w:r>
      <w:r w:rsidRPr="00B64B80">
        <w:rPr>
          <w:rFonts w:asciiTheme="minorHAnsi" w:hAnsiTheme="minorHAnsi" w:cstheme="minorHAnsi"/>
          <w:sz w:val="22"/>
        </w:rPr>
        <w:t xml:space="preserve">Party’s regulatory systems will also improve public safety and benefit Australian consumers. </w:t>
      </w:r>
    </w:p>
    <w:bookmarkEnd w:id="0"/>
    <w:p w14:paraId="101C0B42" w14:textId="77777777" w:rsidR="00A7274B" w:rsidRPr="00B64B80" w:rsidRDefault="00A7274B" w:rsidP="00AA1A95">
      <w:pPr>
        <w:pStyle w:val="Heading3"/>
        <w:jc w:val="both"/>
      </w:pPr>
      <w:r w:rsidRPr="00B64B80">
        <w:t>Incorporating the WTO TBT Agreement</w:t>
      </w:r>
    </w:p>
    <w:p w14:paraId="678DADD8" w14:textId="564C3AD6" w:rsidR="00A7274B" w:rsidRPr="00B64B80" w:rsidRDefault="00A7274B" w:rsidP="00AA1A95">
      <w:pPr>
        <w:spacing w:after="200" w:line="276" w:lineRule="auto"/>
        <w:jc w:val="both"/>
        <w:rPr>
          <w:rFonts w:asciiTheme="minorHAnsi" w:hAnsiTheme="minorHAnsi" w:cstheme="minorHAnsi"/>
          <w:i/>
          <w:sz w:val="22"/>
        </w:rPr>
      </w:pPr>
      <w:r w:rsidRPr="00B64B80">
        <w:rPr>
          <w:rFonts w:asciiTheme="minorHAnsi" w:hAnsiTheme="minorHAnsi" w:cstheme="minorHAnsi"/>
          <w:sz w:val="22"/>
        </w:rPr>
        <w:t>The WTO TBT Agreement commits members to apply technical regulations in ways that are non-discriminatory, do not create unnecessary barriers to trade</w:t>
      </w:r>
      <w:r w:rsidR="007321B5" w:rsidRPr="00B64B80">
        <w:rPr>
          <w:rFonts w:asciiTheme="minorHAnsi" w:hAnsiTheme="minorHAnsi" w:cstheme="minorHAnsi"/>
          <w:sz w:val="22"/>
        </w:rPr>
        <w:t>,</w:t>
      </w:r>
      <w:r w:rsidRPr="00B64B80">
        <w:rPr>
          <w:rFonts w:asciiTheme="minorHAnsi" w:hAnsiTheme="minorHAnsi" w:cstheme="minorHAnsi"/>
          <w:sz w:val="22"/>
        </w:rPr>
        <w:t xml:space="preserve"> and based on international standards. The TPP reaffirms these obligations and extends the level of commitment on the development of international standards, guides and recommendations. The </w:t>
      </w:r>
      <w:r w:rsidR="007321B5" w:rsidRPr="00B64B80">
        <w:rPr>
          <w:rFonts w:asciiTheme="minorHAnsi" w:hAnsiTheme="minorHAnsi" w:cstheme="minorHAnsi"/>
          <w:sz w:val="22"/>
        </w:rPr>
        <w:t xml:space="preserve">Chapter </w:t>
      </w:r>
      <w:r w:rsidRPr="00B64B80">
        <w:rPr>
          <w:rFonts w:asciiTheme="minorHAnsi" w:hAnsiTheme="minorHAnsi" w:cstheme="minorHAnsi"/>
          <w:sz w:val="22"/>
        </w:rPr>
        <w:t>acknowledges that such standards support greater regulatory alignment and good regulatory practice.</w:t>
      </w:r>
    </w:p>
    <w:p w14:paraId="41533606" w14:textId="77777777" w:rsidR="00A7274B" w:rsidRPr="00B64B80" w:rsidRDefault="00A7274B" w:rsidP="00AA1A95">
      <w:pPr>
        <w:pStyle w:val="Heading3"/>
        <w:jc w:val="both"/>
      </w:pPr>
      <w:r w:rsidRPr="00B64B80">
        <w:t>Conformity assessment</w:t>
      </w:r>
    </w:p>
    <w:p w14:paraId="7B8C2553" w14:textId="6040C501"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The </w:t>
      </w:r>
      <w:r w:rsidR="007321B5" w:rsidRPr="00B64B80">
        <w:rPr>
          <w:rFonts w:asciiTheme="minorHAnsi" w:hAnsiTheme="minorHAnsi" w:cstheme="minorHAnsi"/>
          <w:sz w:val="22"/>
        </w:rPr>
        <w:t xml:space="preserve">Chapter </w:t>
      </w:r>
      <w:r w:rsidRPr="00B64B80">
        <w:rPr>
          <w:rFonts w:asciiTheme="minorHAnsi" w:hAnsiTheme="minorHAnsi" w:cstheme="minorHAnsi"/>
          <w:sz w:val="22"/>
        </w:rPr>
        <w:t xml:space="preserve">builds on the WTO TBT Agreement’s commitments on conformity assessments. These are the processes used to determine whether a product meets the technical requirements for entry into a market. The additional commitments encourage information sharing and engagement between </w:t>
      </w:r>
      <w:r w:rsidR="007321B5" w:rsidRPr="00B64B80">
        <w:rPr>
          <w:rFonts w:asciiTheme="minorHAnsi" w:hAnsiTheme="minorHAnsi" w:cstheme="minorHAnsi"/>
          <w:sz w:val="22"/>
        </w:rPr>
        <w:t>TPP Parties</w:t>
      </w:r>
      <w:r w:rsidRPr="00B64B80">
        <w:rPr>
          <w:rFonts w:asciiTheme="minorHAnsi" w:hAnsiTheme="minorHAnsi" w:cstheme="minorHAnsi"/>
          <w:sz w:val="22"/>
        </w:rPr>
        <w:t xml:space="preserve">, including additional procedures to review complaints and the treatment of conformity assessment </w:t>
      </w:r>
      <w:r w:rsidRPr="00B64B80">
        <w:rPr>
          <w:rFonts w:asciiTheme="minorHAnsi" w:hAnsiTheme="minorHAnsi" w:cstheme="minorHAnsi"/>
          <w:sz w:val="22"/>
        </w:rPr>
        <w:lastRenderedPageBreak/>
        <w:t xml:space="preserve">bodies outside the importing </w:t>
      </w:r>
      <w:r w:rsidR="007321B5" w:rsidRPr="00B64B80">
        <w:rPr>
          <w:rFonts w:asciiTheme="minorHAnsi" w:hAnsiTheme="minorHAnsi" w:cstheme="minorHAnsi"/>
          <w:sz w:val="22"/>
        </w:rPr>
        <w:t xml:space="preserve">TPP Party’s </w:t>
      </w:r>
      <w:r w:rsidRPr="00B64B80">
        <w:rPr>
          <w:rFonts w:asciiTheme="minorHAnsi" w:hAnsiTheme="minorHAnsi" w:cstheme="minorHAnsi"/>
          <w:sz w:val="22"/>
        </w:rPr>
        <w:t xml:space="preserve">territory. </w:t>
      </w:r>
      <w:r w:rsidR="007321B5" w:rsidRPr="00B64B80">
        <w:rPr>
          <w:rFonts w:asciiTheme="minorHAnsi" w:hAnsiTheme="minorHAnsi" w:cstheme="minorHAnsi"/>
          <w:sz w:val="22"/>
        </w:rPr>
        <w:t xml:space="preserve">TPP </w:t>
      </w:r>
      <w:r w:rsidRPr="00B64B80">
        <w:rPr>
          <w:rFonts w:asciiTheme="minorHAnsi" w:hAnsiTheme="minorHAnsi" w:cstheme="minorHAnsi"/>
          <w:sz w:val="22"/>
        </w:rPr>
        <w:t>Parties are encouraged to enter into mutual recognition agreements for bodies responsible for setting standards and making assessments, and to improve transparency regarding the reasons for refusal of recognition of conformity. Consistent with WTO rules, fees for any assessment of conformity would be charged based on the cost of services rendered.</w:t>
      </w:r>
    </w:p>
    <w:p w14:paraId="4A587400" w14:textId="77777777" w:rsidR="00A7274B" w:rsidRPr="00B64B80" w:rsidRDefault="00A7274B" w:rsidP="00AA1A95">
      <w:pPr>
        <w:pStyle w:val="Heading3"/>
        <w:jc w:val="both"/>
      </w:pPr>
      <w:r w:rsidRPr="00B64B80">
        <w:t>Compliance period for technical regulations and conformity assessment procedures</w:t>
      </w:r>
    </w:p>
    <w:p w14:paraId="12C2B4A6" w14:textId="3D8C18E1"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The </w:t>
      </w:r>
      <w:r w:rsidR="007321B5" w:rsidRPr="00B64B80">
        <w:rPr>
          <w:rFonts w:asciiTheme="minorHAnsi" w:hAnsiTheme="minorHAnsi" w:cstheme="minorHAnsi"/>
          <w:sz w:val="22"/>
        </w:rPr>
        <w:t xml:space="preserve">Chapter </w:t>
      </w:r>
      <w:r w:rsidRPr="00B64B80">
        <w:rPr>
          <w:rFonts w:asciiTheme="minorHAnsi" w:hAnsiTheme="minorHAnsi" w:cstheme="minorHAnsi"/>
          <w:sz w:val="22"/>
        </w:rPr>
        <w:t>establishes timeframes for the entry into force of new or altered regulations. It also provide</w:t>
      </w:r>
      <w:r w:rsidR="007321B5" w:rsidRPr="00B64B80">
        <w:rPr>
          <w:rFonts w:asciiTheme="minorHAnsi" w:hAnsiTheme="minorHAnsi" w:cstheme="minorHAnsi"/>
          <w:sz w:val="22"/>
        </w:rPr>
        <w:t>s</w:t>
      </w:r>
      <w:r w:rsidRPr="00B64B80">
        <w:rPr>
          <w:rFonts w:asciiTheme="minorHAnsi" w:hAnsiTheme="minorHAnsi" w:cstheme="minorHAnsi"/>
          <w:sz w:val="22"/>
        </w:rPr>
        <w:t xml:space="preserve"> exporters with a reasonable time</w:t>
      </w:r>
      <w:r w:rsidR="007321B5" w:rsidRPr="00B64B80">
        <w:rPr>
          <w:rFonts w:asciiTheme="minorHAnsi" w:hAnsiTheme="minorHAnsi" w:cstheme="minorHAnsi"/>
          <w:sz w:val="22"/>
        </w:rPr>
        <w:t xml:space="preserve"> period</w:t>
      </w:r>
      <w:r w:rsidRPr="00B64B80">
        <w:rPr>
          <w:rFonts w:asciiTheme="minorHAnsi" w:hAnsiTheme="minorHAnsi" w:cstheme="minorHAnsi"/>
          <w:sz w:val="22"/>
        </w:rPr>
        <w:t xml:space="preserve"> to demonstrate the conformity of their goods with the relevant technical requirements. </w:t>
      </w:r>
    </w:p>
    <w:p w14:paraId="512A280B" w14:textId="77777777" w:rsidR="00A7274B" w:rsidRPr="00B64B80" w:rsidRDefault="00A7274B" w:rsidP="00AA1A95">
      <w:pPr>
        <w:pStyle w:val="Heading3"/>
        <w:jc w:val="both"/>
      </w:pPr>
      <w:r w:rsidRPr="00B64B80">
        <w:t>Cooperation, trade facilitation, and transparency</w:t>
      </w:r>
    </w:p>
    <w:p w14:paraId="4953BE40" w14:textId="0E0B1BC7"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The </w:t>
      </w:r>
      <w:r w:rsidR="007321B5" w:rsidRPr="00B64B80">
        <w:rPr>
          <w:rFonts w:asciiTheme="minorHAnsi" w:hAnsiTheme="minorHAnsi" w:cstheme="minorHAnsi"/>
          <w:sz w:val="22"/>
        </w:rPr>
        <w:t xml:space="preserve">Chapter </w:t>
      </w:r>
      <w:r w:rsidRPr="00B64B80">
        <w:rPr>
          <w:rFonts w:asciiTheme="minorHAnsi" w:hAnsiTheme="minorHAnsi" w:cstheme="minorHAnsi"/>
          <w:sz w:val="22"/>
        </w:rPr>
        <w:t xml:space="preserve">encourages </w:t>
      </w:r>
      <w:r w:rsidR="007321B5" w:rsidRPr="00B64B80">
        <w:rPr>
          <w:rFonts w:asciiTheme="minorHAnsi" w:hAnsiTheme="minorHAnsi" w:cstheme="minorHAnsi"/>
          <w:sz w:val="22"/>
        </w:rPr>
        <w:t xml:space="preserve">TPP Parties </w:t>
      </w:r>
      <w:r w:rsidRPr="00B64B80">
        <w:rPr>
          <w:rFonts w:asciiTheme="minorHAnsi" w:hAnsiTheme="minorHAnsi" w:cstheme="minorHAnsi"/>
          <w:sz w:val="22"/>
        </w:rPr>
        <w:t xml:space="preserve">to take into account the mechanisms that exist to ensure products conform to their technical requirements. This could include the mutual recognition of standard setting bodies in each other’s territories or adopting existing regional and international mutual recognition arrangements. </w:t>
      </w:r>
    </w:p>
    <w:p w14:paraId="6C7CBC20" w14:textId="11165FE0" w:rsidR="00A7274B" w:rsidRPr="00B64B80" w:rsidRDefault="007321B5"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TPP </w:t>
      </w:r>
      <w:r w:rsidR="00A7274B" w:rsidRPr="00B64B80">
        <w:rPr>
          <w:rFonts w:asciiTheme="minorHAnsi" w:hAnsiTheme="minorHAnsi" w:cstheme="minorHAnsi"/>
          <w:sz w:val="22"/>
        </w:rPr>
        <w:t xml:space="preserve">Parties recognise the importance of exchanging information to improve, promote and harmonise good regulatory practice across the region. Cooperating more closely on technical standards and harmonising approaches to conformity assessment reduces the complexity of requirements across the region, leading to lower costs of doing business.  </w:t>
      </w:r>
    </w:p>
    <w:p w14:paraId="18AA096E" w14:textId="5DDE1E17"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The </w:t>
      </w:r>
      <w:r w:rsidR="007321B5" w:rsidRPr="00B64B80">
        <w:rPr>
          <w:rFonts w:asciiTheme="minorHAnsi" w:hAnsiTheme="minorHAnsi" w:cstheme="minorHAnsi"/>
          <w:sz w:val="22"/>
        </w:rPr>
        <w:t>C</w:t>
      </w:r>
      <w:r w:rsidRPr="00B64B80">
        <w:rPr>
          <w:rFonts w:asciiTheme="minorHAnsi" w:hAnsiTheme="minorHAnsi" w:cstheme="minorHAnsi"/>
          <w:sz w:val="22"/>
        </w:rPr>
        <w:t xml:space="preserve">hapter aims to improve transparency in the development and imposition of technical regulations in TPP countries. </w:t>
      </w:r>
      <w:r w:rsidR="007321B5" w:rsidRPr="00B64B80">
        <w:rPr>
          <w:rFonts w:asciiTheme="minorHAnsi" w:hAnsiTheme="minorHAnsi" w:cstheme="minorHAnsi"/>
          <w:sz w:val="22"/>
        </w:rPr>
        <w:t xml:space="preserve">It </w:t>
      </w:r>
      <w:r w:rsidRPr="00B64B80">
        <w:rPr>
          <w:rFonts w:asciiTheme="minorHAnsi" w:hAnsiTheme="minorHAnsi" w:cstheme="minorHAnsi"/>
          <w:sz w:val="22"/>
        </w:rPr>
        <w:t xml:space="preserve">commits </w:t>
      </w:r>
      <w:r w:rsidR="007321B5" w:rsidRPr="00B64B80">
        <w:rPr>
          <w:rFonts w:asciiTheme="minorHAnsi" w:hAnsiTheme="minorHAnsi" w:cstheme="minorHAnsi"/>
          <w:sz w:val="22"/>
        </w:rPr>
        <w:t xml:space="preserve">TPP Parties </w:t>
      </w:r>
      <w:r w:rsidRPr="00B64B80">
        <w:rPr>
          <w:rFonts w:asciiTheme="minorHAnsi" w:hAnsiTheme="minorHAnsi" w:cstheme="minorHAnsi"/>
          <w:sz w:val="22"/>
        </w:rPr>
        <w:t xml:space="preserve">to allowing members of the public to </w:t>
      </w:r>
      <w:r w:rsidR="00177BCE" w:rsidRPr="00B64B80">
        <w:rPr>
          <w:rFonts w:asciiTheme="minorHAnsi" w:hAnsiTheme="minorHAnsi" w:cstheme="minorHAnsi"/>
          <w:sz w:val="22"/>
        </w:rPr>
        <w:t xml:space="preserve">provide comments on </w:t>
      </w:r>
      <w:r w:rsidRPr="00B64B80">
        <w:rPr>
          <w:rFonts w:asciiTheme="minorHAnsi" w:hAnsiTheme="minorHAnsi" w:cstheme="minorHAnsi"/>
          <w:sz w:val="22"/>
        </w:rPr>
        <w:t xml:space="preserve">in the development of technical regulations. The </w:t>
      </w:r>
      <w:r w:rsidR="007321B5" w:rsidRPr="00B64B80">
        <w:rPr>
          <w:rFonts w:asciiTheme="minorHAnsi" w:hAnsiTheme="minorHAnsi" w:cstheme="minorHAnsi"/>
          <w:sz w:val="22"/>
        </w:rPr>
        <w:t xml:space="preserve">Chapter </w:t>
      </w:r>
      <w:r w:rsidRPr="00B64B80">
        <w:rPr>
          <w:rFonts w:asciiTheme="minorHAnsi" w:hAnsiTheme="minorHAnsi" w:cstheme="minorHAnsi"/>
          <w:sz w:val="22"/>
        </w:rPr>
        <w:t xml:space="preserve">also requires </w:t>
      </w:r>
      <w:r w:rsidR="007321B5" w:rsidRPr="00B64B80">
        <w:rPr>
          <w:rFonts w:asciiTheme="minorHAnsi" w:hAnsiTheme="minorHAnsi" w:cstheme="minorHAnsi"/>
          <w:sz w:val="22"/>
        </w:rPr>
        <w:t xml:space="preserve">TPP Parties </w:t>
      </w:r>
      <w:r w:rsidRPr="00B64B80">
        <w:rPr>
          <w:rFonts w:asciiTheme="minorHAnsi" w:hAnsiTheme="minorHAnsi" w:cstheme="minorHAnsi"/>
          <w:sz w:val="22"/>
        </w:rPr>
        <w:t xml:space="preserve">to publish proposals for new or updated technical regulations and conformity assessment procedures </w:t>
      </w:r>
      <w:r w:rsidR="007321B5" w:rsidRPr="00B64B80">
        <w:rPr>
          <w:rFonts w:asciiTheme="minorHAnsi" w:hAnsiTheme="minorHAnsi" w:cstheme="minorHAnsi"/>
          <w:sz w:val="22"/>
        </w:rPr>
        <w:t xml:space="preserve">in </w:t>
      </w:r>
      <w:r w:rsidRPr="00B64B80">
        <w:rPr>
          <w:rFonts w:asciiTheme="minorHAnsi" w:hAnsiTheme="minorHAnsi" w:cstheme="minorHAnsi"/>
          <w:sz w:val="22"/>
        </w:rPr>
        <w:t xml:space="preserve">sufficient detail to allow others to assess the impact on trade. </w:t>
      </w:r>
    </w:p>
    <w:p w14:paraId="687E4B59" w14:textId="77777777" w:rsidR="00A7274B" w:rsidRPr="00B64B80" w:rsidRDefault="00A7274B" w:rsidP="00AA1A95">
      <w:pPr>
        <w:pStyle w:val="Heading3"/>
        <w:jc w:val="both"/>
      </w:pPr>
      <w:r w:rsidRPr="00B64B80">
        <w:t>Information Exchange and Technical Discussions</w:t>
      </w:r>
    </w:p>
    <w:p w14:paraId="15610F99" w14:textId="07696AC3" w:rsidR="00A7274B" w:rsidRPr="00B64B80" w:rsidRDefault="007321B5"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The Chapter provides the right to request information on any issue arising under the Chapter, with the aim</w:t>
      </w:r>
      <w:r w:rsidR="00A7274B" w:rsidRPr="00B64B80">
        <w:rPr>
          <w:rFonts w:asciiTheme="minorHAnsi" w:hAnsiTheme="minorHAnsi" w:cstheme="minorHAnsi"/>
          <w:sz w:val="22"/>
        </w:rPr>
        <w:t xml:space="preserve"> </w:t>
      </w:r>
      <w:r w:rsidRPr="00B64B80">
        <w:rPr>
          <w:rFonts w:asciiTheme="minorHAnsi" w:hAnsiTheme="minorHAnsi" w:cstheme="minorHAnsi"/>
          <w:sz w:val="22"/>
        </w:rPr>
        <w:t>of</w:t>
      </w:r>
      <w:r w:rsidR="00A7274B" w:rsidRPr="00B64B80">
        <w:rPr>
          <w:rFonts w:asciiTheme="minorHAnsi" w:hAnsiTheme="minorHAnsi" w:cstheme="minorHAnsi"/>
          <w:sz w:val="22"/>
        </w:rPr>
        <w:t xml:space="preserve"> improving the information flow between </w:t>
      </w:r>
      <w:r w:rsidRPr="00B64B80">
        <w:rPr>
          <w:rFonts w:asciiTheme="minorHAnsi" w:hAnsiTheme="minorHAnsi" w:cstheme="minorHAnsi"/>
          <w:sz w:val="22"/>
        </w:rPr>
        <w:t>TPP Parties</w:t>
      </w:r>
      <w:r w:rsidR="00A7274B" w:rsidRPr="00B64B80">
        <w:rPr>
          <w:rFonts w:asciiTheme="minorHAnsi" w:hAnsiTheme="minorHAnsi" w:cstheme="minorHAnsi"/>
          <w:sz w:val="22"/>
        </w:rPr>
        <w:t xml:space="preserve">. The </w:t>
      </w:r>
      <w:r w:rsidRPr="00B64B80">
        <w:rPr>
          <w:rFonts w:asciiTheme="minorHAnsi" w:hAnsiTheme="minorHAnsi" w:cstheme="minorHAnsi"/>
          <w:sz w:val="22"/>
        </w:rPr>
        <w:t xml:space="preserve">TPP Party responding to such a request </w:t>
      </w:r>
      <w:r w:rsidR="00A7274B" w:rsidRPr="00B64B80">
        <w:rPr>
          <w:rFonts w:asciiTheme="minorHAnsi" w:hAnsiTheme="minorHAnsi" w:cstheme="minorHAnsi"/>
          <w:sz w:val="22"/>
        </w:rPr>
        <w:t xml:space="preserve">is obliged to provide information within a reasonable period of time. </w:t>
      </w:r>
      <w:r w:rsidRPr="00B64B80">
        <w:rPr>
          <w:rFonts w:asciiTheme="minorHAnsi" w:hAnsiTheme="minorHAnsi" w:cstheme="minorHAnsi"/>
          <w:sz w:val="22"/>
        </w:rPr>
        <w:t xml:space="preserve">TPP </w:t>
      </w:r>
      <w:r w:rsidR="00A7274B" w:rsidRPr="00B64B80">
        <w:rPr>
          <w:rFonts w:asciiTheme="minorHAnsi" w:hAnsiTheme="minorHAnsi" w:cstheme="minorHAnsi"/>
          <w:sz w:val="22"/>
        </w:rPr>
        <w:t xml:space="preserve">Parties </w:t>
      </w:r>
      <w:r w:rsidRPr="00B64B80">
        <w:rPr>
          <w:rFonts w:asciiTheme="minorHAnsi" w:hAnsiTheme="minorHAnsi" w:cstheme="minorHAnsi"/>
          <w:sz w:val="22"/>
        </w:rPr>
        <w:t>can also</w:t>
      </w:r>
      <w:r w:rsidR="00A7274B" w:rsidRPr="00B64B80">
        <w:rPr>
          <w:rFonts w:asciiTheme="minorHAnsi" w:hAnsiTheme="minorHAnsi" w:cstheme="minorHAnsi"/>
          <w:sz w:val="22"/>
        </w:rPr>
        <w:t xml:space="preserve"> request technical discussions on issues that have an impact on trade. </w:t>
      </w:r>
    </w:p>
    <w:p w14:paraId="63FA6BF0" w14:textId="77777777" w:rsidR="00A7274B" w:rsidRPr="00B64B80" w:rsidRDefault="00A7274B" w:rsidP="00AA1A95">
      <w:pPr>
        <w:pStyle w:val="Heading3"/>
        <w:jc w:val="both"/>
      </w:pPr>
      <w:r w:rsidRPr="00B64B80">
        <w:t>Committee on Technical Barriers to Trade</w:t>
      </w:r>
    </w:p>
    <w:p w14:paraId="72809649" w14:textId="7AA51912" w:rsidR="00A7274B" w:rsidRPr="00B64B80" w:rsidRDefault="007321B5"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A</w:t>
      </w:r>
      <w:r w:rsidR="00A7274B" w:rsidRPr="00B64B80">
        <w:rPr>
          <w:rFonts w:asciiTheme="minorHAnsi" w:hAnsiTheme="minorHAnsi" w:cstheme="minorHAnsi"/>
          <w:sz w:val="22"/>
        </w:rPr>
        <w:t xml:space="preserve"> </w:t>
      </w:r>
      <w:r w:rsidRPr="00B64B80">
        <w:rPr>
          <w:rFonts w:asciiTheme="minorHAnsi" w:hAnsiTheme="minorHAnsi" w:cstheme="minorHAnsi"/>
          <w:sz w:val="22"/>
        </w:rPr>
        <w:t>Technical Barriers to Trade Committee will be established,</w:t>
      </w:r>
      <w:r w:rsidR="00A7274B" w:rsidRPr="00B64B80">
        <w:rPr>
          <w:rFonts w:asciiTheme="minorHAnsi" w:hAnsiTheme="minorHAnsi" w:cstheme="minorHAnsi"/>
          <w:sz w:val="22"/>
        </w:rPr>
        <w:t xml:space="preserve"> comprising representatives from all </w:t>
      </w:r>
      <w:r w:rsidRPr="00B64B80">
        <w:rPr>
          <w:rFonts w:asciiTheme="minorHAnsi" w:hAnsiTheme="minorHAnsi" w:cstheme="minorHAnsi"/>
          <w:sz w:val="22"/>
        </w:rPr>
        <w:t>TPP Parties</w:t>
      </w:r>
      <w:r w:rsidR="00A7274B" w:rsidRPr="00B64B80">
        <w:rPr>
          <w:rFonts w:asciiTheme="minorHAnsi" w:hAnsiTheme="minorHAnsi" w:cstheme="minorHAnsi"/>
          <w:sz w:val="22"/>
        </w:rPr>
        <w:t xml:space="preserve">. The </w:t>
      </w:r>
      <w:r w:rsidRPr="00B64B80">
        <w:rPr>
          <w:rFonts w:asciiTheme="minorHAnsi" w:hAnsiTheme="minorHAnsi" w:cstheme="minorHAnsi"/>
          <w:sz w:val="22"/>
        </w:rPr>
        <w:t xml:space="preserve">Committee’s </w:t>
      </w:r>
      <w:r w:rsidR="00A7274B" w:rsidRPr="00B64B80">
        <w:rPr>
          <w:rFonts w:asciiTheme="minorHAnsi" w:hAnsiTheme="minorHAnsi" w:cstheme="minorHAnsi"/>
          <w:sz w:val="22"/>
        </w:rPr>
        <w:t xml:space="preserve">responsibilities </w:t>
      </w:r>
      <w:r w:rsidRPr="00B64B80">
        <w:rPr>
          <w:rFonts w:asciiTheme="minorHAnsi" w:hAnsiTheme="minorHAnsi" w:cstheme="minorHAnsi"/>
          <w:sz w:val="22"/>
        </w:rPr>
        <w:t xml:space="preserve">will </w:t>
      </w:r>
      <w:r w:rsidR="00A7274B" w:rsidRPr="00B64B80">
        <w:rPr>
          <w:rFonts w:asciiTheme="minorHAnsi" w:hAnsiTheme="minorHAnsi" w:cstheme="minorHAnsi"/>
          <w:sz w:val="22"/>
        </w:rPr>
        <w:t xml:space="preserve">include promoting good regulatory practice, monitoring the implementation of the commitments in the </w:t>
      </w:r>
      <w:r w:rsidRPr="00B64B80">
        <w:rPr>
          <w:rFonts w:asciiTheme="minorHAnsi" w:hAnsiTheme="minorHAnsi" w:cstheme="minorHAnsi"/>
          <w:sz w:val="22"/>
        </w:rPr>
        <w:t>Chapter</w:t>
      </w:r>
      <w:r w:rsidR="00A7274B" w:rsidRPr="00B64B80">
        <w:rPr>
          <w:rFonts w:asciiTheme="minorHAnsi" w:hAnsiTheme="minorHAnsi" w:cstheme="minorHAnsi"/>
          <w:sz w:val="22"/>
        </w:rPr>
        <w:t xml:space="preserve">, providing a conduit for technical discussions, and encouraging cooperation between governments and non-governmental bodies.  </w:t>
      </w:r>
    </w:p>
    <w:p w14:paraId="40D81940" w14:textId="77777777" w:rsidR="00A7274B" w:rsidRPr="00D006E3" w:rsidRDefault="00A7274B" w:rsidP="00AA1A95">
      <w:pPr>
        <w:pStyle w:val="Heading3"/>
        <w:jc w:val="both"/>
      </w:pPr>
      <w:r w:rsidRPr="00D006E3">
        <w:t>Annexes</w:t>
      </w:r>
    </w:p>
    <w:p w14:paraId="601B692D" w14:textId="55BF4FA3"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The </w:t>
      </w:r>
      <w:r w:rsidR="007321B5" w:rsidRPr="00B64B80">
        <w:rPr>
          <w:rFonts w:asciiTheme="minorHAnsi" w:hAnsiTheme="minorHAnsi" w:cstheme="minorHAnsi"/>
          <w:sz w:val="22"/>
        </w:rPr>
        <w:t xml:space="preserve">Chapter </w:t>
      </w:r>
      <w:r w:rsidRPr="00B64B80">
        <w:rPr>
          <w:rFonts w:asciiTheme="minorHAnsi" w:hAnsiTheme="minorHAnsi" w:cstheme="minorHAnsi"/>
          <w:sz w:val="22"/>
        </w:rPr>
        <w:t xml:space="preserve">includes annexes </w:t>
      </w:r>
      <w:r w:rsidR="007321B5" w:rsidRPr="00B64B80">
        <w:rPr>
          <w:rFonts w:asciiTheme="minorHAnsi" w:hAnsiTheme="minorHAnsi" w:cstheme="minorHAnsi"/>
          <w:sz w:val="22"/>
        </w:rPr>
        <w:t>concerning</w:t>
      </w:r>
      <w:r w:rsidRPr="00B64B80">
        <w:rPr>
          <w:rFonts w:asciiTheme="minorHAnsi" w:hAnsiTheme="minorHAnsi" w:cstheme="minorHAnsi"/>
          <w:sz w:val="22"/>
        </w:rPr>
        <w:t xml:space="preserve"> wine and </w:t>
      </w:r>
      <w:r w:rsidR="007321B5" w:rsidRPr="00B64B80">
        <w:rPr>
          <w:rFonts w:asciiTheme="minorHAnsi" w:hAnsiTheme="minorHAnsi" w:cstheme="minorHAnsi"/>
          <w:sz w:val="22"/>
        </w:rPr>
        <w:t xml:space="preserve">distilled </w:t>
      </w:r>
      <w:r w:rsidRPr="00B64B80">
        <w:rPr>
          <w:rFonts w:asciiTheme="minorHAnsi" w:hAnsiTheme="minorHAnsi" w:cstheme="minorHAnsi"/>
          <w:sz w:val="22"/>
        </w:rPr>
        <w:t>spirits, organic products, information and communications technology</w:t>
      </w:r>
      <w:r w:rsidR="007321B5" w:rsidRPr="00B64B80">
        <w:rPr>
          <w:rFonts w:asciiTheme="minorHAnsi" w:hAnsiTheme="minorHAnsi" w:cstheme="minorHAnsi"/>
          <w:sz w:val="22"/>
        </w:rPr>
        <w:t xml:space="preserve"> products</w:t>
      </w:r>
      <w:r w:rsidRPr="00B64B80">
        <w:rPr>
          <w:rFonts w:asciiTheme="minorHAnsi" w:hAnsiTheme="minorHAnsi" w:cstheme="minorHAnsi"/>
          <w:sz w:val="22"/>
        </w:rPr>
        <w:t>, proprietary formulas</w:t>
      </w:r>
      <w:r w:rsidR="007321B5" w:rsidRPr="00B64B80">
        <w:rPr>
          <w:rFonts w:asciiTheme="minorHAnsi" w:hAnsiTheme="minorHAnsi" w:cstheme="minorHAnsi"/>
          <w:sz w:val="22"/>
        </w:rPr>
        <w:t xml:space="preserve"> for pre-packaged foods and food additives</w:t>
      </w:r>
      <w:r w:rsidRPr="00B64B80">
        <w:rPr>
          <w:rFonts w:asciiTheme="minorHAnsi" w:hAnsiTheme="minorHAnsi" w:cstheme="minorHAnsi"/>
          <w:sz w:val="22"/>
        </w:rPr>
        <w:t xml:space="preserve">, cosmetics, medical devices and pharmaceuticals. These annexes add further clarity to </w:t>
      </w:r>
      <w:r w:rsidR="007321B5" w:rsidRPr="00B64B80">
        <w:rPr>
          <w:rFonts w:asciiTheme="minorHAnsi" w:hAnsiTheme="minorHAnsi" w:cstheme="minorHAnsi"/>
          <w:sz w:val="22"/>
        </w:rPr>
        <w:t xml:space="preserve">TPP Parties’ </w:t>
      </w:r>
      <w:r w:rsidRPr="00B64B80">
        <w:rPr>
          <w:rFonts w:asciiTheme="minorHAnsi" w:hAnsiTheme="minorHAnsi" w:cstheme="minorHAnsi"/>
          <w:sz w:val="22"/>
        </w:rPr>
        <w:t xml:space="preserve">obligations and promote greater regulatory coherence across the region. </w:t>
      </w:r>
    </w:p>
    <w:p w14:paraId="640BBDC1" w14:textId="0B5524D4"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lastRenderedPageBreak/>
        <w:t xml:space="preserve">The Wine and Distilled Spirits annex provides guidance on labelling including specific minimum requirements for labels for wine and spirits products. Importantly, key consumer information such as product name, country of origin, net contents and alcohol content need to be clearly displayed within a “single field of vision” on the bottle. The annex </w:t>
      </w:r>
      <w:r w:rsidR="001736C4" w:rsidRPr="00B64B80">
        <w:rPr>
          <w:rFonts w:asciiTheme="minorHAnsi" w:hAnsiTheme="minorHAnsi" w:cstheme="minorHAnsi"/>
          <w:sz w:val="22"/>
        </w:rPr>
        <w:t xml:space="preserve">does </w:t>
      </w:r>
      <w:r w:rsidRPr="00B64B80">
        <w:rPr>
          <w:rFonts w:asciiTheme="minorHAnsi" w:hAnsiTheme="minorHAnsi" w:cstheme="minorHAnsi"/>
          <w:sz w:val="22"/>
        </w:rPr>
        <w:t xml:space="preserve">not limit a </w:t>
      </w:r>
      <w:r w:rsidR="001736C4" w:rsidRPr="00B64B80">
        <w:rPr>
          <w:rFonts w:asciiTheme="minorHAnsi" w:hAnsiTheme="minorHAnsi" w:cstheme="minorHAnsi"/>
          <w:sz w:val="22"/>
        </w:rPr>
        <w:t xml:space="preserve">TPP Party’s </w:t>
      </w:r>
      <w:r w:rsidRPr="00B64B80">
        <w:rPr>
          <w:rFonts w:asciiTheme="minorHAnsi" w:hAnsiTheme="minorHAnsi" w:cstheme="minorHAnsi"/>
          <w:sz w:val="22"/>
        </w:rPr>
        <w:t xml:space="preserve">ability to impose other labelling requirements. Standardising labelling requirements </w:t>
      </w:r>
      <w:r w:rsidR="001736C4" w:rsidRPr="00B64B80">
        <w:rPr>
          <w:rFonts w:asciiTheme="minorHAnsi" w:hAnsiTheme="minorHAnsi" w:cstheme="minorHAnsi"/>
          <w:sz w:val="22"/>
        </w:rPr>
        <w:t xml:space="preserve">will </w:t>
      </w:r>
      <w:r w:rsidRPr="00B64B80">
        <w:rPr>
          <w:rFonts w:asciiTheme="minorHAnsi" w:hAnsiTheme="minorHAnsi" w:cstheme="minorHAnsi"/>
          <w:sz w:val="22"/>
        </w:rPr>
        <w:t xml:space="preserve">reduce uncertainty for producers and exporters, lowering the costs of doing business. </w:t>
      </w:r>
      <w:r w:rsidRPr="0017394A">
        <w:rPr>
          <w:rFonts w:asciiTheme="minorHAnsi" w:hAnsiTheme="minorHAnsi" w:cstheme="minorHAnsi"/>
          <w:sz w:val="22"/>
        </w:rPr>
        <w:t>Australia’s wine exports to TPP countries were worth $</w:t>
      </w:r>
      <w:r w:rsidR="00945BD8" w:rsidRPr="0017394A">
        <w:rPr>
          <w:rFonts w:asciiTheme="minorHAnsi" w:hAnsiTheme="minorHAnsi" w:cstheme="minorHAnsi"/>
          <w:sz w:val="22"/>
        </w:rPr>
        <w:t xml:space="preserve">925 </w:t>
      </w:r>
      <w:r w:rsidRPr="0017394A">
        <w:rPr>
          <w:rFonts w:asciiTheme="minorHAnsi" w:hAnsiTheme="minorHAnsi" w:cstheme="minorHAnsi"/>
          <w:sz w:val="22"/>
        </w:rPr>
        <w:t>million in 201</w:t>
      </w:r>
      <w:r w:rsidR="00786B48" w:rsidRPr="0017394A">
        <w:rPr>
          <w:rFonts w:asciiTheme="minorHAnsi" w:hAnsiTheme="minorHAnsi" w:cstheme="minorHAnsi"/>
          <w:sz w:val="22"/>
        </w:rPr>
        <w:t>5</w:t>
      </w:r>
      <w:r w:rsidR="00945BD8" w:rsidRPr="0017394A">
        <w:rPr>
          <w:rFonts w:asciiTheme="minorHAnsi" w:hAnsiTheme="minorHAnsi" w:cstheme="minorHAnsi"/>
          <w:sz w:val="22"/>
        </w:rPr>
        <w:t>-16</w:t>
      </w:r>
      <w:r w:rsidRPr="0017394A">
        <w:rPr>
          <w:rFonts w:asciiTheme="minorHAnsi" w:hAnsiTheme="minorHAnsi" w:cstheme="minorHAnsi"/>
          <w:sz w:val="22"/>
        </w:rPr>
        <w:t>.</w:t>
      </w:r>
      <w:r w:rsidRPr="00B64B80">
        <w:rPr>
          <w:rFonts w:asciiTheme="minorHAnsi" w:hAnsiTheme="minorHAnsi" w:cstheme="minorHAnsi"/>
          <w:sz w:val="22"/>
        </w:rPr>
        <w:t xml:space="preserve"> </w:t>
      </w:r>
    </w:p>
    <w:p w14:paraId="67BB340B" w14:textId="154430AC"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The annex on Proprietary Formulas for Prepackaged Foods and Food Additives provides </w:t>
      </w:r>
      <w:r w:rsidR="001736C4" w:rsidRPr="00B64B80">
        <w:rPr>
          <w:rFonts w:asciiTheme="minorHAnsi" w:hAnsiTheme="minorHAnsi" w:cstheme="minorHAnsi"/>
          <w:sz w:val="22"/>
        </w:rPr>
        <w:t xml:space="preserve">TPP Parties </w:t>
      </w:r>
      <w:r w:rsidRPr="00B64B80">
        <w:rPr>
          <w:rFonts w:asciiTheme="minorHAnsi" w:hAnsiTheme="minorHAnsi" w:cstheme="minorHAnsi"/>
          <w:sz w:val="22"/>
        </w:rPr>
        <w:t xml:space="preserve">with additional guidance to ensure the confidentiality of commercially sensitive information for proprietary formulas and in implementing technical requirements such as labelling. The annex stipulates that nothing shall prevent a </w:t>
      </w:r>
      <w:r w:rsidR="001736C4" w:rsidRPr="00B64B80">
        <w:rPr>
          <w:rFonts w:asciiTheme="minorHAnsi" w:hAnsiTheme="minorHAnsi" w:cstheme="minorHAnsi"/>
          <w:sz w:val="22"/>
        </w:rPr>
        <w:t xml:space="preserve">TPP Party </w:t>
      </w:r>
      <w:r w:rsidRPr="00B64B80">
        <w:rPr>
          <w:rFonts w:asciiTheme="minorHAnsi" w:hAnsiTheme="minorHAnsi" w:cstheme="minorHAnsi"/>
          <w:sz w:val="22"/>
        </w:rPr>
        <w:t>from applying labelling standards in accordance with international standards, such as those set by Codex.</w:t>
      </w:r>
    </w:p>
    <w:p w14:paraId="0C375D0F" w14:textId="0729DEE8"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Separate annexes covering Pharmaceutical Products, Medical Devices and Cosmetics provide further commitments relating to the technical requirements of these industries. They share a range of overlapping themes, including avoiding unnecessary duplication in approvals processes and sharing information on requirements and regulatory bodies. </w:t>
      </w:r>
      <w:r w:rsidR="001736C4" w:rsidRPr="00B64B80">
        <w:rPr>
          <w:rFonts w:asciiTheme="minorHAnsi" w:hAnsiTheme="minorHAnsi" w:cstheme="minorHAnsi"/>
          <w:sz w:val="22"/>
        </w:rPr>
        <w:t xml:space="preserve">TPP </w:t>
      </w:r>
      <w:r w:rsidRPr="00B64B80">
        <w:rPr>
          <w:rFonts w:asciiTheme="minorHAnsi" w:hAnsiTheme="minorHAnsi" w:cstheme="minorHAnsi"/>
          <w:sz w:val="22"/>
        </w:rPr>
        <w:t xml:space="preserve">Parties are encouraged to consider international standards, recommendations and guidance when determining technical requirements and to take a risk based approach, as appropriate, in assessing applications. </w:t>
      </w:r>
      <w:r w:rsidR="001736C4" w:rsidRPr="00B64B80">
        <w:rPr>
          <w:rFonts w:asciiTheme="minorHAnsi" w:hAnsiTheme="minorHAnsi" w:cstheme="minorHAnsi"/>
          <w:sz w:val="22"/>
        </w:rPr>
        <w:t xml:space="preserve">TPP </w:t>
      </w:r>
      <w:r w:rsidRPr="00B64B80">
        <w:rPr>
          <w:rFonts w:asciiTheme="minorHAnsi" w:hAnsiTheme="minorHAnsi" w:cstheme="minorHAnsi"/>
          <w:sz w:val="22"/>
        </w:rPr>
        <w:t xml:space="preserve">Parties would commit to basing product approvals on safety, quality clinical data, design and product quality information. The </w:t>
      </w:r>
      <w:r w:rsidR="001736C4" w:rsidRPr="00B64B80">
        <w:rPr>
          <w:rFonts w:asciiTheme="minorHAnsi" w:hAnsiTheme="minorHAnsi" w:cstheme="minorHAnsi"/>
          <w:sz w:val="22"/>
        </w:rPr>
        <w:t xml:space="preserve">Chapter </w:t>
      </w:r>
      <w:r w:rsidRPr="00B64B80">
        <w:rPr>
          <w:rFonts w:asciiTheme="minorHAnsi" w:hAnsiTheme="minorHAnsi" w:cstheme="minorHAnsi"/>
          <w:sz w:val="22"/>
        </w:rPr>
        <w:t>also covers review and appeal mechanisms.</w:t>
      </w:r>
    </w:p>
    <w:p w14:paraId="05237CD0" w14:textId="5C728CB7" w:rsidR="00A7274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The annexes do not seek to negotiate specific requirements or standards for these products. Australia’s ability to set requirements and standards, including for testing and certification will not be affected. Improving the information available to importers and exporters, reducing unnecessary delays in approvals and improving standard setting across the region </w:t>
      </w:r>
      <w:r w:rsidR="001736C4" w:rsidRPr="00B64B80">
        <w:rPr>
          <w:rFonts w:asciiTheme="minorHAnsi" w:hAnsiTheme="minorHAnsi" w:cstheme="minorHAnsi"/>
          <w:sz w:val="22"/>
        </w:rPr>
        <w:t xml:space="preserve">will </w:t>
      </w:r>
      <w:r w:rsidRPr="00B64B80">
        <w:rPr>
          <w:rFonts w:asciiTheme="minorHAnsi" w:hAnsiTheme="minorHAnsi" w:cstheme="minorHAnsi"/>
          <w:sz w:val="22"/>
        </w:rPr>
        <w:t xml:space="preserve">benefit producers and consumers. </w:t>
      </w:r>
      <w:r w:rsidRPr="0017394A">
        <w:rPr>
          <w:rFonts w:asciiTheme="minorHAnsi" w:hAnsiTheme="minorHAnsi" w:cstheme="minorHAnsi"/>
          <w:sz w:val="22"/>
        </w:rPr>
        <w:t>Australia’s global exports in these three industries were worth over $</w:t>
      </w:r>
      <w:r w:rsidR="00945BD8" w:rsidRPr="0017394A">
        <w:rPr>
          <w:rFonts w:asciiTheme="minorHAnsi" w:hAnsiTheme="minorHAnsi" w:cstheme="minorHAnsi"/>
          <w:sz w:val="22"/>
        </w:rPr>
        <w:t>5.9</w:t>
      </w:r>
      <w:r w:rsidRPr="0017394A">
        <w:rPr>
          <w:rFonts w:asciiTheme="minorHAnsi" w:hAnsiTheme="minorHAnsi" w:cstheme="minorHAnsi"/>
          <w:sz w:val="22"/>
        </w:rPr>
        <w:t xml:space="preserve"> billion in 201</w:t>
      </w:r>
      <w:r w:rsidR="00786B48" w:rsidRPr="0017394A">
        <w:rPr>
          <w:rFonts w:asciiTheme="minorHAnsi" w:hAnsiTheme="minorHAnsi" w:cstheme="minorHAnsi"/>
          <w:sz w:val="22"/>
        </w:rPr>
        <w:t>5</w:t>
      </w:r>
      <w:r w:rsidR="00945BD8" w:rsidRPr="0017394A">
        <w:rPr>
          <w:rFonts w:asciiTheme="minorHAnsi" w:hAnsiTheme="minorHAnsi" w:cstheme="minorHAnsi"/>
          <w:sz w:val="22"/>
        </w:rPr>
        <w:t>-16</w:t>
      </w:r>
      <w:r w:rsidRPr="0017394A">
        <w:rPr>
          <w:rFonts w:asciiTheme="minorHAnsi" w:hAnsiTheme="minorHAnsi" w:cstheme="minorHAnsi"/>
          <w:sz w:val="22"/>
        </w:rPr>
        <w:t>.</w:t>
      </w:r>
      <w:r w:rsidRPr="00B64B80">
        <w:rPr>
          <w:rFonts w:asciiTheme="minorHAnsi" w:hAnsiTheme="minorHAnsi" w:cstheme="minorHAnsi"/>
          <w:sz w:val="22"/>
        </w:rPr>
        <w:t xml:space="preserve"> </w:t>
      </w:r>
    </w:p>
    <w:p w14:paraId="3B52DDE2" w14:textId="6F13F791" w:rsidR="00A7274B" w:rsidRPr="00B64B80" w:rsidRDefault="001736C4"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The</w:t>
      </w:r>
      <w:r w:rsidRPr="00B64B80">
        <w:rPr>
          <w:rFonts w:asciiTheme="minorHAnsi" w:hAnsiTheme="minorHAnsi" w:cstheme="minorHAnsi"/>
          <w:b/>
          <w:sz w:val="22"/>
        </w:rPr>
        <w:t xml:space="preserve"> </w:t>
      </w:r>
      <w:r w:rsidR="00A7274B" w:rsidRPr="00B64B80">
        <w:rPr>
          <w:rFonts w:asciiTheme="minorHAnsi" w:hAnsiTheme="minorHAnsi" w:cstheme="minorHAnsi"/>
          <w:sz w:val="22"/>
        </w:rPr>
        <w:t>annex on</w:t>
      </w:r>
      <w:r w:rsidR="00A7274B" w:rsidRPr="00B64B80">
        <w:rPr>
          <w:rFonts w:asciiTheme="minorHAnsi" w:hAnsiTheme="minorHAnsi" w:cstheme="minorHAnsi"/>
          <w:b/>
          <w:sz w:val="22"/>
        </w:rPr>
        <w:t xml:space="preserve"> </w:t>
      </w:r>
      <w:r w:rsidR="00A7274B" w:rsidRPr="00B64B80">
        <w:rPr>
          <w:rFonts w:asciiTheme="minorHAnsi" w:hAnsiTheme="minorHAnsi" w:cstheme="minorHAnsi"/>
          <w:sz w:val="22"/>
        </w:rPr>
        <w:t>Information and Communica</w:t>
      </w:r>
      <w:r w:rsidR="00AA1A95">
        <w:rPr>
          <w:rFonts w:asciiTheme="minorHAnsi" w:hAnsiTheme="minorHAnsi" w:cstheme="minorHAnsi"/>
          <w:sz w:val="22"/>
        </w:rPr>
        <w:t>tions Technology Products (ICT)</w:t>
      </w:r>
      <w:r w:rsidR="00A7274B" w:rsidRPr="00B64B80">
        <w:rPr>
          <w:rFonts w:asciiTheme="minorHAnsi" w:hAnsiTheme="minorHAnsi" w:cstheme="minorHAnsi"/>
          <w:sz w:val="22"/>
        </w:rPr>
        <w:t xml:space="preserve"> provides guidance on the application of technical requirements and conformity assessment obligations to ICT products that use cryptography or that have an electromagnetic capability. </w:t>
      </w:r>
    </w:p>
    <w:p w14:paraId="5F59E03B" w14:textId="4C78A1C1" w:rsidR="009E727B" w:rsidRPr="00B64B80" w:rsidRDefault="00A7274B" w:rsidP="00AA1A95">
      <w:pPr>
        <w:spacing w:after="200" w:line="276" w:lineRule="auto"/>
        <w:jc w:val="both"/>
        <w:rPr>
          <w:rFonts w:asciiTheme="minorHAnsi" w:hAnsiTheme="minorHAnsi" w:cstheme="minorHAnsi"/>
          <w:sz w:val="22"/>
        </w:rPr>
      </w:pPr>
      <w:r w:rsidRPr="00B64B80">
        <w:rPr>
          <w:rFonts w:asciiTheme="minorHAnsi" w:hAnsiTheme="minorHAnsi" w:cstheme="minorHAnsi"/>
          <w:sz w:val="22"/>
        </w:rPr>
        <w:t xml:space="preserve">The Organic Products annex encourages parties to exchange information on matters relating to organic production and certification and to work towards improved international guidelines and standards. It further encourages parties to consider expeditiously a request for equivalence of standards and technical regulations or conformity of procedures. The annex </w:t>
      </w:r>
      <w:r w:rsidR="001736C4" w:rsidRPr="00B64B80">
        <w:rPr>
          <w:rFonts w:asciiTheme="minorHAnsi" w:hAnsiTheme="minorHAnsi" w:cstheme="minorHAnsi"/>
          <w:sz w:val="22"/>
        </w:rPr>
        <w:t xml:space="preserve">does </w:t>
      </w:r>
      <w:r w:rsidRPr="00B64B80">
        <w:rPr>
          <w:rFonts w:asciiTheme="minorHAnsi" w:hAnsiTheme="minorHAnsi" w:cstheme="minorHAnsi"/>
          <w:sz w:val="22"/>
        </w:rPr>
        <w:t xml:space="preserve">not apply to standards set by non-government bodies. Australia does not have an official government standard for organic products.  The annex has no impact on Australia’s current organics industry certification. </w:t>
      </w:r>
    </w:p>
    <w:sectPr w:rsidR="009E727B" w:rsidRPr="00B64B80" w:rsidSect="00032CE3">
      <w:headerReference w:type="default" r:id="rId12"/>
      <w:footerReference w:type="even" r:id="rId13"/>
      <w:footerReference w:type="default" r:id="rId14"/>
      <w:headerReference w:type="first" r:id="rId15"/>
      <w:footerReference w:type="first" r:id="rId16"/>
      <w:pgSz w:w="11900" w:h="16840"/>
      <w:pgMar w:top="1440" w:right="851" w:bottom="1985" w:left="851"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1">
      <wne:acd wne:acdName="acd1"/>
    </wne:keymap>
    <wne:keymap wne:kcmPrimary="016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491AE" w14:textId="77777777" w:rsidR="00A7274B" w:rsidRDefault="00A7274B" w:rsidP="00E8641D">
      <w:pPr>
        <w:spacing w:line="240" w:lineRule="auto"/>
      </w:pPr>
      <w:r>
        <w:separator/>
      </w:r>
    </w:p>
  </w:endnote>
  <w:endnote w:type="continuationSeparator" w:id="0">
    <w:p w14:paraId="2BBF974D" w14:textId="77777777" w:rsidR="00A7274B" w:rsidRDefault="00A7274B" w:rsidP="00E864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3D41" w14:textId="77777777" w:rsidR="00A7274B" w:rsidRDefault="00A7274B"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7473BF" w14:textId="77777777" w:rsidR="00A7274B" w:rsidRDefault="00A7274B" w:rsidP="00401E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0A435" w14:textId="686AE9CB" w:rsidR="00A7274B" w:rsidRDefault="00A7274B" w:rsidP="00092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990">
      <w:rPr>
        <w:rStyle w:val="PageNumber"/>
        <w:noProof/>
      </w:rPr>
      <w:t>3</w:t>
    </w:r>
    <w:r>
      <w:rPr>
        <w:rStyle w:val="PageNumber"/>
      </w:rPr>
      <w:fldChar w:fldCharType="end"/>
    </w:r>
  </w:p>
  <w:p w14:paraId="05243470" w14:textId="47CFCB24" w:rsidR="00A7274B" w:rsidRDefault="00A7274B" w:rsidP="006F4F7E">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CC6990">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http://dfat.gov.au/trade/agreements/tpp/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01668" w14:textId="10ADB8FB" w:rsidR="00A7274B" w:rsidRDefault="00A7274B" w:rsidP="00032CE3">
    <w:pPr>
      <w:pStyle w:val="Footer"/>
      <w:ind w:right="360"/>
    </w:pPr>
    <w:r w:rsidRPr="00E8641D">
      <w:rPr>
        <w:lang w:val="en-AU"/>
      </w:rPr>
      <w:t xml:space="preserve">Fact sheet last update: </w:t>
    </w:r>
    <w:r>
      <w:rPr>
        <w:lang w:val="en-AU"/>
      </w:rPr>
      <w:fldChar w:fldCharType="begin"/>
    </w:r>
    <w:r>
      <w:rPr>
        <w:lang w:val="en-AU"/>
      </w:rPr>
      <w:instrText xml:space="preserve"> TIME \@ "d.MM.yyyy" </w:instrText>
    </w:r>
    <w:r>
      <w:rPr>
        <w:lang w:val="en-AU"/>
      </w:rPr>
      <w:fldChar w:fldCharType="separate"/>
    </w:r>
    <w:r w:rsidR="00CC6990">
      <w:rPr>
        <w:noProof/>
        <w:lang w:val="en-AU"/>
      </w:rPr>
      <w:t>7.12.2016</w:t>
    </w:r>
    <w:r>
      <w:rPr>
        <w:lang w:val="en-AU"/>
      </w:rPr>
      <w:fldChar w:fldCharType="end"/>
    </w:r>
    <w:r>
      <w:rPr>
        <w:lang w:val="en-AU"/>
      </w:rPr>
      <w:br/>
    </w:r>
    <w:r w:rsidRPr="00E8641D">
      <w:rPr>
        <w:lang w:val="en-AU"/>
      </w:rPr>
      <w:t xml:space="preserve">More information on the </w:t>
    </w:r>
    <w:r>
      <w:rPr>
        <w:lang w:val="en-AU"/>
      </w:rPr>
      <w:t>Trans-Pacific Partnership</w:t>
    </w:r>
    <w:r w:rsidRPr="00E8641D">
      <w:rPr>
        <w:lang w:val="en-AU"/>
      </w:rPr>
      <w:t xml:space="preserve"> Agreement</w:t>
    </w:r>
    <w:r>
      <w:rPr>
        <w:lang w:val="en-AU"/>
      </w:rPr>
      <w:br/>
    </w:r>
    <w:r w:rsidRPr="00E8641D">
      <w:rPr>
        <w:lang w:val="en-AU"/>
      </w:rPr>
      <w:t>is available at</w:t>
    </w:r>
    <w:r>
      <w:rPr>
        <w:lang w:val="en-AU"/>
      </w:rPr>
      <w:t xml:space="preserve"> </w:t>
    </w:r>
    <w:r w:rsidRPr="004C1D59">
      <w:rPr>
        <w:color w:val="0070C0"/>
        <w:lang w:val="en-AU"/>
      </w:rPr>
      <w:t xml:space="preserve">http://dfat.gov.au/trade/agreements/tpp/ </w:t>
    </w:r>
    <w:r>
      <w:rPr>
        <w:noProof/>
        <w:lang w:val="en-AU" w:eastAsia="en-AU"/>
      </w:rPr>
      <w:drawing>
        <wp:anchor distT="360045" distB="0" distL="114300" distR="114300" simplePos="0" relativeHeight="251659264" behindDoc="1" locked="0" layoutInCell="1" allowOverlap="1" wp14:anchorId="7C9994F8" wp14:editId="39434CB5">
          <wp:simplePos x="0" y="0"/>
          <wp:positionH relativeFrom="margin">
            <wp:align>right</wp:align>
          </wp:positionH>
          <wp:positionV relativeFrom="page">
            <wp:posOffset>9649460</wp:posOffset>
          </wp:positionV>
          <wp:extent cx="2531745" cy="781685"/>
          <wp:effectExtent l="0" t="0" r="825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OFB-CoBrand-RGB.png"/>
                  <pic:cNvPicPr/>
                </pic:nvPicPr>
                <pic:blipFill>
                  <a:blip r:embed="rId1">
                    <a:extLst>
                      <a:ext uri="{28A0092B-C50C-407E-A947-70E740481C1C}">
                        <a14:useLocalDpi xmlns:a14="http://schemas.microsoft.com/office/drawing/2010/main" val="0"/>
                      </a:ext>
                    </a:extLst>
                  </a:blip>
                  <a:stretch>
                    <a:fillRect/>
                  </a:stretch>
                </pic:blipFill>
                <pic:spPr>
                  <a:xfrm>
                    <a:off x="0" y="0"/>
                    <a:ext cx="2531745" cy="78168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B4363" w14:textId="77777777" w:rsidR="00A7274B" w:rsidRDefault="00A7274B" w:rsidP="00E8641D">
      <w:pPr>
        <w:spacing w:line="240" w:lineRule="auto"/>
      </w:pPr>
      <w:r>
        <w:separator/>
      </w:r>
    </w:p>
  </w:footnote>
  <w:footnote w:type="continuationSeparator" w:id="0">
    <w:p w14:paraId="7C4004C9" w14:textId="77777777" w:rsidR="00A7274B" w:rsidRDefault="00A7274B" w:rsidP="00E864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CF5DD" w14:textId="4EACE3E1" w:rsidR="00A7274B" w:rsidRDefault="00A7274B">
    <w:pPr>
      <w:pStyle w:val="Header"/>
    </w:pPr>
    <w:r>
      <w:rPr>
        <w:noProof/>
        <w:lang w:val="en-AU" w:eastAsia="en-AU"/>
      </w:rPr>
      <w:drawing>
        <wp:anchor distT="0" distB="180340" distL="114300" distR="114300" simplePos="0" relativeHeight="251660288" behindDoc="1" locked="0" layoutInCell="1" allowOverlap="1" wp14:anchorId="4111892D" wp14:editId="53790108">
          <wp:simplePos x="0" y="0"/>
          <wp:positionH relativeFrom="page">
            <wp:align>center</wp:align>
          </wp:positionH>
          <wp:positionV relativeFrom="page">
            <wp:align>top</wp:align>
          </wp:positionV>
          <wp:extent cx="7559040" cy="58521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follow.jpg"/>
                  <pic:cNvPicPr/>
                </pic:nvPicPr>
                <pic:blipFill>
                  <a:blip r:embed="rId1">
                    <a:extLst>
                      <a:ext uri="{28A0092B-C50C-407E-A947-70E740481C1C}">
                        <a14:useLocalDpi xmlns:a14="http://schemas.microsoft.com/office/drawing/2010/main" val="0"/>
                      </a:ext>
                    </a:extLst>
                  </a:blip>
                  <a:stretch>
                    <a:fillRect/>
                  </a:stretch>
                </pic:blipFill>
                <pic:spPr>
                  <a:xfrm>
                    <a:off x="0" y="0"/>
                    <a:ext cx="7559040" cy="5852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EAFCB" w14:textId="0CB042DD" w:rsidR="00A7274B" w:rsidRDefault="00A7274B">
    <w:pPr>
      <w:pStyle w:val="Header"/>
    </w:pPr>
    <w:r>
      <w:rPr>
        <w:noProof/>
        <w:lang w:val="en-AU" w:eastAsia="en-AU"/>
      </w:rPr>
      <w:drawing>
        <wp:anchor distT="0" distB="180340" distL="114300" distR="114300" simplePos="0" relativeHeight="251658240" behindDoc="1" locked="0" layoutInCell="1" allowOverlap="1" wp14:anchorId="44940E1B" wp14:editId="6DBBEDC3">
          <wp:simplePos x="0" y="0"/>
          <wp:positionH relativeFrom="page">
            <wp:align>center</wp:align>
          </wp:positionH>
          <wp:positionV relativeFrom="page">
            <wp:align>top</wp:align>
          </wp:positionV>
          <wp:extent cx="7559040" cy="1798320"/>
          <wp:effectExtent l="0" t="0" r="1016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FTA-Header.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79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7E0F"/>
    <w:multiLevelType w:val="hybridMultilevel"/>
    <w:tmpl w:val="A4060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67244"/>
    <w:multiLevelType w:val="hybridMultilevel"/>
    <w:tmpl w:val="B6F4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80CBC"/>
    <w:multiLevelType w:val="multilevel"/>
    <w:tmpl w:val="7B5CEAA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3CC812A3"/>
    <w:multiLevelType w:val="hybridMultilevel"/>
    <w:tmpl w:val="71F6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F220B"/>
    <w:multiLevelType w:val="hybridMultilevel"/>
    <w:tmpl w:val="729428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E41A3"/>
    <w:multiLevelType w:val="hybridMultilevel"/>
    <w:tmpl w:val="48903392"/>
    <w:lvl w:ilvl="0" w:tplc="C6A8D95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6" w15:restartNumberingAfterBreak="0">
    <w:nsid w:val="754229FC"/>
    <w:multiLevelType w:val="multilevel"/>
    <w:tmpl w:val="5366F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78174D14"/>
    <w:multiLevelType w:val="hybridMultilevel"/>
    <w:tmpl w:val="6288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1"/>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171"/>
    <w:rsid w:val="00032CE3"/>
    <w:rsid w:val="00064111"/>
    <w:rsid w:val="0009261C"/>
    <w:rsid w:val="001736C4"/>
    <w:rsid w:val="0017394A"/>
    <w:rsid w:val="00177BCE"/>
    <w:rsid w:val="001C13A2"/>
    <w:rsid w:val="001D7B70"/>
    <w:rsid w:val="002E1149"/>
    <w:rsid w:val="00306851"/>
    <w:rsid w:val="00401E7C"/>
    <w:rsid w:val="00423641"/>
    <w:rsid w:val="004B2171"/>
    <w:rsid w:val="004C1D59"/>
    <w:rsid w:val="0052077E"/>
    <w:rsid w:val="00525E4E"/>
    <w:rsid w:val="00576FDA"/>
    <w:rsid w:val="005867F6"/>
    <w:rsid w:val="005E0927"/>
    <w:rsid w:val="006563EA"/>
    <w:rsid w:val="006F4F7E"/>
    <w:rsid w:val="007321B5"/>
    <w:rsid w:val="00734E00"/>
    <w:rsid w:val="00757F4E"/>
    <w:rsid w:val="00786B48"/>
    <w:rsid w:val="0079782B"/>
    <w:rsid w:val="007A6F6F"/>
    <w:rsid w:val="007C57D5"/>
    <w:rsid w:val="007E3753"/>
    <w:rsid w:val="0089567B"/>
    <w:rsid w:val="00945BD8"/>
    <w:rsid w:val="009606BB"/>
    <w:rsid w:val="009E727B"/>
    <w:rsid w:val="00A47363"/>
    <w:rsid w:val="00A5361A"/>
    <w:rsid w:val="00A7274B"/>
    <w:rsid w:val="00A80C68"/>
    <w:rsid w:val="00A94DD9"/>
    <w:rsid w:val="00AA1A95"/>
    <w:rsid w:val="00AD4C0C"/>
    <w:rsid w:val="00B64B80"/>
    <w:rsid w:val="00B95C02"/>
    <w:rsid w:val="00BE3DB8"/>
    <w:rsid w:val="00C14483"/>
    <w:rsid w:val="00C81FC7"/>
    <w:rsid w:val="00C939D5"/>
    <w:rsid w:val="00CC6990"/>
    <w:rsid w:val="00CF62E9"/>
    <w:rsid w:val="00D006E3"/>
    <w:rsid w:val="00DC5B75"/>
    <w:rsid w:val="00E8641D"/>
    <w:rsid w:val="00EC62D6"/>
    <w:rsid w:val="00EE7A01"/>
    <w:rsid w:val="00F12040"/>
    <w:rsid w:val="00F14C62"/>
    <w:rsid w:val="00F2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4D2E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color w:val="414042"/>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E3"/>
    <w:pPr>
      <w:spacing w:after="80" w:line="288" w:lineRule="auto"/>
    </w:pPr>
    <w:rPr>
      <w:color w:val="auto"/>
      <w:sz w:val="20"/>
    </w:rPr>
  </w:style>
  <w:style w:type="paragraph" w:styleId="Heading1">
    <w:name w:val="heading 1"/>
    <w:basedOn w:val="Normal"/>
    <w:next w:val="Normal"/>
    <w:link w:val="Heading1Char"/>
    <w:uiPriority w:val="9"/>
    <w:qFormat/>
    <w:rsid w:val="006F4F7E"/>
    <w:pPr>
      <w:keepNext/>
      <w:keepLines/>
      <w:spacing w:before="140" w:after="320" w:line="264" w:lineRule="auto"/>
      <w:outlineLvl w:val="0"/>
    </w:pPr>
    <w:rPr>
      <w:rFonts w:asciiTheme="majorHAnsi" w:eastAsiaTheme="majorEastAsia" w:hAnsiTheme="majorHAnsi" w:cstheme="majorBidi"/>
      <w:bCs/>
      <w:color w:val="41748D" w:themeColor="accent5"/>
      <w:sz w:val="36"/>
      <w:szCs w:val="32"/>
    </w:rPr>
  </w:style>
  <w:style w:type="paragraph" w:styleId="Heading2">
    <w:name w:val="heading 2"/>
    <w:basedOn w:val="Normal"/>
    <w:next w:val="Normal"/>
    <w:link w:val="Heading2Char"/>
    <w:uiPriority w:val="9"/>
    <w:unhideWhenUsed/>
    <w:qFormat/>
    <w:rsid w:val="006F4F7E"/>
    <w:pPr>
      <w:keepNext/>
      <w:keepLines/>
      <w:spacing w:before="320" w:after="120"/>
      <w:outlineLvl w:val="1"/>
    </w:pPr>
    <w:rPr>
      <w:rFonts w:asciiTheme="majorHAnsi" w:eastAsiaTheme="majorEastAsia" w:hAnsiTheme="majorHAnsi" w:cstheme="majorBidi"/>
      <w:b/>
      <w:bCs/>
      <w:color w:val="41748D" w:themeColor="accent5"/>
      <w:sz w:val="26"/>
      <w:szCs w:val="26"/>
    </w:rPr>
  </w:style>
  <w:style w:type="paragraph" w:styleId="Heading3">
    <w:name w:val="heading 3"/>
    <w:basedOn w:val="Normal"/>
    <w:next w:val="Normal"/>
    <w:link w:val="Heading3Char"/>
    <w:uiPriority w:val="9"/>
    <w:unhideWhenUsed/>
    <w:qFormat/>
    <w:rsid w:val="006F4F7E"/>
    <w:pPr>
      <w:keepNext/>
      <w:keepLines/>
      <w:spacing w:before="300"/>
      <w:outlineLvl w:val="2"/>
    </w:pPr>
    <w:rPr>
      <w:rFonts w:asciiTheme="majorHAnsi" w:eastAsiaTheme="majorEastAsia" w:hAnsiTheme="majorHAnsi" w:cstheme="majorBidi"/>
      <w:bCs/>
      <w:color w:val="41748D" w:themeColor="accent5"/>
      <w:sz w:val="22"/>
    </w:rPr>
  </w:style>
  <w:style w:type="paragraph" w:styleId="Heading4">
    <w:name w:val="heading 4"/>
    <w:basedOn w:val="Normal"/>
    <w:next w:val="Normal"/>
    <w:link w:val="Heading4Char"/>
    <w:uiPriority w:val="9"/>
    <w:unhideWhenUsed/>
    <w:qFormat/>
    <w:rsid w:val="0009261C"/>
    <w:pPr>
      <w:keepNext/>
      <w:keepLines/>
      <w:spacing w:before="30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09261C"/>
    <w:pPr>
      <w:keepNext/>
      <w:keepLines/>
      <w:spacing w:before="30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rsid w:val="0009261C"/>
    <w:pPr>
      <w:keepNext/>
      <w:keepLines/>
      <w:spacing w:before="200"/>
      <w:outlineLvl w:val="5"/>
    </w:pPr>
    <w:rPr>
      <w:rFonts w:asciiTheme="majorHAnsi" w:eastAsiaTheme="majorEastAsia" w:hAnsiTheme="majorHAnsi" w:cstheme="majorBidi"/>
      <w:i/>
      <w:iCs/>
      <w:color w:val="7A41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F7E"/>
    <w:rPr>
      <w:rFonts w:asciiTheme="majorHAnsi" w:eastAsiaTheme="majorEastAsia" w:hAnsiTheme="majorHAnsi" w:cstheme="majorBidi"/>
      <w:bCs/>
      <w:color w:val="41748D" w:themeColor="accent5"/>
      <w:sz w:val="36"/>
      <w:szCs w:val="32"/>
    </w:rPr>
  </w:style>
  <w:style w:type="character" w:customStyle="1" w:styleId="Heading2Char">
    <w:name w:val="Heading 2 Char"/>
    <w:basedOn w:val="DefaultParagraphFont"/>
    <w:link w:val="Heading2"/>
    <w:uiPriority w:val="9"/>
    <w:rsid w:val="006F4F7E"/>
    <w:rPr>
      <w:rFonts w:asciiTheme="majorHAnsi" w:eastAsiaTheme="majorEastAsia" w:hAnsiTheme="majorHAnsi" w:cstheme="majorBidi"/>
      <w:b/>
      <w:bCs/>
      <w:color w:val="41748D" w:themeColor="accent5"/>
      <w:sz w:val="26"/>
      <w:szCs w:val="26"/>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4B2171"/>
    <w:pPr>
      <w:ind w:left="720"/>
      <w:contextualSpacing/>
    </w:pPr>
  </w:style>
  <w:style w:type="paragraph" w:styleId="Header">
    <w:name w:val="header"/>
    <w:basedOn w:val="Normal"/>
    <w:link w:val="HeaderChar"/>
    <w:uiPriority w:val="99"/>
    <w:unhideWhenUsed/>
    <w:rsid w:val="00E8641D"/>
    <w:pPr>
      <w:tabs>
        <w:tab w:val="center" w:pos="4320"/>
        <w:tab w:val="right" w:pos="8640"/>
      </w:tabs>
      <w:spacing w:line="240" w:lineRule="auto"/>
    </w:pPr>
  </w:style>
  <w:style w:type="character" w:customStyle="1" w:styleId="HeaderChar">
    <w:name w:val="Header Char"/>
    <w:basedOn w:val="DefaultParagraphFont"/>
    <w:link w:val="Header"/>
    <w:uiPriority w:val="99"/>
    <w:rsid w:val="00E8641D"/>
    <w:rPr>
      <w:color w:val="3D3935" w:themeColor="text1"/>
      <w:sz w:val="18"/>
    </w:rPr>
  </w:style>
  <w:style w:type="paragraph" w:styleId="Footer">
    <w:name w:val="footer"/>
    <w:basedOn w:val="Normal"/>
    <w:link w:val="FooterChar"/>
    <w:uiPriority w:val="99"/>
    <w:unhideWhenUsed/>
    <w:rsid w:val="00032CE3"/>
    <w:pPr>
      <w:tabs>
        <w:tab w:val="center" w:pos="4320"/>
        <w:tab w:val="right" w:pos="8640"/>
      </w:tabs>
      <w:spacing w:after="0"/>
    </w:pPr>
    <w:rPr>
      <w:sz w:val="16"/>
    </w:rPr>
  </w:style>
  <w:style w:type="character" w:customStyle="1" w:styleId="FooterChar">
    <w:name w:val="Footer Char"/>
    <w:basedOn w:val="DefaultParagraphFont"/>
    <w:link w:val="Footer"/>
    <w:uiPriority w:val="99"/>
    <w:rsid w:val="00032CE3"/>
    <w:rPr>
      <w:color w:val="auto"/>
      <w:sz w:val="16"/>
    </w:rPr>
  </w:style>
  <w:style w:type="character" w:styleId="Hyperlink">
    <w:name w:val="Hyperlink"/>
    <w:basedOn w:val="DefaultParagraphFont"/>
    <w:uiPriority w:val="99"/>
    <w:unhideWhenUsed/>
    <w:rsid w:val="006F4F7E"/>
    <w:rPr>
      <w:color w:val="41748D" w:themeColor="accent5"/>
      <w:u w:val="single"/>
    </w:rPr>
  </w:style>
  <w:style w:type="paragraph" w:styleId="BalloonText">
    <w:name w:val="Balloon Text"/>
    <w:basedOn w:val="Normal"/>
    <w:link w:val="BalloonTextChar"/>
    <w:uiPriority w:val="99"/>
    <w:semiHidden/>
    <w:unhideWhenUsed/>
    <w:rsid w:val="00DC5B75"/>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DC5B75"/>
    <w:rPr>
      <w:rFonts w:ascii="Lucida Grande" w:hAnsi="Lucida Grande" w:cs="Lucida Grande"/>
      <w:color w:val="3D3935" w:themeColor="text1"/>
      <w:sz w:val="18"/>
      <w:szCs w:val="18"/>
    </w:rPr>
  </w:style>
  <w:style w:type="character" w:styleId="PageNumber">
    <w:name w:val="page number"/>
    <w:basedOn w:val="DefaultParagraphFont"/>
    <w:uiPriority w:val="99"/>
    <w:semiHidden/>
    <w:unhideWhenUsed/>
    <w:rsid w:val="00401E7C"/>
  </w:style>
  <w:style w:type="character" w:customStyle="1" w:styleId="Heading3Char">
    <w:name w:val="Heading 3 Char"/>
    <w:basedOn w:val="DefaultParagraphFont"/>
    <w:link w:val="Heading3"/>
    <w:uiPriority w:val="9"/>
    <w:rsid w:val="006F4F7E"/>
    <w:rPr>
      <w:rFonts w:asciiTheme="majorHAnsi" w:eastAsiaTheme="majorEastAsia" w:hAnsiTheme="majorHAnsi" w:cstheme="majorBidi"/>
      <w:bCs/>
      <w:color w:val="41748D" w:themeColor="accent5"/>
    </w:rPr>
  </w:style>
  <w:style w:type="character" w:customStyle="1" w:styleId="Heading4Char">
    <w:name w:val="Heading 4 Char"/>
    <w:basedOn w:val="DefaultParagraphFont"/>
    <w:link w:val="Heading4"/>
    <w:uiPriority w:val="9"/>
    <w:rsid w:val="0009261C"/>
    <w:rPr>
      <w:rFonts w:asciiTheme="majorHAnsi" w:eastAsiaTheme="majorEastAsia" w:hAnsiTheme="majorHAnsi" w:cstheme="majorBidi"/>
      <w:b/>
      <w:bCs/>
      <w:iCs/>
      <w:color w:val="auto"/>
      <w:sz w:val="20"/>
    </w:rPr>
  </w:style>
  <w:style w:type="character" w:customStyle="1" w:styleId="Heading5Char">
    <w:name w:val="Heading 5 Char"/>
    <w:basedOn w:val="DefaultParagraphFont"/>
    <w:link w:val="Heading5"/>
    <w:uiPriority w:val="9"/>
    <w:rsid w:val="0009261C"/>
    <w:rPr>
      <w:rFonts w:asciiTheme="majorHAnsi" w:eastAsiaTheme="majorEastAsia" w:hAnsiTheme="majorHAnsi" w:cstheme="majorBidi"/>
      <w:i/>
      <w:color w:val="auto"/>
      <w:sz w:val="20"/>
    </w:rPr>
  </w:style>
  <w:style w:type="character" w:customStyle="1" w:styleId="Heading6Char">
    <w:name w:val="Heading 6 Char"/>
    <w:basedOn w:val="DefaultParagraphFont"/>
    <w:link w:val="Heading6"/>
    <w:uiPriority w:val="9"/>
    <w:semiHidden/>
    <w:rsid w:val="0009261C"/>
    <w:rPr>
      <w:rFonts w:asciiTheme="majorHAnsi" w:eastAsiaTheme="majorEastAsia" w:hAnsiTheme="majorHAnsi" w:cstheme="majorBidi"/>
      <w:i/>
      <w:iCs/>
      <w:color w:val="7A4100" w:themeColor="accent1" w:themeShade="7F"/>
      <w:sz w:val="20"/>
    </w:rPr>
  </w:style>
  <w:style w:type="paragraph" w:styleId="Quote">
    <w:name w:val="Quote"/>
    <w:basedOn w:val="Normal"/>
    <w:next w:val="Normal"/>
    <w:link w:val="QuoteChar"/>
    <w:uiPriority w:val="29"/>
    <w:qFormat/>
    <w:rsid w:val="006F4F7E"/>
    <w:pPr>
      <w:pBdr>
        <w:top w:val="single" w:sz="8" w:space="10" w:color="D5E4EB" w:themeColor="accent5" w:themeTint="33"/>
        <w:bottom w:val="single" w:sz="8" w:space="10" w:color="D5E4EB" w:themeColor="accent5" w:themeTint="33"/>
      </w:pBdr>
      <w:spacing w:before="400" w:after="400"/>
    </w:pPr>
    <w:rPr>
      <w:i/>
      <w:iCs/>
      <w:color w:val="41748D" w:themeColor="accent5"/>
    </w:rPr>
  </w:style>
  <w:style w:type="character" w:customStyle="1" w:styleId="QuoteChar">
    <w:name w:val="Quote Char"/>
    <w:basedOn w:val="DefaultParagraphFont"/>
    <w:link w:val="Quote"/>
    <w:uiPriority w:val="29"/>
    <w:rsid w:val="006F4F7E"/>
    <w:rPr>
      <w:i/>
      <w:iCs/>
      <w:color w:val="41748D" w:themeColor="accent5"/>
      <w:sz w:val="20"/>
    </w:rPr>
  </w:style>
  <w:style w:type="character" w:styleId="FollowedHyperlink">
    <w:name w:val="FollowedHyperlink"/>
    <w:basedOn w:val="DefaultParagraphFont"/>
    <w:uiPriority w:val="99"/>
    <w:semiHidden/>
    <w:unhideWhenUsed/>
    <w:rsid w:val="00306851"/>
    <w:rPr>
      <w:color w:val="41748D" w:themeColor="accent5"/>
      <w:u w:val="single"/>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5E0927"/>
    <w:rPr>
      <w:color w:val="auto"/>
      <w:sz w:val="20"/>
    </w:rPr>
  </w:style>
  <w:style w:type="paragraph" w:styleId="FootnoteText">
    <w:name w:val="footnote text"/>
    <w:basedOn w:val="Normal"/>
    <w:link w:val="FootnoteTextChar"/>
    <w:semiHidden/>
    <w:unhideWhenUsed/>
    <w:rsid w:val="0052077E"/>
    <w:pPr>
      <w:spacing w:after="0" w:line="240" w:lineRule="auto"/>
    </w:pPr>
    <w:rPr>
      <w:rFonts w:ascii="Times New Roman" w:eastAsia="Times New Roman" w:hAnsi="Times New Roman" w:cs="Times New Roman"/>
      <w:szCs w:val="20"/>
      <w:lang w:val="en-AU"/>
    </w:rPr>
  </w:style>
  <w:style w:type="character" w:customStyle="1" w:styleId="FootnoteTextChar">
    <w:name w:val="Footnote Text Char"/>
    <w:basedOn w:val="DefaultParagraphFont"/>
    <w:link w:val="FootnoteText"/>
    <w:semiHidden/>
    <w:rsid w:val="0052077E"/>
    <w:rPr>
      <w:rFonts w:ascii="Times New Roman" w:eastAsia="Times New Roman" w:hAnsi="Times New Roman" w:cs="Times New Roman"/>
      <w:color w:val="auto"/>
      <w:sz w:val="20"/>
      <w:szCs w:val="20"/>
      <w:lang w:val="en-AU"/>
    </w:rPr>
  </w:style>
  <w:style w:type="character" w:styleId="FootnoteReference">
    <w:name w:val="footnote reference"/>
    <w:basedOn w:val="DefaultParagraphFont"/>
    <w:semiHidden/>
    <w:unhideWhenUsed/>
    <w:rsid w:val="0052077E"/>
    <w:rPr>
      <w:vertAlign w:val="superscript"/>
    </w:rPr>
  </w:style>
  <w:style w:type="character" w:styleId="CommentReference">
    <w:name w:val="annotation reference"/>
    <w:basedOn w:val="DefaultParagraphFont"/>
    <w:uiPriority w:val="99"/>
    <w:semiHidden/>
    <w:unhideWhenUsed/>
    <w:rsid w:val="00786B48"/>
    <w:rPr>
      <w:sz w:val="16"/>
      <w:szCs w:val="16"/>
    </w:rPr>
  </w:style>
  <w:style w:type="paragraph" w:styleId="CommentText">
    <w:name w:val="annotation text"/>
    <w:basedOn w:val="Normal"/>
    <w:link w:val="CommentTextChar"/>
    <w:uiPriority w:val="99"/>
    <w:semiHidden/>
    <w:unhideWhenUsed/>
    <w:rsid w:val="00786B48"/>
    <w:pPr>
      <w:spacing w:line="240" w:lineRule="auto"/>
    </w:pPr>
    <w:rPr>
      <w:szCs w:val="20"/>
    </w:rPr>
  </w:style>
  <w:style w:type="character" w:customStyle="1" w:styleId="CommentTextChar">
    <w:name w:val="Comment Text Char"/>
    <w:basedOn w:val="DefaultParagraphFont"/>
    <w:link w:val="CommentText"/>
    <w:uiPriority w:val="99"/>
    <w:semiHidden/>
    <w:rsid w:val="00786B48"/>
    <w:rPr>
      <w:color w:val="auto"/>
      <w:sz w:val="20"/>
      <w:szCs w:val="20"/>
    </w:rPr>
  </w:style>
  <w:style w:type="paragraph" w:styleId="CommentSubject">
    <w:name w:val="annotation subject"/>
    <w:basedOn w:val="CommentText"/>
    <w:next w:val="CommentText"/>
    <w:link w:val="CommentSubjectChar"/>
    <w:uiPriority w:val="99"/>
    <w:semiHidden/>
    <w:unhideWhenUsed/>
    <w:rsid w:val="00786B48"/>
    <w:rPr>
      <w:b/>
      <w:bCs/>
    </w:rPr>
  </w:style>
  <w:style w:type="character" w:customStyle="1" w:styleId="CommentSubjectChar">
    <w:name w:val="Comment Subject Char"/>
    <w:basedOn w:val="CommentTextChar"/>
    <w:link w:val="CommentSubject"/>
    <w:uiPriority w:val="99"/>
    <w:semiHidden/>
    <w:rsid w:val="00786B48"/>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049656">
      <w:bodyDiv w:val="1"/>
      <w:marLeft w:val="0"/>
      <w:marRight w:val="0"/>
      <w:marTop w:val="0"/>
      <w:marBottom w:val="0"/>
      <w:divBdr>
        <w:top w:val="none" w:sz="0" w:space="0" w:color="auto"/>
        <w:left w:val="none" w:sz="0" w:space="0" w:color="auto"/>
        <w:bottom w:val="none" w:sz="0" w:space="0" w:color="auto"/>
        <w:right w:val="none" w:sz="0" w:space="0" w:color="auto"/>
      </w:divBdr>
    </w:div>
    <w:div w:id="710223645">
      <w:bodyDiv w:val="1"/>
      <w:marLeft w:val="0"/>
      <w:marRight w:val="0"/>
      <w:marTop w:val="0"/>
      <w:marBottom w:val="0"/>
      <w:divBdr>
        <w:top w:val="none" w:sz="0" w:space="0" w:color="auto"/>
        <w:left w:val="none" w:sz="0" w:space="0" w:color="auto"/>
        <w:bottom w:val="none" w:sz="0" w:space="0" w:color="auto"/>
        <w:right w:val="none" w:sz="0" w:space="0" w:color="auto"/>
      </w:divBdr>
    </w:div>
    <w:div w:id="1375232639">
      <w:bodyDiv w:val="1"/>
      <w:marLeft w:val="0"/>
      <w:marRight w:val="0"/>
      <w:marTop w:val="0"/>
      <w:marBottom w:val="0"/>
      <w:divBdr>
        <w:top w:val="none" w:sz="0" w:space="0" w:color="auto"/>
        <w:left w:val="none" w:sz="0" w:space="0" w:color="auto"/>
        <w:bottom w:val="none" w:sz="0" w:space="0" w:color="auto"/>
        <w:right w:val="none" w:sz="0" w:space="0" w:color="auto"/>
      </w:divBdr>
    </w:div>
    <w:div w:id="1620840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ATC_AusUnlimited">
  <a:themeElements>
    <a:clrScheme name="Custom 1">
      <a:dk1>
        <a:srgbClr val="3D3935"/>
      </a:dk1>
      <a:lt1>
        <a:sysClr val="window" lastClr="FFFFFF"/>
      </a:lt1>
      <a:dk2>
        <a:srgbClr val="3D3935"/>
      </a:dk2>
      <a:lt2>
        <a:srgbClr val="D7D2CB"/>
      </a:lt2>
      <a:accent1>
        <a:srgbClr val="F58400"/>
      </a:accent1>
      <a:accent2>
        <a:srgbClr val="FFAB00"/>
      </a:accent2>
      <a:accent3>
        <a:srgbClr val="E35205"/>
      </a:accent3>
      <a:accent4>
        <a:srgbClr val="582D40"/>
      </a:accent4>
      <a:accent5>
        <a:srgbClr val="41748D"/>
      </a:accent5>
      <a:accent6>
        <a:srgbClr val="D7D2CB"/>
      </a:accent6>
      <a:hlink>
        <a:srgbClr val="F58400"/>
      </a:hlink>
      <a:folHlink>
        <a:srgbClr val="F584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76ED87E499D74F957EA98E38249353" ma:contentTypeVersion="1" ma:contentTypeDescription="Create a new document." ma:contentTypeScope="" ma:versionID="c7fba12bb51fc3be4f6d0de24922d2b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4419E-3611-4092-AB64-1544DF98B8E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470544E8-C786-46E8-A95F-BC9479AF8CFC}">
  <ds:schemaRefs>
    <ds:schemaRef ds:uri="http://schemas.microsoft.com/sharepoint/v3/contenttype/forms"/>
  </ds:schemaRefs>
</ds:datastoreItem>
</file>

<file path=customXml/itemProps3.xml><?xml version="1.0" encoding="utf-8"?>
<ds:datastoreItem xmlns:ds="http://schemas.openxmlformats.org/officeDocument/2006/customXml" ds:itemID="{C0CC8B72-6969-4E48-A364-C07700D80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29C805-F78D-4AE6-A59B-8106AD40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2016-12-06T22:43:00Z</dcterms:created>
  <dcterms:modified xsi:type="dcterms:W3CDTF">2016-12-06T23:40:00Z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0x0101000A76ED87E499D74F957EA98E38249353</vt:lpwstr>
  </property>
  <property fmtid="{D5CDD505-2E9C-101B-9397-08002B2CF9AE}" pid="3" name="TemplateUrl">
    <vt:lpwstr/>
  </property>
  <property fmtid="{D5CDD505-2E9C-101B-9397-08002B2CF9AE}" pid="4" name="Order">
    <vt:r8>7100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itusGUID">
    <vt:lpwstr>996235c7-b39c-4171-a9f9-795371cfd3f2</vt:lpwstr>
  </property>
  <property fmtid="{D5CDD505-2E9C-101B-9397-08002B2CF9AE}" pid="10" name="SEC">
    <vt:lpwstr>UNCLASSIFIED</vt:lpwstr>
  </property>
  <property fmtid="{D5CDD505-2E9C-101B-9397-08002B2CF9AE}" pid="11" name="DLM">
    <vt:lpwstr>No DLM</vt:lpwstr>
  </property>
</Properties>
</file>