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B120D" w14:textId="77777777" w:rsidR="00233ADC" w:rsidRPr="005509F9" w:rsidRDefault="00504C9D" w:rsidP="005509F9">
      <w:pPr>
        <w:pStyle w:val="Title"/>
        <w:spacing w:before="8640"/>
      </w:pPr>
      <w:r w:rsidRPr="005509F9">
        <w:t>Tonga Australia Support Platform (TASP)</w:t>
      </w:r>
    </w:p>
    <w:p w14:paraId="04855215" w14:textId="0D55CD91" w:rsidR="005D352C" w:rsidRPr="00783B15" w:rsidRDefault="005D352C" w:rsidP="005D352C">
      <w:pPr>
        <w:rPr>
          <w:color w:val="auto"/>
          <w:sz w:val="18"/>
          <w:szCs w:val="22"/>
        </w:rPr>
      </w:pPr>
      <w:r w:rsidRPr="005509F9">
        <w:rPr>
          <w:rStyle w:val="SubtitleChar"/>
        </w:rPr>
        <w:t xml:space="preserve">INDEPENDENT EVALUATION REPORT </w:t>
      </w:r>
      <w:r w:rsidRPr="005509F9">
        <w:rPr>
          <w:rStyle w:val="SubtitleChar"/>
        </w:rPr>
        <w:br/>
      </w:r>
      <w:r w:rsidRPr="00783B15">
        <w:rPr>
          <w:b/>
          <w:bCs/>
          <w:iCs/>
          <w:caps/>
          <w:color w:val="1D336D" w:themeColor="background2"/>
          <w:sz w:val="52"/>
          <w:szCs w:val="52"/>
        </w:rPr>
        <w:t xml:space="preserve"> </w:t>
      </w:r>
      <w:r>
        <w:rPr>
          <w:b/>
          <w:bCs/>
          <w:iCs/>
          <w:caps/>
          <w:color w:val="1D336D" w:themeColor="background2"/>
          <w:sz w:val="52"/>
          <w:szCs w:val="52"/>
        </w:rPr>
        <w:br/>
      </w:r>
      <w:r w:rsidRPr="00C26B71">
        <w:rPr>
          <w:b/>
          <w:bCs/>
          <w:iCs/>
          <w:caps/>
          <w:color w:val="505050" w:themeColor="accent6" w:themeShade="80"/>
          <w:sz w:val="24"/>
        </w:rPr>
        <w:t>October 2024</w:t>
      </w:r>
    </w:p>
    <w:p w14:paraId="5BE642D2" w14:textId="214E4B4A" w:rsidR="006E18BE" w:rsidRPr="00074364" w:rsidRDefault="006E18BE" w:rsidP="005509F9">
      <w:pPr>
        <w:pStyle w:val="Bodycopy"/>
      </w:pPr>
      <w:r w:rsidRPr="00074364">
        <w:br w:type="page"/>
      </w:r>
    </w:p>
    <w:p w14:paraId="6FDED1F1" w14:textId="667970B8" w:rsidR="006E18BE" w:rsidRPr="000722AA" w:rsidRDefault="006E18BE" w:rsidP="006E18BE">
      <w:pPr>
        <w:pStyle w:val="Heading1NOTOC"/>
        <w:spacing w:before="6840"/>
      </w:pPr>
      <w:r w:rsidRPr="000722AA">
        <w:lastRenderedPageBreak/>
        <w:t>Acknowledgements</w:t>
      </w:r>
    </w:p>
    <w:p w14:paraId="5228F207" w14:textId="77777777" w:rsidR="006E18BE" w:rsidRPr="00EB4E9A" w:rsidRDefault="006E18BE" w:rsidP="006E18BE">
      <w:pPr>
        <w:rPr>
          <w:color w:val="auto"/>
        </w:rPr>
      </w:pPr>
      <w:r w:rsidRPr="00EB4E9A">
        <w:rPr>
          <w:color w:val="auto"/>
        </w:rPr>
        <w:t xml:space="preserve">The evaluation team would like to thank the Australian Department of Foreign Affairs and Trade (DFAT) for commissioning this evaluation and DT Global (TASP managing contractor) for their responsiveness during and after field work. </w:t>
      </w:r>
    </w:p>
    <w:p w14:paraId="07D9CA8B" w14:textId="77777777" w:rsidR="006E18BE" w:rsidRPr="00EB4E9A" w:rsidRDefault="006E18BE" w:rsidP="006E18BE">
      <w:pPr>
        <w:rPr>
          <w:color w:val="auto"/>
        </w:rPr>
      </w:pPr>
      <w:r w:rsidRPr="00EB4E9A">
        <w:rPr>
          <w:color w:val="auto"/>
        </w:rPr>
        <w:t xml:space="preserve">The TASP program team gave generously of their time for discussions, provided data from the program’s monitoring system and helped connect the evaluation team to staff and partners. </w:t>
      </w:r>
    </w:p>
    <w:p w14:paraId="493BDB5C" w14:textId="77777777" w:rsidR="006E18BE" w:rsidRPr="00EB4E9A" w:rsidRDefault="006E18BE" w:rsidP="006E18BE">
      <w:pPr>
        <w:rPr>
          <w:color w:val="auto"/>
        </w:rPr>
      </w:pPr>
      <w:r w:rsidRPr="00EB4E9A">
        <w:rPr>
          <w:color w:val="auto"/>
        </w:rPr>
        <w:t xml:space="preserve">Finally, sincere thanks to the Government and CSO partners who met with the evaluation team and shared their experiences and reflections on the program. </w:t>
      </w:r>
    </w:p>
    <w:p w14:paraId="185B405A" w14:textId="77777777" w:rsidR="006E18BE" w:rsidRPr="00EB4E9A" w:rsidRDefault="006E18BE" w:rsidP="006E18BE">
      <w:pPr>
        <w:pStyle w:val="CoverTitle"/>
        <w:rPr>
          <w:color w:val="auto"/>
          <w:sz w:val="20"/>
          <w:szCs w:val="20"/>
        </w:rPr>
      </w:pPr>
    </w:p>
    <w:p w14:paraId="7FC06DB2" w14:textId="77777777" w:rsidR="006E18BE" w:rsidRPr="00EB4E9A" w:rsidRDefault="006E18BE" w:rsidP="006E18BE">
      <w:pPr>
        <w:pStyle w:val="CoverInsideDetail"/>
        <w:spacing w:after="0"/>
        <w:rPr>
          <w:color w:val="auto"/>
        </w:rPr>
      </w:pPr>
      <w:r w:rsidRPr="00EB4E9A">
        <w:rPr>
          <w:color w:val="auto"/>
        </w:rPr>
        <w:t>Report prepared by:</w:t>
      </w:r>
    </w:p>
    <w:p w14:paraId="143D3DED" w14:textId="77777777" w:rsidR="006E18BE" w:rsidRPr="00EB4E9A" w:rsidRDefault="008C0761" w:rsidP="006E18BE">
      <w:pPr>
        <w:pStyle w:val="CoverDetailWhite"/>
        <w:spacing w:after="0"/>
        <w:rPr>
          <w:color w:val="auto"/>
        </w:rPr>
      </w:pPr>
      <w:sdt>
        <w:sdtPr>
          <w:rPr>
            <w:color w:val="auto"/>
          </w:rPr>
          <w:alias w:val="Position"/>
          <w:tag w:val="Position"/>
          <w:id w:val="-1891483211"/>
          <w:placeholder>
            <w:docPart w:val="481761F7D49C48A6865F8EE2DBFE9EE0"/>
          </w:placeholder>
          <w:text/>
        </w:sdtPr>
        <w:sdtEndPr/>
        <w:sdtContent>
          <w:r w:rsidR="006E18BE" w:rsidRPr="00EB4E9A">
            <w:rPr>
              <w:color w:val="auto"/>
            </w:rPr>
            <w:t>Kate Angus, Dr Julie Delforce and Telusa Tuionetoa - Alinea</w:t>
          </w:r>
        </w:sdtContent>
      </w:sdt>
    </w:p>
    <w:p w14:paraId="0C7D751B" w14:textId="77777777" w:rsidR="006E18BE" w:rsidRPr="00EB4E9A" w:rsidRDefault="006E18BE" w:rsidP="006E18BE">
      <w:pPr>
        <w:pStyle w:val="CoverDetailWhite"/>
        <w:spacing w:after="0"/>
        <w:rPr>
          <w:color w:val="auto"/>
        </w:rPr>
      </w:pPr>
      <w:r w:rsidRPr="00EB4E9A">
        <w:rPr>
          <w:color w:val="auto"/>
        </w:rPr>
        <w:t>alineainternational.com</w:t>
      </w:r>
    </w:p>
    <w:p w14:paraId="440255A4" w14:textId="77777777" w:rsidR="006E18BE" w:rsidRPr="00EB4E9A" w:rsidRDefault="006E18BE" w:rsidP="006E18BE">
      <w:pPr>
        <w:pStyle w:val="CoverDetailWhite"/>
        <w:spacing w:after="0"/>
        <w:rPr>
          <w:color w:val="auto"/>
        </w:rPr>
      </w:pPr>
    </w:p>
    <w:p w14:paraId="289C3D56" w14:textId="77777777" w:rsidR="006E18BE" w:rsidRPr="00EB4E9A" w:rsidRDefault="006E18BE" w:rsidP="006E18BE">
      <w:pPr>
        <w:pStyle w:val="CoverDetailWhite"/>
        <w:spacing w:after="0"/>
        <w:rPr>
          <w:color w:val="auto"/>
        </w:rPr>
      </w:pPr>
      <w:r w:rsidRPr="00EB4E9A">
        <w:rPr>
          <w:color w:val="auto"/>
        </w:rPr>
        <w:t>Front Cover Image: Kate Angus, Alinea International</w:t>
      </w:r>
    </w:p>
    <w:p w14:paraId="65A7C288" w14:textId="77777777" w:rsidR="006E18BE" w:rsidRDefault="006E18BE">
      <w:pPr>
        <w:spacing w:line="240" w:lineRule="auto"/>
      </w:pPr>
      <w:r>
        <w:br w:type="page"/>
      </w:r>
    </w:p>
    <w:sdt>
      <w:sdtPr>
        <w:id w:val="-747566006"/>
        <w:docPartObj>
          <w:docPartGallery w:val="Table of Contents"/>
          <w:docPartUnique/>
        </w:docPartObj>
      </w:sdtPr>
      <w:sdtEndPr>
        <w:rPr>
          <w:noProof/>
        </w:rPr>
      </w:sdtEndPr>
      <w:sdtContent>
        <w:p w14:paraId="2AF52A46" w14:textId="1C4D89AF" w:rsidR="00EB4E9A" w:rsidRDefault="00EB4E9A" w:rsidP="001F2F68"/>
        <w:p w14:paraId="778946AC" w14:textId="1455644A" w:rsidR="009071AA" w:rsidRDefault="009071AA" w:rsidP="005509F9">
          <w:pPr>
            <w:pStyle w:val="TOCHeading"/>
          </w:pPr>
          <w:r>
            <w:t>Contents</w:t>
          </w:r>
        </w:p>
        <w:p w14:paraId="18119796" w14:textId="78D809D8" w:rsidR="00A6774F" w:rsidRDefault="00662E13">
          <w:pPr>
            <w:pStyle w:val="TOC1"/>
            <w:rPr>
              <w:rFonts w:eastAsiaTheme="minorEastAsia" w:cstheme="minorBidi"/>
              <w:b w:val="0"/>
              <w:caps w:val="0"/>
              <w:noProof/>
              <w:color w:val="auto"/>
              <w:kern w:val="2"/>
              <w:sz w:val="24"/>
              <w14:ligatures w14:val="standardContextual"/>
            </w:rPr>
          </w:pPr>
          <w:r>
            <w:rPr>
              <w:noProof/>
            </w:rPr>
            <w:fldChar w:fldCharType="begin"/>
          </w:r>
          <w:r>
            <w:rPr>
              <w:noProof/>
            </w:rPr>
            <w:instrText xml:space="preserve"> TOC \t "Heading 1,2,Heading 2,3,Title,1,Numbered Heading 1,1,Numbered Heading 2,2,Numbered Heading 3,3,Chapter Heading,1,Numbered Heading Chapter,1" </w:instrText>
          </w:r>
          <w:r>
            <w:rPr>
              <w:noProof/>
            </w:rPr>
            <w:fldChar w:fldCharType="separate"/>
          </w:r>
          <w:r w:rsidR="00A6774F">
            <w:rPr>
              <w:noProof/>
            </w:rPr>
            <w:t>Executive Summary</w:t>
          </w:r>
          <w:r w:rsidR="00A6774F">
            <w:rPr>
              <w:noProof/>
            </w:rPr>
            <w:tab/>
          </w:r>
        </w:p>
        <w:p w14:paraId="75F10764" w14:textId="2C94A050" w:rsidR="00A6774F" w:rsidRDefault="00A6774F">
          <w:pPr>
            <w:pStyle w:val="TOC2"/>
            <w:rPr>
              <w:rFonts w:eastAsiaTheme="minorEastAsia" w:cstheme="minorBidi"/>
              <w:noProof/>
              <w:color w:val="auto"/>
              <w:kern w:val="2"/>
              <w:sz w:val="24"/>
              <w14:ligatures w14:val="standardContextual"/>
            </w:rPr>
          </w:pPr>
          <w:r>
            <w:rPr>
              <w:noProof/>
            </w:rPr>
            <w:t>Summary findings</w:t>
          </w:r>
          <w:r>
            <w:rPr>
              <w:noProof/>
            </w:rPr>
            <w:tab/>
          </w:r>
          <w:r>
            <w:rPr>
              <w:noProof/>
            </w:rPr>
            <w:fldChar w:fldCharType="begin"/>
          </w:r>
          <w:r>
            <w:rPr>
              <w:noProof/>
            </w:rPr>
            <w:instrText xml:space="preserve"> PAGEREF _Toc183423563 \h </w:instrText>
          </w:r>
          <w:r>
            <w:rPr>
              <w:noProof/>
            </w:rPr>
          </w:r>
          <w:r>
            <w:rPr>
              <w:noProof/>
            </w:rPr>
            <w:fldChar w:fldCharType="separate"/>
          </w:r>
          <w:r>
            <w:rPr>
              <w:noProof/>
            </w:rPr>
            <w:t>ii</w:t>
          </w:r>
          <w:r>
            <w:rPr>
              <w:noProof/>
            </w:rPr>
            <w:fldChar w:fldCharType="end"/>
          </w:r>
        </w:p>
        <w:p w14:paraId="3AB5867B" w14:textId="49AB1E4B" w:rsidR="00A6774F" w:rsidRDefault="00A6774F">
          <w:pPr>
            <w:pStyle w:val="TOC2"/>
            <w:rPr>
              <w:rFonts w:eastAsiaTheme="minorEastAsia" w:cstheme="minorBidi"/>
              <w:noProof/>
              <w:color w:val="auto"/>
              <w:kern w:val="2"/>
              <w:sz w:val="24"/>
              <w14:ligatures w14:val="standardContextual"/>
            </w:rPr>
          </w:pPr>
          <w:r>
            <w:rPr>
              <w:noProof/>
            </w:rPr>
            <w:t>Recommendations (in priority Order)</w:t>
          </w:r>
          <w:r>
            <w:rPr>
              <w:noProof/>
            </w:rPr>
            <w:tab/>
          </w:r>
          <w:r>
            <w:rPr>
              <w:noProof/>
            </w:rPr>
            <w:fldChar w:fldCharType="begin"/>
          </w:r>
          <w:r>
            <w:rPr>
              <w:noProof/>
            </w:rPr>
            <w:instrText xml:space="preserve"> PAGEREF _Toc183423564 \h </w:instrText>
          </w:r>
          <w:r>
            <w:rPr>
              <w:noProof/>
            </w:rPr>
          </w:r>
          <w:r>
            <w:rPr>
              <w:noProof/>
            </w:rPr>
            <w:fldChar w:fldCharType="separate"/>
          </w:r>
          <w:r>
            <w:rPr>
              <w:noProof/>
            </w:rPr>
            <w:t>iii</w:t>
          </w:r>
          <w:r>
            <w:rPr>
              <w:noProof/>
            </w:rPr>
            <w:fldChar w:fldCharType="end"/>
          </w:r>
        </w:p>
        <w:p w14:paraId="60F4FFF6" w14:textId="487B3B55" w:rsidR="00A6774F" w:rsidRDefault="00A6774F">
          <w:pPr>
            <w:pStyle w:val="TOC1"/>
            <w:rPr>
              <w:rFonts w:eastAsiaTheme="minorEastAsia" w:cstheme="minorBidi"/>
              <w:b w:val="0"/>
              <w:caps w:val="0"/>
              <w:noProof/>
              <w:color w:val="auto"/>
              <w:kern w:val="2"/>
              <w:sz w:val="24"/>
              <w14:ligatures w14:val="standardContextual"/>
            </w:rPr>
          </w:pPr>
          <w:r>
            <w:rPr>
              <w:noProof/>
            </w:rPr>
            <w:t>Background and context</w:t>
          </w:r>
          <w:r>
            <w:rPr>
              <w:noProof/>
            </w:rPr>
            <w:tab/>
          </w:r>
          <w:r>
            <w:rPr>
              <w:noProof/>
            </w:rPr>
            <w:fldChar w:fldCharType="begin"/>
          </w:r>
          <w:r>
            <w:rPr>
              <w:noProof/>
            </w:rPr>
            <w:instrText xml:space="preserve"> PAGEREF _Toc183423565 \h </w:instrText>
          </w:r>
          <w:r>
            <w:rPr>
              <w:noProof/>
            </w:rPr>
          </w:r>
          <w:r>
            <w:rPr>
              <w:noProof/>
            </w:rPr>
            <w:fldChar w:fldCharType="separate"/>
          </w:r>
          <w:r>
            <w:rPr>
              <w:noProof/>
            </w:rPr>
            <w:t>1</w:t>
          </w:r>
          <w:r>
            <w:rPr>
              <w:noProof/>
            </w:rPr>
            <w:fldChar w:fldCharType="end"/>
          </w:r>
        </w:p>
        <w:p w14:paraId="320C740F" w14:textId="12AA303F" w:rsidR="00A6774F" w:rsidRDefault="00A6774F">
          <w:pPr>
            <w:pStyle w:val="TOC1"/>
            <w:rPr>
              <w:rFonts w:eastAsiaTheme="minorEastAsia" w:cstheme="minorBidi"/>
              <w:b w:val="0"/>
              <w:caps w:val="0"/>
              <w:noProof/>
              <w:color w:val="auto"/>
              <w:kern w:val="2"/>
              <w:sz w:val="24"/>
              <w14:ligatures w14:val="standardContextual"/>
            </w:rPr>
          </w:pPr>
          <w:r>
            <w:rPr>
              <w:noProof/>
            </w:rPr>
            <w:t>Approach and methodology</w:t>
          </w:r>
          <w:r>
            <w:rPr>
              <w:noProof/>
            </w:rPr>
            <w:tab/>
          </w:r>
          <w:r>
            <w:rPr>
              <w:noProof/>
            </w:rPr>
            <w:fldChar w:fldCharType="begin"/>
          </w:r>
          <w:r>
            <w:rPr>
              <w:noProof/>
            </w:rPr>
            <w:instrText xml:space="preserve"> PAGEREF _Toc183423566 \h </w:instrText>
          </w:r>
          <w:r>
            <w:rPr>
              <w:noProof/>
            </w:rPr>
          </w:r>
          <w:r>
            <w:rPr>
              <w:noProof/>
            </w:rPr>
            <w:fldChar w:fldCharType="separate"/>
          </w:r>
          <w:r>
            <w:rPr>
              <w:noProof/>
            </w:rPr>
            <w:t>2</w:t>
          </w:r>
          <w:r>
            <w:rPr>
              <w:noProof/>
            </w:rPr>
            <w:fldChar w:fldCharType="end"/>
          </w:r>
        </w:p>
        <w:p w14:paraId="22CD284F" w14:textId="716D8B4D" w:rsidR="00A6774F" w:rsidRDefault="00A6774F">
          <w:pPr>
            <w:pStyle w:val="TOC2"/>
            <w:rPr>
              <w:rFonts w:eastAsiaTheme="minorEastAsia" w:cstheme="minorBidi"/>
              <w:noProof/>
              <w:color w:val="auto"/>
              <w:kern w:val="2"/>
              <w:sz w:val="24"/>
              <w14:ligatures w14:val="standardContextual"/>
            </w:rPr>
          </w:pPr>
          <w:r>
            <w:rPr>
              <w:noProof/>
            </w:rPr>
            <w:t>Key evaluation questions</w:t>
          </w:r>
          <w:r>
            <w:rPr>
              <w:noProof/>
            </w:rPr>
            <w:tab/>
          </w:r>
          <w:r>
            <w:rPr>
              <w:noProof/>
            </w:rPr>
            <w:fldChar w:fldCharType="begin"/>
          </w:r>
          <w:r>
            <w:rPr>
              <w:noProof/>
            </w:rPr>
            <w:instrText xml:space="preserve"> PAGEREF _Toc183423567 \h </w:instrText>
          </w:r>
          <w:r>
            <w:rPr>
              <w:noProof/>
            </w:rPr>
          </w:r>
          <w:r>
            <w:rPr>
              <w:noProof/>
            </w:rPr>
            <w:fldChar w:fldCharType="separate"/>
          </w:r>
          <w:r>
            <w:rPr>
              <w:noProof/>
            </w:rPr>
            <w:t>2</w:t>
          </w:r>
          <w:r>
            <w:rPr>
              <w:noProof/>
            </w:rPr>
            <w:fldChar w:fldCharType="end"/>
          </w:r>
        </w:p>
        <w:p w14:paraId="339035C4" w14:textId="0BC20EEE" w:rsidR="00A6774F" w:rsidRDefault="00A6774F">
          <w:pPr>
            <w:pStyle w:val="TOC2"/>
            <w:rPr>
              <w:rFonts w:eastAsiaTheme="minorEastAsia" w:cstheme="minorBidi"/>
              <w:noProof/>
              <w:color w:val="auto"/>
              <w:kern w:val="2"/>
              <w:sz w:val="24"/>
              <w14:ligatures w14:val="standardContextual"/>
            </w:rPr>
          </w:pPr>
          <w:r>
            <w:rPr>
              <w:noProof/>
            </w:rPr>
            <w:t>Methodology</w:t>
          </w:r>
          <w:r>
            <w:rPr>
              <w:noProof/>
            </w:rPr>
            <w:tab/>
          </w:r>
          <w:r>
            <w:rPr>
              <w:noProof/>
            </w:rPr>
            <w:fldChar w:fldCharType="begin"/>
          </w:r>
          <w:r>
            <w:rPr>
              <w:noProof/>
            </w:rPr>
            <w:instrText xml:space="preserve"> PAGEREF _Toc183423568 \h </w:instrText>
          </w:r>
          <w:r>
            <w:rPr>
              <w:noProof/>
            </w:rPr>
          </w:r>
          <w:r>
            <w:rPr>
              <w:noProof/>
            </w:rPr>
            <w:fldChar w:fldCharType="separate"/>
          </w:r>
          <w:r>
            <w:rPr>
              <w:noProof/>
            </w:rPr>
            <w:t>3</w:t>
          </w:r>
          <w:r>
            <w:rPr>
              <w:noProof/>
            </w:rPr>
            <w:fldChar w:fldCharType="end"/>
          </w:r>
        </w:p>
        <w:p w14:paraId="3E6B7C97" w14:textId="6A4D6038" w:rsidR="00A6774F" w:rsidRDefault="00A6774F">
          <w:pPr>
            <w:pStyle w:val="TOC2"/>
            <w:rPr>
              <w:rFonts w:eastAsiaTheme="minorEastAsia" w:cstheme="minorBidi"/>
              <w:noProof/>
              <w:color w:val="auto"/>
              <w:kern w:val="2"/>
              <w:sz w:val="24"/>
              <w14:ligatures w14:val="standardContextual"/>
            </w:rPr>
          </w:pPr>
          <w:r>
            <w:rPr>
              <w:noProof/>
            </w:rPr>
            <w:t>Data collection and analysis</w:t>
          </w:r>
          <w:r>
            <w:rPr>
              <w:noProof/>
            </w:rPr>
            <w:tab/>
          </w:r>
          <w:r>
            <w:rPr>
              <w:noProof/>
            </w:rPr>
            <w:fldChar w:fldCharType="begin"/>
          </w:r>
          <w:r>
            <w:rPr>
              <w:noProof/>
            </w:rPr>
            <w:instrText xml:space="preserve"> PAGEREF _Toc183423569 \h </w:instrText>
          </w:r>
          <w:r>
            <w:rPr>
              <w:noProof/>
            </w:rPr>
          </w:r>
          <w:r>
            <w:rPr>
              <w:noProof/>
            </w:rPr>
            <w:fldChar w:fldCharType="separate"/>
          </w:r>
          <w:r>
            <w:rPr>
              <w:noProof/>
            </w:rPr>
            <w:t>3</w:t>
          </w:r>
          <w:r>
            <w:rPr>
              <w:noProof/>
            </w:rPr>
            <w:fldChar w:fldCharType="end"/>
          </w:r>
        </w:p>
        <w:p w14:paraId="3C978545" w14:textId="5C21E144" w:rsidR="00A6774F" w:rsidRDefault="00A6774F">
          <w:pPr>
            <w:pStyle w:val="TOC3"/>
            <w:rPr>
              <w:rFonts w:eastAsiaTheme="minorEastAsia" w:cstheme="minorBidi"/>
              <w:noProof/>
              <w:color w:val="auto"/>
              <w:kern w:val="2"/>
              <w:sz w:val="24"/>
              <w14:ligatures w14:val="standardContextual"/>
            </w:rPr>
          </w:pPr>
          <w:r>
            <w:rPr>
              <w:noProof/>
            </w:rPr>
            <w:t>Document review</w:t>
          </w:r>
          <w:r>
            <w:rPr>
              <w:noProof/>
            </w:rPr>
            <w:tab/>
          </w:r>
          <w:r>
            <w:rPr>
              <w:noProof/>
            </w:rPr>
            <w:fldChar w:fldCharType="begin"/>
          </w:r>
          <w:r>
            <w:rPr>
              <w:noProof/>
            </w:rPr>
            <w:instrText xml:space="preserve"> PAGEREF _Toc183423570 \h </w:instrText>
          </w:r>
          <w:r>
            <w:rPr>
              <w:noProof/>
            </w:rPr>
          </w:r>
          <w:r>
            <w:rPr>
              <w:noProof/>
            </w:rPr>
            <w:fldChar w:fldCharType="separate"/>
          </w:r>
          <w:r>
            <w:rPr>
              <w:noProof/>
            </w:rPr>
            <w:t>3</w:t>
          </w:r>
          <w:r>
            <w:rPr>
              <w:noProof/>
            </w:rPr>
            <w:fldChar w:fldCharType="end"/>
          </w:r>
        </w:p>
        <w:p w14:paraId="1BE08ECC" w14:textId="2A139B67" w:rsidR="00A6774F" w:rsidRDefault="00A6774F">
          <w:pPr>
            <w:pStyle w:val="TOC3"/>
            <w:rPr>
              <w:rFonts w:eastAsiaTheme="minorEastAsia" w:cstheme="minorBidi"/>
              <w:noProof/>
              <w:color w:val="auto"/>
              <w:kern w:val="2"/>
              <w:sz w:val="24"/>
              <w14:ligatures w14:val="standardContextual"/>
            </w:rPr>
          </w:pPr>
          <w:r>
            <w:rPr>
              <w:noProof/>
            </w:rPr>
            <w:t>Stakeholder consultations</w:t>
          </w:r>
          <w:r>
            <w:rPr>
              <w:noProof/>
            </w:rPr>
            <w:tab/>
          </w:r>
          <w:r>
            <w:rPr>
              <w:noProof/>
            </w:rPr>
            <w:fldChar w:fldCharType="begin"/>
          </w:r>
          <w:r>
            <w:rPr>
              <w:noProof/>
            </w:rPr>
            <w:instrText xml:space="preserve"> PAGEREF _Toc183423571 \h </w:instrText>
          </w:r>
          <w:r>
            <w:rPr>
              <w:noProof/>
            </w:rPr>
          </w:r>
          <w:r>
            <w:rPr>
              <w:noProof/>
            </w:rPr>
            <w:fldChar w:fldCharType="separate"/>
          </w:r>
          <w:r>
            <w:rPr>
              <w:noProof/>
            </w:rPr>
            <w:t>4</w:t>
          </w:r>
          <w:r>
            <w:rPr>
              <w:noProof/>
            </w:rPr>
            <w:fldChar w:fldCharType="end"/>
          </w:r>
        </w:p>
        <w:p w14:paraId="10D2DCB6" w14:textId="21026685" w:rsidR="00A6774F" w:rsidRDefault="00A6774F">
          <w:pPr>
            <w:pStyle w:val="TOC2"/>
            <w:rPr>
              <w:rFonts w:eastAsiaTheme="minorEastAsia" w:cstheme="minorBidi"/>
              <w:noProof/>
              <w:color w:val="auto"/>
              <w:kern w:val="2"/>
              <w:sz w:val="24"/>
              <w14:ligatures w14:val="standardContextual"/>
            </w:rPr>
          </w:pPr>
          <w:r>
            <w:rPr>
              <w:noProof/>
            </w:rPr>
            <w:t>Limitations</w:t>
          </w:r>
          <w:r>
            <w:rPr>
              <w:noProof/>
            </w:rPr>
            <w:tab/>
          </w:r>
          <w:r>
            <w:rPr>
              <w:noProof/>
            </w:rPr>
            <w:fldChar w:fldCharType="begin"/>
          </w:r>
          <w:r>
            <w:rPr>
              <w:noProof/>
            </w:rPr>
            <w:instrText xml:space="preserve"> PAGEREF _Toc183423572 \h </w:instrText>
          </w:r>
          <w:r>
            <w:rPr>
              <w:noProof/>
            </w:rPr>
          </w:r>
          <w:r>
            <w:rPr>
              <w:noProof/>
            </w:rPr>
            <w:fldChar w:fldCharType="separate"/>
          </w:r>
          <w:r>
            <w:rPr>
              <w:noProof/>
            </w:rPr>
            <w:t>4</w:t>
          </w:r>
          <w:r>
            <w:rPr>
              <w:noProof/>
            </w:rPr>
            <w:fldChar w:fldCharType="end"/>
          </w:r>
        </w:p>
        <w:p w14:paraId="0469F93A" w14:textId="40F1C85B" w:rsidR="00A6774F" w:rsidRDefault="00A6774F">
          <w:pPr>
            <w:pStyle w:val="TOC1"/>
            <w:rPr>
              <w:rFonts w:eastAsiaTheme="minorEastAsia" w:cstheme="minorBidi"/>
              <w:b w:val="0"/>
              <w:caps w:val="0"/>
              <w:noProof/>
              <w:color w:val="auto"/>
              <w:kern w:val="2"/>
              <w:sz w:val="24"/>
              <w14:ligatures w14:val="standardContextual"/>
            </w:rPr>
          </w:pPr>
          <w:r>
            <w:rPr>
              <w:noProof/>
            </w:rPr>
            <w:t>Key findings by KEQ</w:t>
          </w:r>
          <w:r>
            <w:rPr>
              <w:noProof/>
            </w:rPr>
            <w:tab/>
          </w:r>
          <w:r>
            <w:rPr>
              <w:noProof/>
            </w:rPr>
            <w:fldChar w:fldCharType="begin"/>
          </w:r>
          <w:r>
            <w:rPr>
              <w:noProof/>
            </w:rPr>
            <w:instrText xml:space="preserve"> PAGEREF _Toc183423573 \h </w:instrText>
          </w:r>
          <w:r>
            <w:rPr>
              <w:noProof/>
            </w:rPr>
          </w:r>
          <w:r>
            <w:rPr>
              <w:noProof/>
            </w:rPr>
            <w:fldChar w:fldCharType="separate"/>
          </w:r>
          <w:r>
            <w:rPr>
              <w:noProof/>
            </w:rPr>
            <w:t>5</w:t>
          </w:r>
          <w:r>
            <w:rPr>
              <w:noProof/>
            </w:rPr>
            <w:fldChar w:fldCharType="end"/>
          </w:r>
        </w:p>
        <w:p w14:paraId="708AE801" w14:textId="640AE4E2" w:rsidR="00A6774F" w:rsidRDefault="00A6774F">
          <w:pPr>
            <w:pStyle w:val="TOC2"/>
            <w:rPr>
              <w:rFonts w:eastAsiaTheme="minorEastAsia" w:cstheme="minorBidi"/>
              <w:noProof/>
              <w:color w:val="auto"/>
              <w:kern w:val="2"/>
              <w:sz w:val="24"/>
              <w14:ligatures w14:val="standardContextual"/>
            </w:rPr>
          </w:pPr>
          <w:r>
            <w:rPr>
              <w:noProof/>
            </w:rPr>
            <w:t>Key Findings: Relevance, KEQ1</w:t>
          </w:r>
          <w:r>
            <w:rPr>
              <w:noProof/>
            </w:rPr>
            <w:tab/>
          </w:r>
          <w:r>
            <w:rPr>
              <w:noProof/>
            </w:rPr>
            <w:fldChar w:fldCharType="begin"/>
          </w:r>
          <w:r>
            <w:rPr>
              <w:noProof/>
            </w:rPr>
            <w:instrText xml:space="preserve"> PAGEREF _Toc183423574 \h </w:instrText>
          </w:r>
          <w:r>
            <w:rPr>
              <w:noProof/>
            </w:rPr>
          </w:r>
          <w:r>
            <w:rPr>
              <w:noProof/>
            </w:rPr>
            <w:fldChar w:fldCharType="separate"/>
          </w:r>
          <w:r>
            <w:rPr>
              <w:noProof/>
            </w:rPr>
            <w:t>5</w:t>
          </w:r>
          <w:r>
            <w:rPr>
              <w:noProof/>
            </w:rPr>
            <w:fldChar w:fldCharType="end"/>
          </w:r>
        </w:p>
        <w:p w14:paraId="1BF36893" w14:textId="6AFB142C" w:rsidR="00A6774F" w:rsidRDefault="00A6774F">
          <w:pPr>
            <w:pStyle w:val="TOC2"/>
            <w:rPr>
              <w:rFonts w:eastAsiaTheme="minorEastAsia" w:cstheme="minorBidi"/>
              <w:noProof/>
              <w:color w:val="auto"/>
              <w:kern w:val="2"/>
              <w:sz w:val="24"/>
              <w14:ligatures w14:val="standardContextual"/>
            </w:rPr>
          </w:pPr>
          <w:r>
            <w:rPr>
              <w:noProof/>
            </w:rPr>
            <w:t>Key Findings: Effectiveness, KEQ2</w:t>
          </w:r>
          <w:r>
            <w:rPr>
              <w:noProof/>
            </w:rPr>
            <w:tab/>
          </w:r>
          <w:r>
            <w:rPr>
              <w:noProof/>
            </w:rPr>
            <w:fldChar w:fldCharType="begin"/>
          </w:r>
          <w:r>
            <w:rPr>
              <w:noProof/>
            </w:rPr>
            <w:instrText xml:space="preserve"> PAGEREF _Toc183423575 \h </w:instrText>
          </w:r>
          <w:r>
            <w:rPr>
              <w:noProof/>
            </w:rPr>
          </w:r>
          <w:r>
            <w:rPr>
              <w:noProof/>
            </w:rPr>
            <w:fldChar w:fldCharType="separate"/>
          </w:r>
          <w:r>
            <w:rPr>
              <w:noProof/>
            </w:rPr>
            <w:t>6</w:t>
          </w:r>
          <w:r>
            <w:rPr>
              <w:noProof/>
            </w:rPr>
            <w:fldChar w:fldCharType="end"/>
          </w:r>
        </w:p>
        <w:p w14:paraId="63FF8CC4" w14:textId="679543D2" w:rsidR="00A6774F" w:rsidRDefault="00A6774F">
          <w:pPr>
            <w:pStyle w:val="TOC3"/>
            <w:rPr>
              <w:rFonts w:eastAsiaTheme="minorEastAsia" w:cstheme="minorBidi"/>
              <w:noProof/>
              <w:color w:val="auto"/>
              <w:kern w:val="2"/>
              <w:sz w:val="24"/>
              <w14:ligatures w14:val="standardContextual"/>
            </w:rPr>
          </w:pPr>
          <w:r>
            <w:rPr>
              <w:noProof/>
            </w:rPr>
            <w:t>Progress towards achieving EOPOs</w:t>
          </w:r>
          <w:r>
            <w:rPr>
              <w:noProof/>
            </w:rPr>
            <w:tab/>
          </w:r>
          <w:r>
            <w:rPr>
              <w:noProof/>
            </w:rPr>
            <w:fldChar w:fldCharType="begin"/>
          </w:r>
          <w:r>
            <w:rPr>
              <w:noProof/>
            </w:rPr>
            <w:instrText xml:space="preserve"> PAGEREF _Toc183423576 \h </w:instrText>
          </w:r>
          <w:r>
            <w:rPr>
              <w:noProof/>
            </w:rPr>
          </w:r>
          <w:r>
            <w:rPr>
              <w:noProof/>
            </w:rPr>
            <w:fldChar w:fldCharType="separate"/>
          </w:r>
          <w:r>
            <w:rPr>
              <w:noProof/>
            </w:rPr>
            <w:t>7</w:t>
          </w:r>
          <w:r>
            <w:rPr>
              <w:noProof/>
            </w:rPr>
            <w:fldChar w:fldCharType="end"/>
          </w:r>
        </w:p>
        <w:p w14:paraId="5DC83256" w14:textId="28832215" w:rsidR="00A6774F" w:rsidRDefault="00A6774F">
          <w:pPr>
            <w:pStyle w:val="TOC3"/>
            <w:rPr>
              <w:rFonts w:eastAsiaTheme="minorEastAsia" w:cstheme="minorBidi"/>
              <w:noProof/>
              <w:color w:val="auto"/>
              <w:kern w:val="2"/>
              <w:sz w:val="24"/>
              <w14:ligatures w14:val="standardContextual"/>
            </w:rPr>
          </w:pPr>
          <w:r>
            <w:rPr>
              <w:noProof/>
            </w:rPr>
            <w:t>Policy relationships</w:t>
          </w:r>
          <w:r>
            <w:rPr>
              <w:noProof/>
            </w:rPr>
            <w:tab/>
          </w:r>
          <w:r>
            <w:rPr>
              <w:noProof/>
            </w:rPr>
            <w:fldChar w:fldCharType="begin"/>
          </w:r>
          <w:r>
            <w:rPr>
              <w:noProof/>
            </w:rPr>
            <w:instrText xml:space="preserve"> PAGEREF _Toc183423577 \h </w:instrText>
          </w:r>
          <w:r>
            <w:rPr>
              <w:noProof/>
            </w:rPr>
          </w:r>
          <w:r>
            <w:rPr>
              <w:noProof/>
            </w:rPr>
            <w:fldChar w:fldCharType="separate"/>
          </w:r>
          <w:r>
            <w:rPr>
              <w:noProof/>
            </w:rPr>
            <w:t>9</w:t>
          </w:r>
          <w:r>
            <w:rPr>
              <w:noProof/>
            </w:rPr>
            <w:fldChar w:fldCharType="end"/>
          </w:r>
        </w:p>
        <w:p w14:paraId="6440061A" w14:textId="158E4970" w:rsidR="00A6774F" w:rsidRDefault="00A6774F">
          <w:pPr>
            <w:pStyle w:val="TOC3"/>
            <w:rPr>
              <w:rFonts w:eastAsiaTheme="minorEastAsia" w:cstheme="minorBidi"/>
              <w:noProof/>
              <w:color w:val="auto"/>
              <w:kern w:val="2"/>
              <w:sz w:val="24"/>
              <w14:ligatures w14:val="standardContextual"/>
            </w:rPr>
          </w:pPr>
          <w:r>
            <w:rPr>
              <w:noProof/>
            </w:rPr>
            <w:t>Additional factors found to impact effectiveness</w:t>
          </w:r>
          <w:r>
            <w:rPr>
              <w:noProof/>
            </w:rPr>
            <w:tab/>
          </w:r>
          <w:r>
            <w:rPr>
              <w:noProof/>
            </w:rPr>
            <w:fldChar w:fldCharType="begin"/>
          </w:r>
          <w:r>
            <w:rPr>
              <w:noProof/>
            </w:rPr>
            <w:instrText xml:space="preserve"> PAGEREF _Toc183423578 \h </w:instrText>
          </w:r>
          <w:r>
            <w:rPr>
              <w:noProof/>
            </w:rPr>
          </w:r>
          <w:r>
            <w:rPr>
              <w:noProof/>
            </w:rPr>
            <w:fldChar w:fldCharType="separate"/>
          </w:r>
          <w:r>
            <w:rPr>
              <w:noProof/>
            </w:rPr>
            <w:t>11</w:t>
          </w:r>
          <w:r>
            <w:rPr>
              <w:noProof/>
            </w:rPr>
            <w:fldChar w:fldCharType="end"/>
          </w:r>
        </w:p>
        <w:p w14:paraId="0736ECC3" w14:textId="7BCEBE9B" w:rsidR="00A6774F" w:rsidRDefault="00A6774F">
          <w:pPr>
            <w:pStyle w:val="TOC2"/>
            <w:rPr>
              <w:rFonts w:eastAsiaTheme="minorEastAsia" w:cstheme="minorBidi"/>
              <w:noProof/>
              <w:color w:val="auto"/>
              <w:kern w:val="2"/>
              <w:sz w:val="24"/>
              <w14:ligatures w14:val="standardContextual"/>
            </w:rPr>
          </w:pPr>
          <w:r>
            <w:rPr>
              <w:noProof/>
            </w:rPr>
            <w:t>Key Findings: Efficiency, KEQ3</w:t>
          </w:r>
          <w:r>
            <w:rPr>
              <w:noProof/>
            </w:rPr>
            <w:tab/>
          </w:r>
          <w:r>
            <w:rPr>
              <w:noProof/>
            </w:rPr>
            <w:fldChar w:fldCharType="begin"/>
          </w:r>
          <w:r>
            <w:rPr>
              <w:noProof/>
            </w:rPr>
            <w:instrText xml:space="preserve"> PAGEREF _Toc183423579 \h </w:instrText>
          </w:r>
          <w:r>
            <w:rPr>
              <w:noProof/>
            </w:rPr>
          </w:r>
          <w:r>
            <w:rPr>
              <w:noProof/>
            </w:rPr>
            <w:fldChar w:fldCharType="separate"/>
          </w:r>
          <w:r>
            <w:rPr>
              <w:noProof/>
            </w:rPr>
            <w:t>11</w:t>
          </w:r>
          <w:r>
            <w:rPr>
              <w:noProof/>
            </w:rPr>
            <w:fldChar w:fldCharType="end"/>
          </w:r>
        </w:p>
        <w:p w14:paraId="6125BC18" w14:textId="30769A6F" w:rsidR="00A6774F" w:rsidRDefault="00A6774F">
          <w:pPr>
            <w:pStyle w:val="TOC3"/>
            <w:rPr>
              <w:rFonts w:eastAsiaTheme="minorEastAsia" w:cstheme="minorBidi"/>
              <w:noProof/>
              <w:color w:val="auto"/>
              <w:kern w:val="2"/>
              <w:sz w:val="24"/>
              <w14:ligatures w14:val="standardContextual"/>
            </w:rPr>
          </w:pPr>
          <w:r>
            <w:rPr>
              <w:noProof/>
            </w:rPr>
            <w:t>VfM of multi-sector activities and technical advisory services</w:t>
          </w:r>
          <w:r>
            <w:rPr>
              <w:noProof/>
            </w:rPr>
            <w:tab/>
          </w:r>
          <w:r>
            <w:rPr>
              <w:noProof/>
            </w:rPr>
            <w:fldChar w:fldCharType="begin"/>
          </w:r>
          <w:r>
            <w:rPr>
              <w:noProof/>
            </w:rPr>
            <w:instrText xml:space="preserve"> PAGEREF _Toc183423580 \h </w:instrText>
          </w:r>
          <w:r>
            <w:rPr>
              <w:noProof/>
            </w:rPr>
          </w:r>
          <w:r>
            <w:rPr>
              <w:noProof/>
            </w:rPr>
            <w:fldChar w:fldCharType="separate"/>
          </w:r>
          <w:r>
            <w:rPr>
              <w:noProof/>
            </w:rPr>
            <w:t>14</w:t>
          </w:r>
          <w:r>
            <w:rPr>
              <w:noProof/>
            </w:rPr>
            <w:fldChar w:fldCharType="end"/>
          </w:r>
        </w:p>
        <w:p w14:paraId="7FADDAF4" w14:textId="35693319" w:rsidR="00A6774F" w:rsidRDefault="00A6774F">
          <w:pPr>
            <w:pStyle w:val="TOC3"/>
            <w:rPr>
              <w:rFonts w:eastAsiaTheme="minorEastAsia" w:cstheme="minorBidi"/>
              <w:noProof/>
              <w:color w:val="auto"/>
              <w:kern w:val="2"/>
              <w:sz w:val="24"/>
              <w14:ligatures w14:val="standardContextual"/>
            </w:rPr>
          </w:pPr>
          <w:r>
            <w:rPr>
              <w:noProof/>
            </w:rPr>
            <w:t>Cross sectoral collaboration and coherence</w:t>
          </w:r>
          <w:r>
            <w:rPr>
              <w:noProof/>
            </w:rPr>
            <w:tab/>
          </w:r>
          <w:r>
            <w:rPr>
              <w:noProof/>
            </w:rPr>
            <w:fldChar w:fldCharType="begin"/>
          </w:r>
          <w:r>
            <w:rPr>
              <w:noProof/>
            </w:rPr>
            <w:instrText xml:space="preserve"> PAGEREF _Toc183423581 \h </w:instrText>
          </w:r>
          <w:r>
            <w:rPr>
              <w:noProof/>
            </w:rPr>
          </w:r>
          <w:r>
            <w:rPr>
              <w:noProof/>
            </w:rPr>
            <w:fldChar w:fldCharType="separate"/>
          </w:r>
          <w:r>
            <w:rPr>
              <w:noProof/>
            </w:rPr>
            <w:t>15</w:t>
          </w:r>
          <w:r>
            <w:rPr>
              <w:noProof/>
            </w:rPr>
            <w:fldChar w:fldCharType="end"/>
          </w:r>
        </w:p>
        <w:p w14:paraId="4BB5B49B" w14:textId="34EB3E61" w:rsidR="00A6774F" w:rsidRDefault="00A6774F">
          <w:pPr>
            <w:pStyle w:val="TOC2"/>
            <w:rPr>
              <w:rFonts w:eastAsiaTheme="minorEastAsia" w:cstheme="minorBidi"/>
              <w:noProof/>
              <w:color w:val="auto"/>
              <w:kern w:val="2"/>
              <w:sz w:val="24"/>
              <w14:ligatures w14:val="standardContextual"/>
            </w:rPr>
          </w:pPr>
          <w:r>
            <w:rPr>
              <w:noProof/>
            </w:rPr>
            <w:t>Key Findings: Monitoring, Evaluation and Learning (MEL), KEQ4</w:t>
          </w:r>
          <w:r>
            <w:rPr>
              <w:noProof/>
            </w:rPr>
            <w:tab/>
          </w:r>
          <w:r>
            <w:rPr>
              <w:noProof/>
            </w:rPr>
            <w:fldChar w:fldCharType="begin"/>
          </w:r>
          <w:r>
            <w:rPr>
              <w:noProof/>
            </w:rPr>
            <w:instrText xml:space="preserve"> PAGEREF _Toc183423582 \h </w:instrText>
          </w:r>
          <w:r>
            <w:rPr>
              <w:noProof/>
            </w:rPr>
          </w:r>
          <w:r>
            <w:rPr>
              <w:noProof/>
            </w:rPr>
            <w:fldChar w:fldCharType="separate"/>
          </w:r>
          <w:r>
            <w:rPr>
              <w:noProof/>
            </w:rPr>
            <w:t>17</w:t>
          </w:r>
          <w:r>
            <w:rPr>
              <w:noProof/>
            </w:rPr>
            <w:fldChar w:fldCharType="end"/>
          </w:r>
        </w:p>
        <w:p w14:paraId="14DE82CA" w14:textId="3EE1668B" w:rsidR="00A6774F" w:rsidRDefault="00A6774F">
          <w:pPr>
            <w:pStyle w:val="TOC2"/>
            <w:rPr>
              <w:rFonts w:eastAsiaTheme="minorEastAsia" w:cstheme="minorBidi"/>
              <w:noProof/>
              <w:color w:val="auto"/>
              <w:kern w:val="2"/>
              <w:sz w:val="24"/>
              <w14:ligatures w14:val="standardContextual"/>
            </w:rPr>
          </w:pPr>
          <w:r>
            <w:rPr>
              <w:noProof/>
            </w:rPr>
            <w:t>Key Findings: GEDSI &amp; Climate Change, KEQ5</w:t>
          </w:r>
          <w:r>
            <w:rPr>
              <w:noProof/>
            </w:rPr>
            <w:tab/>
          </w:r>
          <w:r>
            <w:rPr>
              <w:noProof/>
            </w:rPr>
            <w:fldChar w:fldCharType="begin"/>
          </w:r>
          <w:r>
            <w:rPr>
              <w:noProof/>
            </w:rPr>
            <w:instrText xml:space="preserve"> PAGEREF _Toc183423583 \h </w:instrText>
          </w:r>
          <w:r>
            <w:rPr>
              <w:noProof/>
            </w:rPr>
          </w:r>
          <w:r>
            <w:rPr>
              <w:noProof/>
            </w:rPr>
            <w:fldChar w:fldCharType="separate"/>
          </w:r>
          <w:r>
            <w:rPr>
              <w:noProof/>
            </w:rPr>
            <w:t>18</w:t>
          </w:r>
          <w:r>
            <w:rPr>
              <w:noProof/>
            </w:rPr>
            <w:fldChar w:fldCharType="end"/>
          </w:r>
        </w:p>
        <w:p w14:paraId="374C491D" w14:textId="3EEF6815" w:rsidR="00A6774F" w:rsidRDefault="00A6774F">
          <w:pPr>
            <w:pStyle w:val="TOC3"/>
            <w:rPr>
              <w:rFonts w:eastAsiaTheme="minorEastAsia" w:cstheme="minorBidi"/>
              <w:noProof/>
              <w:color w:val="auto"/>
              <w:kern w:val="2"/>
              <w:sz w:val="24"/>
              <w14:ligatures w14:val="standardContextual"/>
            </w:rPr>
          </w:pPr>
          <w:r>
            <w:rPr>
              <w:noProof/>
            </w:rPr>
            <w:t>GEDSI integration and progress towards GEDSI outcomes</w:t>
          </w:r>
          <w:r>
            <w:rPr>
              <w:noProof/>
            </w:rPr>
            <w:tab/>
          </w:r>
          <w:r>
            <w:rPr>
              <w:noProof/>
            </w:rPr>
            <w:fldChar w:fldCharType="begin"/>
          </w:r>
          <w:r>
            <w:rPr>
              <w:noProof/>
            </w:rPr>
            <w:instrText xml:space="preserve"> PAGEREF _Toc183423584 \h </w:instrText>
          </w:r>
          <w:r>
            <w:rPr>
              <w:noProof/>
            </w:rPr>
          </w:r>
          <w:r>
            <w:rPr>
              <w:noProof/>
            </w:rPr>
            <w:fldChar w:fldCharType="separate"/>
          </w:r>
          <w:r>
            <w:rPr>
              <w:noProof/>
            </w:rPr>
            <w:t>19</w:t>
          </w:r>
          <w:r>
            <w:rPr>
              <w:noProof/>
            </w:rPr>
            <w:fldChar w:fldCharType="end"/>
          </w:r>
        </w:p>
        <w:p w14:paraId="049DAD30" w14:textId="1C22E17E" w:rsidR="00A6774F" w:rsidRDefault="00A6774F">
          <w:pPr>
            <w:pStyle w:val="TOC3"/>
            <w:rPr>
              <w:rFonts w:eastAsiaTheme="minorEastAsia" w:cstheme="minorBidi"/>
              <w:noProof/>
              <w:color w:val="auto"/>
              <w:kern w:val="2"/>
              <w:sz w:val="24"/>
              <w14:ligatures w14:val="standardContextual"/>
            </w:rPr>
          </w:pPr>
          <w:r>
            <w:rPr>
              <w:noProof/>
            </w:rPr>
            <w:t>Progress on climate change action</w:t>
          </w:r>
          <w:r>
            <w:rPr>
              <w:noProof/>
            </w:rPr>
            <w:tab/>
          </w:r>
          <w:r>
            <w:rPr>
              <w:noProof/>
            </w:rPr>
            <w:fldChar w:fldCharType="begin"/>
          </w:r>
          <w:r>
            <w:rPr>
              <w:noProof/>
            </w:rPr>
            <w:instrText xml:space="preserve"> PAGEREF _Toc183423585 \h </w:instrText>
          </w:r>
          <w:r>
            <w:rPr>
              <w:noProof/>
            </w:rPr>
          </w:r>
          <w:r>
            <w:rPr>
              <w:noProof/>
            </w:rPr>
            <w:fldChar w:fldCharType="separate"/>
          </w:r>
          <w:r>
            <w:rPr>
              <w:noProof/>
            </w:rPr>
            <w:t>21</w:t>
          </w:r>
          <w:r>
            <w:rPr>
              <w:noProof/>
            </w:rPr>
            <w:fldChar w:fldCharType="end"/>
          </w:r>
        </w:p>
        <w:p w14:paraId="3009C123" w14:textId="0630973F" w:rsidR="00A6774F" w:rsidRDefault="00A6774F">
          <w:pPr>
            <w:pStyle w:val="TOC2"/>
            <w:rPr>
              <w:rFonts w:eastAsiaTheme="minorEastAsia" w:cstheme="minorBidi"/>
              <w:noProof/>
              <w:color w:val="auto"/>
              <w:kern w:val="2"/>
              <w:sz w:val="24"/>
              <w14:ligatures w14:val="standardContextual"/>
            </w:rPr>
          </w:pPr>
          <w:r>
            <w:rPr>
              <w:noProof/>
            </w:rPr>
            <w:t>Key Findings: Agility &amp; Adaptation: KEQ6</w:t>
          </w:r>
          <w:r>
            <w:rPr>
              <w:noProof/>
            </w:rPr>
            <w:tab/>
          </w:r>
          <w:r>
            <w:rPr>
              <w:noProof/>
            </w:rPr>
            <w:fldChar w:fldCharType="begin"/>
          </w:r>
          <w:r>
            <w:rPr>
              <w:noProof/>
            </w:rPr>
            <w:instrText xml:space="preserve"> PAGEREF _Toc183423586 \h </w:instrText>
          </w:r>
          <w:r>
            <w:rPr>
              <w:noProof/>
            </w:rPr>
          </w:r>
          <w:r>
            <w:rPr>
              <w:noProof/>
            </w:rPr>
            <w:fldChar w:fldCharType="separate"/>
          </w:r>
          <w:r>
            <w:rPr>
              <w:noProof/>
            </w:rPr>
            <w:t>22</w:t>
          </w:r>
          <w:r>
            <w:rPr>
              <w:noProof/>
            </w:rPr>
            <w:fldChar w:fldCharType="end"/>
          </w:r>
        </w:p>
        <w:p w14:paraId="0143261F" w14:textId="67C225A3" w:rsidR="00A6774F" w:rsidRDefault="00A6774F">
          <w:pPr>
            <w:pStyle w:val="TOC3"/>
            <w:rPr>
              <w:rFonts w:eastAsiaTheme="minorEastAsia" w:cstheme="minorBidi"/>
              <w:noProof/>
              <w:color w:val="auto"/>
              <w:kern w:val="2"/>
              <w:sz w:val="24"/>
              <w14:ligatures w14:val="standardContextual"/>
            </w:rPr>
          </w:pPr>
          <w:r>
            <w:rPr>
              <w:noProof/>
            </w:rPr>
            <w:t>TASP’s flexibility and responsiveness</w:t>
          </w:r>
          <w:r>
            <w:rPr>
              <w:noProof/>
            </w:rPr>
            <w:tab/>
          </w:r>
          <w:r>
            <w:rPr>
              <w:noProof/>
            </w:rPr>
            <w:fldChar w:fldCharType="begin"/>
          </w:r>
          <w:r>
            <w:rPr>
              <w:noProof/>
            </w:rPr>
            <w:instrText xml:space="preserve"> PAGEREF _Toc183423587 \h </w:instrText>
          </w:r>
          <w:r>
            <w:rPr>
              <w:noProof/>
            </w:rPr>
          </w:r>
          <w:r>
            <w:rPr>
              <w:noProof/>
            </w:rPr>
            <w:fldChar w:fldCharType="separate"/>
          </w:r>
          <w:r>
            <w:rPr>
              <w:noProof/>
            </w:rPr>
            <w:t>22</w:t>
          </w:r>
          <w:r>
            <w:rPr>
              <w:noProof/>
            </w:rPr>
            <w:fldChar w:fldCharType="end"/>
          </w:r>
        </w:p>
        <w:p w14:paraId="081A34E7" w14:textId="56AF0793" w:rsidR="00A6774F" w:rsidRDefault="00A6774F">
          <w:pPr>
            <w:pStyle w:val="TOC3"/>
            <w:rPr>
              <w:rFonts w:eastAsiaTheme="minorEastAsia" w:cstheme="minorBidi"/>
              <w:noProof/>
              <w:color w:val="auto"/>
              <w:kern w:val="2"/>
              <w:sz w:val="24"/>
              <w14:ligatures w14:val="standardContextual"/>
            </w:rPr>
          </w:pPr>
          <w:r>
            <w:rPr>
              <w:noProof/>
            </w:rPr>
            <w:t>TASP’s pivot to HTHH disaster</w:t>
          </w:r>
          <w:r>
            <w:rPr>
              <w:noProof/>
            </w:rPr>
            <w:tab/>
          </w:r>
          <w:r>
            <w:rPr>
              <w:noProof/>
            </w:rPr>
            <w:fldChar w:fldCharType="begin"/>
          </w:r>
          <w:r>
            <w:rPr>
              <w:noProof/>
            </w:rPr>
            <w:instrText xml:space="preserve"> PAGEREF _Toc183423588 \h </w:instrText>
          </w:r>
          <w:r>
            <w:rPr>
              <w:noProof/>
            </w:rPr>
          </w:r>
          <w:r>
            <w:rPr>
              <w:noProof/>
            </w:rPr>
            <w:fldChar w:fldCharType="separate"/>
          </w:r>
          <w:r>
            <w:rPr>
              <w:noProof/>
            </w:rPr>
            <w:t>23</w:t>
          </w:r>
          <w:r>
            <w:rPr>
              <w:noProof/>
            </w:rPr>
            <w:fldChar w:fldCharType="end"/>
          </w:r>
        </w:p>
        <w:p w14:paraId="706C39E3" w14:textId="751B9306" w:rsidR="00A6774F" w:rsidRDefault="00A6774F">
          <w:pPr>
            <w:pStyle w:val="TOC2"/>
            <w:rPr>
              <w:rFonts w:eastAsiaTheme="minorEastAsia" w:cstheme="minorBidi"/>
              <w:noProof/>
              <w:color w:val="auto"/>
              <w:kern w:val="2"/>
              <w:sz w:val="24"/>
              <w14:ligatures w14:val="standardContextual"/>
            </w:rPr>
          </w:pPr>
          <w:r>
            <w:rPr>
              <w:noProof/>
            </w:rPr>
            <w:t>Key Findings and Lessons Learned: KEQ7</w:t>
          </w:r>
          <w:r>
            <w:rPr>
              <w:noProof/>
            </w:rPr>
            <w:tab/>
          </w:r>
          <w:r>
            <w:rPr>
              <w:noProof/>
            </w:rPr>
            <w:fldChar w:fldCharType="begin"/>
          </w:r>
          <w:r>
            <w:rPr>
              <w:noProof/>
            </w:rPr>
            <w:instrText xml:space="preserve"> PAGEREF _Toc183423589 \h </w:instrText>
          </w:r>
          <w:r>
            <w:rPr>
              <w:noProof/>
            </w:rPr>
          </w:r>
          <w:r>
            <w:rPr>
              <w:noProof/>
            </w:rPr>
            <w:fldChar w:fldCharType="separate"/>
          </w:r>
          <w:r>
            <w:rPr>
              <w:noProof/>
            </w:rPr>
            <w:t>25</w:t>
          </w:r>
          <w:r>
            <w:rPr>
              <w:noProof/>
            </w:rPr>
            <w:fldChar w:fldCharType="end"/>
          </w:r>
        </w:p>
        <w:p w14:paraId="02F5B91C" w14:textId="4F29D4D9" w:rsidR="00A6774F" w:rsidRDefault="00A6774F">
          <w:pPr>
            <w:pStyle w:val="TOC3"/>
            <w:rPr>
              <w:rFonts w:eastAsiaTheme="minorEastAsia" w:cstheme="minorBidi"/>
              <w:noProof/>
              <w:color w:val="auto"/>
              <w:kern w:val="2"/>
              <w:sz w:val="24"/>
              <w14:ligatures w14:val="standardContextual"/>
            </w:rPr>
          </w:pPr>
          <w:r>
            <w:rPr>
              <w:noProof/>
            </w:rPr>
            <w:t>Findings</w:t>
          </w:r>
          <w:r>
            <w:rPr>
              <w:noProof/>
            </w:rPr>
            <w:tab/>
          </w:r>
          <w:r>
            <w:rPr>
              <w:noProof/>
            </w:rPr>
            <w:fldChar w:fldCharType="begin"/>
          </w:r>
          <w:r>
            <w:rPr>
              <w:noProof/>
            </w:rPr>
            <w:instrText xml:space="preserve"> PAGEREF _Toc183423590 \h </w:instrText>
          </w:r>
          <w:r>
            <w:rPr>
              <w:noProof/>
            </w:rPr>
          </w:r>
          <w:r>
            <w:rPr>
              <w:noProof/>
            </w:rPr>
            <w:fldChar w:fldCharType="separate"/>
          </w:r>
          <w:r>
            <w:rPr>
              <w:noProof/>
            </w:rPr>
            <w:t>25</w:t>
          </w:r>
          <w:r>
            <w:rPr>
              <w:noProof/>
            </w:rPr>
            <w:fldChar w:fldCharType="end"/>
          </w:r>
        </w:p>
        <w:p w14:paraId="27CB17CD" w14:textId="604FAE2A" w:rsidR="00A6774F" w:rsidRDefault="00A6774F">
          <w:pPr>
            <w:pStyle w:val="TOC3"/>
            <w:rPr>
              <w:rFonts w:eastAsiaTheme="minorEastAsia" w:cstheme="minorBidi"/>
              <w:noProof/>
              <w:color w:val="auto"/>
              <w:kern w:val="2"/>
              <w:sz w:val="24"/>
              <w14:ligatures w14:val="standardContextual"/>
            </w:rPr>
          </w:pPr>
          <w:r>
            <w:rPr>
              <w:noProof/>
            </w:rPr>
            <w:t>Lessons</w:t>
          </w:r>
          <w:r>
            <w:rPr>
              <w:noProof/>
            </w:rPr>
            <w:tab/>
          </w:r>
          <w:r>
            <w:rPr>
              <w:noProof/>
            </w:rPr>
            <w:fldChar w:fldCharType="begin"/>
          </w:r>
          <w:r>
            <w:rPr>
              <w:noProof/>
            </w:rPr>
            <w:instrText xml:space="preserve"> PAGEREF _Toc183423591 \h </w:instrText>
          </w:r>
          <w:r>
            <w:rPr>
              <w:noProof/>
            </w:rPr>
          </w:r>
          <w:r>
            <w:rPr>
              <w:noProof/>
            </w:rPr>
            <w:fldChar w:fldCharType="separate"/>
          </w:r>
          <w:r>
            <w:rPr>
              <w:noProof/>
            </w:rPr>
            <w:t>26</w:t>
          </w:r>
          <w:r>
            <w:rPr>
              <w:noProof/>
            </w:rPr>
            <w:fldChar w:fldCharType="end"/>
          </w:r>
        </w:p>
        <w:p w14:paraId="355CE8E5" w14:textId="0B6358CC" w:rsidR="00A6774F" w:rsidRDefault="00A6774F">
          <w:pPr>
            <w:pStyle w:val="TOC2"/>
            <w:rPr>
              <w:rFonts w:eastAsiaTheme="minorEastAsia" w:cstheme="minorBidi"/>
              <w:noProof/>
              <w:color w:val="auto"/>
              <w:kern w:val="2"/>
              <w:sz w:val="24"/>
              <w14:ligatures w14:val="standardContextual"/>
            </w:rPr>
          </w:pPr>
          <w:r>
            <w:rPr>
              <w:noProof/>
            </w:rPr>
            <w:t>Recommendations (In Priority Order)</w:t>
          </w:r>
          <w:r>
            <w:rPr>
              <w:noProof/>
            </w:rPr>
            <w:tab/>
          </w:r>
          <w:r>
            <w:rPr>
              <w:noProof/>
            </w:rPr>
            <w:fldChar w:fldCharType="begin"/>
          </w:r>
          <w:r>
            <w:rPr>
              <w:noProof/>
            </w:rPr>
            <w:instrText xml:space="preserve"> PAGEREF _Toc183423592 \h </w:instrText>
          </w:r>
          <w:r>
            <w:rPr>
              <w:noProof/>
            </w:rPr>
          </w:r>
          <w:r>
            <w:rPr>
              <w:noProof/>
            </w:rPr>
            <w:fldChar w:fldCharType="separate"/>
          </w:r>
          <w:r>
            <w:rPr>
              <w:noProof/>
            </w:rPr>
            <w:t>27</w:t>
          </w:r>
          <w:r>
            <w:rPr>
              <w:noProof/>
            </w:rPr>
            <w:fldChar w:fldCharType="end"/>
          </w:r>
        </w:p>
        <w:p w14:paraId="485F665E" w14:textId="12FE9729" w:rsidR="00A6774F" w:rsidRDefault="00A6774F">
          <w:pPr>
            <w:pStyle w:val="TOC1"/>
            <w:rPr>
              <w:rFonts w:eastAsiaTheme="minorEastAsia" w:cstheme="minorBidi"/>
              <w:b w:val="0"/>
              <w:caps w:val="0"/>
              <w:noProof/>
              <w:color w:val="auto"/>
              <w:kern w:val="2"/>
              <w:sz w:val="24"/>
              <w14:ligatures w14:val="standardContextual"/>
            </w:rPr>
          </w:pPr>
          <w:r>
            <w:rPr>
              <w:noProof/>
            </w:rPr>
            <w:t>Annexes</w:t>
          </w:r>
          <w:r>
            <w:rPr>
              <w:noProof/>
            </w:rPr>
            <w:tab/>
          </w:r>
        </w:p>
        <w:p w14:paraId="0EE70170" w14:textId="3FCD9709" w:rsidR="00A6774F" w:rsidRDefault="00A6774F">
          <w:pPr>
            <w:pStyle w:val="TOC2"/>
            <w:rPr>
              <w:rFonts w:eastAsiaTheme="minorEastAsia" w:cstheme="minorBidi"/>
              <w:noProof/>
              <w:color w:val="auto"/>
              <w:kern w:val="2"/>
              <w:sz w:val="24"/>
              <w14:ligatures w14:val="standardContextual"/>
            </w:rPr>
          </w:pPr>
          <w:r>
            <w:rPr>
              <w:noProof/>
            </w:rPr>
            <w:t>Annex 1: Terms of Reference (extract)</w:t>
          </w:r>
          <w:r>
            <w:rPr>
              <w:noProof/>
            </w:rPr>
            <w:tab/>
          </w:r>
          <w:r>
            <w:rPr>
              <w:noProof/>
            </w:rPr>
            <w:fldChar w:fldCharType="begin"/>
          </w:r>
          <w:r>
            <w:rPr>
              <w:noProof/>
            </w:rPr>
            <w:instrText xml:space="preserve"> PAGEREF _Toc183423594 \h </w:instrText>
          </w:r>
          <w:r>
            <w:rPr>
              <w:noProof/>
            </w:rPr>
          </w:r>
          <w:r>
            <w:rPr>
              <w:noProof/>
            </w:rPr>
            <w:fldChar w:fldCharType="separate"/>
          </w:r>
          <w:r>
            <w:rPr>
              <w:noProof/>
            </w:rPr>
            <w:t>i</w:t>
          </w:r>
          <w:r>
            <w:rPr>
              <w:noProof/>
            </w:rPr>
            <w:fldChar w:fldCharType="end"/>
          </w:r>
        </w:p>
        <w:p w14:paraId="4F2EDEA2" w14:textId="25B93CA2" w:rsidR="00A6774F" w:rsidRDefault="00A6774F">
          <w:pPr>
            <w:pStyle w:val="TOC2"/>
            <w:rPr>
              <w:rFonts w:eastAsiaTheme="minorEastAsia" w:cstheme="minorBidi"/>
              <w:noProof/>
              <w:color w:val="auto"/>
              <w:kern w:val="2"/>
              <w:sz w:val="24"/>
              <w14:ligatures w14:val="standardContextual"/>
            </w:rPr>
          </w:pPr>
          <w:r>
            <w:rPr>
              <w:noProof/>
            </w:rPr>
            <w:t>Annex 2: References and documents consulted</w:t>
          </w:r>
          <w:r>
            <w:rPr>
              <w:noProof/>
            </w:rPr>
            <w:tab/>
          </w:r>
          <w:r>
            <w:rPr>
              <w:noProof/>
            </w:rPr>
            <w:fldChar w:fldCharType="begin"/>
          </w:r>
          <w:r>
            <w:rPr>
              <w:noProof/>
            </w:rPr>
            <w:instrText xml:space="preserve"> PAGEREF _Toc183423595 \h </w:instrText>
          </w:r>
          <w:r>
            <w:rPr>
              <w:noProof/>
            </w:rPr>
          </w:r>
          <w:r>
            <w:rPr>
              <w:noProof/>
            </w:rPr>
            <w:fldChar w:fldCharType="separate"/>
          </w:r>
          <w:r>
            <w:rPr>
              <w:noProof/>
            </w:rPr>
            <w:t>iv</w:t>
          </w:r>
          <w:r>
            <w:rPr>
              <w:noProof/>
            </w:rPr>
            <w:fldChar w:fldCharType="end"/>
          </w:r>
        </w:p>
        <w:p w14:paraId="541FC87D" w14:textId="135F32B2" w:rsidR="00A6774F" w:rsidRDefault="00A6774F">
          <w:pPr>
            <w:pStyle w:val="TOC2"/>
            <w:rPr>
              <w:rFonts w:eastAsiaTheme="minorEastAsia" w:cstheme="minorBidi"/>
              <w:noProof/>
              <w:color w:val="auto"/>
              <w:kern w:val="2"/>
              <w:sz w:val="24"/>
              <w14:ligatures w14:val="standardContextual"/>
            </w:rPr>
          </w:pPr>
          <w:r>
            <w:rPr>
              <w:noProof/>
            </w:rPr>
            <w:t>Annex 3: List of People Consulted</w:t>
          </w:r>
          <w:r>
            <w:rPr>
              <w:noProof/>
            </w:rPr>
            <w:tab/>
          </w:r>
          <w:r>
            <w:rPr>
              <w:noProof/>
            </w:rPr>
            <w:fldChar w:fldCharType="begin"/>
          </w:r>
          <w:r>
            <w:rPr>
              <w:noProof/>
            </w:rPr>
            <w:instrText xml:space="preserve"> PAGEREF _Toc183423596 \h </w:instrText>
          </w:r>
          <w:r>
            <w:rPr>
              <w:noProof/>
            </w:rPr>
          </w:r>
          <w:r>
            <w:rPr>
              <w:noProof/>
            </w:rPr>
            <w:fldChar w:fldCharType="separate"/>
          </w:r>
          <w:r>
            <w:rPr>
              <w:noProof/>
            </w:rPr>
            <w:t>vi</w:t>
          </w:r>
          <w:r>
            <w:rPr>
              <w:noProof/>
            </w:rPr>
            <w:fldChar w:fldCharType="end"/>
          </w:r>
        </w:p>
        <w:p w14:paraId="625B42DE" w14:textId="5FB34362" w:rsidR="00A6774F" w:rsidRDefault="00A6774F">
          <w:pPr>
            <w:pStyle w:val="TOC2"/>
            <w:rPr>
              <w:rFonts w:eastAsiaTheme="minorEastAsia" w:cstheme="minorBidi"/>
              <w:noProof/>
              <w:color w:val="auto"/>
              <w:kern w:val="2"/>
              <w:sz w:val="24"/>
              <w14:ligatures w14:val="standardContextual"/>
            </w:rPr>
          </w:pPr>
          <w:r>
            <w:rPr>
              <w:noProof/>
            </w:rPr>
            <w:t>Annex 4: TASP Program Logic</w:t>
          </w:r>
          <w:r>
            <w:rPr>
              <w:noProof/>
            </w:rPr>
            <w:tab/>
          </w:r>
          <w:r>
            <w:rPr>
              <w:noProof/>
            </w:rPr>
            <w:fldChar w:fldCharType="begin"/>
          </w:r>
          <w:r>
            <w:rPr>
              <w:noProof/>
            </w:rPr>
            <w:instrText xml:space="preserve"> PAGEREF _Toc183423597 \h </w:instrText>
          </w:r>
          <w:r>
            <w:rPr>
              <w:noProof/>
            </w:rPr>
          </w:r>
          <w:r>
            <w:rPr>
              <w:noProof/>
            </w:rPr>
            <w:fldChar w:fldCharType="separate"/>
          </w:r>
          <w:r>
            <w:rPr>
              <w:noProof/>
            </w:rPr>
            <w:t>viii</w:t>
          </w:r>
          <w:r>
            <w:rPr>
              <w:noProof/>
            </w:rPr>
            <w:fldChar w:fldCharType="end"/>
          </w:r>
        </w:p>
        <w:p w14:paraId="62212838" w14:textId="721102E2" w:rsidR="00A6774F" w:rsidRDefault="00A6774F">
          <w:pPr>
            <w:pStyle w:val="TOC2"/>
            <w:rPr>
              <w:rFonts w:eastAsiaTheme="minorEastAsia" w:cstheme="minorBidi"/>
              <w:noProof/>
              <w:color w:val="auto"/>
              <w:kern w:val="2"/>
              <w:sz w:val="24"/>
              <w14:ligatures w14:val="standardContextual"/>
            </w:rPr>
          </w:pPr>
          <w:r>
            <w:rPr>
              <w:noProof/>
            </w:rPr>
            <w:t>Annex 5:  Ad hoc Support (report extract)</w:t>
          </w:r>
          <w:r>
            <w:rPr>
              <w:noProof/>
            </w:rPr>
            <w:tab/>
          </w:r>
          <w:r>
            <w:rPr>
              <w:noProof/>
            </w:rPr>
            <w:fldChar w:fldCharType="begin"/>
          </w:r>
          <w:r>
            <w:rPr>
              <w:noProof/>
            </w:rPr>
            <w:instrText xml:space="preserve"> PAGEREF _Toc183423598 \h </w:instrText>
          </w:r>
          <w:r>
            <w:rPr>
              <w:noProof/>
            </w:rPr>
          </w:r>
          <w:r>
            <w:rPr>
              <w:noProof/>
            </w:rPr>
            <w:fldChar w:fldCharType="separate"/>
          </w:r>
          <w:r>
            <w:rPr>
              <w:noProof/>
            </w:rPr>
            <w:t>ix</w:t>
          </w:r>
          <w:r>
            <w:rPr>
              <w:noProof/>
            </w:rPr>
            <w:fldChar w:fldCharType="end"/>
          </w:r>
        </w:p>
        <w:p w14:paraId="2D10E9ED" w14:textId="7F498BA6" w:rsidR="00A6774F" w:rsidRDefault="00A6774F">
          <w:pPr>
            <w:pStyle w:val="TOC2"/>
            <w:rPr>
              <w:rFonts w:eastAsiaTheme="minorEastAsia" w:cstheme="minorBidi"/>
              <w:noProof/>
              <w:color w:val="auto"/>
              <w:kern w:val="2"/>
              <w:sz w:val="24"/>
              <w14:ligatures w14:val="standardContextual"/>
            </w:rPr>
          </w:pPr>
          <w:r>
            <w:rPr>
              <w:noProof/>
            </w:rPr>
            <w:t>Annex 6: THSSP3 (Health Pillar) Logic</w:t>
          </w:r>
          <w:r>
            <w:rPr>
              <w:noProof/>
            </w:rPr>
            <w:tab/>
          </w:r>
          <w:r>
            <w:rPr>
              <w:noProof/>
            </w:rPr>
            <w:fldChar w:fldCharType="begin"/>
          </w:r>
          <w:r>
            <w:rPr>
              <w:noProof/>
            </w:rPr>
            <w:instrText xml:space="preserve"> PAGEREF _Toc183423599 \h </w:instrText>
          </w:r>
          <w:r>
            <w:rPr>
              <w:noProof/>
            </w:rPr>
          </w:r>
          <w:r>
            <w:rPr>
              <w:noProof/>
            </w:rPr>
            <w:fldChar w:fldCharType="separate"/>
          </w:r>
          <w:r>
            <w:rPr>
              <w:noProof/>
            </w:rPr>
            <w:t>xi</w:t>
          </w:r>
          <w:r>
            <w:rPr>
              <w:noProof/>
            </w:rPr>
            <w:fldChar w:fldCharType="end"/>
          </w:r>
        </w:p>
        <w:p w14:paraId="7CEAED0E" w14:textId="6966F1C8" w:rsidR="00A6774F" w:rsidRDefault="00A6774F">
          <w:pPr>
            <w:pStyle w:val="TOC2"/>
            <w:rPr>
              <w:rFonts w:eastAsiaTheme="minorEastAsia" w:cstheme="minorBidi"/>
              <w:noProof/>
              <w:color w:val="auto"/>
              <w:kern w:val="2"/>
              <w:sz w:val="24"/>
              <w14:ligatures w14:val="standardContextual"/>
            </w:rPr>
          </w:pPr>
          <w:r>
            <w:rPr>
              <w:noProof/>
            </w:rPr>
            <w:t>Annex 7: Governance Pillar Logic</w:t>
          </w:r>
          <w:r>
            <w:rPr>
              <w:noProof/>
            </w:rPr>
            <w:tab/>
          </w:r>
          <w:r>
            <w:rPr>
              <w:noProof/>
            </w:rPr>
            <w:fldChar w:fldCharType="begin"/>
          </w:r>
          <w:r>
            <w:rPr>
              <w:noProof/>
            </w:rPr>
            <w:instrText xml:space="preserve"> PAGEREF _Toc183423600 \h </w:instrText>
          </w:r>
          <w:r>
            <w:rPr>
              <w:noProof/>
            </w:rPr>
          </w:r>
          <w:r>
            <w:rPr>
              <w:noProof/>
            </w:rPr>
            <w:fldChar w:fldCharType="separate"/>
          </w:r>
          <w:r>
            <w:rPr>
              <w:noProof/>
            </w:rPr>
            <w:t>xii</w:t>
          </w:r>
          <w:r>
            <w:rPr>
              <w:noProof/>
            </w:rPr>
            <w:fldChar w:fldCharType="end"/>
          </w:r>
        </w:p>
        <w:p w14:paraId="686930F0" w14:textId="5B95289F" w:rsidR="009071AA" w:rsidRDefault="00662E13" w:rsidP="00A348C7">
          <w:r>
            <w:rPr>
              <w:noProof/>
            </w:rPr>
            <w:fldChar w:fldCharType="end"/>
          </w:r>
        </w:p>
      </w:sdtContent>
    </w:sdt>
    <w:p w14:paraId="6BC09476" w14:textId="77777777" w:rsidR="00194B11" w:rsidRDefault="00194B11" w:rsidP="00A348C7">
      <w:pPr>
        <w:sectPr w:rsidR="00194B11" w:rsidSect="0089105E">
          <w:headerReference w:type="default" r:id="rId9"/>
          <w:footerReference w:type="default" r:id="rId10"/>
          <w:headerReference w:type="first" r:id="rId11"/>
          <w:footerReference w:type="first" r:id="rId12"/>
          <w:pgSz w:w="11906" w:h="16838"/>
          <w:pgMar w:top="1701" w:right="1134" w:bottom="1134" w:left="1134" w:header="0" w:footer="454" w:gutter="0"/>
          <w:pgNumType w:fmt="lowerRoman" w:start="1"/>
          <w:cols w:space="720"/>
          <w:titlePg/>
        </w:sectPr>
      </w:pPr>
    </w:p>
    <w:p w14:paraId="6BC09477" w14:textId="77777777" w:rsidR="00194B11" w:rsidRDefault="000F1258" w:rsidP="00D9220F">
      <w:pPr>
        <w:pStyle w:val="Heading1NOTOC"/>
      </w:pPr>
      <w:r>
        <w:lastRenderedPageBreak/>
        <w:t>Acronyms</w:t>
      </w:r>
    </w:p>
    <w:p w14:paraId="6BC09479" w14:textId="77777777" w:rsidR="00194B11" w:rsidRDefault="00194B11" w:rsidP="00A348C7"/>
    <w:p w14:paraId="2A9CE05F" w14:textId="77777777" w:rsidR="00510979" w:rsidRPr="00A32AFC" w:rsidRDefault="00510979" w:rsidP="00510979">
      <w:pPr>
        <w:tabs>
          <w:tab w:val="left" w:pos="3119"/>
        </w:tabs>
      </w:pPr>
      <w:r>
        <w:t>AHC</w:t>
      </w:r>
      <w:r w:rsidRPr="00A32AFC">
        <w:tab/>
      </w:r>
      <w:r>
        <w:t>Australian High Commission</w:t>
      </w:r>
    </w:p>
    <w:p w14:paraId="5F586950" w14:textId="77777777" w:rsidR="00510979" w:rsidRPr="00A32AFC" w:rsidRDefault="00510979" w:rsidP="00510979">
      <w:pPr>
        <w:tabs>
          <w:tab w:val="left" w:pos="3119"/>
        </w:tabs>
      </w:pPr>
      <w:r w:rsidRPr="00A32AFC">
        <w:t>APCP</w:t>
      </w:r>
      <w:r w:rsidRPr="00A32AFC">
        <w:tab/>
        <w:t xml:space="preserve">Australia-Pacific Climate Partnership </w:t>
      </w:r>
    </w:p>
    <w:p w14:paraId="5DCD02DE" w14:textId="77777777" w:rsidR="00510979" w:rsidRPr="00A32AFC" w:rsidRDefault="00510979" w:rsidP="00510979">
      <w:pPr>
        <w:tabs>
          <w:tab w:val="left" w:pos="3119"/>
        </w:tabs>
      </w:pPr>
      <w:r>
        <w:t>CPU</w:t>
      </w:r>
      <w:r w:rsidRPr="00A32AFC">
        <w:tab/>
      </w:r>
      <w:r w:rsidRPr="00EB0B63">
        <w:t>Central Procurement Unit, Ministry of Finance (T</w:t>
      </w:r>
      <w:r>
        <w:t>onga)</w:t>
      </w:r>
    </w:p>
    <w:p w14:paraId="1CF3F291" w14:textId="77777777" w:rsidR="00510979" w:rsidRDefault="00510979" w:rsidP="00510979">
      <w:pPr>
        <w:tabs>
          <w:tab w:val="left" w:pos="3119"/>
        </w:tabs>
        <w:rPr>
          <w:rFonts w:eastAsia="Arial"/>
          <w:color w:val="000000"/>
        </w:rPr>
      </w:pPr>
      <w:r w:rsidRPr="00A32AFC">
        <w:t>CRPD</w:t>
      </w:r>
      <w:r>
        <w:rPr>
          <w:rFonts w:eastAsia="Arial"/>
          <w:color w:val="000000"/>
        </w:rPr>
        <w:tab/>
      </w:r>
      <w:r w:rsidRPr="00A32AFC">
        <w:t xml:space="preserve">UN Convention on the Rights of Persons with Disabilities </w:t>
      </w:r>
    </w:p>
    <w:p w14:paraId="55AD5813" w14:textId="77777777" w:rsidR="00510979" w:rsidRDefault="00510979" w:rsidP="00510979">
      <w:pPr>
        <w:tabs>
          <w:tab w:val="left" w:pos="3119"/>
        </w:tabs>
      </w:pPr>
      <w:r>
        <w:t>CSO</w:t>
      </w:r>
      <w:r>
        <w:tab/>
        <w:t>Civil society organisation</w:t>
      </w:r>
    </w:p>
    <w:p w14:paraId="7618C1F7" w14:textId="77777777" w:rsidR="00510979" w:rsidRDefault="00510979" w:rsidP="00510979">
      <w:pPr>
        <w:tabs>
          <w:tab w:val="left" w:pos="3119"/>
        </w:tabs>
        <w:rPr>
          <w:smallCaps/>
          <w:color w:val="1D336D"/>
        </w:rPr>
      </w:pPr>
      <w:r>
        <w:t>DFAT</w:t>
      </w:r>
      <w:r>
        <w:rPr>
          <w:smallCaps/>
        </w:rPr>
        <w:tab/>
      </w:r>
      <w:r>
        <w:t>Department of Foreign Affairs and Trade</w:t>
      </w:r>
    </w:p>
    <w:p w14:paraId="2ED6249B" w14:textId="77777777" w:rsidR="00510979" w:rsidRDefault="00510979" w:rsidP="00510979">
      <w:pPr>
        <w:tabs>
          <w:tab w:val="left" w:pos="3119"/>
        </w:tabs>
      </w:pPr>
      <w:r>
        <w:t>DPP</w:t>
      </w:r>
      <w:r>
        <w:tab/>
        <w:t>Development Partnership Plan</w:t>
      </w:r>
    </w:p>
    <w:p w14:paraId="68471C28" w14:textId="77777777" w:rsidR="00510979" w:rsidRDefault="00510979" w:rsidP="00510979">
      <w:pPr>
        <w:tabs>
          <w:tab w:val="left" w:pos="3119"/>
        </w:tabs>
      </w:pPr>
      <w:r>
        <w:t>EOIO</w:t>
      </w:r>
      <w:r>
        <w:tab/>
        <w:t>End of Investment Outcome</w:t>
      </w:r>
    </w:p>
    <w:p w14:paraId="0B10202C" w14:textId="77777777" w:rsidR="00510979" w:rsidRDefault="00510979" w:rsidP="00510979">
      <w:pPr>
        <w:tabs>
          <w:tab w:val="left" w:pos="3119"/>
        </w:tabs>
        <w:rPr>
          <w:smallCaps/>
          <w:color w:val="1D336D"/>
        </w:rPr>
      </w:pPr>
      <w:r>
        <w:t>EOPO</w:t>
      </w:r>
      <w:r>
        <w:rPr>
          <w:smallCaps/>
        </w:rPr>
        <w:tab/>
      </w:r>
      <w:r>
        <w:rPr>
          <w:highlight w:val="white"/>
        </w:rPr>
        <w:t>End of Program Outcome</w:t>
      </w:r>
    </w:p>
    <w:p w14:paraId="04AEF235" w14:textId="77777777" w:rsidR="00510979" w:rsidRDefault="00510979" w:rsidP="00510979">
      <w:pPr>
        <w:tabs>
          <w:tab w:val="left" w:pos="3119"/>
        </w:tabs>
        <w:rPr>
          <w:highlight w:val="white"/>
        </w:rPr>
      </w:pPr>
      <w:r>
        <w:t>GAP</w:t>
      </w:r>
      <w:r>
        <w:tab/>
      </w:r>
      <w:r>
        <w:rPr>
          <w:highlight w:val="white"/>
        </w:rPr>
        <w:t>Gender Action Plan</w:t>
      </w:r>
    </w:p>
    <w:p w14:paraId="468E93E6" w14:textId="77777777" w:rsidR="00510979" w:rsidRDefault="00510979" w:rsidP="00510979">
      <w:pPr>
        <w:tabs>
          <w:tab w:val="left" w:pos="3119"/>
        </w:tabs>
        <w:rPr>
          <w:highlight w:val="white"/>
        </w:rPr>
      </w:pPr>
      <w:r>
        <w:t>GBV</w:t>
      </w:r>
      <w:r>
        <w:tab/>
      </w:r>
      <w:r>
        <w:rPr>
          <w:highlight w:val="white"/>
        </w:rPr>
        <w:t>Gender based violence</w:t>
      </w:r>
    </w:p>
    <w:p w14:paraId="66CCC4AE" w14:textId="77777777" w:rsidR="00510979" w:rsidRDefault="00510979" w:rsidP="00510979">
      <w:pPr>
        <w:tabs>
          <w:tab w:val="left" w:pos="3119"/>
        </w:tabs>
        <w:rPr>
          <w:highlight w:val="white"/>
        </w:rPr>
      </w:pPr>
      <w:r>
        <w:t>GCP</w:t>
      </w:r>
      <w:r>
        <w:tab/>
      </w:r>
      <w:r>
        <w:rPr>
          <w:highlight w:val="white"/>
        </w:rPr>
        <w:t>Gender Country Plan</w:t>
      </w:r>
    </w:p>
    <w:p w14:paraId="58A23727" w14:textId="77777777" w:rsidR="00510979" w:rsidRDefault="00510979" w:rsidP="00510979">
      <w:pPr>
        <w:tabs>
          <w:tab w:val="left" w:pos="3119"/>
        </w:tabs>
        <w:rPr>
          <w:smallCaps/>
          <w:color w:val="1D336D"/>
        </w:rPr>
      </w:pPr>
      <w:r>
        <w:t>GEDSI</w:t>
      </w:r>
      <w:r>
        <w:rPr>
          <w:smallCaps/>
        </w:rPr>
        <w:tab/>
      </w:r>
      <w:r>
        <w:rPr>
          <w:highlight w:val="white"/>
        </w:rPr>
        <w:t>Gender equality, disability and social inclusion</w:t>
      </w:r>
    </w:p>
    <w:p w14:paraId="622ABB3E" w14:textId="77777777" w:rsidR="00510979" w:rsidRDefault="00510979" w:rsidP="00510979">
      <w:pPr>
        <w:tabs>
          <w:tab w:val="left" w:pos="3119"/>
        </w:tabs>
        <w:rPr>
          <w:highlight w:val="white"/>
        </w:rPr>
      </w:pPr>
      <w:proofErr w:type="spellStart"/>
      <w:r>
        <w:t>GoA</w:t>
      </w:r>
      <w:proofErr w:type="spellEnd"/>
      <w:r>
        <w:tab/>
      </w:r>
      <w:r>
        <w:rPr>
          <w:highlight w:val="white"/>
        </w:rPr>
        <w:t>Government of Australia</w:t>
      </w:r>
    </w:p>
    <w:p w14:paraId="1C5E1ED4" w14:textId="77777777" w:rsidR="00510979" w:rsidRDefault="00510979" w:rsidP="00510979">
      <w:pPr>
        <w:tabs>
          <w:tab w:val="left" w:pos="3119"/>
        </w:tabs>
        <w:rPr>
          <w:highlight w:val="white"/>
        </w:rPr>
      </w:pPr>
      <w:proofErr w:type="spellStart"/>
      <w:r>
        <w:t>GoT</w:t>
      </w:r>
      <w:proofErr w:type="spellEnd"/>
      <w:r>
        <w:tab/>
      </w:r>
      <w:r>
        <w:rPr>
          <w:highlight w:val="white"/>
        </w:rPr>
        <w:t>Government of Tonga</w:t>
      </w:r>
    </w:p>
    <w:p w14:paraId="61D174AB" w14:textId="77777777" w:rsidR="00510979" w:rsidRDefault="00510979" w:rsidP="00510979">
      <w:pPr>
        <w:tabs>
          <w:tab w:val="left" w:pos="3119"/>
        </w:tabs>
        <w:rPr>
          <w:highlight w:val="white"/>
        </w:rPr>
      </w:pPr>
      <w:r>
        <w:t>HSSIG</w:t>
      </w:r>
      <w:r>
        <w:tab/>
      </w:r>
      <w:r w:rsidRPr="00C261C1">
        <w:rPr>
          <w:highlight w:val="white"/>
        </w:rPr>
        <w:t>Health Sector Support Implementation Group</w:t>
      </w:r>
    </w:p>
    <w:p w14:paraId="3B75B32A" w14:textId="77777777" w:rsidR="00510979" w:rsidRDefault="00510979" w:rsidP="00510979">
      <w:pPr>
        <w:tabs>
          <w:tab w:val="left" w:pos="3119"/>
        </w:tabs>
      </w:pPr>
      <w:r>
        <w:t>HTHH</w:t>
      </w:r>
      <w:r>
        <w:tab/>
        <w:t xml:space="preserve">Hunga Tonga-Hunga </w:t>
      </w:r>
      <w:proofErr w:type="spellStart"/>
      <w:r>
        <w:t>Ha’apai</w:t>
      </w:r>
      <w:proofErr w:type="spellEnd"/>
    </w:p>
    <w:p w14:paraId="2D673371" w14:textId="77777777" w:rsidR="00510979" w:rsidRDefault="00510979" w:rsidP="00510979">
      <w:pPr>
        <w:tabs>
          <w:tab w:val="left" w:pos="3119"/>
        </w:tabs>
      </w:pPr>
      <w:r>
        <w:t>ICT</w:t>
      </w:r>
      <w:r>
        <w:tab/>
        <w:t>Information and communications technology</w:t>
      </w:r>
    </w:p>
    <w:p w14:paraId="6B2D4014" w14:textId="77777777" w:rsidR="00510979" w:rsidRDefault="00510979" w:rsidP="00510979">
      <w:pPr>
        <w:tabs>
          <w:tab w:val="left" w:pos="3119"/>
        </w:tabs>
      </w:pPr>
      <w:r>
        <w:t>IMR</w:t>
      </w:r>
      <w:r>
        <w:tab/>
        <w:t>Investment Monitoring Report (DFAT)</w:t>
      </w:r>
    </w:p>
    <w:p w14:paraId="42002ACA" w14:textId="77777777" w:rsidR="00510979" w:rsidRDefault="00510979" w:rsidP="00510979">
      <w:pPr>
        <w:tabs>
          <w:tab w:val="left" w:pos="3119"/>
        </w:tabs>
      </w:pPr>
      <w:r>
        <w:t>IPR</w:t>
      </w:r>
      <w:r>
        <w:tab/>
        <w:t>Investment Performance Rating</w:t>
      </w:r>
    </w:p>
    <w:p w14:paraId="1B765409" w14:textId="77777777" w:rsidR="00510979" w:rsidRDefault="00510979" w:rsidP="00510979">
      <w:pPr>
        <w:tabs>
          <w:tab w:val="left" w:pos="3119"/>
        </w:tabs>
      </w:pPr>
      <w:r>
        <w:t>IO</w:t>
      </w:r>
      <w:r>
        <w:tab/>
        <w:t>Intermediate Outcome</w:t>
      </w:r>
    </w:p>
    <w:p w14:paraId="2582B024" w14:textId="77777777" w:rsidR="00510979" w:rsidRDefault="00510979" w:rsidP="00510979">
      <w:pPr>
        <w:tabs>
          <w:tab w:val="left" w:pos="3119"/>
        </w:tabs>
      </w:pPr>
      <w:r>
        <w:t>JPRM</w:t>
      </w:r>
      <w:r>
        <w:tab/>
      </w:r>
      <w:r w:rsidRPr="0062067D">
        <w:t>Joint Policy Reform Matrix</w:t>
      </w:r>
    </w:p>
    <w:p w14:paraId="21AC2AE0" w14:textId="77777777" w:rsidR="00510979" w:rsidRDefault="00510979" w:rsidP="00510979">
      <w:pPr>
        <w:tabs>
          <w:tab w:val="left" w:pos="3119"/>
        </w:tabs>
        <w:rPr>
          <w:smallCaps/>
          <w:color w:val="1D336D"/>
        </w:rPr>
      </w:pPr>
      <w:r>
        <w:t>KEQ</w:t>
      </w:r>
      <w:r>
        <w:rPr>
          <w:smallCaps/>
        </w:rPr>
        <w:tab/>
      </w:r>
      <w:r>
        <w:t>Key Evaluation Question</w:t>
      </w:r>
    </w:p>
    <w:p w14:paraId="64F58606" w14:textId="77777777" w:rsidR="00510979" w:rsidRDefault="00510979" w:rsidP="00510979">
      <w:pPr>
        <w:tabs>
          <w:tab w:val="left" w:pos="3119"/>
        </w:tabs>
        <w:rPr>
          <w:highlight w:val="white"/>
        </w:rPr>
      </w:pPr>
      <w:r>
        <w:t>LATA</w:t>
      </w:r>
      <w:r>
        <w:tab/>
      </w:r>
      <w:proofErr w:type="spellStart"/>
      <w:r w:rsidRPr="004025A6">
        <w:rPr>
          <w:highlight w:val="white"/>
        </w:rPr>
        <w:t>Lavame’a</w:t>
      </w:r>
      <w:proofErr w:type="spellEnd"/>
      <w:r w:rsidRPr="004025A6">
        <w:rPr>
          <w:highlight w:val="white"/>
        </w:rPr>
        <w:t xml:space="preserve"> </w:t>
      </w:r>
      <w:proofErr w:type="spellStart"/>
      <w:r w:rsidRPr="004025A6">
        <w:rPr>
          <w:highlight w:val="white"/>
        </w:rPr>
        <w:t>Ta’e’iloa</w:t>
      </w:r>
      <w:proofErr w:type="spellEnd"/>
      <w:r w:rsidRPr="004025A6">
        <w:rPr>
          <w:highlight w:val="white"/>
        </w:rPr>
        <w:t xml:space="preserve"> Disabled People Association Incorporat</w:t>
      </w:r>
      <w:r>
        <w:rPr>
          <w:highlight w:val="white"/>
        </w:rPr>
        <w:t>ed</w:t>
      </w:r>
    </w:p>
    <w:p w14:paraId="3A238C4A" w14:textId="77777777" w:rsidR="00510979" w:rsidRPr="004025A6" w:rsidRDefault="00510979" w:rsidP="00510979">
      <w:pPr>
        <w:tabs>
          <w:tab w:val="left" w:pos="3119"/>
        </w:tabs>
        <w:rPr>
          <w:highlight w:val="white"/>
        </w:rPr>
      </w:pPr>
      <w:r>
        <w:t>LLD</w:t>
      </w:r>
      <w:r>
        <w:tab/>
      </w:r>
      <w:r>
        <w:rPr>
          <w:highlight w:val="white"/>
        </w:rPr>
        <w:t xml:space="preserve">Locally led development </w:t>
      </w:r>
    </w:p>
    <w:p w14:paraId="00C9D33F" w14:textId="77777777" w:rsidR="00510979" w:rsidRPr="004025A6" w:rsidRDefault="00510979" w:rsidP="00510979">
      <w:pPr>
        <w:tabs>
          <w:tab w:val="left" w:pos="3119"/>
        </w:tabs>
        <w:rPr>
          <w:highlight w:val="white"/>
        </w:rPr>
      </w:pPr>
      <w:r>
        <w:t>MC</w:t>
      </w:r>
      <w:r>
        <w:tab/>
      </w:r>
      <w:r>
        <w:rPr>
          <w:highlight w:val="white"/>
        </w:rPr>
        <w:t>Managing Contractor</w:t>
      </w:r>
    </w:p>
    <w:p w14:paraId="59B9BBA0" w14:textId="77777777" w:rsidR="00510979" w:rsidRDefault="00510979" w:rsidP="00510979">
      <w:pPr>
        <w:tabs>
          <w:tab w:val="left" w:pos="3119"/>
        </w:tabs>
        <w:rPr>
          <w:rFonts w:eastAsia="Arial"/>
          <w:color w:val="000000"/>
          <w:highlight w:val="white"/>
        </w:rPr>
      </w:pPr>
      <w:r w:rsidRPr="00A32AFC">
        <w:t>MFF</w:t>
      </w:r>
      <w:r>
        <w:rPr>
          <w:rFonts w:eastAsia="Arial"/>
          <w:color w:val="000000"/>
        </w:rPr>
        <w:tab/>
      </w:r>
      <w:proofErr w:type="spellStart"/>
      <w:r w:rsidRPr="00A32AFC">
        <w:t>Ma’a</w:t>
      </w:r>
      <w:proofErr w:type="spellEnd"/>
      <w:r w:rsidRPr="00A32AFC">
        <w:t xml:space="preserve"> </w:t>
      </w:r>
      <w:proofErr w:type="spellStart"/>
      <w:r w:rsidRPr="00A32AFC">
        <w:t>Fafine</w:t>
      </w:r>
      <w:proofErr w:type="spellEnd"/>
      <w:r w:rsidRPr="00A32AFC">
        <w:t xml:space="preserve"> </w:t>
      </w:r>
      <w:proofErr w:type="spellStart"/>
      <w:r w:rsidRPr="00A32AFC">
        <w:t>Mo’e</w:t>
      </w:r>
      <w:proofErr w:type="spellEnd"/>
      <w:r w:rsidRPr="00A32AFC">
        <w:t xml:space="preserve"> </w:t>
      </w:r>
      <w:proofErr w:type="spellStart"/>
      <w:r w:rsidRPr="00A32AFC">
        <w:t>Famili</w:t>
      </w:r>
      <w:proofErr w:type="spellEnd"/>
      <w:r w:rsidRPr="00A32AFC">
        <w:t xml:space="preserve"> Inc. </w:t>
      </w:r>
    </w:p>
    <w:p w14:paraId="455FDB9E" w14:textId="77777777" w:rsidR="00510979" w:rsidRDefault="00510979" w:rsidP="00510979">
      <w:pPr>
        <w:tabs>
          <w:tab w:val="left" w:pos="3119"/>
        </w:tabs>
        <w:rPr>
          <w:smallCaps/>
          <w:color w:val="1D336D"/>
        </w:rPr>
      </w:pPr>
      <w:r>
        <w:t>MEL</w:t>
      </w:r>
      <w:r>
        <w:rPr>
          <w:smallCaps/>
        </w:rPr>
        <w:tab/>
      </w:r>
      <w:r>
        <w:t>Monitoring, Evaluation and Learning</w:t>
      </w:r>
    </w:p>
    <w:p w14:paraId="09791052" w14:textId="77777777" w:rsidR="00510979" w:rsidRDefault="00510979" w:rsidP="00510979">
      <w:pPr>
        <w:tabs>
          <w:tab w:val="left" w:pos="3119"/>
        </w:tabs>
      </w:pPr>
      <w:r>
        <w:t>MoF</w:t>
      </w:r>
      <w:r>
        <w:tab/>
        <w:t>Ministry of Finance</w:t>
      </w:r>
    </w:p>
    <w:p w14:paraId="0473DE0D" w14:textId="77777777" w:rsidR="00510979" w:rsidRDefault="00510979" w:rsidP="00510979">
      <w:pPr>
        <w:tabs>
          <w:tab w:val="left" w:pos="3119"/>
        </w:tabs>
      </w:pPr>
      <w:r>
        <w:lastRenderedPageBreak/>
        <w:t>MoH</w:t>
      </w:r>
      <w:r>
        <w:tab/>
        <w:t>Ministry of Health</w:t>
      </w:r>
    </w:p>
    <w:p w14:paraId="6C1A5E67" w14:textId="77777777" w:rsidR="00510979" w:rsidRDefault="00510979" w:rsidP="00510979">
      <w:pPr>
        <w:tabs>
          <w:tab w:val="left" w:pos="3119"/>
        </w:tabs>
      </w:pPr>
      <w:r>
        <w:t>NCD</w:t>
      </w:r>
      <w:r>
        <w:tab/>
      </w:r>
      <w:proofErr w:type="gramStart"/>
      <w:r>
        <w:t>Non-communicable</w:t>
      </w:r>
      <w:proofErr w:type="gramEnd"/>
      <w:r>
        <w:t xml:space="preserve"> disease</w:t>
      </w:r>
    </w:p>
    <w:p w14:paraId="4AA492C6" w14:textId="77777777" w:rsidR="00510979" w:rsidRDefault="00510979" w:rsidP="00510979">
      <w:pPr>
        <w:tabs>
          <w:tab w:val="left" w:pos="3119"/>
        </w:tabs>
      </w:pPr>
      <w:r>
        <w:t>NGO</w:t>
      </w:r>
      <w:r>
        <w:tab/>
      </w:r>
      <w:proofErr w:type="gramStart"/>
      <w:r>
        <w:t>Non-government</w:t>
      </w:r>
      <w:proofErr w:type="gramEnd"/>
      <w:r>
        <w:t xml:space="preserve"> organisation</w:t>
      </w:r>
    </w:p>
    <w:p w14:paraId="269F8B6D" w14:textId="77777777" w:rsidR="00510979" w:rsidRDefault="00510979" w:rsidP="00510979">
      <w:pPr>
        <w:tabs>
          <w:tab w:val="left" w:pos="3119"/>
        </w:tabs>
      </w:pPr>
      <w:r>
        <w:t>ODA</w:t>
      </w:r>
      <w:r>
        <w:tab/>
        <w:t>Official Development Assistance</w:t>
      </w:r>
    </w:p>
    <w:p w14:paraId="51B491BD" w14:textId="77777777" w:rsidR="00510979" w:rsidRDefault="00510979" w:rsidP="00510979">
      <w:pPr>
        <w:tabs>
          <w:tab w:val="left" w:pos="3119"/>
        </w:tabs>
      </w:pPr>
      <w:r>
        <w:t>OPDs</w:t>
      </w:r>
      <w:r>
        <w:tab/>
        <w:t>Organisations of Persons with Disabilities</w:t>
      </w:r>
    </w:p>
    <w:p w14:paraId="1747E1E5" w14:textId="77777777" w:rsidR="00510979" w:rsidRDefault="00510979" w:rsidP="00510979">
      <w:pPr>
        <w:tabs>
          <w:tab w:val="left" w:pos="3119"/>
        </w:tabs>
      </w:pPr>
      <w:r>
        <w:t>PFM</w:t>
      </w:r>
      <w:r>
        <w:tab/>
        <w:t>Public financial management</w:t>
      </w:r>
    </w:p>
    <w:p w14:paraId="3BB1C6B0" w14:textId="77777777" w:rsidR="00510979" w:rsidRDefault="00510979" w:rsidP="00510979">
      <w:pPr>
        <w:tabs>
          <w:tab w:val="left" w:pos="3119"/>
        </w:tabs>
      </w:pPr>
      <w:r>
        <w:t>PPA</w:t>
      </w:r>
      <w:r>
        <w:tab/>
        <w:t>Partnership Performance Assessment</w:t>
      </w:r>
    </w:p>
    <w:p w14:paraId="2E202621" w14:textId="77777777" w:rsidR="00510979" w:rsidRDefault="00510979" w:rsidP="00510979">
      <w:pPr>
        <w:tabs>
          <w:tab w:val="left" w:pos="3119"/>
        </w:tabs>
      </w:pPr>
      <w:r>
        <w:t>PSC</w:t>
      </w:r>
      <w:r>
        <w:tab/>
        <w:t>Public Service Commission</w:t>
      </w:r>
    </w:p>
    <w:p w14:paraId="226391D0" w14:textId="77777777" w:rsidR="00510979" w:rsidRDefault="00510979" w:rsidP="00510979">
      <w:pPr>
        <w:tabs>
          <w:tab w:val="left" w:pos="3119"/>
        </w:tabs>
      </w:pPr>
      <w:r>
        <w:t>SLM</w:t>
      </w:r>
      <w:r>
        <w:tab/>
        <w:t>Skills and labour mobility (TASP pillar)</w:t>
      </w:r>
    </w:p>
    <w:p w14:paraId="60DD9986" w14:textId="77777777" w:rsidR="00510979" w:rsidRDefault="00510979" w:rsidP="00510979">
      <w:pPr>
        <w:tabs>
          <w:tab w:val="left" w:pos="3119"/>
        </w:tabs>
      </w:pPr>
      <w:r>
        <w:t>SOM</w:t>
      </w:r>
      <w:r>
        <w:tab/>
        <w:t>Strategic Opportunities Mechanism</w:t>
      </w:r>
    </w:p>
    <w:p w14:paraId="30579607" w14:textId="77777777" w:rsidR="00510979" w:rsidRDefault="00510979" w:rsidP="00510979">
      <w:pPr>
        <w:tabs>
          <w:tab w:val="left" w:pos="3119"/>
        </w:tabs>
      </w:pPr>
      <w:r>
        <w:t>SPM</w:t>
      </w:r>
      <w:r>
        <w:tab/>
        <w:t>Senior Program Manager</w:t>
      </w:r>
    </w:p>
    <w:p w14:paraId="2B23570C" w14:textId="77777777" w:rsidR="00510979" w:rsidRDefault="00510979" w:rsidP="00510979">
      <w:pPr>
        <w:tabs>
          <w:tab w:val="left" w:pos="3119"/>
        </w:tabs>
      </w:pPr>
      <w:r>
        <w:t>STA</w:t>
      </w:r>
      <w:r>
        <w:tab/>
        <w:t>Short term advisor</w:t>
      </w:r>
    </w:p>
    <w:p w14:paraId="05CF2C4C" w14:textId="77777777" w:rsidR="00510979" w:rsidRDefault="00510979" w:rsidP="00510979">
      <w:pPr>
        <w:tabs>
          <w:tab w:val="left" w:pos="3119"/>
        </w:tabs>
      </w:pPr>
      <w:r>
        <w:t>TA</w:t>
      </w:r>
      <w:r>
        <w:tab/>
        <w:t>Technical assistance</w:t>
      </w:r>
    </w:p>
    <w:p w14:paraId="77E31747" w14:textId="77777777" w:rsidR="00510979" w:rsidRDefault="00510979" w:rsidP="00510979">
      <w:pPr>
        <w:tabs>
          <w:tab w:val="left" w:pos="3119"/>
        </w:tabs>
      </w:pPr>
      <w:r>
        <w:t>TASP</w:t>
      </w:r>
      <w:r>
        <w:tab/>
        <w:t xml:space="preserve">Tonga Australia Support Platform </w:t>
      </w:r>
    </w:p>
    <w:p w14:paraId="5E00FD6C" w14:textId="77777777" w:rsidR="00510979" w:rsidRDefault="00510979" w:rsidP="00510979">
      <w:pPr>
        <w:tabs>
          <w:tab w:val="left" w:pos="3119"/>
        </w:tabs>
      </w:pPr>
      <w:r>
        <w:t>TEGS</w:t>
      </w:r>
      <w:r>
        <w:tab/>
        <w:t>Tonga Economic Governance Support Program</w:t>
      </w:r>
    </w:p>
    <w:p w14:paraId="6706F12C" w14:textId="77777777" w:rsidR="00510979" w:rsidRDefault="00510979" w:rsidP="00510979">
      <w:pPr>
        <w:tabs>
          <w:tab w:val="left" w:pos="3119"/>
        </w:tabs>
      </w:pPr>
      <w:r>
        <w:t>THPF</w:t>
      </w:r>
      <w:r>
        <w:tab/>
        <w:t xml:space="preserve">Tonga Health Promotion Foundation (also referred to as </w:t>
      </w:r>
      <w:proofErr w:type="spellStart"/>
      <w:r>
        <w:t>TongaHealth</w:t>
      </w:r>
      <w:proofErr w:type="spellEnd"/>
      <w:r>
        <w:t>)</w:t>
      </w:r>
    </w:p>
    <w:p w14:paraId="105F1621" w14:textId="77777777" w:rsidR="00510979" w:rsidRDefault="00510979" w:rsidP="00510979">
      <w:pPr>
        <w:tabs>
          <w:tab w:val="left" w:pos="3119"/>
        </w:tabs>
      </w:pPr>
      <w:r>
        <w:t>THSSP</w:t>
      </w:r>
      <w:r>
        <w:tab/>
        <w:t>Tonga Health Systems Support Program</w:t>
      </w:r>
    </w:p>
    <w:p w14:paraId="2AE0AE1B" w14:textId="77777777" w:rsidR="00510979" w:rsidRDefault="00510979" w:rsidP="00510979">
      <w:pPr>
        <w:tabs>
          <w:tab w:val="left" w:pos="3119"/>
        </w:tabs>
        <w:rPr>
          <w:rFonts w:eastAsia="Arial"/>
          <w:color w:val="000000"/>
        </w:rPr>
      </w:pPr>
      <w:r w:rsidRPr="00A32AFC">
        <w:t>TLA</w:t>
      </w:r>
      <w:r>
        <w:rPr>
          <w:rFonts w:eastAsia="Arial"/>
          <w:color w:val="000000"/>
        </w:rPr>
        <w:tab/>
      </w:r>
      <w:r w:rsidRPr="00A32AFC">
        <w:t xml:space="preserve">Tonga Leitis Association </w:t>
      </w:r>
    </w:p>
    <w:p w14:paraId="08840B8B" w14:textId="77777777" w:rsidR="00510979" w:rsidRDefault="00510979" w:rsidP="00510979">
      <w:pPr>
        <w:tabs>
          <w:tab w:val="left" w:pos="3119"/>
        </w:tabs>
        <w:rPr>
          <w:rFonts w:eastAsia="Arial"/>
          <w:color w:val="000000"/>
        </w:rPr>
      </w:pPr>
      <w:r w:rsidRPr="00A32AFC">
        <w:t>TNCWC</w:t>
      </w:r>
      <w:r>
        <w:rPr>
          <w:rFonts w:eastAsia="Arial"/>
          <w:color w:val="000000"/>
        </w:rPr>
        <w:tab/>
      </w:r>
      <w:r w:rsidRPr="00A32AFC">
        <w:t xml:space="preserve">Tonga National Centre for Women and Children </w:t>
      </w:r>
    </w:p>
    <w:p w14:paraId="4CBB7CC8" w14:textId="77777777" w:rsidR="00510979" w:rsidRPr="00A32AFC" w:rsidRDefault="00510979" w:rsidP="00510979">
      <w:pPr>
        <w:tabs>
          <w:tab w:val="left" w:pos="3119"/>
        </w:tabs>
      </w:pPr>
      <w:r>
        <w:t>TORs</w:t>
      </w:r>
      <w:r w:rsidRPr="00A32AFC">
        <w:tab/>
      </w:r>
      <w:r>
        <w:t>Terms of Reference</w:t>
      </w:r>
    </w:p>
    <w:p w14:paraId="4FAEE1B7" w14:textId="77777777" w:rsidR="00510979" w:rsidRPr="00A32AFC" w:rsidRDefault="00510979" w:rsidP="00510979">
      <w:pPr>
        <w:tabs>
          <w:tab w:val="left" w:pos="3119"/>
        </w:tabs>
        <w:rPr>
          <w:lang w:val="en-US"/>
        </w:rPr>
      </w:pPr>
      <w:r>
        <w:t>TTI</w:t>
      </w:r>
      <w:r w:rsidRPr="00A32AFC">
        <w:tab/>
      </w:r>
      <w:r>
        <w:rPr>
          <w:lang w:val="en-US"/>
        </w:rPr>
        <w:t>Tupou Tertiary Institute</w:t>
      </w:r>
    </w:p>
    <w:p w14:paraId="03161A40" w14:textId="77777777" w:rsidR="00510979" w:rsidRPr="00A32AFC" w:rsidRDefault="00510979" w:rsidP="00510979">
      <w:pPr>
        <w:tabs>
          <w:tab w:val="left" w:pos="3119"/>
        </w:tabs>
      </w:pPr>
      <w:r w:rsidRPr="00A32AFC">
        <w:t>TWICT</w:t>
      </w:r>
      <w:r w:rsidRPr="00A32AFC">
        <w:tab/>
      </w:r>
      <w:r w:rsidRPr="00A32AFC">
        <w:rPr>
          <w:lang w:val="en-US"/>
        </w:rPr>
        <w:t>Tonga Women in ICT</w:t>
      </w:r>
      <w:r w:rsidRPr="00A32AFC">
        <w:t xml:space="preserve"> </w:t>
      </w:r>
    </w:p>
    <w:p w14:paraId="01F9CAE4" w14:textId="77777777" w:rsidR="00510979" w:rsidRPr="00A32AFC" w:rsidRDefault="00510979" w:rsidP="00510979">
      <w:pPr>
        <w:tabs>
          <w:tab w:val="left" w:pos="3119"/>
        </w:tabs>
        <w:rPr>
          <w:lang w:val="en-US"/>
        </w:rPr>
      </w:pPr>
      <w:r>
        <w:t>UNICEF</w:t>
      </w:r>
      <w:r w:rsidRPr="00A32AFC">
        <w:tab/>
      </w:r>
      <w:r>
        <w:rPr>
          <w:lang w:val="en-US"/>
        </w:rPr>
        <w:t>United Nations Children’s Fund</w:t>
      </w:r>
    </w:p>
    <w:p w14:paraId="66E944CD" w14:textId="77777777" w:rsidR="00510979" w:rsidRDefault="00510979" w:rsidP="00510979">
      <w:pPr>
        <w:tabs>
          <w:tab w:val="left" w:pos="3119"/>
        </w:tabs>
        <w:rPr>
          <w:rFonts w:eastAsia="Arial"/>
          <w:color w:val="000000"/>
        </w:rPr>
      </w:pPr>
      <w:r>
        <w:t>WCCC</w:t>
      </w:r>
      <w:r>
        <w:tab/>
      </w:r>
      <w:r w:rsidRPr="00A32AFC">
        <w:t>Women and Children’s Crisis Centre</w:t>
      </w:r>
    </w:p>
    <w:p w14:paraId="1E015140" w14:textId="77777777" w:rsidR="00510979" w:rsidRPr="00A32AFC" w:rsidRDefault="00510979" w:rsidP="00510979">
      <w:pPr>
        <w:tabs>
          <w:tab w:val="left" w:pos="3119"/>
        </w:tabs>
      </w:pPr>
      <w:r>
        <w:t>WHO</w:t>
      </w:r>
      <w:r>
        <w:tab/>
        <w:t>World Health Organisation</w:t>
      </w:r>
    </w:p>
    <w:p w14:paraId="3396BBD9" w14:textId="77777777" w:rsidR="00510979" w:rsidRDefault="00510979" w:rsidP="00510979">
      <w:pPr>
        <w:tabs>
          <w:tab w:val="left" w:pos="3119"/>
        </w:tabs>
      </w:pPr>
      <w:r>
        <w:t>WoW</w:t>
      </w:r>
      <w:r>
        <w:tab/>
        <w:t>Ways of Working</w:t>
      </w:r>
    </w:p>
    <w:p w14:paraId="16420C9C" w14:textId="77777777" w:rsidR="003C33EE" w:rsidRDefault="003C33EE" w:rsidP="00A348C7"/>
    <w:p w14:paraId="6BC094AA" w14:textId="77777777" w:rsidR="003C33EE" w:rsidRPr="003C33EE" w:rsidRDefault="003C33EE" w:rsidP="00A348C7">
      <w:pPr>
        <w:sectPr w:rsidR="003C33EE" w:rsidRPr="003C33EE">
          <w:headerReference w:type="even" r:id="rId13"/>
          <w:headerReference w:type="default" r:id="rId14"/>
          <w:footerReference w:type="default" r:id="rId15"/>
          <w:headerReference w:type="first" r:id="rId16"/>
          <w:footerReference w:type="first" r:id="rId17"/>
          <w:pgSz w:w="11906" w:h="16838"/>
          <w:pgMar w:top="1814" w:right="1134" w:bottom="1134" w:left="1134" w:header="851" w:footer="454" w:gutter="0"/>
          <w:cols w:space="720"/>
          <w:titlePg/>
        </w:sectPr>
      </w:pPr>
    </w:p>
    <w:p w14:paraId="6BC094AB" w14:textId="77777777" w:rsidR="00194B11" w:rsidRDefault="000F1258" w:rsidP="004C00FE">
      <w:pPr>
        <w:pStyle w:val="ChapterHeading"/>
      </w:pPr>
      <w:bookmarkStart w:id="0" w:name="_Toc183423562"/>
      <w:r>
        <w:lastRenderedPageBreak/>
        <w:t>Executive Summary</w:t>
      </w:r>
      <w:bookmarkEnd w:id="0"/>
    </w:p>
    <w:p w14:paraId="6BC094AC" w14:textId="3C5E7754" w:rsidR="00194B11" w:rsidRDefault="000F1258" w:rsidP="00A348C7">
      <w:r>
        <w:t xml:space="preserve">The purpose of this independent evaluation is to advise </w:t>
      </w:r>
      <w:r w:rsidR="00CB1361">
        <w:t>the Department of Foreign Affairs and Trade (</w:t>
      </w:r>
      <w:r>
        <w:t>DFAT</w:t>
      </w:r>
      <w:r w:rsidR="00CB1361">
        <w:t>)</w:t>
      </w:r>
      <w:r>
        <w:t xml:space="preserve"> on the impact and effectiveness of the Tonga Australia Support Platform (TASP) to date and provide options and recommendations moving forward</w:t>
      </w:r>
      <w:r>
        <w:rPr>
          <w:vertAlign w:val="superscript"/>
        </w:rPr>
        <w:footnoteReference w:id="2"/>
      </w:r>
      <w:r>
        <w:t xml:space="preserve">. Specifically, the Independent Evaluation has three main objectives: </w:t>
      </w:r>
    </w:p>
    <w:p w14:paraId="6BC094AD" w14:textId="2574D861" w:rsidR="00194B11" w:rsidRDefault="000F1258" w:rsidP="00D81798">
      <w:pPr>
        <w:pStyle w:val="ListNumber"/>
      </w:pPr>
      <w:r>
        <w:t xml:space="preserve">To assess the efficiency (value for money), performance and impact of TASP to </w:t>
      </w:r>
      <w:proofErr w:type="gramStart"/>
      <w:r>
        <w:t>date;</w:t>
      </w:r>
      <w:proofErr w:type="gramEnd"/>
      <w:r>
        <w:t xml:space="preserve"> </w:t>
      </w:r>
    </w:p>
    <w:p w14:paraId="6BC094AE" w14:textId="7157DCC4" w:rsidR="00194B11" w:rsidRDefault="000F1258" w:rsidP="00D81798">
      <w:pPr>
        <w:pStyle w:val="ListNumber"/>
      </w:pPr>
      <w:r>
        <w:t xml:space="preserve">To make recommendations to strengthen performance in the remaining period of the </w:t>
      </w:r>
      <w:proofErr w:type="gramStart"/>
      <w:r>
        <w:t>program;</w:t>
      </w:r>
      <w:proofErr w:type="gramEnd"/>
      <w:r>
        <w:t xml:space="preserve"> </w:t>
      </w:r>
    </w:p>
    <w:p w14:paraId="2BB75477" w14:textId="163F14E2" w:rsidR="00D14D27" w:rsidRDefault="000F1258" w:rsidP="00D81798">
      <w:pPr>
        <w:pStyle w:val="ListNumber"/>
      </w:pPr>
      <w:r>
        <w:t xml:space="preserve">To provide clear recommendations on how to take forward the next phase of enabling support for DFAT’s development program in Tonga (including scope and mechanisms). </w:t>
      </w:r>
    </w:p>
    <w:p w14:paraId="6BC094B0" w14:textId="71838490" w:rsidR="00194B11" w:rsidRDefault="000F1258" w:rsidP="00A348C7">
      <w:r>
        <w:t xml:space="preserve">The evaluation team has taken guidance from DFAT Post and </w:t>
      </w:r>
      <w:r w:rsidR="001B1471">
        <w:t>has placed most emphasis</w:t>
      </w:r>
      <w:r>
        <w:t xml:space="preserve"> on future looking recommendations rather than on shortcomings of implementation and outcomes to date.</w:t>
      </w:r>
    </w:p>
    <w:p w14:paraId="6BC094B1" w14:textId="2C23D73B" w:rsidR="00194B11" w:rsidRDefault="00080EBA" w:rsidP="00A348C7">
      <w:r>
        <w:t xml:space="preserve">The </w:t>
      </w:r>
      <w:r w:rsidR="0063787A">
        <w:t>e</w:t>
      </w:r>
      <w:r>
        <w:t xml:space="preserve">valuation team </w:t>
      </w:r>
      <w:r w:rsidR="000F1258">
        <w:t>has assessed TASP against two guiding questions and seven key evaluation questions.</w:t>
      </w:r>
    </w:p>
    <w:p w14:paraId="77D20C3D" w14:textId="77777777" w:rsidR="00CD0CE7" w:rsidRPr="00044BD8" w:rsidRDefault="00CD0CE7" w:rsidP="00CD0CE7">
      <w:pPr>
        <w:rPr>
          <w:b/>
          <w:bCs/>
        </w:rPr>
      </w:pPr>
      <w:r w:rsidRPr="00044BD8">
        <w:rPr>
          <w:b/>
          <w:bCs/>
        </w:rPr>
        <w:t>The Guiding Questions are:</w:t>
      </w:r>
    </w:p>
    <w:p w14:paraId="502C84EF" w14:textId="77777777" w:rsidR="00CD0CE7" w:rsidRPr="00044BD8" w:rsidRDefault="00CD0CE7" w:rsidP="00803578">
      <w:pPr>
        <w:pStyle w:val="ListNumber"/>
        <w:numPr>
          <w:ilvl w:val="0"/>
          <w:numId w:val="25"/>
        </w:numPr>
        <w:rPr>
          <w:b/>
        </w:rPr>
      </w:pPr>
      <w:r w:rsidRPr="00A348C7">
        <w:t xml:space="preserve">Is TASP contextually appropriate as a model for efficient and effective delivery of bilateral development assistance in Tonga? </w:t>
      </w:r>
    </w:p>
    <w:p w14:paraId="6A1C84C5" w14:textId="77777777" w:rsidR="00CD0CE7" w:rsidRPr="00CD0CE7" w:rsidRDefault="00CD0CE7" w:rsidP="00803578">
      <w:pPr>
        <w:pStyle w:val="ListNumber"/>
        <w:numPr>
          <w:ilvl w:val="0"/>
          <w:numId w:val="25"/>
        </w:numPr>
        <w:rPr>
          <w:b/>
        </w:rPr>
      </w:pPr>
      <w:r w:rsidRPr="00A348C7">
        <w:t>Does TASP remain the best model to support delivery of Australia’s ODA to Tonga and what lessons can be applied from the existing model to inform future directions?</w:t>
      </w:r>
    </w:p>
    <w:p w14:paraId="3D3BAC60" w14:textId="77777777" w:rsidR="003A05CE" w:rsidRDefault="00CD0CE7" w:rsidP="00363C81">
      <w:pPr>
        <w:rPr>
          <w:b/>
          <w:bCs/>
        </w:rPr>
      </w:pPr>
      <w:r w:rsidRPr="00CD0CE7">
        <w:rPr>
          <w:b/>
          <w:bCs/>
        </w:rPr>
        <w:t>Seven Key Evaluation questions:</w:t>
      </w:r>
    </w:p>
    <w:p w14:paraId="6A1BAA6B" w14:textId="3F73A261" w:rsidR="00CD0CE7" w:rsidRPr="00A348C7" w:rsidRDefault="00CD0CE7" w:rsidP="00363C81">
      <w:pPr>
        <w:rPr>
          <w:b/>
          <w:bCs/>
        </w:rPr>
      </w:pPr>
      <w:r w:rsidRPr="00A348C7">
        <w:t>KEQ1: (relevance) How well has TASP adapted to changing strategic context?</w:t>
      </w:r>
    </w:p>
    <w:p w14:paraId="5A1685DF" w14:textId="7005393B" w:rsidR="00CD0CE7" w:rsidRPr="00A348C7" w:rsidRDefault="00CD0CE7" w:rsidP="00363C81">
      <w:pPr>
        <w:rPr>
          <w:b/>
          <w:bCs/>
        </w:rPr>
      </w:pPr>
      <w:r w:rsidRPr="00A348C7">
        <w:t>KEQ2: (effectiveness)</w:t>
      </w:r>
      <w:r w:rsidRPr="00A348C7">
        <w:rPr>
          <w:b/>
          <w:bCs/>
        </w:rPr>
        <w:tab/>
      </w:r>
      <w:r w:rsidRPr="00A348C7">
        <w:t>To what extent has TASP progressed towards achieving its End of Program Outcomes</w:t>
      </w:r>
      <w:r w:rsidRPr="00363C81">
        <w:t xml:space="preserve">? </w:t>
      </w:r>
      <w:r w:rsidRPr="00A348C7">
        <w:t>What has enhanced or constrained effectiveness? To what extent has TASP supported stronger policy relationships with partner government and NGOs?</w:t>
      </w:r>
    </w:p>
    <w:p w14:paraId="1CD2AA79" w14:textId="4E23FF26" w:rsidR="00CD0CE7" w:rsidRPr="00A348C7" w:rsidRDefault="00CD0CE7" w:rsidP="00363C81">
      <w:pPr>
        <w:rPr>
          <w:b/>
          <w:bCs/>
        </w:rPr>
      </w:pPr>
      <w:r w:rsidRPr="00A348C7">
        <w:t>KEQ3: (efficiency)</w:t>
      </w:r>
      <w:r w:rsidR="00363C81">
        <w:t xml:space="preserve"> </w:t>
      </w:r>
      <w:r w:rsidRPr="00A348C7">
        <w:t xml:space="preserve">How adequate are TASP’s governance, management, delivery approach and resourcing arrangements? Has the facility’s management of multi-sector activities and technical advisory services provided value for money? What evidence is there of cross-sectoral collaboration and coherence? </w:t>
      </w:r>
    </w:p>
    <w:p w14:paraId="58E29A21" w14:textId="798FBFD3" w:rsidR="00CD0CE7" w:rsidRPr="00A348C7" w:rsidRDefault="00CD0CE7" w:rsidP="00363C81">
      <w:pPr>
        <w:rPr>
          <w:b/>
          <w:bCs/>
        </w:rPr>
      </w:pPr>
      <w:r w:rsidRPr="00A348C7">
        <w:t>KEQ4:(MEL)</w:t>
      </w:r>
      <w:r w:rsidR="00363C81">
        <w:t xml:space="preserve"> </w:t>
      </w:r>
      <w:r w:rsidRPr="00A348C7">
        <w:t>How adequate has TASP’s monitoring and evaluation and learning processes been?</w:t>
      </w:r>
    </w:p>
    <w:p w14:paraId="083FCA58" w14:textId="1CA522E9" w:rsidR="00CD0CE7" w:rsidRPr="00A348C7" w:rsidRDefault="00CD0CE7" w:rsidP="00363C81">
      <w:pPr>
        <w:rPr>
          <w:b/>
          <w:bCs/>
        </w:rPr>
      </w:pPr>
      <w:r w:rsidRPr="00A348C7">
        <w:t>KEQ5:(GEDSI and Climate Change)</w:t>
      </w:r>
      <w:r w:rsidR="00716BA6">
        <w:t xml:space="preserve"> </w:t>
      </w:r>
      <w:r w:rsidRPr="00A348C7">
        <w:t>To what extent has TASP implementation integrated gender equality, disability, and social inclusion and what progress has been made towards GEDSI related outcomes? What progress has been made on climate change action as envisaged in the TASP design?</w:t>
      </w:r>
    </w:p>
    <w:p w14:paraId="14213012" w14:textId="40454654" w:rsidR="00CD0CE7" w:rsidRPr="00A348C7" w:rsidRDefault="00CD0CE7" w:rsidP="00363C81">
      <w:pPr>
        <w:rPr>
          <w:b/>
          <w:bCs/>
        </w:rPr>
      </w:pPr>
      <w:r w:rsidRPr="00A348C7">
        <w:t>KEQ6: (Agility and adaptation)</w:t>
      </w:r>
      <w:r w:rsidR="00363C81">
        <w:t xml:space="preserve"> </w:t>
      </w:r>
      <w:r w:rsidRPr="00A348C7">
        <w:t xml:space="preserve">To what extent has the facility’s flexibility and responsiveness allowed DFAT to focus on emerging needs and opportunities? How and how well did TASP pivot to respond to the </w:t>
      </w:r>
      <w:r w:rsidR="00B10ADD">
        <w:t xml:space="preserve">Hunga Tonga-Hunga </w:t>
      </w:r>
      <w:proofErr w:type="spellStart"/>
      <w:r w:rsidR="00B10ADD">
        <w:t>Ha’apai</w:t>
      </w:r>
      <w:proofErr w:type="spellEnd"/>
      <w:r w:rsidR="00B10ADD" w:rsidRPr="00A348C7">
        <w:t xml:space="preserve"> </w:t>
      </w:r>
      <w:r w:rsidR="00B10ADD">
        <w:t>(</w:t>
      </w:r>
      <w:r w:rsidRPr="00A348C7">
        <w:t>HTHH</w:t>
      </w:r>
      <w:r w:rsidR="00B10ADD">
        <w:t>)</w:t>
      </w:r>
      <w:r w:rsidRPr="00A348C7">
        <w:t xml:space="preserve"> disaster? </w:t>
      </w:r>
    </w:p>
    <w:p w14:paraId="583DE29A" w14:textId="2F2A3A56" w:rsidR="00CD0CE7" w:rsidRPr="00D045F3" w:rsidRDefault="00CD0CE7" w:rsidP="00363C81">
      <w:r w:rsidRPr="00D045F3">
        <w:t>KEQ7: Lessons Learned:</w:t>
      </w:r>
      <w:r w:rsidR="00363C81">
        <w:t xml:space="preserve"> </w:t>
      </w:r>
      <w:r w:rsidRPr="00D045F3">
        <w:t>What are the recommendations for policy, practice, and implementation for future facility support to DFAT in Tonga?</w:t>
      </w:r>
    </w:p>
    <w:p w14:paraId="6BC094B2" w14:textId="486FA118" w:rsidR="00194B11" w:rsidRDefault="000F1258" w:rsidP="00A348C7">
      <w:r>
        <w:lastRenderedPageBreak/>
        <w:t xml:space="preserve">The evaluation team has conducted desk reviews of available documentation, and interviews with </w:t>
      </w:r>
      <w:r w:rsidR="00CB1361">
        <w:t>39</w:t>
      </w:r>
      <w:r>
        <w:t xml:space="preserve"> individuals in Tonga and Australia to inform findings and recommendations. Consultations included DFAT, TASP staff and the </w:t>
      </w:r>
      <w:r w:rsidR="00CB1361">
        <w:t>Monitoring, Evaluation and Learning (</w:t>
      </w:r>
      <w:r>
        <w:t>MEL</w:t>
      </w:r>
      <w:r w:rsidR="00CB1361">
        <w:t>)</w:t>
      </w:r>
      <w:r>
        <w:t xml:space="preserve"> partner, Clear Horizon, Ministr</w:t>
      </w:r>
      <w:r w:rsidR="00CB1361">
        <w:t>y of Finance, Ministry of Health and the Public Service Commission</w:t>
      </w:r>
      <w:r>
        <w:t xml:space="preserve">, </w:t>
      </w:r>
      <w:r w:rsidR="00B1503D">
        <w:t>and seven</w:t>
      </w:r>
      <w:r w:rsidR="00CB1361">
        <w:t xml:space="preserve"> </w:t>
      </w:r>
      <w:r w:rsidR="00D543FE">
        <w:t>Civil Society</w:t>
      </w:r>
      <w:r w:rsidR="00CB1361">
        <w:t xml:space="preserve"> Organisation (</w:t>
      </w:r>
      <w:r>
        <w:t>CSO</w:t>
      </w:r>
      <w:r w:rsidR="00CB1361">
        <w:t>)</w:t>
      </w:r>
      <w:r>
        <w:t xml:space="preserve"> grantees.</w:t>
      </w:r>
    </w:p>
    <w:p w14:paraId="6BC094CD" w14:textId="77777777" w:rsidR="00194B11" w:rsidRPr="00442DBC" w:rsidRDefault="000F1258" w:rsidP="00442DBC">
      <w:pPr>
        <w:pStyle w:val="Heading1"/>
      </w:pPr>
      <w:bookmarkStart w:id="1" w:name="_Toc183423563"/>
      <w:r w:rsidRPr="00442DBC">
        <w:t>Summary findings</w:t>
      </w:r>
      <w:bookmarkEnd w:id="1"/>
    </w:p>
    <w:p w14:paraId="5EBDB597" w14:textId="4AABE0C1" w:rsidR="005F0F7B" w:rsidRPr="00545044" w:rsidRDefault="005F0F7B" w:rsidP="00803578">
      <w:pPr>
        <w:pStyle w:val="ListNumber"/>
        <w:numPr>
          <w:ilvl w:val="0"/>
          <w:numId w:val="27"/>
        </w:numPr>
        <w:rPr>
          <w:rStyle w:val="ListNumberChar"/>
        </w:rPr>
      </w:pPr>
      <w:r w:rsidRPr="00545044">
        <w:rPr>
          <w:rStyle w:val="ListNumberChar"/>
        </w:rPr>
        <w:t xml:space="preserve">The multi-sector TASP facility provides efficient use of </w:t>
      </w:r>
      <w:r w:rsidR="004B67F1" w:rsidRPr="00545044">
        <w:rPr>
          <w:rStyle w:val="ListNumberChar"/>
        </w:rPr>
        <w:t>Government of Australia (</w:t>
      </w:r>
      <w:proofErr w:type="spellStart"/>
      <w:r w:rsidR="004B67F1" w:rsidRPr="00545044">
        <w:rPr>
          <w:rStyle w:val="ListNumberChar"/>
        </w:rPr>
        <w:t>GoA</w:t>
      </w:r>
      <w:proofErr w:type="spellEnd"/>
      <w:r w:rsidR="004B67F1" w:rsidRPr="00545044">
        <w:rPr>
          <w:rStyle w:val="ListNumberChar"/>
        </w:rPr>
        <w:t xml:space="preserve">) </w:t>
      </w:r>
      <w:r w:rsidRPr="00545044">
        <w:rPr>
          <w:rStyle w:val="ListNumberChar"/>
        </w:rPr>
        <w:t xml:space="preserve">management resources (MEL reporting, procurement, and potential </w:t>
      </w:r>
      <w:r w:rsidRPr="008413F5">
        <w:rPr>
          <w:highlight w:val="white"/>
        </w:rPr>
        <w:t xml:space="preserve">Gender Equality, Disability and Social </w:t>
      </w:r>
      <w:r w:rsidR="00997567" w:rsidRPr="008413F5">
        <w:rPr>
          <w:highlight w:val="white"/>
        </w:rPr>
        <w:t>Inclusion</w:t>
      </w:r>
      <w:r w:rsidR="00997567" w:rsidRPr="008413F5">
        <w:rPr>
          <w:rStyle w:val="ListNumberChar"/>
          <w:highlight w:val="yellow"/>
        </w:rPr>
        <w:t xml:space="preserve"> </w:t>
      </w:r>
      <w:r w:rsidR="00997567" w:rsidRPr="00997567">
        <w:rPr>
          <w:rStyle w:val="ListNumberChar"/>
        </w:rPr>
        <w:t>(</w:t>
      </w:r>
      <w:r w:rsidRPr="00545044">
        <w:rPr>
          <w:rStyle w:val="ListNumberChar"/>
        </w:rPr>
        <w:t xml:space="preserve">GEDSI) integration), and </w:t>
      </w:r>
      <w:r w:rsidR="00DE37E2">
        <w:rPr>
          <w:rStyle w:val="ListNumberChar"/>
        </w:rPr>
        <w:t>is a key</w:t>
      </w:r>
      <w:r w:rsidR="00DE37E2" w:rsidRPr="00545044">
        <w:rPr>
          <w:rStyle w:val="ListNumberChar"/>
        </w:rPr>
        <w:t xml:space="preserve"> </w:t>
      </w:r>
      <w:r w:rsidRPr="00545044">
        <w:rPr>
          <w:rStyle w:val="ListNumberChar"/>
        </w:rPr>
        <w:t xml:space="preserve">point of reference for DFAT for key policy and programmatic decisions in the Health and Governance areas. TASP has been able to continue to deliver high quality advisory and service delivery support against the Health and Governance programs to </w:t>
      </w:r>
      <w:proofErr w:type="spellStart"/>
      <w:r w:rsidRPr="00545044">
        <w:rPr>
          <w:rStyle w:val="ListNumberChar"/>
        </w:rPr>
        <w:t>GoT</w:t>
      </w:r>
      <w:proofErr w:type="spellEnd"/>
      <w:r w:rsidRPr="00545044">
        <w:rPr>
          <w:rStyle w:val="ListNumberChar"/>
        </w:rPr>
        <w:t xml:space="preserve"> and </w:t>
      </w:r>
      <w:proofErr w:type="spellStart"/>
      <w:r w:rsidRPr="00545044">
        <w:rPr>
          <w:rStyle w:val="ListNumberChar"/>
        </w:rPr>
        <w:t>GoA</w:t>
      </w:r>
      <w:proofErr w:type="spellEnd"/>
      <w:r w:rsidRPr="00545044">
        <w:rPr>
          <w:rStyle w:val="ListNumberChar"/>
        </w:rPr>
        <w:t xml:space="preserve"> satisfaction.</w:t>
      </w:r>
    </w:p>
    <w:p w14:paraId="2EEC576B" w14:textId="77777777" w:rsidR="005F0F7B" w:rsidRDefault="005F0F7B" w:rsidP="005F0F7B">
      <w:pPr>
        <w:pStyle w:val="ListNumber"/>
      </w:pPr>
      <w:r w:rsidRPr="000579FA">
        <w:t>TASP has delivered the strategic opportunities mechanism</w:t>
      </w:r>
      <w:r>
        <w:t xml:space="preserve"> (SOM)</w:t>
      </w:r>
      <w:r w:rsidRPr="000579FA">
        <w:t xml:space="preserve">/tasking notes efficiently with processes and procedures meeting expected timeframes and good budget management.  This has significantly reduced workload on DFAT staff in the </w:t>
      </w:r>
      <w:r w:rsidRPr="006A0809">
        <w:rPr>
          <w:lang w:val="en-US"/>
        </w:rPr>
        <w:t xml:space="preserve">Australian </w:t>
      </w:r>
      <w:r w:rsidRPr="000579FA">
        <w:t xml:space="preserve">High Commission </w:t>
      </w:r>
      <w:r w:rsidRPr="006A0809">
        <w:rPr>
          <w:lang w:val="en-US"/>
        </w:rPr>
        <w:t xml:space="preserve">(AHC) </w:t>
      </w:r>
      <w:r w:rsidRPr="000579FA">
        <w:t>and provides an option for flexibility in the case of emergency/surge response.</w:t>
      </w:r>
      <w:r w:rsidRPr="00305E6B">
        <w:t xml:space="preserve"> </w:t>
      </w:r>
    </w:p>
    <w:p w14:paraId="3BE27D7C" w14:textId="65517669" w:rsidR="005F0F7B" w:rsidRPr="00305E6B" w:rsidRDefault="005F0F7B" w:rsidP="005F0F7B">
      <w:pPr>
        <w:pStyle w:val="ListNumber"/>
        <w:rPr>
          <w:rStyle w:val="ListNumberChar"/>
        </w:rPr>
      </w:pPr>
      <w:r w:rsidRPr="007A27A1">
        <w:rPr>
          <w:lang w:val="en-US"/>
        </w:rPr>
        <w:t>Support and some cross cutting functions are operating well</w:t>
      </w:r>
      <w:r w:rsidR="00797E54">
        <w:rPr>
          <w:lang w:val="en-US"/>
        </w:rPr>
        <w:t>,</w:t>
      </w:r>
      <w:r w:rsidRPr="006A0809">
        <w:rPr>
          <w:b/>
          <w:bCs/>
          <w:lang w:val="en-US"/>
        </w:rPr>
        <w:t xml:space="preserve"> </w:t>
      </w:r>
      <w:r w:rsidRPr="006A0809">
        <w:rPr>
          <w:lang w:val="en-US"/>
        </w:rPr>
        <w:t xml:space="preserve">such as: gender mainstreaming and </w:t>
      </w:r>
      <w:r>
        <w:rPr>
          <w:lang w:val="en-US"/>
        </w:rPr>
        <w:t xml:space="preserve">some </w:t>
      </w:r>
      <w:r w:rsidRPr="006A0809">
        <w:rPr>
          <w:lang w:val="en-US"/>
        </w:rPr>
        <w:t xml:space="preserve">targeted </w:t>
      </w:r>
      <w:r w:rsidRPr="0095095C">
        <w:t>support</w:t>
      </w:r>
      <w:r w:rsidRPr="006A0809">
        <w:rPr>
          <w:lang w:val="en-US"/>
        </w:rPr>
        <w:t>; procurement</w:t>
      </w:r>
      <w:r>
        <w:rPr>
          <w:lang w:val="en-US"/>
        </w:rPr>
        <w:t xml:space="preserve"> of </w:t>
      </w:r>
      <w:proofErr w:type="spellStart"/>
      <w:r>
        <w:rPr>
          <w:lang w:val="en-US"/>
        </w:rPr>
        <w:t>GoA</w:t>
      </w:r>
      <w:proofErr w:type="spellEnd"/>
      <w:r>
        <w:rPr>
          <w:lang w:val="en-US"/>
        </w:rPr>
        <w:t xml:space="preserve"> investments</w:t>
      </w:r>
      <w:r w:rsidRPr="006A0809">
        <w:rPr>
          <w:lang w:val="en-US"/>
        </w:rPr>
        <w:t xml:space="preserve">; MEL (is sufficient and MEL team now supporting all areas of the facility); </w:t>
      </w:r>
      <w:r>
        <w:rPr>
          <w:lang w:val="en-US"/>
        </w:rPr>
        <w:t xml:space="preserve">better </w:t>
      </w:r>
      <w:r w:rsidRPr="006A0809">
        <w:rPr>
          <w:lang w:val="en-US"/>
        </w:rPr>
        <w:t xml:space="preserve">reporting to and shared policy discussions with the </w:t>
      </w:r>
      <w:r>
        <w:rPr>
          <w:lang w:val="en-US"/>
        </w:rPr>
        <w:t>AHC</w:t>
      </w:r>
      <w:r w:rsidRPr="006A0809">
        <w:rPr>
          <w:lang w:val="en-US"/>
        </w:rPr>
        <w:t xml:space="preserve"> </w:t>
      </w:r>
      <w:r>
        <w:rPr>
          <w:lang w:val="en-US"/>
        </w:rPr>
        <w:t>(</w:t>
      </w:r>
      <w:r w:rsidRPr="006A0809">
        <w:rPr>
          <w:lang w:val="en-US"/>
        </w:rPr>
        <w:t>following two Ways of Working</w:t>
      </w:r>
      <w:r>
        <w:rPr>
          <w:lang w:val="en-US"/>
        </w:rPr>
        <w:t xml:space="preserve"> (WoW)</w:t>
      </w:r>
      <w:r w:rsidRPr="006A0809">
        <w:rPr>
          <w:lang w:val="en-US"/>
        </w:rPr>
        <w:t xml:space="preserve"> workshops</w:t>
      </w:r>
      <w:r>
        <w:rPr>
          <w:lang w:val="en-US"/>
        </w:rPr>
        <w:t xml:space="preserve"> and regular policy meetings)</w:t>
      </w:r>
      <w:r w:rsidRPr="006A0809">
        <w:rPr>
          <w:lang w:val="en-US"/>
        </w:rPr>
        <w:t xml:space="preserve">; </w:t>
      </w:r>
      <w:r>
        <w:rPr>
          <w:lang w:val="en-US"/>
        </w:rPr>
        <w:t xml:space="preserve">and provision of </w:t>
      </w:r>
      <w:r w:rsidRPr="006A0809">
        <w:rPr>
          <w:lang w:val="en-US"/>
        </w:rPr>
        <w:t xml:space="preserve">operational costs </w:t>
      </w:r>
      <w:r>
        <w:rPr>
          <w:lang w:val="en-US"/>
        </w:rPr>
        <w:t>for</w:t>
      </w:r>
      <w:r w:rsidRPr="006A0809">
        <w:rPr>
          <w:lang w:val="en-US"/>
        </w:rPr>
        <w:t xml:space="preserve"> CSOs </w:t>
      </w:r>
      <w:r>
        <w:rPr>
          <w:lang w:val="en-US"/>
        </w:rPr>
        <w:t>(</w:t>
      </w:r>
      <w:r w:rsidRPr="006A0809">
        <w:rPr>
          <w:lang w:val="en-US"/>
        </w:rPr>
        <w:t>freeing them up to deliver more with fewer restrictions and drawing on support unit capacity building</w:t>
      </w:r>
      <w:r>
        <w:rPr>
          <w:lang w:val="en-US"/>
        </w:rPr>
        <w:t>)</w:t>
      </w:r>
      <w:r w:rsidRPr="006A0809">
        <w:rPr>
          <w:lang w:val="en-US"/>
        </w:rPr>
        <w:t>.</w:t>
      </w:r>
    </w:p>
    <w:p w14:paraId="7AF4E12C" w14:textId="77777777" w:rsidR="005F0F7B" w:rsidRPr="00305E6B" w:rsidRDefault="005F0F7B" w:rsidP="005F0F7B">
      <w:pPr>
        <w:pStyle w:val="ListNumber"/>
        <w:rPr>
          <w:rStyle w:val="ListNumberChar"/>
        </w:rPr>
      </w:pPr>
      <w:r w:rsidRPr="00305E6B">
        <w:rPr>
          <w:rStyle w:val="ListNumberChar"/>
        </w:rPr>
        <w:t>Strategic and deep engagements with</w:t>
      </w:r>
      <w:r w:rsidRPr="00D060F8">
        <w:rPr>
          <w:rStyle w:val="ListNumberChar"/>
        </w:rPr>
        <w:t xml:space="preserve"> </w:t>
      </w:r>
      <w:r w:rsidRPr="00305E6B">
        <w:rPr>
          <w:rStyle w:val="ListNumberChar"/>
        </w:rPr>
        <w:t>CSOs</w:t>
      </w:r>
      <w:r>
        <w:rPr>
          <w:rStyle w:val="ListNumberChar"/>
        </w:rPr>
        <w:t>,</w:t>
      </w:r>
      <w:r w:rsidRPr="00305E6B">
        <w:rPr>
          <w:rStyle w:val="ListNumberChar"/>
        </w:rPr>
        <w:t xml:space="preserve"> and funding particularly supporting their operational costs</w:t>
      </w:r>
      <w:r>
        <w:rPr>
          <w:rStyle w:val="ListNumberChar"/>
        </w:rPr>
        <w:t xml:space="preserve">, </w:t>
      </w:r>
      <w:r w:rsidRPr="00305E6B">
        <w:rPr>
          <w:rStyle w:val="ListNumberChar"/>
        </w:rPr>
        <w:t>have built good will</w:t>
      </w:r>
      <w:r>
        <w:rPr>
          <w:rStyle w:val="ListNumberChar"/>
        </w:rPr>
        <w:t xml:space="preserve"> and</w:t>
      </w:r>
      <w:r w:rsidRPr="00305E6B">
        <w:rPr>
          <w:rStyle w:val="ListNumberChar"/>
        </w:rPr>
        <w:t xml:space="preserve"> capacity and provided a base for ongoing medium to long term strategic partnerships (particularly with </w:t>
      </w:r>
      <w:r>
        <w:rPr>
          <w:rStyle w:val="ListNumberChar"/>
        </w:rPr>
        <w:t>gender a</w:t>
      </w:r>
      <w:r w:rsidRPr="00305E6B">
        <w:rPr>
          <w:rStyle w:val="ListNumberChar"/>
        </w:rPr>
        <w:t xml:space="preserve">nd </w:t>
      </w:r>
      <w:r>
        <w:rPr>
          <w:rStyle w:val="ListNumberChar"/>
        </w:rPr>
        <w:t>t</w:t>
      </w:r>
      <w:r w:rsidRPr="00305E6B">
        <w:rPr>
          <w:rStyle w:val="ListNumberChar"/>
        </w:rPr>
        <w:t>raining focused CSOs).  The evaluation found</w:t>
      </w:r>
      <w:r w:rsidRPr="00305E6B">
        <w:t xml:space="preserve"> evidence that both GEDSI mainstreaming and some GEDSI-specific interventions have been advanced</w:t>
      </w:r>
      <w:r>
        <w:t>.</w:t>
      </w:r>
    </w:p>
    <w:p w14:paraId="1F6F611A" w14:textId="1233CE93" w:rsidR="005F0F7B" w:rsidRPr="00305E6B" w:rsidRDefault="005F0F7B" w:rsidP="005F0F7B">
      <w:pPr>
        <w:pStyle w:val="ListNumber"/>
        <w:rPr>
          <w:rStyle w:val="ListNumberChar"/>
        </w:rPr>
      </w:pPr>
      <w:r>
        <w:t xml:space="preserve">TASP has responded to emerging </w:t>
      </w:r>
      <w:proofErr w:type="spellStart"/>
      <w:r>
        <w:t>GoT</w:t>
      </w:r>
      <w:proofErr w:type="spellEnd"/>
      <w:r>
        <w:t xml:space="preserve"> issues and needs with advisers able to follow and support </w:t>
      </w:r>
      <w:proofErr w:type="spellStart"/>
      <w:r>
        <w:t>GoT</w:t>
      </w:r>
      <w:proofErr w:type="spellEnd"/>
      <w:r>
        <w:t xml:space="preserve"> priorities.  The Governance and Health pillars of TASP are very attuned to </w:t>
      </w:r>
      <w:proofErr w:type="spellStart"/>
      <w:r>
        <w:t>GoT</w:t>
      </w:r>
      <w:proofErr w:type="spellEnd"/>
      <w:r>
        <w:t xml:space="preserve"> needs with strong DFAT Post engagement and connection</w:t>
      </w:r>
      <w:r w:rsidR="003C0590">
        <w:t>s</w:t>
      </w:r>
      <w:r>
        <w:t xml:space="preserve"> into multi-donor processes.  </w:t>
      </w:r>
    </w:p>
    <w:p w14:paraId="0EECEFB3" w14:textId="77777777" w:rsidR="005F0F7B" w:rsidRDefault="005F0F7B" w:rsidP="005F0F7B">
      <w:pPr>
        <w:pStyle w:val="ListNumber"/>
      </w:pPr>
      <w:r>
        <w:t>Practical challenges of progressing the</w:t>
      </w:r>
      <w:r w:rsidRPr="000579FA">
        <w:t xml:space="preserve"> design</w:t>
      </w:r>
      <w:r>
        <w:t>-</w:t>
      </w:r>
      <w:r w:rsidRPr="000579FA">
        <w:t xml:space="preserve">implement model during the </w:t>
      </w:r>
      <w:r>
        <w:t xml:space="preserve">Hunga Tonga-Hunga </w:t>
      </w:r>
      <w:proofErr w:type="spellStart"/>
      <w:r>
        <w:t>Ha’apai</w:t>
      </w:r>
      <w:proofErr w:type="spellEnd"/>
      <w:r w:rsidRPr="00450E5C">
        <w:rPr>
          <w:highlight w:val="yellow"/>
        </w:rPr>
        <w:t xml:space="preserve"> </w:t>
      </w:r>
      <w:r w:rsidRPr="00545044">
        <w:t>(HHTH</w:t>
      </w:r>
      <w:r>
        <w:t>)</w:t>
      </w:r>
      <w:r w:rsidRPr="000579FA">
        <w:t xml:space="preserve"> Volcano and COVID (with most international staff leaving or being unable to travel) and </w:t>
      </w:r>
      <w:r>
        <w:t>the use of</w:t>
      </w:r>
      <w:r w:rsidRPr="000579FA">
        <w:t xml:space="preserve"> TASP primarily for </w:t>
      </w:r>
      <w:r>
        <w:t xml:space="preserve">urgent response-related </w:t>
      </w:r>
      <w:r w:rsidRPr="000579FA">
        <w:t xml:space="preserve">service order implementation in the early phases of the contract </w:t>
      </w:r>
      <w:r>
        <w:t>have resulted in</w:t>
      </w:r>
      <w:r w:rsidRPr="000579FA">
        <w:t xml:space="preserve"> the facility </w:t>
      </w:r>
      <w:r>
        <w:t>being</w:t>
      </w:r>
      <w:r w:rsidRPr="000579FA">
        <w:t xml:space="preserve"> about </w:t>
      </w:r>
      <w:r>
        <w:t>one</w:t>
      </w:r>
      <w:r w:rsidRPr="000579FA">
        <w:t xml:space="preserve"> year behind in implementation.</w:t>
      </w:r>
    </w:p>
    <w:p w14:paraId="32B463EB" w14:textId="22A64341" w:rsidR="005F0F7B" w:rsidRDefault="005F0F7B" w:rsidP="005F0F7B">
      <w:pPr>
        <w:pStyle w:val="ListNumber"/>
      </w:pPr>
      <w:r>
        <w:rPr>
          <w:lang w:val="en-US"/>
        </w:rPr>
        <w:t>T</w:t>
      </w:r>
      <w:r w:rsidRPr="006A0809">
        <w:rPr>
          <w:lang w:val="en-US"/>
        </w:rPr>
        <w:t>he AHC ha</w:t>
      </w:r>
      <w:r>
        <w:rPr>
          <w:lang w:val="en-US"/>
        </w:rPr>
        <w:t>s</w:t>
      </w:r>
      <w:r w:rsidRPr="006A0809">
        <w:rPr>
          <w:lang w:val="en-US"/>
        </w:rPr>
        <w:t xml:space="preserve"> a clear desire for high level and strategic targeted policy advice from the managing contractor (MC)</w:t>
      </w:r>
      <w:r>
        <w:rPr>
          <w:lang w:val="en-US"/>
        </w:rPr>
        <w:t xml:space="preserve">, drawing on TASP’s close relationships in </w:t>
      </w:r>
      <w:proofErr w:type="spellStart"/>
      <w:r>
        <w:rPr>
          <w:lang w:val="en-US"/>
        </w:rPr>
        <w:t>GoT</w:t>
      </w:r>
      <w:proofErr w:type="spellEnd"/>
      <w:r>
        <w:rPr>
          <w:lang w:val="en-US"/>
        </w:rPr>
        <w:t xml:space="preserve"> and civil society.</w:t>
      </w:r>
      <w:r w:rsidRPr="006A0809">
        <w:rPr>
          <w:lang w:val="en-US"/>
        </w:rPr>
        <w:t xml:space="preserve">  </w:t>
      </w:r>
      <w:r>
        <w:rPr>
          <w:lang w:val="en-US"/>
        </w:rPr>
        <w:t>T</w:t>
      </w:r>
      <w:r w:rsidRPr="006A0809">
        <w:rPr>
          <w:lang w:val="en-US"/>
        </w:rPr>
        <w:t xml:space="preserve">he MC </w:t>
      </w:r>
      <w:r>
        <w:rPr>
          <w:lang w:val="en-US"/>
        </w:rPr>
        <w:t>is</w:t>
      </w:r>
      <w:r w:rsidRPr="006A0809">
        <w:rPr>
          <w:lang w:val="en-US"/>
        </w:rPr>
        <w:t xml:space="preserve"> keen to meet the AHC needs</w:t>
      </w:r>
      <w:r>
        <w:rPr>
          <w:lang w:val="en-US"/>
        </w:rPr>
        <w:t xml:space="preserve"> </w:t>
      </w:r>
      <w:r w:rsidR="00193E41">
        <w:rPr>
          <w:lang w:val="en-US"/>
        </w:rPr>
        <w:t xml:space="preserve">but </w:t>
      </w:r>
      <w:r>
        <w:rPr>
          <w:lang w:val="en-US"/>
        </w:rPr>
        <w:t xml:space="preserve">needs to be more proactive in providing high level nuanced policy and strategic advice and insights </w:t>
      </w:r>
      <w:proofErr w:type="gramStart"/>
      <w:r>
        <w:rPr>
          <w:lang w:val="en-US"/>
        </w:rPr>
        <w:t>to</w:t>
      </w:r>
      <w:proofErr w:type="gramEnd"/>
      <w:r>
        <w:rPr>
          <w:lang w:val="en-US"/>
        </w:rPr>
        <w:t xml:space="preserve"> AHC on a regular and timely basis.</w:t>
      </w:r>
      <w:r w:rsidRPr="006A0809" w:rsidDel="0014487B">
        <w:rPr>
          <w:lang w:val="en-US"/>
        </w:rPr>
        <w:t xml:space="preserve"> </w:t>
      </w:r>
    </w:p>
    <w:p w14:paraId="4D6A098F" w14:textId="1E500DAB" w:rsidR="005F0F7B" w:rsidRDefault="005F0F7B" w:rsidP="005F0F7B">
      <w:pPr>
        <w:pStyle w:val="ListNumber"/>
        <w:rPr>
          <w:rStyle w:val="ListNumberChar"/>
        </w:rPr>
      </w:pPr>
      <w:r w:rsidRPr="00305E6B">
        <w:rPr>
          <w:rStyle w:val="ListNumberChar"/>
        </w:rPr>
        <w:t>TASP has not been able to deliver equally on both the two ongoing (novated) pillar programs (</w:t>
      </w:r>
      <w:r>
        <w:rPr>
          <w:rStyle w:val="ListNumberChar"/>
        </w:rPr>
        <w:t>H</w:t>
      </w:r>
      <w:r w:rsidRPr="00305E6B">
        <w:rPr>
          <w:rStyle w:val="ListNumberChar"/>
        </w:rPr>
        <w:t xml:space="preserve">ealth and </w:t>
      </w:r>
      <w:r>
        <w:rPr>
          <w:rStyle w:val="ListNumberChar"/>
        </w:rPr>
        <w:t>G</w:t>
      </w:r>
      <w:r w:rsidRPr="00305E6B">
        <w:rPr>
          <w:rStyle w:val="ListNumberChar"/>
        </w:rPr>
        <w:t>overnance) and the two new pillar</w:t>
      </w:r>
      <w:r>
        <w:rPr>
          <w:rStyle w:val="ListNumberChar"/>
        </w:rPr>
        <w:t>s</w:t>
      </w:r>
      <w:r w:rsidRPr="00305E6B">
        <w:rPr>
          <w:rStyle w:val="ListNumberChar"/>
        </w:rPr>
        <w:t xml:space="preserve"> (Gender </w:t>
      </w:r>
      <w:r>
        <w:rPr>
          <w:rStyle w:val="ListNumberChar"/>
        </w:rPr>
        <w:t>E</w:t>
      </w:r>
      <w:r w:rsidRPr="00305E6B">
        <w:rPr>
          <w:rStyle w:val="ListNumberChar"/>
        </w:rPr>
        <w:t xml:space="preserve">quality (GE) and </w:t>
      </w:r>
      <w:r>
        <w:rPr>
          <w:rStyle w:val="ListNumberChar"/>
        </w:rPr>
        <w:t>S</w:t>
      </w:r>
      <w:r w:rsidRPr="00305E6B">
        <w:rPr>
          <w:rStyle w:val="ListNumberChar"/>
        </w:rPr>
        <w:t xml:space="preserve">kills and </w:t>
      </w:r>
      <w:r>
        <w:rPr>
          <w:rStyle w:val="ListNumberChar"/>
        </w:rPr>
        <w:t>L</w:t>
      </w:r>
      <w:r w:rsidRPr="00305E6B">
        <w:rPr>
          <w:rStyle w:val="ListNumberChar"/>
        </w:rPr>
        <w:t xml:space="preserve">abour </w:t>
      </w:r>
      <w:r>
        <w:rPr>
          <w:rStyle w:val="ListNumberChar"/>
        </w:rPr>
        <w:t>M</w:t>
      </w:r>
      <w:r w:rsidRPr="00305E6B">
        <w:rPr>
          <w:rStyle w:val="ListNumberChar"/>
        </w:rPr>
        <w:t xml:space="preserve">obility (SLM)).  Progress is very skewed to the novated </w:t>
      </w:r>
      <w:proofErr w:type="gramStart"/>
      <w:r w:rsidRPr="00305E6B">
        <w:rPr>
          <w:rStyle w:val="ListNumberChar"/>
        </w:rPr>
        <w:t>programs</w:t>
      </w:r>
      <w:proofErr w:type="gramEnd"/>
      <w:r w:rsidRPr="00305E6B">
        <w:rPr>
          <w:rStyle w:val="ListNumberChar"/>
        </w:rPr>
        <w:t xml:space="preserve"> and we are yet to see expected added outcomes </w:t>
      </w:r>
      <w:r>
        <w:rPr>
          <w:rStyle w:val="ListNumberChar"/>
        </w:rPr>
        <w:t>from</w:t>
      </w:r>
      <w:r w:rsidRPr="00305E6B">
        <w:rPr>
          <w:rStyle w:val="ListNumberChar"/>
        </w:rPr>
        <w:t xml:space="preserve"> SLM </w:t>
      </w:r>
      <w:r w:rsidR="005B5592">
        <w:rPr>
          <w:rStyle w:val="ListNumberChar"/>
        </w:rPr>
        <w:t xml:space="preserve">(now </w:t>
      </w:r>
      <w:r w:rsidR="00FC3BA6">
        <w:rPr>
          <w:rStyle w:val="ListNumberChar"/>
        </w:rPr>
        <w:t xml:space="preserve">Skills pillar) </w:t>
      </w:r>
      <w:r w:rsidRPr="00305E6B">
        <w:rPr>
          <w:rStyle w:val="ListNumberChar"/>
        </w:rPr>
        <w:t>and GE.</w:t>
      </w:r>
    </w:p>
    <w:p w14:paraId="77FD8EF5" w14:textId="77777777" w:rsidR="005F0F7B" w:rsidRPr="00305E6B" w:rsidRDefault="005F0F7B" w:rsidP="005F0F7B">
      <w:pPr>
        <w:pStyle w:val="ListNumber"/>
        <w:rPr>
          <w:rStyle w:val="ListNumberChar"/>
        </w:rPr>
      </w:pPr>
      <w:r w:rsidRPr="00305E6B">
        <w:rPr>
          <w:rStyle w:val="ListNumberChar"/>
        </w:rPr>
        <w:t xml:space="preserve">The Evaluation has not </w:t>
      </w:r>
      <w:r>
        <w:rPr>
          <w:rStyle w:val="ListNumberChar"/>
        </w:rPr>
        <w:t>seen a</w:t>
      </w:r>
      <w:r w:rsidRPr="00305E6B">
        <w:rPr>
          <w:rStyle w:val="ListNumberChar"/>
        </w:rPr>
        <w:t xml:space="preserve"> substantial added value </w:t>
      </w:r>
      <w:r>
        <w:rPr>
          <w:rStyle w:val="ListNumberChar"/>
        </w:rPr>
        <w:t xml:space="preserve">yet </w:t>
      </w:r>
      <w:r w:rsidRPr="00305E6B">
        <w:rPr>
          <w:rStyle w:val="ListNumberChar"/>
        </w:rPr>
        <w:t xml:space="preserve">of the cross-cutting priority investment areas (disability, gender, climate change action). </w:t>
      </w:r>
    </w:p>
    <w:p w14:paraId="55624F4E" w14:textId="77777777" w:rsidR="005F0F7B" w:rsidRDefault="005F0F7B" w:rsidP="005F0F7B">
      <w:pPr>
        <w:pStyle w:val="ListNumber"/>
        <w:rPr>
          <w:rStyle w:val="ListNumberChar"/>
        </w:rPr>
      </w:pPr>
      <w:r w:rsidRPr="00305E6B">
        <w:rPr>
          <w:rStyle w:val="ListNumberChar"/>
        </w:rPr>
        <w:t>There is little evidence</w:t>
      </w:r>
      <w:r w:rsidRPr="00D60F3A">
        <w:rPr>
          <w:rStyle w:val="ListNumberChar"/>
        </w:rPr>
        <w:t xml:space="preserve"> </w:t>
      </w:r>
      <w:r>
        <w:rPr>
          <w:rStyle w:val="ListNumberChar"/>
        </w:rPr>
        <w:t>of</w:t>
      </w:r>
      <w:r w:rsidRPr="00D60F3A">
        <w:rPr>
          <w:rStyle w:val="ListNumberChar"/>
        </w:rPr>
        <w:t xml:space="preserve"> i</w:t>
      </w:r>
      <w:r>
        <w:rPr>
          <w:rStyle w:val="ListNumberChar"/>
        </w:rPr>
        <w:t>mproved results for DFAT in having TASP</w:t>
      </w:r>
      <w:r w:rsidRPr="00D60F3A">
        <w:rPr>
          <w:rStyle w:val="ListNumberChar"/>
        </w:rPr>
        <w:t xml:space="preserve"> conduct the design of each pillar via the one facility</w:t>
      </w:r>
      <w:r>
        <w:rPr>
          <w:rStyle w:val="ListNumberChar"/>
        </w:rPr>
        <w:t>. The value for DFAT was only in terms of time and effort to tender for these separately.</w:t>
      </w:r>
    </w:p>
    <w:p w14:paraId="37893861" w14:textId="62B3F04F" w:rsidR="005F0F7B" w:rsidRPr="006A0809" w:rsidRDefault="005F0F7B" w:rsidP="005F0F7B">
      <w:pPr>
        <w:pStyle w:val="ListNumber"/>
      </w:pPr>
      <w:r>
        <w:rPr>
          <w:lang w:val="en-US"/>
        </w:rPr>
        <w:lastRenderedPageBreak/>
        <w:t>While s</w:t>
      </w:r>
      <w:r w:rsidRPr="006C396C">
        <w:rPr>
          <w:lang w:val="en-US"/>
        </w:rPr>
        <w:t>ome processes are a disincentive to locally led development</w:t>
      </w:r>
      <w:r w:rsidRPr="006A0809">
        <w:rPr>
          <w:b/>
          <w:bCs/>
          <w:lang w:val="en-US"/>
        </w:rPr>
        <w:t xml:space="preserve"> </w:t>
      </w:r>
      <w:r>
        <w:rPr>
          <w:lang w:val="en-US"/>
        </w:rPr>
        <w:t>(for example</w:t>
      </w:r>
      <w:r w:rsidR="0019080C">
        <w:rPr>
          <w:lang w:val="en-US"/>
        </w:rPr>
        <w:t>,</w:t>
      </w:r>
      <w:r>
        <w:rPr>
          <w:lang w:val="en-US"/>
        </w:rPr>
        <w:t xml:space="preserve"> </w:t>
      </w:r>
      <w:r w:rsidRPr="006A0809">
        <w:rPr>
          <w:lang w:val="en-US"/>
        </w:rPr>
        <w:t>the high bar for approving grants for local CSOs delayed these contracts</w:t>
      </w:r>
      <w:r w:rsidR="0019080C">
        <w:rPr>
          <w:rStyle w:val="FootnoteReference"/>
          <w:lang w:val="en-US"/>
        </w:rPr>
        <w:footnoteReference w:id="3"/>
      </w:r>
      <w:r w:rsidR="008A48DD">
        <w:rPr>
          <w:lang w:val="en-US"/>
        </w:rPr>
        <w:t>)</w:t>
      </w:r>
      <w:r w:rsidRPr="006A0809">
        <w:rPr>
          <w:lang w:val="en-US"/>
        </w:rPr>
        <w:t xml:space="preserve"> </w:t>
      </w:r>
      <w:r>
        <w:rPr>
          <w:lang w:val="en-US"/>
        </w:rPr>
        <w:t xml:space="preserve">CSOs appreciate the </w:t>
      </w:r>
      <w:proofErr w:type="spellStart"/>
      <w:r>
        <w:rPr>
          <w:lang w:val="en-US"/>
        </w:rPr>
        <w:t>GoA</w:t>
      </w:r>
      <w:proofErr w:type="spellEnd"/>
      <w:r>
        <w:rPr>
          <w:lang w:val="en-US"/>
        </w:rPr>
        <w:t xml:space="preserve"> funding for operational costs as a game changer for many of them.</w:t>
      </w:r>
    </w:p>
    <w:p w14:paraId="6BC094D2" w14:textId="4B17732F" w:rsidR="00194B11" w:rsidRDefault="000F1258" w:rsidP="00A348C7">
      <w:pPr>
        <w:pStyle w:val="Heading1"/>
      </w:pPr>
      <w:bookmarkStart w:id="2" w:name="_Toc183423564"/>
      <w:r>
        <w:t>Recommendations</w:t>
      </w:r>
      <w:r w:rsidR="00771EC0">
        <w:t xml:space="preserve"> (in priority Order)</w:t>
      </w:r>
      <w:bookmarkEnd w:id="2"/>
    </w:p>
    <w:p w14:paraId="1D01E20B" w14:textId="4C0496FE" w:rsidR="00771EC0" w:rsidRDefault="00771EC0" w:rsidP="00803578">
      <w:pPr>
        <w:pStyle w:val="ListNumber"/>
        <w:numPr>
          <w:ilvl w:val="0"/>
          <w:numId w:val="26"/>
        </w:numPr>
      </w:pPr>
      <w:r w:rsidRPr="003A701D">
        <w:rPr>
          <w:b/>
          <w:bCs/>
        </w:rPr>
        <w:t>Extension</w:t>
      </w:r>
      <w:r>
        <w:t xml:space="preserve"> - Given the slow start to TASP implementation and two of the four designs, extending the life of the program by at least one year will provide an opportunity to understand fully whether there is good value in having the </w:t>
      </w:r>
      <w:r w:rsidR="00CD4A9E">
        <w:t xml:space="preserve">GE and Skills </w:t>
      </w:r>
      <w:r>
        <w:t>programs co-located with the Health and the Governance Pillars.</w:t>
      </w:r>
    </w:p>
    <w:p w14:paraId="6C497DF6" w14:textId="63B1B42A" w:rsidR="00771EC0" w:rsidRDefault="00771EC0" w:rsidP="00771EC0">
      <w:pPr>
        <w:pStyle w:val="ListNumber"/>
      </w:pPr>
      <w:r w:rsidRPr="598A3FBA">
        <w:rPr>
          <w:b/>
          <w:bCs/>
        </w:rPr>
        <w:t>Health</w:t>
      </w:r>
      <w:r>
        <w:t xml:space="preserve"> - Embedded advisory support provided to Tonga Health can potentially be redirected or refocused on more effective health promotion activities and/or different partners. DFAT Post should work closely with TASP management to identify a quick realignment of funding to a more impactful solution.</w:t>
      </w:r>
    </w:p>
    <w:p w14:paraId="5A722886" w14:textId="1210DF00" w:rsidR="00771EC0" w:rsidRDefault="00771EC0" w:rsidP="00771EC0">
      <w:pPr>
        <w:pStyle w:val="ListNumber"/>
      </w:pPr>
      <w:r w:rsidRPr="598A3FBA">
        <w:rPr>
          <w:b/>
          <w:bCs/>
        </w:rPr>
        <w:t>Governance continuity</w:t>
      </w:r>
      <w:r>
        <w:t xml:space="preserve"> - With a new Governance design in progress (though delayed) there are building concerns and risks relating to future Governance program scenarios. DFAT needs to finalise the design quickly and facilitate an orderly and well communicated transition plan, as uncertainty can lead to a slowing down of activities. DFAT senior management will also need to ensure the upcoming change in DFAT’s Senior Program Manager (SPM) for Governance does not have a destabilising effect, given the uncertain context. </w:t>
      </w:r>
    </w:p>
    <w:p w14:paraId="688974B8" w14:textId="12D00CF4" w:rsidR="00771EC0" w:rsidRDefault="00771EC0" w:rsidP="00771EC0">
      <w:pPr>
        <w:pStyle w:val="ListNumber"/>
      </w:pPr>
      <w:r w:rsidRPr="598A3FBA">
        <w:rPr>
          <w:b/>
          <w:bCs/>
        </w:rPr>
        <w:t>Strategic Opportunities</w:t>
      </w:r>
      <w:r>
        <w:t xml:space="preserve"> - To raise visibility and reiterate their importance to DFAT, TASP and DFAT should agree on a strategic objective, outcome and measures of success for the SOM (and for each tasking note within it), and report on these as a separate stream of work for TASP in regular six month and yearly reports. In </w:t>
      </w:r>
      <w:proofErr w:type="gramStart"/>
      <w:r>
        <w:t>addition</w:t>
      </w:r>
      <w:proofErr w:type="gramEnd"/>
      <w:r>
        <w:t xml:space="preserve"> future facilities with flexible funding should ensure that it is included in the </w:t>
      </w:r>
      <w:r w:rsidR="00D90AD5">
        <w:t xml:space="preserve">Program </w:t>
      </w:r>
      <w:r>
        <w:t xml:space="preserve">Logic </w:t>
      </w:r>
      <w:r w:rsidR="00974A39">
        <w:t>for</w:t>
      </w:r>
      <w:r>
        <w:t xml:space="preserve"> the investment.</w:t>
      </w:r>
    </w:p>
    <w:p w14:paraId="7C4FA117" w14:textId="77777777" w:rsidR="00771EC0" w:rsidRDefault="00771EC0" w:rsidP="00771EC0">
      <w:pPr>
        <w:pStyle w:val="ListNumber"/>
      </w:pPr>
      <w:r w:rsidRPr="009B1882">
        <w:rPr>
          <w:b/>
          <w:bCs/>
        </w:rPr>
        <w:t>Climate</w:t>
      </w:r>
      <w:r>
        <w:t xml:space="preserve"> - </w:t>
      </w:r>
      <w:r w:rsidRPr="006A0809">
        <w:t xml:space="preserve">DFAT should </w:t>
      </w:r>
      <w:r>
        <w:t>reconsider the most strategic and cost-effective targeting of climate and related resourcing.  With no expertise in TASP and only one year left of the program, meaningful results on climate action may not be possible to achieve.</w:t>
      </w:r>
    </w:p>
    <w:p w14:paraId="15E3DEED" w14:textId="77777777" w:rsidR="00771EC0" w:rsidRDefault="00771EC0" w:rsidP="00771EC0">
      <w:pPr>
        <w:pStyle w:val="ListNumber"/>
      </w:pPr>
      <w:r w:rsidRPr="009B1882">
        <w:rPr>
          <w:b/>
          <w:bCs/>
        </w:rPr>
        <w:t>Accountability</w:t>
      </w:r>
      <w:r>
        <w:t xml:space="preserve"> - T</w:t>
      </w:r>
      <w:r w:rsidRPr="00DC59B3">
        <w:t xml:space="preserve">here needs to be systematic and regular documented opportunities for key counterparts to </w:t>
      </w:r>
      <w:r>
        <w:t>gain</w:t>
      </w:r>
      <w:r w:rsidRPr="00DC59B3">
        <w:t xml:space="preserve"> an adequate understanding of TASP and its program of work</w:t>
      </w:r>
      <w:r>
        <w:t xml:space="preserve"> and participate in priority setting </w:t>
      </w:r>
      <w:r w:rsidRPr="00DC59B3">
        <w:t>if TASP is to</w:t>
      </w:r>
      <w:r>
        <w:t>:</w:t>
      </w:r>
      <w:r w:rsidRPr="00DC59B3">
        <w:t xml:space="preserve"> provide deep and wide accountability to the </w:t>
      </w:r>
      <w:proofErr w:type="spellStart"/>
      <w:r w:rsidRPr="00DC59B3">
        <w:t>GoT</w:t>
      </w:r>
      <w:proofErr w:type="spellEnd"/>
      <w:r>
        <w:t xml:space="preserve">; </w:t>
      </w:r>
      <w:r w:rsidRPr="00DC59B3">
        <w:t>gain their insights into the ongoing workplan of TASP</w:t>
      </w:r>
      <w:r>
        <w:t>;</w:t>
      </w:r>
      <w:r w:rsidRPr="00DC59B3">
        <w:t xml:space="preserve"> and </w:t>
      </w:r>
      <w:r>
        <w:t>achieve</w:t>
      </w:r>
      <w:r w:rsidRPr="00DC59B3">
        <w:t xml:space="preserve"> better buy-in and broader </w:t>
      </w:r>
      <w:proofErr w:type="spellStart"/>
      <w:r w:rsidRPr="00DC59B3">
        <w:t>GoT</w:t>
      </w:r>
      <w:proofErr w:type="spellEnd"/>
      <w:r w:rsidRPr="00DC59B3">
        <w:t xml:space="preserve"> ownership of outcomes.</w:t>
      </w:r>
    </w:p>
    <w:p w14:paraId="61EBEF68" w14:textId="79F9E4D0" w:rsidR="00771EC0" w:rsidRDefault="00771EC0" w:rsidP="00771EC0">
      <w:pPr>
        <w:pStyle w:val="ListNumber"/>
      </w:pPr>
      <w:r w:rsidRPr="598A3FBA">
        <w:rPr>
          <w:b/>
          <w:bCs/>
        </w:rPr>
        <w:t>Working with CSOs</w:t>
      </w:r>
      <w:r>
        <w:t xml:space="preserve"> - With the new GEDSI Action Plan and GEDSI adviser in place, work in this area is expected to increase and build on the strong CSO relationships.  TASP should continue to support partner CSOs with capacity building and system strengthening</w:t>
      </w:r>
      <w:r w:rsidR="00CB64EA">
        <w:t>.</w:t>
      </w:r>
      <w:r>
        <w:t xml:space="preserve"> DFAT should work closely with the TASP GEDSI Advisor and Disability Coordinator to maximise opportunities for </w:t>
      </w:r>
      <w:proofErr w:type="spellStart"/>
      <w:r>
        <w:t>GoA</w:t>
      </w:r>
      <w:proofErr w:type="spellEnd"/>
      <w:r>
        <w:t xml:space="preserve"> to be a strategic advocacy partner for greater equity and inclusion in Tonga.</w:t>
      </w:r>
    </w:p>
    <w:p w14:paraId="334C434C" w14:textId="6C4132ED" w:rsidR="00771EC0" w:rsidRPr="00EE21D7" w:rsidDel="004D2FBA" w:rsidRDefault="00771EC0" w:rsidP="00257999">
      <w:pPr>
        <w:pStyle w:val="ListNumber"/>
      </w:pPr>
      <w:r w:rsidRPr="598A3FBA">
        <w:rPr>
          <w:b/>
          <w:bCs/>
        </w:rPr>
        <w:t>Ways of Working</w:t>
      </w:r>
      <w:r>
        <w:t xml:space="preserve"> - TASP should develop a relationship map to attach to the WoW agreement that outlines the different pathways of communication on different issues and with different partners that include </w:t>
      </w:r>
      <w:proofErr w:type="spellStart"/>
      <w:r>
        <w:t>GoT</w:t>
      </w:r>
      <w:proofErr w:type="spellEnd"/>
      <w:r>
        <w:t xml:space="preserve">, </w:t>
      </w:r>
      <w:proofErr w:type="spellStart"/>
      <w:r>
        <w:t>GoA</w:t>
      </w:r>
      <w:proofErr w:type="spellEnd"/>
      <w:r>
        <w:t xml:space="preserve">, TASP </w:t>
      </w:r>
      <w:r w:rsidR="006307AC">
        <w:t xml:space="preserve">and </w:t>
      </w:r>
      <w:r>
        <w:t xml:space="preserve">CSOs on policy and programmatic work. </w:t>
      </w:r>
    </w:p>
    <w:p w14:paraId="63C7393F" w14:textId="77777777" w:rsidR="003E1F35" w:rsidRDefault="003E1F35" w:rsidP="598A3FBA">
      <w:pPr>
        <w:rPr>
          <w:b/>
          <w:bCs/>
        </w:rPr>
        <w:sectPr w:rsidR="003E1F35" w:rsidSect="00A6774F">
          <w:headerReference w:type="even" r:id="rId18"/>
          <w:headerReference w:type="default" r:id="rId19"/>
          <w:footerReference w:type="default" r:id="rId20"/>
          <w:headerReference w:type="first" r:id="rId21"/>
          <w:pgSz w:w="11906" w:h="16838"/>
          <w:pgMar w:top="1814" w:right="1134" w:bottom="1134" w:left="1134" w:header="851" w:footer="454" w:gutter="0"/>
          <w:pgNumType w:fmt="lowerRoman" w:start="1"/>
          <w:cols w:space="720"/>
        </w:sectPr>
      </w:pPr>
    </w:p>
    <w:p w14:paraId="689DFB04" w14:textId="0118B6BE" w:rsidR="00D07F5E" w:rsidRPr="00E24D9D" w:rsidRDefault="00D07F5E" w:rsidP="0085090F">
      <w:pPr>
        <w:pStyle w:val="Heading3"/>
      </w:pPr>
      <w:r w:rsidRPr="00E24D9D">
        <w:lastRenderedPageBreak/>
        <w:t xml:space="preserve">Options </w:t>
      </w:r>
      <w:r w:rsidR="00DA6824">
        <w:t xml:space="preserve">for future programming </w:t>
      </w:r>
      <w:r w:rsidRPr="00E24D9D">
        <w:t xml:space="preserve">at </w:t>
      </w:r>
      <w:r w:rsidR="00DA6824">
        <w:t xml:space="preserve">the </w:t>
      </w:r>
      <w:r w:rsidRPr="00E24D9D">
        <w:t>completion of current TASP phase</w:t>
      </w:r>
      <w:r w:rsidR="00DA6824">
        <w:t xml:space="preserve"> - 2025</w:t>
      </w:r>
    </w:p>
    <w:tbl>
      <w:tblPr>
        <w:tblStyle w:val="DefaultTable"/>
        <w:tblW w:w="9918" w:type="dxa"/>
        <w:tblLook w:val="0620" w:firstRow="1" w:lastRow="0" w:firstColumn="0" w:lastColumn="0" w:noHBand="1" w:noVBand="1"/>
      </w:tblPr>
      <w:tblGrid>
        <w:gridCol w:w="1327"/>
        <w:gridCol w:w="1645"/>
        <w:gridCol w:w="2977"/>
        <w:gridCol w:w="3969"/>
      </w:tblGrid>
      <w:tr w:rsidR="00D07F5E" w:rsidRPr="00FB6DE0" w14:paraId="1A19E782" w14:textId="77777777" w:rsidTr="00850AF1">
        <w:trPr>
          <w:cnfStyle w:val="100000000000" w:firstRow="1" w:lastRow="0" w:firstColumn="0" w:lastColumn="0" w:oddVBand="0" w:evenVBand="0" w:oddHBand="0" w:evenHBand="0" w:firstRowFirstColumn="0" w:firstRowLastColumn="0" w:lastRowFirstColumn="0" w:lastRowLastColumn="0"/>
          <w:tblHeader/>
        </w:trPr>
        <w:tc>
          <w:tcPr>
            <w:tcW w:w="1327" w:type="dxa"/>
          </w:tcPr>
          <w:p w14:paraId="0FB3AC30" w14:textId="77777777" w:rsidR="00D07F5E" w:rsidRPr="00FB6DE0" w:rsidRDefault="00D07F5E" w:rsidP="00D07F5E">
            <w:pPr>
              <w:pStyle w:val="TableHeading"/>
              <w:tabs>
                <w:tab w:val="num" w:pos="0"/>
              </w:tabs>
              <w:rPr>
                <w:sz w:val="18"/>
                <w:szCs w:val="18"/>
              </w:rPr>
            </w:pPr>
            <w:r w:rsidRPr="00FB6DE0">
              <w:rPr>
                <w:sz w:val="18"/>
                <w:szCs w:val="18"/>
              </w:rPr>
              <w:t>Options</w:t>
            </w:r>
          </w:p>
        </w:tc>
        <w:tc>
          <w:tcPr>
            <w:tcW w:w="1645" w:type="dxa"/>
          </w:tcPr>
          <w:p w14:paraId="7AE157D8" w14:textId="77777777" w:rsidR="00D07F5E" w:rsidRPr="00FB6DE0" w:rsidRDefault="00D07F5E" w:rsidP="00D07F5E">
            <w:pPr>
              <w:pStyle w:val="TableHeading"/>
              <w:tabs>
                <w:tab w:val="num" w:pos="0"/>
              </w:tabs>
              <w:rPr>
                <w:sz w:val="18"/>
                <w:szCs w:val="18"/>
              </w:rPr>
            </w:pPr>
            <w:r w:rsidRPr="00FB6DE0">
              <w:rPr>
                <w:sz w:val="18"/>
                <w:szCs w:val="18"/>
              </w:rPr>
              <w:t>Description</w:t>
            </w:r>
          </w:p>
        </w:tc>
        <w:tc>
          <w:tcPr>
            <w:tcW w:w="2977" w:type="dxa"/>
          </w:tcPr>
          <w:p w14:paraId="31F3F254" w14:textId="77777777" w:rsidR="00D07F5E" w:rsidRPr="00FB6DE0" w:rsidRDefault="00D07F5E" w:rsidP="00D07F5E">
            <w:pPr>
              <w:pStyle w:val="TableHeading"/>
              <w:tabs>
                <w:tab w:val="num" w:pos="0"/>
              </w:tabs>
              <w:rPr>
                <w:sz w:val="18"/>
                <w:szCs w:val="18"/>
              </w:rPr>
            </w:pPr>
            <w:r w:rsidRPr="00FB6DE0">
              <w:rPr>
                <w:sz w:val="18"/>
                <w:szCs w:val="18"/>
              </w:rPr>
              <w:t>Pros</w:t>
            </w:r>
          </w:p>
        </w:tc>
        <w:tc>
          <w:tcPr>
            <w:tcW w:w="3969" w:type="dxa"/>
          </w:tcPr>
          <w:p w14:paraId="76A459E7" w14:textId="77777777" w:rsidR="00D07F5E" w:rsidRPr="00FB6DE0" w:rsidRDefault="00D07F5E" w:rsidP="00D07F5E">
            <w:pPr>
              <w:pStyle w:val="TableHeading"/>
              <w:tabs>
                <w:tab w:val="num" w:pos="0"/>
              </w:tabs>
              <w:rPr>
                <w:sz w:val="18"/>
                <w:szCs w:val="18"/>
              </w:rPr>
            </w:pPr>
            <w:r w:rsidRPr="00FB6DE0">
              <w:rPr>
                <w:sz w:val="18"/>
                <w:szCs w:val="18"/>
              </w:rPr>
              <w:t>Cons</w:t>
            </w:r>
          </w:p>
        </w:tc>
      </w:tr>
      <w:tr w:rsidR="00D07F5E" w:rsidRPr="00FB6DE0" w14:paraId="214B6B43" w14:textId="77777777" w:rsidTr="003E1F35">
        <w:trPr>
          <w:trHeight w:val="1588"/>
        </w:trPr>
        <w:tc>
          <w:tcPr>
            <w:tcW w:w="1327" w:type="dxa"/>
          </w:tcPr>
          <w:p w14:paraId="6ED331FA" w14:textId="77777777" w:rsidR="00D07F5E" w:rsidRPr="00FB6DE0" w:rsidRDefault="00D07F5E" w:rsidP="00830C56">
            <w:pPr>
              <w:pStyle w:val="TableText"/>
              <w:rPr>
                <w:sz w:val="18"/>
                <w:szCs w:val="18"/>
              </w:rPr>
            </w:pPr>
            <w:r w:rsidRPr="00FB6DE0">
              <w:rPr>
                <w:sz w:val="18"/>
                <w:szCs w:val="18"/>
              </w:rPr>
              <w:t>Continue TASP as is</w:t>
            </w:r>
            <w:r>
              <w:rPr>
                <w:sz w:val="18"/>
                <w:szCs w:val="18"/>
              </w:rPr>
              <w:t xml:space="preserve"> with minor adjustments</w:t>
            </w:r>
          </w:p>
        </w:tc>
        <w:tc>
          <w:tcPr>
            <w:tcW w:w="1645" w:type="dxa"/>
          </w:tcPr>
          <w:p w14:paraId="37313629" w14:textId="6524543E" w:rsidR="00D07F5E" w:rsidRPr="00FB6DE0" w:rsidRDefault="7F9C6B42" w:rsidP="00830C56">
            <w:pPr>
              <w:pStyle w:val="TableText"/>
              <w:rPr>
                <w:sz w:val="18"/>
                <w:szCs w:val="18"/>
              </w:rPr>
            </w:pPr>
            <w:r w:rsidRPr="6B589596">
              <w:rPr>
                <w:sz w:val="18"/>
                <w:szCs w:val="18"/>
                <w:lang w:val="en-US"/>
              </w:rPr>
              <w:t xml:space="preserve">Health, </w:t>
            </w:r>
            <w:r w:rsidR="009D4041">
              <w:rPr>
                <w:sz w:val="18"/>
                <w:szCs w:val="18"/>
                <w:lang w:val="en-US"/>
              </w:rPr>
              <w:t>Gender, Governance</w:t>
            </w:r>
            <w:r w:rsidR="1B2A8866" w:rsidRPr="6B589596">
              <w:rPr>
                <w:sz w:val="18"/>
                <w:szCs w:val="18"/>
                <w:lang w:val="en-US"/>
              </w:rPr>
              <w:t xml:space="preserve">, and </w:t>
            </w:r>
            <w:r w:rsidR="152AE1AA" w:rsidRPr="6B589596">
              <w:rPr>
                <w:sz w:val="18"/>
                <w:szCs w:val="18"/>
                <w:lang w:val="en-US"/>
              </w:rPr>
              <w:t>Skills remain</w:t>
            </w:r>
            <w:r w:rsidR="00D07F5E" w:rsidRPr="6B589596">
              <w:rPr>
                <w:sz w:val="18"/>
                <w:szCs w:val="18"/>
                <w:lang w:val="en-US"/>
              </w:rPr>
              <w:t xml:space="preserve"> in TASP; add in scholarships management. </w:t>
            </w:r>
          </w:p>
          <w:p w14:paraId="75F7A3EC" w14:textId="77777777" w:rsidR="00D07F5E" w:rsidRPr="00FB6DE0" w:rsidRDefault="00D07F5E" w:rsidP="00830C56">
            <w:pPr>
              <w:pStyle w:val="TableText"/>
              <w:rPr>
                <w:sz w:val="18"/>
                <w:szCs w:val="18"/>
              </w:rPr>
            </w:pPr>
            <w:r w:rsidRPr="00FB6DE0">
              <w:rPr>
                <w:sz w:val="18"/>
                <w:szCs w:val="18"/>
                <w:lang w:val="en-US"/>
              </w:rPr>
              <w:t>Request extension.</w:t>
            </w:r>
          </w:p>
          <w:p w14:paraId="38589D8E" w14:textId="77777777" w:rsidR="00D07F5E" w:rsidRPr="00FB6DE0" w:rsidRDefault="00D07F5E" w:rsidP="00830C56">
            <w:pPr>
              <w:pStyle w:val="TableText"/>
              <w:rPr>
                <w:sz w:val="18"/>
                <w:szCs w:val="18"/>
              </w:rPr>
            </w:pPr>
          </w:p>
        </w:tc>
        <w:tc>
          <w:tcPr>
            <w:tcW w:w="2977" w:type="dxa"/>
          </w:tcPr>
          <w:p w14:paraId="3AA11E23" w14:textId="0A34A217" w:rsidR="00D07F5E" w:rsidRPr="00FB6DE0" w:rsidRDefault="00D07F5E" w:rsidP="00830C56">
            <w:pPr>
              <w:pStyle w:val="TableText"/>
              <w:rPr>
                <w:sz w:val="18"/>
                <w:szCs w:val="18"/>
              </w:rPr>
            </w:pPr>
            <w:r w:rsidRPr="00FB6DE0">
              <w:rPr>
                <w:sz w:val="18"/>
                <w:szCs w:val="18"/>
                <w:lang w:val="en-US"/>
              </w:rPr>
              <w:t xml:space="preserve">Continuity; keep momentum incl </w:t>
            </w:r>
            <w:proofErr w:type="gramStart"/>
            <w:r w:rsidRPr="00FB6DE0">
              <w:rPr>
                <w:sz w:val="18"/>
                <w:szCs w:val="18"/>
                <w:lang w:val="en-US"/>
              </w:rPr>
              <w:t>on</w:t>
            </w:r>
            <w:proofErr w:type="gramEnd"/>
            <w:r w:rsidRPr="00FB6DE0">
              <w:rPr>
                <w:sz w:val="18"/>
                <w:szCs w:val="18"/>
                <w:lang w:val="en-US"/>
              </w:rPr>
              <w:t xml:space="preserve"> </w:t>
            </w:r>
            <w:r w:rsidR="001E25A8">
              <w:rPr>
                <w:sz w:val="18"/>
                <w:szCs w:val="18"/>
                <w:lang w:val="en-US"/>
              </w:rPr>
              <w:t>Public Financial Management (</w:t>
            </w:r>
            <w:r w:rsidRPr="00FB6DE0">
              <w:rPr>
                <w:sz w:val="18"/>
                <w:szCs w:val="18"/>
                <w:lang w:val="en-US"/>
              </w:rPr>
              <w:t>PFM</w:t>
            </w:r>
            <w:r w:rsidR="001E25A8">
              <w:rPr>
                <w:sz w:val="18"/>
                <w:szCs w:val="18"/>
                <w:lang w:val="en-US"/>
              </w:rPr>
              <w:t>)</w:t>
            </w:r>
            <w:r w:rsidRPr="00FB6DE0">
              <w:rPr>
                <w:sz w:val="18"/>
                <w:szCs w:val="18"/>
                <w:lang w:val="en-US"/>
              </w:rPr>
              <w:t>, other Gov</w:t>
            </w:r>
            <w:r>
              <w:rPr>
                <w:sz w:val="18"/>
                <w:szCs w:val="18"/>
                <w:lang w:val="en-US"/>
              </w:rPr>
              <w:t>ernance</w:t>
            </w:r>
            <w:r w:rsidRPr="00FB6DE0">
              <w:rPr>
                <w:sz w:val="18"/>
                <w:szCs w:val="18"/>
                <w:lang w:val="en-US"/>
              </w:rPr>
              <w:t>.</w:t>
            </w:r>
          </w:p>
          <w:p w14:paraId="520DFE7A" w14:textId="6862F431" w:rsidR="00D07F5E" w:rsidRPr="00FB6DE0" w:rsidRDefault="00D07F5E" w:rsidP="00830C56">
            <w:pPr>
              <w:pStyle w:val="TableText"/>
              <w:rPr>
                <w:sz w:val="18"/>
                <w:szCs w:val="18"/>
              </w:rPr>
            </w:pPr>
            <w:r w:rsidRPr="6B589596">
              <w:rPr>
                <w:sz w:val="18"/>
                <w:szCs w:val="18"/>
                <w:lang w:val="en-US"/>
              </w:rPr>
              <w:t>Good relationships, partners</w:t>
            </w:r>
            <w:r w:rsidR="4D91C669" w:rsidRPr="6B589596">
              <w:rPr>
                <w:sz w:val="18"/>
                <w:szCs w:val="18"/>
                <w:lang w:val="en-US"/>
              </w:rPr>
              <w:t xml:space="preserve"> in the Health Pillar</w:t>
            </w:r>
            <w:r w:rsidRPr="6B589596">
              <w:rPr>
                <w:sz w:val="18"/>
                <w:szCs w:val="18"/>
                <w:lang w:val="en-US"/>
              </w:rPr>
              <w:t xml:space="preserve">. </w:t>
            </w:r>
          </w:p>
          <w:p w14:paraId="21374CD1" w14:textId="4EE51FE8" w:rsidR="6F91812D" w:rsidRDefault="6F91812D" w:rsidP="6B589596">
            <w:pPr>
              <w:pStyle w:val="TableText"/>
              <w:rPr>
                <w:sz w:val="18"/>
                <w:szCs w:val="18"/>
                <w:lang w:val="en-US"/>
              </w:rPr>
            </w:pPr>
            <w:r w:rsidRPr="6B589596">
              <w:rPr>
                <w:sz w:val="18"/>
                <w:szCs w:val="18"/>
                <w:lang w:val="en-US"/>
              </w:rPr>
              <w:t>Flexible mechanism to address GOT &amp; GOA priority needs</w:t>
            </w:r>
            <w:r w:rsidR="7B88FD59" w:rsidRPr="6B589596">
              <w:rPr>
                <w:sz w:val="18"/>
                <w:szCs w:val="18"/>
                <w:lang w:val="en-US"/>
              </w:rPr>
              <w:t xml:space="preserve"> in skills and CSO engagement</w:t>
            </w:r>
            <w:r w:rsidRPr="6B589596">
              <w:rPr>
                <w:sz w:val="18"/>
                <w:szCs w:val="18"/>
                <w:lang w:val="en-US"/>
              </w:rPr>
              <w:t>.</w:t>
            </w:r>
          </w:p>
          <w:p w14:paraId="0BF7A583" w14:textId="77777777" w:rsidR="00D07F5E" w:rsidRDefault="00D07F5E" w:rsidP="00830C56">
            <w:pPr>
              <w:pStyle w:val="TableText"/>
              <w:rPr>
                <w:sz w:val="18"/>
                <w:szCs w:val="18"/>
                <w:lang w:val="en-US"/>
              </w:rPr>
            </w:pPr>
            <w:r w:rsidRPr="00FB6DE0">
              <w:rPr>
                <w:sz w:val="18"/>
                <w:szCs w:val="18"/>
                <w:lang w:val="en-US"/>
              </w:rPr>
              <w:t xml:space="preserve">Efficiencies through shared cross-cutting &amp; </w:t>
            </w:r>
            <w:r w:rsidR="009B1882">
              <w:rPr>
                <w:sz w:val="18"/>
                <w:szCs w:val="18"/>
                <w:lang w:val="en-US"/>
              </w:rPr>
              <w:t>o</w:t>
            </w:r>
            <w:r w:rsidRPr="00FB6DE0">
              <w:rPr>
                <w:sz w:val="18"/>
                <w:szCs w:val="18"/>
                <w:lang w:val="en-US"/>
              </w:rPr>
              <w:t>p</w:t>
            </w:r>
            <w:r w:rsidR="000A14AB">
              <w:rPr>
                <w:sz w:val="18"/>
                <w:szCs w:val="18"/>
                <w:lang w:val="en-US"/>
              </w:rPr>
              <w:t>eration</w:t>
            </w:r>
            <w:r w:rsidRPr="00FB6DE0">
              <w:rPr>
                <w:sz w:val="18"/>
                <w:szCs w:val="18"/>
                <w:lang w:val="en-US"/>
              </w:rPr>
              <w:t>s &amp; MEL</w:t>
            </w:r>
          </w:p>
          <w:p w14:paraId="7DE87F62" w14:textId="507E1B42" w:rsidR="008A00DF" w:rsidRPr="00FB6DE0" w:rsidRDefault="00240ED7" w:rsidP="00830C56">
            <w:pPr>
              <w:pStyle w:val="TableText"/>
              <w:rPr>
                <w:sz w:val="18"/>
                <w:szCs w:val="18"/>
              </w:rPr>
            </w:pPr>
            <w:r>
              <w:rPr>
                <w:sz w:val="18"/>
                <w:szCs w:val="18"/>
                <w:lang w:val="en-US"/>
              </w:rPr>
              <w:t xml:space="preserve">GE pillar and work with CSOs just starting to </w:t>
            </w:r>
            <w:r w:rsidR="00326690">
              <w:rPr>
                <w:sz w:val="18"/>
                <w:szCs w:val="18"/>
                <w:lang w:val="en-US"/>
              </w:rPr>
              <w:t>gain momentum.</w:t>
            </w:r>
          </w:p>
        </w:tc>
        <w:tc>
          <w:tcPr>
            <w:tcW w:w="3969" w:type="dxa"/>
          </w:tcPr>
          <w:p w14:paraId="088B0A77" w14:textId="08A152DE" w:rsidR="00D07F5E" w:rsidRPr="00FB6DE0" w:rsidRDefault="00D07F5E" w:rsidP="6B589596">
            <w:pPr>
              <w:pStyle w:val="TableText"/>
              <w:rPr>
                <w:sz w:val="18"/>
                <w:szCs w:val="18"/>
              </w:rPr>
            </w:pPr>
            <w:r w:rsidRPr="6B589596">
              <w:rPr>
                <w:sz w:val="18"/>
                <w:szCs w:val="18"/>
                <w:lang w:val="en-US"/>
              </w:rPr>
              <w:t>New larger, more complex Governance program – might overwhelm TASP, with risks to both Gov</w:t>
            </w:r>
            <w:r w:rsidR="000A14AB" w:rsidRPr="6B589596">
              <w:rPr>
                <w:sz w:val="18"/>
                <w:szCs w:val="18"/>
                <w:lang w:val="en-US"/>
              </w:rPr>
              <w:t>ernance</w:t>
            </w:r>
            <w:r w:rsidRPr="6B589596">
              <w:rPr>
                <w:sz w:val="18"/>
                <w:szCs w:val="18"/>
                <w:lang w:val="en-US"/>
              </w:rPr>
              <w:t xml:space="preserve"> &amp; other pillars.</w:t>
            </w:r>
          </w:p>
          <w:p w14:paraId="25317468" w14:textId="6CAEE8AA" w:rsidR="00D07F5E" w:rsidRPr="00FB6DE0" w:rsidRDefault="5D7040FB" w:rsidP="6B589596">
            <w:pPr>
              <w:pStyle w:val="TableText"/>
              <w:rPr>
                <w:sz w:val="18"/>
                <w:szCs w:val="18"/>
              </w:rPr>
            </w:pPr>
            <w:r w:rsidRPr="6B589596">
              <w:rPr>
                <w:sz w:val="18"/>
                <w:szCs w:val="18"/>
                <w:lang w:val="en-US"/>
              </w:rPr>
              <w:t xml:space="preserve">Scholarship management will be an additional pillar with </w:t>
            </w:r>
            <w:r w:rsidR="2C71D0AD" w:rsidRPr="6B589596">
              <w:rPr>
                <w:sz w:val="18"/>
                <w:szCs w:val="18"/>
                <w:lang w:val="en-US"/>
              </w:rPr>
              <w:t xml:space="preserve">additional resourcing &amp; </w:t>
            </w:r>
            <w:r w:rsidRPr="6B589596">
              <w:rPr>
                <w:sz w:val="18"/>
                <w:szCs w:val="18"/>
                <w:lang w:val="en-US"/>
              </w:rPr>
              <w:t>costs</w:t>
            </w:r>
            <w:r w:rsidR="4145228F" w:rsidRPr="6B589596">
              <w:rPr>
                <w:sz w:val="18"/>
                <w:szCs w:val="18"/>
                <w:lang w:val="en-US"/>
              </w:rPr>
              <w:t>.</w:t>
            </w:r>
          </w:p>
          <w:p w14:paraId="5B6BD679" w14:textId="0895718B" w:rsidR="00D07F5E" w:rsidRPr="00FB6DE0" w:rsidRDefault="5696FBC2" w:rsidP="6B589596">
            <w:pPr>
              <w:pStyle w:val="TableText"/>
              <w:rPr>
                <w:sz w:val="18"/>
                <w:szCs w:val="18"/>
                <w:lang w:val="en-US"/>
              </w:rPr>
            </w:pPr>
            <w:r w:rsidRPr="41B041EA">
              <w:rPr>
                <w:sz w:val="18"/>
                <w:szCs w:val="18"/>
                <w:lang w:val="en-US"/>
              </w:rPr>
              <w:t xml:space="preserve">Ambiguity around current understanding of </w:t>
            </w:r>
            <w:proofErr w:type="gramStart"/>
            <w:r w:rsidRPr="41B041EA">
              <w:rPr>
                <w:sz w:val="18"/>
                <w:szCs w:val="18"/>
                <w:lang w:val="en-US"/>
              </w:rPr>
              <w:t>role</w:t>
            </w:r>
            <w:proofErr w:type="gramEnd"/>
            <w:r w:rsidRPr="41B041EA">
              <w:rPr>
                <w:sz w:val="18"/>
                <w:szCs w:val="18"/>
                <w:lang w:val="en-US"/>
              </w:rPr>
              <w:t xml:space="preserve"> of TASP may require </w:t>
            </w:r>
            <w:r w:rsidR="0CA42162" w:rsidRPr="41B041EA">
              <w:rPr>
                <w:sz w:val="18"/>
                <w:szCs w:val="18"/>
                <w:lang w:val="en-US"/>
              </w:rPr>
              <w:t>additional work</w:t>
            </w:r>
          </w:p>
          <w:p w14:paraId="530FD42C" w14:textId="77777777" w:rsidR="00D07F5E" w:rsidRPr="00FB6DE0" w:rsidRDefault="00D07F5E" w:rsidP="00830C56">
            <w:pPr>
              <w:pStyle w:val="TableText"/>
              <w:rPr>
                <w:sz w:val="18"/>
                <w:szCs w:val="18"/>
              </w:rPr>
            </w:pPr>
            <w:r w:rsidRPr="00FB6DE0">
              <w:rPr>
                <w:sz w:val="18"/>
                <w:szCs w:val="18"/>
                <w:lang w:val="en-US"/>
              </w:rPr>
              <w:t>May be less scope for innovation within existing contract.</w:t>
            </w:r>
          </w:p>
        </w:tc>
      </w:tr>
      <w:tr w:rsidR="00D07F5E" w:rsidRPr="00FB6DE0" w14:paraId="45BB6D38" w14:textId="77777777" w:rsidTr="003E1F35">
        <w:tc>
          <w:tcPr>
            <w:tcW w:w="1327" w:type="dxa"/>
          </w:tcPr>
          <w:p w14:paraId="655EA38F" w14:textId="77777777" w:rsidR="00D07F5E" w:rsidRPr="00FB6DE0" w:rsidRDefault="00D07F5E" w:rsidP="00830C56">
            <w:pPr>
              <w:pStyle w:val="TableText"/>
              <w:rPr>
                <w:sz w:val="18"/>
                <w:szCs w:val="18"/>
              </w:rPr>
            </w:pPr>
            <w:r w:rsidRPr="00FB6DE0">
              <w:rPr>
                <w:sz w:val="18"/>
                <w:szCs w:val="18"/>
              </w:rPr>
              <w:t>Continue TASP without Governance.  Add in scholarships management.</w:t>
            </w:r>
          </w:p>
        </w:tc>
        <w:tc>
          <w:tcPr>
            <w:tcW w:w="1645" w:type="dxa"/>
          </w:tcPr>
          <w:p w14:paraId="7AB583F4" w14:textId="4477B178" w:rsidR="00D07F5E" w:rsidRPr="00FB6DE0" w:rsidRDefault="7E12A0EA" w:rsidP="00830C56">
            <w:pPr>
              <w:pStyle w:val="TableText"/>
              <w:rPr>
                <w:sz w:val="18"/>
                <w:szCs w:val="18"/>
              </w:rPr>
            </w:pPr>
            <w:r w:rsidRPr="41B041EA">
              <w:rPr>
                <w:sz w:val="18"/>
                <w:szCs w:val="18"/>
                <w:lang w:val="en-US"/>
              </w:rPr>
              <w:t xml:space="preserve">TASP becomes a </w:t>
            </w:r>
            <w:r w:rsidR="0D7A5671" w:rsidRPr="41B041EA">
              <w:rPr>
                <w:sz w:val="18"/>
                <w:szCs w:val="18"/>
                <w:lang w:val="en-US"/>
              </w:rPr>
              <w:t>‘</w:t>
            </w:r>
            <w:r w:rsidRPr="41B041EA">
              <w:rPr>
                <w:sz w:val="18"/>
                <w:szCs w:val="18"/>
                <w:lang w:val="en-US"/>
              </w:rPr>
              <w:t>Human Development Facility</w:t>
            </w:r>
            <w:r w:rsidR="0D7A5671" w:rsidRPr="41B041EA">
              <w:rPr>
                <w:sz w:val="18"/>
                <w:szCs w:val="18"/>
                <w:lang w:val="en-US"/>
              </w:rPr>
              <w:t>’</w:t>
            </w:r>
            <w:r w:rsidRPr="41B041EA">
              <w:rPr>
                <w:sz w:val="18"/>
                <w:szCs w:val="18"/>
                <w:lang w:val="en-US"/>
              </w:rPr>
              <w:t>; extends into further phase</w:t>
            </w:r>
            <w:r w:rsidR="5FEC93AC" w:rsidRPr="41B041EA">
              <w:rPr>
                <w:sz w:val="18"/>
                <w:szCs w:val="18"/>
                <w:lang w:val="en-US"/>
              </w:rPr>
              <w:t xml:space="preserve">, remove </w:t>
            </w:r>
            <w:r w:rsidR="7C9EDB7A" w:rsidRPr="41B041EA">
              <w:rPr>
                <w:sz w:val="18"/>
                <w:szCs w:val="18"/>
                <w:lang w:val="en-US"/>
              </w:rPr>
              <w:t>Governance</w:t>
            </w:r>
            <w:r w:rsidR="5FEC93AC" w:rsidRPr="41B041EA">
              <w:rPr>
                <w:sz w:val="18"/>
                <w:szCs w:val="18"/>
                <w:lang w:val="en-US"/>
              </w:rPr>
              <w:t xml:space="preserve"> and add scholarships management.</w:t>
            </w:r>
          </w:p>
          <w:p w14:paraId="20943422" w14:textId="77777777" w:rsidR="00D07F5E" w:rsidRPr="00FB6DE0" w:rsidRDefault="00D07F5E" w:rsidP="00830C56">
            <w:pPr>
              <w:pStyle w:val="TableText"/>
              <w:rPr>
                <w:sz w:val="18"/>
                <w:szCs w:val="18"/>
              </w:rPr>
            </w:pPr>
          </w:p>
          <w:p w14:paraId="70A0C601" w14:textId="77777777" w:rsidR="00D07F5E" w:rsidRPr="00FB6DE0" w:rsidRDefault="00D07F5E" w:rsidP="00830C56">
            <w:pPr>
              <w:jc w:val="center"/>
              <w:rPr>
                <w:sz w:val="18"/>
                <w:szCs w:val="18"/>
                <w:lang w:eastAsia="en-US"/>
              </w:rPr>
            </w:pPr>
          </w:p>
        </w:tc>
        <w:tc>
          <w:tcPr>
            <w:tcW w:w="2977" w:type="dxa"/>
          </w:tcPr>
          <w:p w14:paraId="62D90368" w14:textId="77777777" w:rsidR="00D07F5E" w:rsidRPr="00FB6DE0" w:rsidRDefault="00D07F5E" w:rsidP="00830C56">
            <w:pPr>
              <w:pStyle w:val="TableText"/>
              <w:rPr>
                <w:sz w:val="18"/>
                <w:szCs w:val="18"/>
              </w:rPr>
            </w:pPr>
            <w:r w:rsidRPr="00FB6DE0">
              <w:rPr>
                <w:sz w:val="18"/>
                <w:szCs w:val="18"/>
                <w:lang w:val="en-US"/>
              </w:rPr>
              <w:t>Greater opportunities for coherent Facility.</w:t>
            </w:r>
          </w:p>
          <w:p w14:paraId="3A648E1D" w14:textId="301D74AE" w:rsidR="00D07F5E" w:rsidRPr="00FB6DE0" w:rsidRDefault="7E12A0EA" w:rsidP="00830C56">
            <w:pPr>
              <w:pStyle w:val="TableText"/>
              <w:rPr>
                <w:sz w:val="18"/>
                <w:szCs w:val="18"/>
              </w:rPr>
            </w:pPr>
            <w:r w:rsidRPr="41B041EA">
              <w:rPr>
                <w:sz w:val="18"/>
                <w:szCs w:val="18"/>
                <w:lang w:val="en-US"/>
              </w:rPr>
              <w:t>Not swamped by a big Gov</w:t>
            </w:r>
            <w:r w:rsidR="0A950D9C" w:rsidRPr="41B041EA">
              <w:rPr>
                <w:sz w:val="18"/>
                <w:szCs w:val="18"/>
                <w:lang w:val="en-US"/>
              </w:rPr>
              <w:t>ernance</w:t>
            </w:r>
            <w:r w:rsidRPr="41B041EA">
              <w:rPr>
                <w:sz w:val="18"/>
                <w:szCs w:val="18"/>
                <w:lang w:val="en-US"/>
              </w:rPr>
              <w:t xml:space="preserve"> program.</w:t>
            </w:r>
          </w:p>
          <w:p w14:paraId="3EACC680" w14:textId="7E61104F" w:rsidR="00D07F5E" w:rsidRPr="00FB6DE0" w:rsidRDefault="00D07F5E" w:rsidP="00830C56">
            <w:pPr>
              <w:pStyle w:val="TableText"/>
              <w:rPr>
                <w:sz w:val="18"/>
                <w:szCs w:val="18"/>
              </w:rPr>
            </w:pPr>
            <w:r w:rsidRPr="00FB6DE0">
              <w:rPr>
                <w:sz w:val="18"/>
                <w:szCs w:val="18"/>
                <w:lang w:val="en-US"/>
              </w:rPr>
              <w:t xml:space="preserve">Clearer match to new (draft) </w:t>
            </w:r>
            <w:r w:rsidR="000A14AB">
              <w:rPr>
                <w:sz w:val="18"/>
                <w:szCs w:val="18"/>
                <w:lang w:val="en-US"/>
              </w:rPr>
              <w:t>Development Partnership Program (</w:t>
            </w:r>
            <w:r w:rsidRPr="00FB6DE0">
              <w:rPr>
                <w:sz w:val="18"/>
                <w:szCs w:val="18"/>
                <w:lang w:val="en-US"/>
              </w:rPr>
              <w:t>DPP</w:t>
            </w:r>
            <w:r w:rsidR="000A14AB">
              <w:rPr>
                <w:sz w:val="18"/>
                <w:szCs w:val="18"/>
                <w:lang w:val="en-US"/>
              </w:rPr>
              <w:t>)</w:t>
            </w:r>
            <w:r w:rsidRPr="00FB6DE0">
              <w:rPr>
                <w:sz w:val="18"/>
                <w:szCs w:val="18"/>
                <w:lang w:val="en-US"/>
              </w:rPr>
              <w:t xml:space="preserve"> pillars.</w:t>
            </w:r>
          </w:p>
          <w:p w14:paraId="6D12183A" w14:textId="77777777" w:rsidR="00D07F5E" w:rsidRDefault="00D07F5E" w:rsidP="00830C56">
            <w:pPr>
              <w:pStyle w:val="TableText"/>
              <w:rPr>
                <w:sz w:val="18"/>
                <w:szCs w:val="18"/>
                <w:lang w:val="en-US"/>
              </w:rPr>
            </w:pPr>
            <w:r w:rsidRPr="00FB6DE0">
              <w:rPr>
                <w:sz w:val="18"/>
                <w:szCs w:val="18"/>
                <w:lang w:val="en-US"/>
              </w:rPr>
              <w:t xml:space="preserve">Test market for </w:t>
            </w:r>
            <w:proofErr w:type="gramStart"/>
            <w:r w:rsidRPr="00FB6DE0">
              <w:rPr>
                <w:sz w:val="18"/>
                <w:szCs w:val="18"/>
                <w:lang w:val="en-US"/>
              </w:rPr>
              <w:t>best</w:t>
            </w:r>
            <w:proofErr w:type="gramEnd"/>
            <w:r w:rsidRPr="00FB6DE0">
              <w:rPr>
                <w:sz w:val="18"/>
                <w:szCs w:val="18"/>
                <w:lang w:val="en-US"/>
              </w:rPr>
              <w:t xml:space="preserve"> </w:t>
            </w:r>
            <w:r w:rsidRPr="00FB6DE0">
              <w:rPr>
                <w:sz w:val="18"/>
                <w:szCs w:val="18"/>
                <w:u w:val="single"/>
                <w:lang w:val="en-US"/>
              </w:rPr>
              <w:t>Governance</w:t>
            </w:r>
            <w:r w:rsidRPr="00FB6DE0">
              <w:rPr>
                <w:sz w:val="18"/>
                <w:szCs w:val="18"/>
                <w:lang w:val="en-US"/>
              </w:rPr>
              <w:t xml:space="preserve"> MC.</w:t>
            </w:r>
          </w:p>
          <w:p w14:paraId="0547FFC9" w14:textId="6FDBFB5F" w:rsidR="00EB2C6D" w:rsidRPr="00FB6DE0" w:rsidRDefault="00EB2C6D" w:rsidP="00830C56">
            <w:pPr>
              <w:pStyle w:val="TableText"/>
              <w:rPr>
                <w:sz w:val="18"/>
                <w:szCs w:val="18"/>
              </w:rPr>
            </w:pPr>
            <w:r>
              <w:rPr>
                <w:sz w:val="18"/>
                <w:szCs w:val="18"/>
              </w:rPr>
              <w:t xml:space="preserve">Alignment with recommendations of </w:t>
            </w:r>
            <w:r w:rsidR="00611BE9">
              <w:rPr>
                <w:sz w:val="18"/>
                <w:szCs w:val="18"/>
              </w:rPr>
              <w:t xml:space="preserve">Australia Awards </w:t>
            </w:r>
            <w:r w:rsidR="00FE1D72">
              <w:rPr>
                <w:sz w:val="18"/>
                <w:szCs w:val="18"/>
              </w:rPr>
              <w:t xml:space="preserve">Program </w:t>
            </w:r>
            <w:r w:rsidR="00611BE9">
              <w:rPr>
                <w:sz w:val="18"/>
                <w:szCs w:val="18"/>
              </w:rPr>
              <w:t>Review</w:t>
            </w:r>
            <w:r w:rsidR="00FE1D72">
              <w:rPr>
                <w:sz w:val="18"/>
                <w:szCs w:val="18"/>
              </w:rPr>
              <w:t xml:space="preserve"> findings</w:t>
            </w:r>
            <w:r w:rsidR="00611BE9">
              <w:rPr>
                <w:sz w:val="18"/>
                <w:szCs w:val="18"/>
              </w:rPr>
              <w:t>.</w:t>
            </w:r>
          </w:p>
        </w:tc>
        <w:tc>
          <w:tcPr>
            <w:tcW w:w="3969" w:type="dxa"/>
          </w:tcPr>
          <w:p w14:paraId="362C68FC" w14:textId="77777777" w:rsidR="00D07F5E" w:rsidRPr="00FB6DE0" w:rsidRDefault="00D07F5E" w:rsidP="00830C56">
            <w:pPr>
              <w:pStyle w:val="TableText"/>
              <w:rPr>
                <w:noProof/>
                <w:sz w:val="18"/>
                <w:szCs w:val="18"/>
              </w:rPr>
            </w:pPr>
            <w:r w:rsidRPr="00FB6DE0">
              <w:rPr>
                <w:noProof/>
                <w:sz w:val="18"/>
                <w:szCs w:val="18"/>
                <w:lang w:val="en-US"/>
              </w:rPr>
              <w:t>Significant scope change: likely need a TASP design update/ refresh, possible re-tender.</w:t>
            </w:r>
          </w:p>
          <w:p w14:paraId="60C45068" w14:textId="77777777" w:rsidR="00D07F5E" w:rsidRDefault="7E12A0EA" w:rsidP="00830C56">
            <w:pPr>
              <w:pStyle w:val="TableText"/>
              <w:rPr>
                <w:noProof/>
                <w:sz w:val="18"/>
                <w:szCs w:val="18"/>
                <w:lang w:val="en-US"/>
              </w:rPr>
            </w:pPr>
            <w:r w:rsidRPr="41B041EA">
              <w:rPr>
                <w:noProof/>
                <w:sz w:val="18"/>
                <w:szCs w:val="18"/>
                <w:lang w:val="en-US"/>
              </w:rPr>
              <w:t>For Governance: Potential disruption to existing implementation &amp; relationships.</w:t>
            </w:r>
          </w:p>
          <w:p w14:paraId="435F7A10" w14:textId="084A833F" w:rsidR="00C94AC8" w:rsidRDefault="00C94AC8" w:rsidP="00C94AC8">
            <w:pPr>
              <w:pStyle w:val="TableText"/>
              <w:rPr>
                <w:sz w:val="18"/>
                <w:szCs w:val="18"/>
              </w:rPr>
            </w:pPr>
            <w:r w:rsidRPr="41B041EA">
              <w:rPr>
                <w:sz w:val="18"/>
                <w:szCs w:val="18"/>
              </w:rPr>
              <w:t>More costly (management costs</w:t>
            </w:r>
            <w:r>
              <w:rPr>
                <w:sz w:val="18"/>
                <w:szCs w:val="18"/>
              </w:rPr>
              <w:t xml:space="preserve"> with Governance MC and TASP MC)</w:t>
            </w:r>
            <w:r w:rsidRPr="41B041EA">
              <w:rPr>
                <w:sz w:val="18"/>
                <w:szCs w:val="18"/>
              </w:rPr>
              <w:t>.</w:t>
            </w:r>
          </w:p>
          <w:p w14:paraId="03011941" w14:textId="3308EB28" w:rsidR="3C0456E1" w:rsidRDefault="3C0456E1" w:rsidP="41B041EA">
            <w:pPr>
              <w:pStyle w:val="TableText"/>
              <w:rPr>
                <w:noProof/>
                <w:sz w:val="18"/>
                <w:szCs w:val="18"/>
                <w:lang w:val="en-US"/>
              </w:rPr>
            </w:pPr>
            <w:r w:rsidRPr="41B041EA">
              <w:rPr>
                <w:noProof/>
                <w:sz w:val="18"/>
                <w:szCs w:val="18"/>
                <w:lang w:val="en-US"/>
              </w:rPr>
              <w:t>Disruptions to scholarships management given time taken to recruit and resource a</w:t>
            </w:r>
            <w:r w:rsidR="00183130">
              <w:rPr>
                <w:noProof/>
                <w:sz w:val="18"/>
                <w:szCs w:val="18"/>
                <w:lang w:val="en-US"/>
              </w:rPr>
              <w:t>n expanded</w:t>
            </w:r>
            <w:r w:rsidRPr="41B041EA">
              <w:rPr>
                <w:noProof/>
                <w:sz w:val="18"/>
                <w:szCs w:val="18"/>
                <w:lang w:val="en-US"/>
              </w:rPr>
              <w:t xml:space="preserve"> pillar</w:t>
            </w:r>
            <w:r w:rsidR="00D40C28">
              <w:rPr>
                <w:noProof/>
                <w:sz w:val="18"/>
                <w:szCs w:val="18"/>
                <w:lang w:val="en-US"/>
              </w:rPr>
              <w:t xml:space="preserve"> and related design</w:t>
            </w:r>
            <w:r w:rsidRPr="41B041EA">
              <w:rPr>
                <w:noProof/>
                <w:sz w:val="18"/>
                <w:szCs w:val="18"/>
                <w:lang w:val="en-US"/>
              </w:rPr>
              <w:t>.</w:t>
            </w:r>
          </w:p>
          <w:p w14:paraId="7792AD1E" w14:textId="004C686E" w:rsidR="00D07F5E" w:rsidRPr="00FB6DE0" w:rsidRDefault="7E12A0EA" w:rsidP="41B041EA">
            <w:pPr>
              <w:pStyle w:val="TableText"/>
              <w:rPr>
                <w:sz w:val="18"/>
                <w:szCs w:val="18"/>
              </w:rPr>
            </w:pPr>
            <w:r w:rsidRPr="41B041EA">
              <w:rPr>
                <w:noProof/>
                <w:sz w:val="18"/>
                <w:szCs w:val="18"/>
                <w:lang w:val="en-US"/>
              </w:rPr>
              <w:t>Additional costs</w:t>
            </w:r>
            <w:r w:rsidR="59980029" w:rsidRPr="41B041EA">
              <w:rPr>
                <w:noProof/>
                <w:sz w:val="18"/>
                <w:szCs w:val="18"/>
                <w:lang w:val="en-US"/>
              </w:rPr>
              <w:t xml:space="preserve"> relative to employing additional staff at the AHC.</w:t>
            </w:r>
          </w:p>
          <w:p w14:paraId="664D7CD9" w14:textId="68318755" w:rsidR="00D07F5E" w:rsidRPr="00FB6DE0" w:rsidRDefault="59980029" w:rsidP="00830C56">
            <w:pPr>
              <w:pStyle w:val="TableText"/>
              <w:rPr>
                <w:sz w:val="18"/>
                <w:szCs w:val="18"/>
              </w:rPr>
            </w:pPr>
            <w:r w:rsidRPr="41B041EA">
              <w:rPr>
                <w:noProof/>
                <w:sz w:val="18"/>
                <w:szCs w:val="18"/>
                <w:lang w:val="en-US"/>
              </w:rPr>
              <w:t>D</w:t>
            </w:r>
            <w:r w:rsidR="7E12A0EA" w:rsidRPr="41B041EA">
              <w:rPr>
                <w:noProof/>
                <w:sz w:val="18"/>
                <w:szCs w:val="18"/>
                <w:lang w:val="en-US"/>
              </w:rPr>
              <w:t>isruption &amp; delays; duplication of Op</w:t>
            </w:r>
            <w:r w:rsidR="0A950D9C" w:rsidRPr="41B041EA">
              <w:rPr>
                <w:noProof/>
                <w:sz w:val="18"/>
                <w:szCs w:val="18"/>
                <w:lang w:val="en-US"/>
              </w:rPr>
              <w:t>eration</w:t>
            </w:r>
            <w:r w:rsidR="7E12A0EA" w:rsidRPr="41B041EA">
              <w:rPr>
                <w:noProof/>
                <w:sz w:val="18"/>
                <w:szCs w:val="18"/>
                <w:lang w:val="en-US"/>
              </w:rPr>
              <w:t>s, MEL, GEDSI.</w:t>
            </w:r>
          </w:p>
        </w:tc>
      </w:tr>
      <w:tr w:rsidR="00D07F5E" w:rsidRPr="00FB6DE0" w14:paraId="51EF95A1" w14:textId="77777777" w:rsidTr="003E1F35">
        <w:tc>
          <w:tcPr>
            <w:tcW w:w="1327" w:type="dxa"/>
          </w:tcPr>
          <w:p w14:paraId="4259D5C2" w14:textId="77777777" w:rsidR="00D07F5E" w:rsidRPr="00FB6DE0" w:rsidRDefault="00D07F5E" w:rsidP="00830C56">
            <w:pPr>
              <w:pStyle w:val="TableText"/>
              <w:rPr>
                <w:sz w:val="18"/>
                <w:szCs w:val="18"/>
              </w:rPr>
            </w:pPr>
            <w:r w:rsidRPr="00FB6DE0">
              <w:rPr>
                <w:sz w:val="18"/>
                <w:szCs w:val="18"/>
              </w:rPr>
              <w:t xml:space="preserve">TASP concludes Oct </w:t>
            </w:r>
            <w:r>
              <w:rPr>
                <w:sz w:val="18"/>
                <w:szCs w:val="18"/>
              </w:rPr>
              <w:t>20</w:t>
            </w:r>
            <w:r w:rsidRPr="00FB6DE0">
              <w:rPr>
                <w:sz w:val="18"/>
                <w:szCs w:val="18"/>
              </w:rPr>
              <w:t>25</w:t>
            </w:r>
            <w:r>
              <w:rPr>
                <w:sz w:val="18"/>
                <w:szCs w:val="18"/>
              </w:rPr>
              <w:t xml:space="preserve">. </w:t>
            </w:r>
            <w:r w:rsidRPr="00FB6DE0">
              <w:rPr>
                <w:sz w:val="18"/>
                <w:szCs w:val="18"/>
              </w:rPr>
              <w:t>New separate Governance Program; different model for other TASP pillars beyond that</w:t>
            </w:r>
          </w:p>
        </w:tc>
        <w:tc>
          <w:tcPr>
            <w:tcW w:w="1645" w:type="dxa"/>
          </w:tcPr>
          <w:p w14:paraId="231E33AB" w14:textId="72514873" w:rsidR="00D07F5E" w:rsidRPr="00FB6DE0" w:rsidRDefault="7E12A0EA" w:rsidP="00830C56">
            <w:pPr>
              <w:pStyle w:val="TableText"/>
              <w:rPr>
                <w:sz w:val="18"/>
                <w:szCs w:val="18"/>
              </w:rPr>
            </w:pPr>
            <w:r w:rsidRPr="41B041EA">
              <w:rPr>
                <w:sz w:val="18"/>
                <w:szCs w:val="18"/>
                <w:lang w:val="en-US"/>
              </w:rPr>
              <w:t xml:space="preserve">Options could </w:t>
            </w:r>
            <w:proofErr w:type="gramStart"/>
            <w:r w:rsidRPr="41B041EA">
              <w:rPr>
                <w:sz w:val="18"/>
                <w:szCs w:val="18"/>
                <w:lang w:val="en-US"/>
              </w:rPr>
              <w:t>include:</w:t>
            </w:r>
            <w:r w:rsidR="00D14FAA">
              <w:rPr>
                <w:sz w:val="18"/>
                <w:szCs w:val="18"/>
                <w:lang w:val="en-US"/>
              </w:rPr>
              <w:t>1.</w:t>
            </w:r>
            <w:r w:rsidRPr="41B041EA">
              <w:rPr>
                <w:sz w:val="18"/>
                <w:szCs w:val="18"/>
                <w:lang w:val="en-US"/>
              </w:rPr>
              <w:t>Internal</w:t>
            </w:r>
            <w:proofErr w:type="gramEnd"/>
            <w:r w:rsidRPr="41B041EA">
              <w:rPr>
                <w:sz w:val="18"/>
                <w:szCs w:val="18"/>
                <w:lang w:val="en-US"/>
              </w:rPr>
              <w:t xml:space="preserve"> DFAT mgmt. In-sourced support unit (with service provider)</w:t>
            </w:r>
            <w:r w:rsidR="0AB43B68" w:rsidRPr="41B041EA">
              <w:rPr>
                <w:sz w:val="18"/>
                <w:szCs w:val="18"/>
                <w:lang w:val="en-US"/>
              </w:rPr>
              <w:t xml:space="preserve"> as needed through tasking notes</w:t>
            </w:r>
            <w:r w:rsidRPr="41B041EA">
              <w:rPr>
                <w:sz w:val="18"/>
                <w:szCs w:val="18"/>
                <w:lang w:val="en-US"/>
              </w:rPr>
              <w:t xml:space="preserve">. </w:t>
            </w:r>
          </w:p>
          <w:p w14:paraId="27DCCB9F" w14:textId="736FE24C" w:rsidR="41B041EA" w:rsidRDefault="41B041EA" w:rsidP="41B041EA">
            <w:pPr>
              <w:pStyle w:val="TableText"/>
              <w:rPr>
                <w:sz w:val="18"/>
                <w:szCs w:val="18"/>
                <w:lang w:val="en-US"/>
              </w:rPr>
            </w:pPr>
          </w:p>
          <w:p w14:paraId="58B0E90F" w14:textId="3ABF025C" w:rsidR="00D07F5E" w:rsidRDefault="00D14FAA" w:rsidP="00803578">
            <w:pPr>
              <w:pStyle w:val="TableText"/>
              <w:numPr>
                <w:ilvl w:val="0"/>
                <w:numId w:val="7"/>
              </w:numPr>
              <w:ind w:left="29"/>
              <w:rPr>
                <w:sz w:val="18"/>
                <w:szCs w:val="18"/>
                <w:lang w:val="en-US"/>
              </w:rPr>
            </w:pPr>
            <w:r>
              <w:rPr>
                <w:sz w:val="18"/>
                <w:szCs w:val="18"/>
                <w:lang w:val="en-US"/>
              </w:rPr>
              <w:t>2.</w:t>
            </w:r>
            <w:r w:rsidR="00D07F5E" w:rsidRPr="00FB6DE0">
              <w:rPr>
                <w:sz w:val="18"/>
                <w:szCs w:val="18"/>
                <w:lang w:val="en-US"/>
              </w:rPr>
              <w:t>Partner-led/ housed implementation unit</w:t>
            </w:r>
            <w:r w:rsidR="00D07F5E">
              <w:rPr>
                <w:sz w:val="18"/>
                <w:szCs w:val="18"/>
                <w:lang w:val="en-US"/>
              </w:rPr>
              <w:t>.</w:t>
            </w:r>
          </w:p>
          <w:p w14:paraId="15E9B84C" w14:textId="77777777" w:rsidR="00D07F5E" w:rsidRPr="00FB6DE0" w:rsidRDefault="00D07F5E" w:rsidP="00830C56">
            <w:pPr>
              <w:pStyle w:val="TableText"/>
              <w:rPr>
                <w:sz w:val="18"/>
                <w:szCs w:val="18"/>
              </w:rPr>
            </w:pPr>
            <w:r>
              <w:rPr>
                <w:sz w:val="18"/>
                <w:szCs w:val="18"/>
              </w:rPr>
              <w:t>Health pillar could also revert to former standalone model.</w:t>
            </w:r>
          </w:p>
        </w:tc>
        <w:tc>
          <w:tcPr>
            <w:tcW w:w="2977" w:type="dxa"/>
          </w:tcPr>
          <w:p w14:paraId="424FF8E7" w14:textId="77777777" w:rsidR="00D07F5E" w:rsidRPr="00FB6DE0" w:rsidRDefault="00D07F5E" w:rsidP="00830C56">
            <w:pPr>
              <w:pStyle w:val="TableText"/>
              <w:rPr>
                <w:sz w:val="18"/>
                <w:szCs w:val="18"/>
              </w:rPr>
            </w:pPr>
            <w:r>
              <w:rPr>
                <w:sz w:val="18"/>
                <w:szCs w:val="18"/>
                <w:lang w:val="en-US"/>
              </w:rPr>
              <w:t xml:space="preserve">Arguably clearer lines of accountability and </w:t>
            </w:r>
            <w:proofErr w:type="spellStart"/>
            <w:r>
              <w:rPr>
                <w:sz w:val="18"/>
                <w:szCs w:val="18"/>
                <w:lang w:val="en-US"/>
              </w:rPr>
              <w:t>GoT</w:t>
            </w:r>
            <w:proofErr w:type="spellEnd"/>
            <w:r>
              <w:rPr>
                <w:sz w:val="18"/>
                <w:szCs w:val="18"/>
                <w:lang w:val="en-US"/>
              </w:rPr>
              <w:t xml:space="preserve"> interactions. R</w:t>
            </w:r>
            <w:r w:rsidRPr="00FB6DE0">
              <w:rPr>
                <w:sz w:val="18"/>
                <w:szCs w:val="18"/>
              </w:rPr>
              <w:t>educe</w:t>
            </w:r>
            <w:r>
              <w:rPr>
                <w:sz w:val="18"/>
                <w:szCs w:val="18"/>
              </w:rPr>
              <w:t>d</w:t>
            </w:r>
            <w:r w:rsidRPr="00FB6DE0">
              <w:rPr>
                <w:sz w:val="18"/>
                <w:szCs w:val="18"/>
              </w:rPr>
              <w:t xml:space="preserve"> doubling-up on DFAT/ Facility </w:t>
            </w:r>
            <w:r>
              <w:rPr>
                <w:sz w:val="18"/>
                <w:szCs w:val="18"/>
              </w:rPr>
              <w:t>/</w:t>
            </w:r>
            <w:proofErr w:type="spellStart"/>
            <w:r>
              <w:rPr>
                <w:sz w:val="18"/>
                <w:szCs w:val="18"/>
              </w:rPr>
              <w:t>GoT</w:t>
            </w:r>
            <w:proofErr w:type="spellEnd"/>
            <w:r>
              <w:rPr>
                <w:sz w:val="18"/>
                <w:szCs w:val="18"/>
              </w:rPr>
              <w:t xml:space="preserve"> </w:t>
            </w:r>
            <w:r w:rsidRPr="00FB6DE0">
              <w:rPr>
                <w:sz w:val="18"/>
                <w:szCs w:val="18"/>
              </w:rPr>
              <w:t>roles, responsibilities.</w:t>
            </w:r>
          </w:p>
          <w:p w14:paraId="110C7FBA" w14:textId="5041F433" w:rsidR="00D07F5E" w:rsidRDefault="00D07F5E" w:rsidP="00830C56">
            <w:pPr>
              <w:pStyle w:val="TableText"/>
              <w:rPr>
                <w:sz w:val="18"/>
                <w:szCs w:val="18"/>
                <w:lang w:val="en-US"/>
              </w:rPr>
            </w:pPr>
            <w:r>
              <w:rPr>
                <w:sz w:val="18"/>
                <w:szCs w:val="18"/>
                <w:lang w:val="en-US"/>
              </w:rPr>
              <w:t>Avoids sectoral Advisers being distracted by Facility obligations/</w:t>
            </w:r>
            <w:r w:rsidR="000A14AB">
              <w:rPr>
                <w:sz w:val="18"/>
                <w:szCs w:val="18"/>
                <w:lang w:val="en-US"/>
              </w:rPr>
              <w:t xml:space="preserve"> </w:t>
            </w:r>
            <w:r>
              <w:rPr>
                <w:sz w:val="18"/>
                <w:szCs w:val="18"/>
                <w:lang w:val="en-US"/>
              </w:rPr>
              <w:t>demands.</w:t>
            </w:r>
          </w:p>
          <w:p w14:paraId="3D039A68" w14:textId="2ADCE240" w:rsidR="00D07F5E" w:rsidRPr="00FB6DE0" w:rsidRDefault="13A697A8" w:rsidP="41B041EA">
            <w:pPr>
              <w:pStyle w:val="TableText"/>
              <w:rPr>
                <w:sz w:val="18"/>
                <w:szCs w:val="18"/>
              </w:rPr>
            </w:pPr>
            <w:r w:rsidRPr="41B041EA">
              <w:rPr>
                <w:sz w:val="18"/>
                <w:szCs w:val="18"/>
              </w:rPr>
              <w:t>S</w:t>
            </w:r>
            <w:r w:rsidR="7E12A0EA" w:rsidRPr="41B041EA">
              <w:rPr>
                <w:sz w:val="18"/>
                <w:szCs w:val="18"/>
              </w:rPr>
              <w:t>ervice provider could support additional DFAT investments.</w:t>
            </w:r>
          </w:p>
          <w:p w14:paraId="2EC56003" w14:textId="2B822F6E" w:rsidR="00D07F5E" w:rsidRPr="00FB6DE0" w:rsidRDefault="2F3217FB" w:rsidP="41B041EA">
            <w:pPr>
              <w:pStyle w:val="TableText"/>
              <w:rPr>
                <w:sz w:val="18"/>
                <w:szCs w:val="18"/>
              </w:rPr>
            </w:pPr>
            <w:r w:rsidRPr="41B041EA">
              <w:rPr>
                <w:sz w:val="18"/>
                <w:szCs w:val="18"/>
              </w:rPr>
              <w:t>Service provider facilitates provision of advi</w:t>
            </w:r>
            <w:r w:rsidR="65A7D3DD" w:rsidRPr="41B041EA">
              <w:rPr>
                <w:sz w:val="18"/>
                <w:szCs w:val="18"/>
              </w:rPr>
              <w:t>sory support.</w:t>
            </w:r>
          </w:p>
          <w:p w14:paraId="43252562" w14:textId="77777777" w:rsidR="00AD7259" w:rsidRDefault="49CD12F5" w:rsidP="41B041EA">
            <w:pPr>
              <w:pStyle w:val="TableText"/>
              <w:rPr>
                <w:sz w:val="18"/>
                <w:szCs w:val="18"/>
              </w:rPr>
            </w:pPr>
            <w:r w:rsidRPr="41B041EA">
              <w:rPr>
                <w:sz w:val="18"/>
                <w:szCs w:val="18"/>
              </w:rPr>
              <w:t>More visibility of Australian Government branding.</w:t>
            </w:r>
          </w:p>
          <w:p w14:paraId="488842E3" w14:textId="77777777" w:rsidR="00AD7259" w:rsidRDefault="00AD7259" w:rsidP="41B041EA">
            <w:pPr>
              <w:pStyle w:val="TableText"/>
              <w:rPr>
                <w:sz w:val="18"/>
                <w:szCs w:val="18"/>
              </w:rPr>
            </w:pPr>
          </w:p>
          <w:p w14:paraId="7A169CC4" w14:textId="1C033C18" w:rsidR="00D07F5E" w:rsidRPr="00FB6DE0" w:rsidRDefault="0CBFC0DF" w:rsidP="41B041EA">
            <w:pPr>
              <w:pStyle w:val="TableText"/>
              <w:rPr>
                <w:sz w:val="18"/>
                <w:szCs w:val="18"/>
              </w:rPr>
            </w:pPr>
            <w:r w:rsidRPr="41B041EA">
              <w:rPr>
                <w:sz w:val="18"/>
                <w:szCs w:val="18"/>
              </w:rPr>
              <w:t>Dedicated and coheren</w:t>
            </w:r>
            <w:r w:rsidR="00C95A3C">
              <w:rPr>
                <w:sz w:val="18"/>
                <w:szCs w:val="18"/>
              </w:rPr>
              <w:t>t</w:t>
            </w:r>
            <w:r w:rsidRPr="41B041EA">
              <w:rPr>
                <w:sz w:val="18"/>
                <w:szCs w:val="18"/>
              </w:rPr>
              <w:t xml:space="preserve"> support within a sector/pillar.</w:t>
            </w:r>
          </w:p>
          <w:p w14:paraId="2C6360AB" w14:textId="01366B07" w:rsidR="00D07F5E" w:rsidRPr="00FB6DE0" w:rsidRDefault="5E0CF1AE" w:rsidP="41B041EA">
            <w:pPr>
              <w:pStyle w:val="TableText"/>
              <w:rPr>
                <w:sz w:val="18"/>
                <w:szCs w:val="18"/>
              </w:rPr>
            </w:pPr>
            <w:r w:rsidRPr="41B041EA">
              <w:rPr>
                <w:sz w:val="18"/>
                <w:szCs w:val="18"/>
              </w:rPr>
              <w:t>Better control of resources</w:t>
            </w:r>
            <w:r w:rsidR="0B79D93B" w:rsidRPr="41B041EA">
              <w:rPr>
                <w:sz w:val="18"/>
                <w:szCs w:val="18"/>
              </w:rPr>
              <w:t xml:space="preserve"> and support </w:t>
            </w:r>
            <w:r w:rsidR="00C95A3C">
              <w:rPr>
                <w:sz w:val="18"/>
                <w:szCs w:val="18"/>
              </w:rPr>
              <w:t xml:space="preserve">for </w:t>
            </w:r>
            <w:r w:rsidR="0B79D93B" w:rsidRPr="41B041EA">
              <w:rPr>
                <w:sz w:val="18"/>
                <w:szCs w:val="18"/>
              </w:rPr>
              <w:t>partner government reforms through corporate planning and annual planning processes.</w:t>
            </w:r>
          </w:p>
          <w:p w14:paraId="278CB2D3" w14:textId="4191386C" w:rsidR="00D07F5E" w:rsidRPr="00FB6DE0" w:rsidRDefault="33C28B30" w:rsidP="00830C56">
            <w:pPr>
              <w:pStyle w:val="TableText"/>
              <w:rPr>
                <w:sz w:val="18"/>
                <w:szCs w:val="18"/>
              </w:rPr>
            </w:pPr>
            <w:r w:rsidRPr="41B041EA">
              <w:rPr>
                <w:sz w:val="18"/>
                <w:szCs w:val="18"/>
              </w:rPr>
              <w:t>Support</w:t>
            </w:r>
            <w:r w:rsidR="002647E4">
              <w:rPr>
                <w:sz w:val="18"/>
                <w:szCs w:val="18"/>
              </w:rPr>
              <w:t>s</w:t>
            </w:r>
            <w:r w:rsidRPr="41B041EA">
              <w:rPr>
                <w:sz w:val="18"/>
                <w:szCs w:val="18"/>
              </w:rPr>
              <w:t xml:space="preserve"> partner government systems and processes and </w:t>
            </w:r>
            <w:r w:rsidRPr="41B041EA">
              <w:rPr>
                <w:sz w:val="18"/>
                <w:szCs w:val="18"/>
              </w:rPr>
              <w:lastRenderedPageBreak/>
              <w:t>enhances DFAT’s involvement in policy setting/direction.</w:t>
            </w:r>
          </w:p>
        </w:tc>
        <w:tc>
          <w:tcPr>
            <w:tcW w:w="3969" w:type="dxa"/>
          </w:tcPr>
          <w:p w14:paraId="5BB52197" w14:textId="77777777" w:rsidR="00D07F5E" w:rsidRPr="00FB6DE0" w:rsidRDefault="00D07F5E" w:rsidP="00830C56">
            <w:pPr>
              <w:pStyle w:val="TableText"/>
              <w:rPr>
                <w:noProof/>
                <w:sz w:val="18"/>
                <w:szCs w:val="18"/>
              </w:rPr>
            </w:pPr>
            <w:r w:rsidRPr="00FB6DE0">
              <w:rPr>
                <w:noProof/>
                <w:sz w:val="18"/>
                <w:szCs w:val="18"/>
                <w:lang w:val="en-US"/>
              </w:rPr>
              <w:lastRenderedPageBreak/>
              <w:t>Higher Post resourcing unlikely.</w:t>
            </w:r>
          </w:p>
          <w:p w14:paraId="4ED68EFF" w14:textId="77777777" w:rsidR="00D07F5E" w:rsidRPr="00FB6DE0" w:rsidRDefault="00D07F5E" w:rsidP="00830C56">
            <w:pPr>
              <w:pStyle w:val="TableText"/>
              <w:rPr>
                <w:noProof/>
                <w:sz w:val="18"/>
                <w:szCs w:val="18"/>
              </w:rPr>
            </w:pPr>
            <w:r w:rsidRPr="00FB6DE0">
              <w:rPr>
                <w:noProof/>
                <w:sz w:val="18"/>
                <w:szCs w:val="18"/>
                <w:lang w:val="en-US"/>
              </w:rPr>
              <w:t>Less value-add of ‘dumb’ contractor.</w:t>
            </w:r>
          </w:p>
          <w:p w14:paraId="7D47A6E1" w14:textId="3FD8910F" w:rsidR="00D07F5E" w:rsidRPr="00FB6DE0" w:rsidRDefault="7E12A0EA" w:rsidP="41B041EA">
            <w:pPr>
              <w:pStyle w:val="TableText"/>
              <w:rPr>
                <w:noProof/>
                <w:sz w:val="18"/>
                <w:szCs w:val="18"/>
              </w:rPr>
            </w:pPr>
            <w:r w:rsidRPr="41B041EA">
              <w:rPr>
                <w:noProof/>
                <w:sz w:val="18"/>
                <w:szCs w:val="18"/>
                <w:lang w:val="en-US"/>
              </w:rPr>
              <w:t xml:space="preserve">Cross-sectoral coherence may be harder to attain. Recent TASP momentum </w:t>
            </w:r>
            <w:r w:rsidRPr="41B041EA">
              <w:rPr>
                <w:sz w:val="18"/>
                <w:szCs w:val="18"/>
                <w:lang w:val="en-US"/>
              </w:rPr>
              <w:t>would likely be lost.</w:t>
            </w:r>
          </w:p>
          <w:p w14:paraId="528598C0" w14:textId="6D0AD053" w:rsidR="00D07F5E" w:rsidRPr="00FB6DE0" w:rsidRDefault="00D07F5E" w:rsidP="41B041EA">
            <w:pPr>
              <w:pStyle w:val="TableText"/>
              <w:rPr>
                <w:sz w:val="18"/>
                <w:szCs w:val="18"/>
                <w:lang w:val="en-US"/>
              </w:rPr>
            </w:pPr>
          </w:p>
          <w:p w14:paraId="7390B6EF" w14:textId="6EB2473A" w:rsidR="00D07F5E" w:rsidRPr="00FB6DE0" w:rsidRDefault="00DF1F27" w:rsidP="41B041EA">
            <w:pPr>
              <w:pStyle w:val="TableText"/>
              <w:rPr>
                <w:sz w:val="18"/>
                <w:szCs w:val="18"/>
                <w:lang w:val="en-US"/>
              </w:rPr>
            </w:pPr>
            <w:r w:rsidRPr="41B041EA">
              <w:rPr>
                <w:sz w:val="18"/>
                <w:szCs w:val="18"/>
                <w:lang w:val="en-US"/>
              </w:rPr>
              <w:t>The fun</w:t>
            </w:r>
            <w:r w:rsidR="003B24AD">
              <w:rPr>
                <w:sz w:val="18"/>
                <w:szCs w:val="18"/>
                <w:lang w:val="en-US"/>
              </w:rPr>
              <w:t>gi</w:t>
            </w:r>
            <w:r w:rsidRPr="41B041EA">
              <w:rPr>
                <w:sz w:val="18"/>
                <w:szCs w:val="18"/>
                <w:lang w:val="en-US"/>
              </w:rPr>
              <w:t>bility</w:t>
            </w:r>
            <w:r w:rsidR="43A97788" w:rsidRPr="41B041EA">
              <w:rPr>
                <w:sz w:val="18"/>
                <w:szCs w:val="18"/>
                <w:lang w:val="en-US"/>
              </w:rPr>
              <w:t xml:space="preserve"> </w:t>
            </w:r>
            <w:r w:rsidR="39EB2574" w:rsidRPr="41B041EA">
              <w:rPr>
                <w:sz w:val="18"/>
                <w:szCs w:val="18"/>
                <w:lang w:val="en-US"/>
              </w:rPr>
              <w:t xml:space="preserve">of DFAT </w:t>
            </w:r>
            <w:r w:rsidR="43A97788" w:rsidRPr="41B041EA">
              <w:rPr>
                <w:sz w:val="18"/>
                <w:szCs w:val="18"/>
                <w:lang w:val="en-US"/>
              </w:rPr>
              <w:t>funds diverts</w:t>
            </w:r>
            <w:r w:rsidR="1D556C1E" w:rsidRPr="41B041EA">
              <w:rPr>
                <w:sz w:val="18"/>
                <w:szCs w:val="18"/>
                <w:lang w:val="en-US"/>
              </w:rPr>
              <w:t xml:space="preserve"> resources</w:t>
            </w:r>
            <w:r w:rsidR="43A97788" w:rsidRPr="41B041EA">
              <w:rPr>
                <w:sz w:val="18"/>
                <w:szCs w:val="18"/>
                <w:lang w:val="en-US"/>
              </w:rPr>
              <w:t xml:space="preserve"> to non-</w:t>
            </w:r>
            <w:proofErr w:type="spellStart"/>
            <w:r w:rsidR="43A97788" w:rsidRPr="41B041EA">
              <w:rPr>
                <w:sz w:val="18"/>
                <w:szCs w:val="18"/>
                <w:lang w:val="en-US"/>
              </w:rPr>
              <w:t>prioriti</w:t>
            </w:r>
            <w:r w:rsidR="002647E4">
              <w:rPr>
                <w:sz w:val="18"/>
                <w:szCs w:val="18"/>
                <w:lang w:val="en-US"/>
              </w:rPr>
              <w:t>s</w:t>
            </w:r>
            <w:r w:rsidR="43A97788" w:rsidRPr="41B041EA">
              <w:rPr>
                <w:sz w:val="18"/>
                <w:szCs w:val="18"/>
                <w:lang w:val="en-US"/>
              </w:rPr>
              <w:t>ed</w:t>
            </w:r>
            <w:proofErr w:type="spellEnd"/>
            <w:r w:rsidR="43A97788" w:rsidRPr="41B041EA">
              <w:rPr>
                <w:sz w:val="18"/>
                <w:szCs w:val="18"/>
                <w:lang w:val="en-US"/>
              </w:rPr>
              <w:t xml:space="preserve"> activities.</w:t>
            </w:r>
          </w:p>
          <w:p w14:paraId="1838B11E" w14:textId="4B1170C6" w:rsidR="00D07F5E" w:rsidRPr="00FB6DE0" w:rsidRDefault="16F0DD1F" w:rsidP="41B041EA">
            <w:pPr>
              <w:pStyle w:val="TableText"/>
              <w:rPr>
                <w:noProof/>
                <w:sz w:val="18"/>
                <w:szCs w:val="18"/>
                <w:lang w:val="en-US"/>
              </w:rPr>
            </w:pPr>
            <w:r w:rsidRPr="41B041EA">
              <w:rPr>
                <w:sz w:val="18"/>
                <w:szCs w:val="18"/>
                <w:lang w:val="en-US"/>
              </w:rPr>
              <w:t xml:space="preserve">Requires additional </w:t>
            </w:r>
            <w:r w:rsidR="43A97788" w:rsidRPr="41B041EA">
              <w:rPr>
                <w:sz w:val="18"/>
                <w:szCs w:val="18"/>
                <w:lang w:val="en-US"/>
              </w:rPr>
              <w:t>resourc</w:t>
            </w:r>
            <w:r w:rsidR="10BBDAE4" w:rsidRPr="41B041EA">
              <w:rPr>
                <w:sz w:val="18"/>
                <w:szCs w:val="18"/>
                <w:lang w:val="en-US"/>
              </w:rPr>
              <w:t>es in</w:t>
            </w:r>
            <w:r w:rsidR="00DF1F27">
              <w:rPr>
                <w:sz w:val="18"/>
                <w:szCs w:val="18"/>
                <w:lang w:val="en-US"/>
              </w:rPr>
              <w:t>-</w:t>
            </w:r>
            <w:r w:rsidR="10BBDAE4" w:rsidRPr="41B041EA">
              <w:rPr>
                <w:sz w:val="18"/>
                <w:szCs w:val="18"/>
                <w:lang w:val="en-US"/>
              </w:rPr>
              <w:t xml:space="preserve">house to manage </w:t>
            </w:r>
            <w:r w:rsidR="00902B1F">
              <w:rPr>
                <w:sz w:val="18"/>
                <w:szCs w:val="18"/>
                <w:lang w:val="en-US"/>
              </w:rPr>
              <w:t xml:space="preserve">- </w:t>
            </w:r>
            <w:r w:rsidR="10BBDAE4" w:rsidRPr="41B041EA">
              <w:rPr>
                <w:sz w:val="18"/>
                <w:szCs w:val="18"/>
                <w:lang w:val="en-US"/>
              </w:rPr>
              <w:t xml:space="preserve">perhaps </w:t>
            </w:r>
            <w:proofErr w:type="gramStart"/>
            <w:r w:rsidR="7F237B16" w:rsidRPr="41B041EA">
              <w:rPr>
                <w:sz w:val="18"/>
                <w:szCs w:val="18"/>
                <w:lang w:val="en-US"/>
              </w:rPr>
              <w:t>additional</w:t>
            </w:r>
            <w:r w:rsidR="10BBDAE4" w:rsidRPr="41B041EA">
              <w:rPr>
                <w:sz w:val="18"/>
                <w:szCs w:val="18"/>
                <w:lang w:val="en-US"/>
              </w:rPr>
              <w:t xml:space="preserve"> two</w:t>
            </w:r>
            <w:proofErr w:type="gramEnd"/>
            <w:r w:rsidR="10BBDAE4" w:rsidRPr="41B041EA">
              <w:rPr>
                <w:sz w:val="18"/>
                <w:szCs w:val="18"/>
                <w:lang w:val="en-US"/>
              </w:rPr>
              <w:t xml:space="preserve"> FTE staff</w:t>
            </w:r>
            <w:r w:rsidR="38AECDF9" w:rsidRPr="41B041EA">
              <w:rPr>
                <w:sz w:val="18"/>
                <w:szCs w:val="18"/>
                <w:lang w:val="en-US"/>
              </w:rPr>
              <w:t xml:space="preserve"> </w:t>
            </w:r>
            <w:r w:rsidR="10BBDAE4" w:rsidRPr="41B041EA">
              <w:rPr>
                <w:sz w:val="18"/>
                <w:szCs w:val="18"/>
                <w:lang w:val="en-US"/>
              </w:rPr>
              <w:t xml:space="preserve">plus A-Based oversight. </w:t>
            </w:r>
            <w:proofErr w:type="gramStart"/>
            <w:r w:rsidR="10BBDAE4" w:rsidRPr="41B041EA">
              <w:rPr>
                <w:sz w:val="18"/>
                <w:szCs w:val="18"/>
                <w:lang w:val="en-US"/>
              </w:rPr>
              <w:t>But</w:t>
            </w:r>
            <w:proofErr w:type="gramEnd"/>
            <w:r w:rsidR="10BBDAE4" w:rsidRPr="41B041EA">
              <w:rPr>
                <w:sz w:val="18"/>
                <w:szCs w:val="18"/>
                <w:lang w:val="en-US"/>
              </w:rPr>
              <w:t xml:space="preserve"> could be cheaper than managed by MC.</w:t>
            </w:r>
          </w:p>
        </w:tc>
      </w:tr>
    </w:tbl>
    <w:p w14:paraId="451BF325" w14:textId="77777777" w:rsidR="00D07F5E" w:rsidRDefault="00D07F5E" w:rsidP="00A348C7">
      <w:pPr>
        <w:sectPr w:rsidR="00D07F5E" w:rsidSect="00A6774F">
          <w:pgSz w:w="11906" w:h="16838"/>
          <w:pgMar w:top="568" w:right="1134" w:bottom="709" w:left="1134" w:header="851" w:footer="454" w:gutter="0"/>
          <w:pgNumType w:fmt="lowerRoman"/>
          <w:cols w:space="720"/>
        </w:sectPr>
      </w:pPr>
    </w:p>
    <w:p w14:paraId="6BC094DD" w14:textId="342C4D0F" w:rsidR="00194B11" w:rsidRPr="00DD59BB" w:rsidRDefault="000F1258" w:rsidP="00975249">
      <w:pPr>
        <w:pStyle w:val="ChapterHeading"/>
        <w:rPr>
          <w:highlight w:val="yellow"/>
        </w:rPr>
      </w:pPr>
      <w:bookmarkStart w:id="3" w:name="_Toc183423565"/>
      <w:r w:rsidRPr="00DD59BB">
        <w:lastRenderedPageBreak/>
        <w:t>Background and context</w:t>
      </w:r>
      <w:bookmarkEnd w:id="3"/>
      <w:r w:rsidRPr="00DD59BB">
        <w:t xml:space="preserve"> </w:t>
      </w:r>
    </w:p>
    <w:p w14:paraId="6BC094DF" w14:textId="46284D3F" w:rsidR="00194B11" w:rsidRDefault="000F1258" w:rsidP="00A348C7">
      <w:r>
        <w:t xml:space="preserve">The Tonga Australia Support Platform (TASP) is a multi-sector facility valued at up to AUD 25 million over an initial four-year phase (with a four-year extension option) with the current contract in place until 31 October 2025.  Established in November 2021, TASP primarily focuses on the delivery of four longstanding areas of </w:t>
      </w:r>
      <w:r w:rsidR="0BC22D5B">
        <w:t xml:space="preserve">bilateral </w:t>
      </w:r>
      <w:r>
        <w:t xml:space="preserve">cooperation to address Tonga’s human development and economic challenges: health; </w:t>
      </w:r>
      <w:r w:rsidR="00667F3F">
        <w:t xml:space="preserve">governance; </w:t>
      </w:r>
      <w:r>
        <w:t>skills and labour mobility; and gender</w:t>
      </w:r>
      <w:r w:rsidR="00667F3F">
        <w:t xml:space="preserve"> equality</w:t>
      </w:r>
      <w:r>
        <w:t>. The program was also designed to provide enabling support (advisers, monitoring and evaluation, activity funding and training) to the delivery of Australia’s broader bilateral development assistance priorities and funding (including budget support).</w:t>
      </w:r>
    </w:p>
    <w:p w14:paraId="23704ED5" w14:textId="77777777" w:rsidR="00AF43E1" w:rsidRDefault="00AF43E1" w:rsidP="00AF43E1">
      <w:r w:rsidRPr="004A3537">
        <w:t>The</w:t>
      </w:r>
      <w:r>
        <w:rPr>
          <w:b/>
        </w:rPr>
        <w:t xml:space="preserve"> Objective </w:t>
      </w:r>
      <w:r w:rsidRPr="004A3537">
        <w:rPr>
          <w:bCs/>
        </w:rPr>
        <w:t xml:space="preserve">of TASP </w:t>
      </w:r>
      <w:proofErr w:type="gramStart"/>
      <w:r w:rsidRPr="004A3537">
        <w:rPr>
          <w:bCs/>
        </w:rPr>
        <w:t>is</w:t>
      </w:r>
      <w:r>
        <w:t>:</w:t>
      </w:r>
      <w:proofErr w:type="gramEnd"/>
      <w:r>
        <w:t xml:space="preserve"> </w:t>
      </w:r>
      <w:r w:rsidRPr="0097511E">
        <w:rPr>
          <w:b/>
          <w:bCs/>
        </w:rPr>
        <w:t>Investments in priority areas as agreed by the Government of Tonga and Government of Australia are efficient, effective and equitable.</w:t>
      </w:r>
    </w:p>
    <w:p w14:paraId="268D0DA8" w14:textId="45DC2B34" w:rsidR="00AF43E1" w:rsidRDefault="00AF43E1" w:rsidP="00AF43E1">
      <w:r>
        <w:t xml:space="preserve">TASP aims to achieve two End of </w:t>
      </w:r>
      <w:r w:rsidR="002A076A">
        <w:t>Investment</w:t>
      </w:r>
      <w:r>
        <w:t xml:space="preserve"> Outcomes (EO</w:t>
      </w:r>
      <w:r w:rsidR="002A076A">
        <w:t>I</w:t>
      </w:r>
      <w:r>
        <w:t>Os)</w:t>
      </w:r>
      <w:r w:rsidR="0065078B">
        <w:t xml:space="preserve"> (also called End </w:t>
      </w:r>
      <w:r w:rsidR="001C6976">
        <w:t>o</w:t>
      </w:r>
      <w:r w:rsidR="0065078B">
        <w:t>f Program Outcomes (EOPOs)</w:t>
      </w:r>
      <w:r>
        <w:t xml:space="preserve">: </w:t>
      </w:r>
    </w:p>
    <w:p w14:paraId="0C51BC6D" w14:textId="396478ED" w:rsidR="00AF43E1" w:rsidRDefault="00AF43E1" w:rsidP="00AF43E1">
      <w:r>
        <w:rPr>
          <w:b/>
        </w:rPr>
        <w:t>EO</w:t>
      </w:r>
      <w:r w:rsidR="002A076A">
        <w:rPr>
          <w:b/>
        </w:rPr>
        <w:t>I</w:t>
      </w:r>
      <w:r>
        <w:rPr>
          <w:b/>
        </w:rPr>
        <w:t>O1</w:t>
      </w:r>
      <w:r>
        <w:t xml:space="preserve">: </w:t>
      </w:r>
      <w:r w:rsidRPr="0092232B">
        <w:rPr>
          <w:b/>
          <w:bCs/>
        </w:rPr>
        <w:t>Tonga realises equitable development outcomes for investments in priority areas as agreed in TASP annual plans</w:t>
      </w:r>
      <w:r>
        <w:t>.</w:t>
      </w:r>
    </w:p>
    <w:p w14:paraId="36B665A2" w14:textId="5E7FFDF4" w:rsidR="00AF43E1" w:rsidRDefault="00AF43E1" w:rsidP="00AF43E1">
      <w:r>
        <w:rPr>
          <w:b/>
        </w:rPr>
        <w:t>EO</w:t>
      </w:r>
      <w:r w:rsidR="002A076A">
        <w:rPr>
          <w:b/>
        </w:rPr>
        <w:t>I</w:t>
      </w:r>
      <w:r>
        <w:rPr>
          <w:b/>
        </w:rPr>
        <w:t>O2</w:t>
      </w:r>
      <w:r>
        <w:t xml:space="preserve">: </w:t>
      </w:r>
      <w:r w:rsidRPr="0092232B">
        <w:rPr>
          <w:b/>
          <w:bCs/>
        </w:rPr>
        <w:t>Tonga benefits from efficient and equitable development program management support for investments in priority areas</w:t>
      </w:r>
      <w:r>
        <w:t>.</w:t>
      </w:r>
    </w:p>
    <w:p w14:paraId="481BEAD7" w14:textId="426F8C98" w:rsidR="007D2419" w:rsidRDefault="007D2419" w:rsidP="00D150E1">
      <w:pPr>
        <w:rPr>
          <w:iCs/>
        </w:rPr>
      </w:pPr>
      <w:r>
        <w:rPr>
          <w:iCs/>
        </w:rPr>
        <w:t xml:space="preserve">Under the design-implement model each pillar was to have </w:t>
      </w:r>
      <w:r w:rsidR="006077AC">
        <w:rPr>
          <w:iCs/>
        </w:rPr>
        <w:t>its</w:t>
      </w:r>
      <w:r w:rsidR="006077AC" w:rsidRPr="00223944">
        <w:rPr>
          <w:iCs/>
        </w:rPr>
        <w:t xml:space="preserve"> </w:t>
      </w:r>
      <w:r w:rsidRPr="00223944">
        <w:rPr>
          <w:iCs/>
        </w:rPr>
        <w:t xml:space="preserve">own </w:t>
      </w:r>
      <w:r>
        <w:rPr>
          <w:iCs/>
        </w:rPr>
        <w:t>sub-</w:t>
      </w:r>
      <w:r w:rsidRPr="00223944">
        <w:rPr>
          <w:iCs/>
        </w:rPr>
        <w:t xml:space="preserve">design, </w:t>
      </w:r>
      <w:r>
        <w:rPr>
          <w:iCs/>
        </w:rPr>
        <w:t xml:space="preserve">annual workplans, </w:t>
      </w:r>
      <w:r w:rsidRPr="00223944">
        <w:rPr>
          <w:iCs/>
        </w:rPr>
        <w:t>performance framework and accountabilities.</w:t>
      </w:r>
      <w:r>
        <w:rPr>
          <w:iCs/>
        </w:rPr>
        <w:t xml:space="preserve"> </w:t>
      </w:r>
    </w:p>
    <w:p w14:paraId="25E8F321" w14:textId="08152DE1" w:rsidR="00F90686" w:rsidRDefault="004F39A9" w:rsidP="00D150E1">
      <w:pPr>
        <w:rPr>
          <w:iCs/>
        </w:rPr>
      </w:pPr>
      <w:r>
        <w:rPr>
          <w:iCs/>
        </w:rPr>
        <w:t xml:space="preserve">The </w:t>
      </w:r>
      <w:r w:rsidR="00DF04CE">
        <w:rPr>
          <w:iCs/>
        </w:rPr>
        <w:t xml:space="preserve">Health pillar </w:t>
      </w:r>
      <w:r w:rsidR="00667F3F">
        <w:rPr>
          <w:iCs/>
        </w:rPr>
        <w:t>is a</w:t>
      </w:r>
      <w:r w:rsidR="00DF04CE">
        <w:rPr>
          <w:iCs/>
        </w:rPr>
        <w:t xml:space="preserve"> novated</w:t>
      </w:r>
      <w:r w:rsidR="006508D1">
        <w:rPr>
          <w:iCs/>
        </w:rPr>
        <w:t xml:space="preserve"> program of work aligned with the</w:t>
      </w:r>
      <w:r w:rsidR="00AB1AC4">
        <w:rPr>
          <w:iCs/>
        </w:rPr>
        <w:t xml:space="preserve"> </w:t>
      </w:r>
      <w:r w:rsidR="00AA210F">
        <w:rPr>
          <w:iCs/>
        </w:rPr>
        <w:t>Australian Government</w:t>
      </w:r>
      <w:r w:rsidR="006508D1">
        <w:rPr>
          <w:iCs/>
        </w:rPr>
        <w:t>’s twenty year</w:t>
      </w:r>
      <w:r w:rsidR="00AA210F">
        <w:rPr>
          <w:iCs/>
        </w:rPr>
        <w:t xml:space="preserve"> commitment</w:t>
      </w:r>
      <w:r w:rsidR="002570CF">
        <w:rPr>
          <w:iCs/>
        </w:rPr>
        <w:t>,</w:t>
      </w:r>
      <w:r w:rsidR="002555BD">
        <w:rPr>
          <w:iCs/>
        </w:rPr>
        <w:t xml:space="preserve"> </w:t>
      </w:r>
      <w:r w:rsidR="00F84A8A">
        <w:rPr>
          <w:iCs/>
        </w:rPr>
        <w:t xml:space="preserve">with </w:t>
      </w:r>
      <w:r w:rsidR="00196F6D">
        <w:rPr>
          <w:iCs/>
        </w:rPr>
        <w:t xml:space="preserve">implementation </w:t>
      </w:r>
      <w:r w:rsidR="003124E6">
        <w:rPr>
          <w:iCs/>
        </w:rPr>
        <w:t xml:space="preserve">in line with the </w:t>
      </w:r>
      <w:r w:rsidR="00846099">
        <w:rPr>
          <w:iCs/>
        </w:rPr>
        <w:t xml:space="preserve">Tonga Health </w:t>
      </w:r>
      <w:r w:rsidR="00747318">
        <w:rPr>
          <w:iCs/>
        </w:rPr>
        <w:t xml:space="preserve">Systems </w:t>
      </w:r>
      <w:r w:rsidR="00846099">
        <w:rPr>
          <w:iCs/>
        </w:rPr>
        <w:t>Support Program – Phase 3 (THSSP3)</w:t>
      </w:r>
      <w:r w:rsidR="003124E6">
        <w:rPr>
          <w:iCs/>
        </w:rPr>
        <w:t xml:space="preserve"> Design D</w:t>
      </w:r>
      <w:r w:rsidR="00AF03CE">
        <w:rPr>
          <w:iCs/>
        </w:rPr>
        <w:t>o</w:t>
      </w:r>
      <w:r w:rsidR="003124E6">
        <w:rPr>
          <w:iCs/>
        </w:rPr>
        <w:t>cument</w:t>
      </w:r>
      <w:r w:rsidR="00AF03CE">
        <w:rPr>
          <w:iCs/>
        </w:rPr>
        <w:t xml:space="preserve"> </w:t>
      </w:r>
      <w:r w:rsidR="00F143E3">
        <w:rPr>
          <w:iCs/>
        </w:rPr>
        <w:t xml:space="preserve">(2023) </w:t>
      </w:r>
      <w:r w:rsidR="00A20D51">
        <w:rPr>
          <w:iCs/>
        </w:rPr>
        <w:t xml:space="preserve">and its associated </w:t>
      </w:r>
      <w:r w:rsidR="00F66212">
        <w:rPr>
          <w:iCs/>
        </w:rPr>
        <w:t xml:space="preserve">pillar logic </w:t>
      </w:r>
      <w:r w:rsidR="00502D55">
        <w:rPr>
          <w:iCs/>
        </w:rPr>
        <w:t>with end of phase outcomes</w:t>
      </w:r>
      <w:r w:rsidR="006A4ECF">
        <w:rPr>
          <w:iCs/>
        </w:rPr>
        <w:t xml:space="preserve"> (see </w:t>
      </w:r>
      <w:hyperlink w:anchor="_Annex_6:_–" w:history="1">
        <w:r w:rsidR="006A4ECF" w:rsidRPr="00FB0240">
          <w:rPr>
            <w:rStyle w:val="Hyperlink"/>
            <w:iCs/>
            <w:color w:val="auto"/>
          </w:rPr>
          <w:t xml:space="preserve">Annex </w:t>
        </w:r>
        <w:r w:rsidR="006A4ECF" w:rsidRPr="00AB1AC4">
          <w:rPr>
            <w:rStyle w:val="Hyperlink"/>
            <w:iCs/>
          </w:rPr>
          <w:t>6</w:t>
        </w:r>
      </w:hyperlink>
      <w:r w:rsidR="006A4ECF">
        <w:rPr>
          <w:iCs/>
        </w:rPr>
        <w:t>).</w:t>
      </w:r>
      <w:r w:rsidR="00F66212">
        <w:rPr>
          <w:iCs/>
        </w:rPr>
        <w:t xml:space="preserve"> </w:t>
      </w:r>
    </w:p>
    <w:p w14:paraId="7E9C4550" w14:textId="3B5DCC67" w:rsidR="00797D3C" w:rsidRDefault="003220DA" w:rsidP="00D150E1">
      <w:pPr>
        <w:rPr>
          <w:iCs/>
        </w:rPr>
      </w:pPr>
      <w:r>
        <w:rPr>
          <w:iCs/>
        </w:rPr>
        <w:t>The Economic Governance pillar</w:t>
      </w:r>
      <w:r w:rsidR="009A2215">
        <w:rPr>
          <w:iCs/>
        </w:rPr>
        <w:t xml:space="preserve"> follows DFAT investment in economic and public sector governance since 2009 and </w:t>
      </w:r>
      <w:r w:rsidR="003A7088">
        <w:rPr>
          <w:iCs/>
        </w:rPr>
        <w:t>is being implemented against the Tonga Economic Governance Support design (TEGS IDD, 2020-2023)</w:t>
      </w:r>
      <w:r w:rsidR="00823C71">
        <w:rPr>
          <w:iCs/>
        </w:rPr>
        <w:t xml:space="preserve"> </w:t>
      </w:r>
      <w:r w:rsidR="004A2F79">
        <w:rPr>
          <w:iCs/>
        </w:rPr>
        <w:t xml:space="preserve">and the pillar logic with end of phase outcomes (see </w:t>
      </w:r>
      <w:hyperlink w:anchor="_Annex_7:_Governance" w:history="1">
        <w:r w:rsidR="004A2F79" w:rsidRPr="004A2F79">
          <w:rPr>
            <w:rStyle w:val="Hyperlink"/>
            <w:iCs/>
          </w:rPr>
          <w:t>Annex 7</w:t>
        </w:r>
      </w:hyperlink>
      <w:r w:rsidR="004A2F79">
        <w:rPr>
          <w:iCs/>
        </w:rPr>
        <w:t>)</w:t>
      </w:r>
      <w:r w:rsidR="009A2215">
        <w:rPr>
          <w:iCs/>
        </w:rPr>
        <w:t xml:space="preserve">. </w:t>
      </w:r>
    </w:p>
    <w:p w14:paraId="3E2B7F95" w14:textId="22B3E83A" w:rsidR="00B4599B" w:rsidRDefault="00365C40" w:rsidP="00D150E1">
      <w:r>
        <w:t>The Skills and Labour Mobility pillar proved problematic, with</w:t>
      </w:r>
      <w:r w:rsidR="00F05AEF">
        <w:t xml:space="preserve"> </w:t>
      </w:r>
      <w:r w:rsidR="0004753E">
        <w:t>TASP</w:t>
      </w:r>
      <w:r>
        <w:t xml:space="preserve"> unable to</w:t>
      </w:r>
      <w:r w:rsidR="0004753E">
        <w:t xml:space="preserve"> deliver </w:t>
      </w:r>
      <w:r>
        <w:t>a design</w:t>
      </w:r>
      <w:r w:rsidR="007B1F12">
        <w:t xml:space="preserve"> strategy</w:t>
      </w:r>
      <w:r w:rsidR="00470827">
        <w:t xml:space="preserve"> acceptable</w:t>
      </w:r>
      <w:r w:rsidR="00761DBC">
        <w:t xml:space="preserve"> </w:t>
      </w:r>
      <w:r w:rsidR="007B1F12">
        <w:t>to DFAT.</w:t>
      </w:r>
      <w:r w:rsidR="001B4C6D">
        <w:t xml:space="preserve"> </w:t>
      </w:r>
      <w:r w:rsidR="00FA7EB9">
        <w:t xml:space="preserve">Given this, and the parallel preparation of a new </w:t>
      </w:r>
      <w:r w:rsidR="00A105D0">
        <w:t xml:space="preserve">regional Pacific Labour Mobility Support Program, </w:t>
      </w:r>
      <w:r w:rsidR="007C03B9">
        <w:t xml:space="preserve">the AHC </w:t>
      </w:r>
      <w:r w:rsidR="00016847">
        <w:t xml:space="preserve">decided to narrow TASP’s focus to </w:t>
      </w:r>
      <w:r w:rsidR="00EF786A">
        <w:t>skills</w:t>
      </w:r>
      <w:r w:rsidR="00816496">
        <w:t xml:space="preserve"> activities </w:t>
      </w:r>
      <w:r w:rsidR="009B5EE2">
        <w:t>that could realistically be implemented within TASP’s remaining timeframe.</w:t>
      </w:r>
      <w:r w:rsidR="00816496">
        <w:t xml:space="preserve"> </w:t>
      </w:r>
      <w:r w:rsidR="006E4DB4">
        <w:t>TASP produced</w:t>
      </w:r>
      <w:r w:rsidR="0007255A">
        <w:t xml:space="preserve"> a</w:t>
      </w:r>
      <w:r w:rsidR="001F54BC">
        <w:t xml:space="preserve"> </w:t>
      </w:r>
      <w:r w:rsidR="00C45193">
        <w:t>‘</w:t>
      </w:r>
      <w:r w:rsidR="0072116B">
        <w:t>S</w:t>
      </w:r>
      <w:r w:rsidR="001F54BC">
        <w:t xml:space="preserve">kills </w:t>
      </w:r>
      <w:r w:rsidR="004C3789">
        <w:t>Development Interventions – Summary Table</w:t>
      </w:r>
      <w:r w:rsidR="00C45193">
        <w:t>’</w:t>
      </w:r>
      <w:r w:rsidR="00921B90">
        <w:t xml:space="preserve"> (April 2024)</w:t>
      </w:r>
      <w:r w:rsidR="0033110C">
        <w:t xml:space="preserve"> which,</w:t>
      </w:r>
      <w:r w:rsidR="00CB2C50">
        <w:t xml:space="preserve"> </w:t>
      </w:r>
      <w:r w:rsidR="00B24324">
        <w:t>a</w:t>
      </w:r>
      <w:r w:rsidR="00CB2C50">
        <w:t xml:space="preserve">t the time of evaluation, </w:t>
      </w:r>
      <w:r w:rsidR="00F91DF4">
        <w:t xml:space="preserve">was still being negotiated </w:t>
      </w:r>
      <w:r w:rsidR="009B667D">
        <w:t>with</w:t>
      </w:r>
      <w:r w:rsidR="00F91DF4">
        <w:t xml:space="preserve"> DFAT</w:t>
      </w:r>
      <w:r w:rsidR="007C3507">
        <w:t>.</w:t>
      </w:r>
      <w:r w:rsidR="00925A23">
        <w:t xml:space="preserve"> </w:t>
      </w:r>
    </w:p>
    <w:p w14:paraId="2C2A8B2F" w14:textId="54DEFB9F" w:rsidR="005C2662" w:rsidRDefault="00B4599B" w:rsidP="00D150E1">
      <w:r>
        <w:t>For the Gender Equality pillar, a</w:t>
      </w:r>
      <w:r w:rsidR="00B66FEC">
        <w:t xml:space="preserve"> GEDSI Action Plan </w:t>
      </w:r>
      <w:r w:rsidR="00D05334">
        <w:t>aligned with DFAT’s Gender Country Plan</w:t>
      </w:r>
      <w:r w:rsidR="00E263CE">
        <w:t xml:space="preserve"> was </w:t>
      </w:r>
      <w:r w:rsidR="00D05334">
        <w:t>nearing</w:t>
      </w:r>
      <w:r w:rsidR="00E263CE">
        <w:t xml:space="preserve"> finalisation</w:t>
      </w:r>
      <w:r>
        <w:t xml:space="preserve"> </w:t>
      </w:r>
      <w:r w:rsidR="00D05334">
        <w:t>at the time of the evaluation</w:t>
      </w:r>
      <w:r w:rsidR="00E263CE">
        <w:t xml:space="preserve">. </w:t>
      </w:r>
    </w:p>
    <w:p w14:paraId="6BC094E1" w14:textId="5A684096" w:rsidR="00194B11" w:rsidRDefault="00034280" w:rsidP="00A348C7">
      <w:r>
        <w:t xml:space="preserve">With </w:t>
      </w:r>
      <w:r w:rsidR="000D157F">
        <w:t xml:space="preserve">12 </w:t>
      </w:r>
      <w:r w:rsidR="000F1258">
        <w:t>months remaining on the current contract</w:t>
      </w:r>
      <w:r w:rsidR="006760E1">
        <w:t>,</w:t>
      </w:r>
      <w:r>
        <w:t xml:space="preserve"> t</w:t>
      </w:r>
      <w:r w:rsidR="000F1258">
        <w:t xml:space="preserve">he evaluation </w:t>
      </w:r>
      <w:r w:rsidR="00AF43E1">
        <w:t>is also intended to</w:t>
      </w:r>
      <w:r w:rsidR="000F1258">
        <w:t xml:space="preserve"> support management (evidence and analysis to inform decision making), accountability (demonstrate effectiveness) and learning (understand what does or does not work and why) as part of DFAT’s commitment to good and effective practice </w:t>
      </w:r>
      <w:r w:rsidR="00AF43E1">
        <w:t xml:space="preserve">in development </w:t>
      </w:r>
      <w:r w:rsidR="000F1258">
        <w:t>assistan</w:t>
      </w:r>
      <w:r w:rsidR="00AF43E1">
        <w:t>ce</w:t>
      </w:r>
      <w:r w:rsidR="000F1258">
        <w:t xml:space="preserve"> programs.</w:t>
      </w:r>
    </w:p>
    <w:p w14:paraId="4B640224" w14:textId="021F2C89" w:rsidR="00AF43E1" w:rsidRPr="00AF3A69" w:rsidRDefault="00AF43E1" w:rsidP="00AF43E1">
      <w:r>
        <w:t xml:space="preserve">The primary audience for this evaluation is DFAT, particularly the team managing TASP, at Nuku’alofa Post led by the Development Counsellor and First Secretary, Development. The current TASP implementing team, and the current managing contractor, DT Global will also benefit from this Evaluation. Other stakeholders with an interest would include relevant </w:t>
      </w:r>
      <w:proofErr w:type="spellStart"/>
      <w:r>
        <w:t>GoT</w:t>
      </w:r>
      <w:proofErr w:type="spellEnd"/>
      <w:r>
        <w:t xml:space="preserve"> Ministries, civil society groups, and other development partners and programs.</w:t>
      </w:r>
    </w:p>
    <w:p w14:paraId="6BC094E2" w14:textId="05AE0E33" w:rsidR="00194B11" w:rsidRDefault="000F1258" w:rsidP="00DD59BB">
      <w:r>
        <w:lastRenderedPageBreak/>
        <w:t xml:space="preserve">The </w:t>
      </w:r>
      <w:r w:rsidR="000161D8">
        <w:t xml:space="preserve">evaluation </w:t>
      </w:r>
      <w:r>
        <w:t xml:space="preserve">team </w:t>
      </w:r>
      <w:r w:rsidR="00AF43E1">
        <w:t xml:space="preserve">has </w:t>
      </w:r>
      <w:r>
        <w:t>pa</w:t>
      </w:r>
      <w:r w:rsidR="00AF43E1">
        <w:t>id</w:t>
      </w:r>
      <w:r>
        <w:t xml:space="preserve"> particular attention to the delivery modality of TASP as a Facility. While facilities can offer efficiencies and help streamline program management for DFAT, they can also encounter challenges relating to complexity and coherence, and can risk </w:t>
      </w:r>
      <w:proofErr w:type="gramStart"/>
      <w:r>
        <w:t>being</w:t>
      </w:r>
      <w:proofErr w:type="gramEnd"/>
      <w:r>
        <w:t xml:space="preserve"> diverted from core objectives if not carefully managed. </w:t>
      </w:r>
      <w:r w:rsidR="00AF43E1">
        <w:t xml:space="preserve">DFAT’s </w:t>
      </w:r>
      <w:r>
        <w:t>2018 Facilities Review</w:t>
      </w:r>
      <w:r w:rsidR="00AF43E1">
        <w:rPr>
          <w:rStyle w:val="FootnoteReference"/>
        </w:rPr>
        <w:footnoteReference w:id="4"/>
      </w:r>
      <w:r>
        <w:t xml:space="preserve"> offers useful pointers to some of these issues.</w:t>
      </w:r>
    </w:p>
    <w:p w14:paraId="6BC094EE" w14:textId="729331F5" w:rsidR="00194B11" w:rsidRDefault="000F1258" w:rsidP="00CC451C">
      <w:pPr>
        <w:pStyle w:val="ChapterHeading"/>
        <w:keepNext/>
        <w:pageBreakBefore w:val="0"/>
        <w:rPr>
          <w:highlight w:val="yellow"/>
        </w:rPr>
      </w:pPr>
      <w:bookmarkStart w:id="4" w:name="_Toc183423566"/>
      <w:r>
        <w:t>Approach and methodology</w:t>
      </w:r>
      <w:bookmarkEnd w:id="4"/>
      <w:r>
        <w:t xml:space="preserve"> </w:t>
      </w:r>
    </w:p>
    <w:p w14:paraId="6BC094F0" w14:textId="77777777" w:rsidR="00194B11" w:rsidRPr="00442DBC" w:rsidRDefault="000F1258" w:rsidP="00442DBC">
      <w:pPr>
        <w:pStyle w:val="Heading1"/>
      </w:pPr>
      <w:bookmarkStart w:id="5" w:name="_Toc183423567"/>
      <w:r w:rsidRPr="00442DBC">
        <w:t>Key evaluation questions</w:t>
      </w:r>
      <w:bookmarkEnd w:id="5"/>
    </w:p>
    <w:p w14:paraId="6BC094F1" w14:textId="1B1EDB1C" w:rsidR="00194B11" w:rsidRDefault="000F1258" w:rsidP="00A348C7">
      <w:r>
        <w:t xml:space="preserve">This evaluation focuses on the </w:t>
      </w:r>
      <w:r w:rsidR="000161D8">
        <w:t xml:space="preserve">following two overarching guiding questions and </w:t>
      </w:r>
      <w:r>
        <w:t>seven key evaluation questions (KEQs) shown in Table 1</w:t>
      </w:r>
      <w:r w:rsidR="00520BA4">
        <w:t xml:space="preserve"> below.</w:t>
      </w:r>
    </w:p>
    <w:p w14:paraId="142C838D" w14:textId="77777777" w:rsidR="00520BA4" w:rsidRPr="00044BD8" w:rsidRDefault="00520BA4" w:rsidP="00A348C7">
      <w:pPr>
        <w:rPr>
          <w:b/>
          <w:bCs/>
        </w:rPr>
      </w:pPr>
      <w:r w:rsidRPr="00044BD8">
        <w:rPr>
          <w:b/>
          <w:bCs/>
        </w:rPr>
        <w:t>The Guiding Questions are:</w:t>
      </w:r>
    </w:p>
    <w:p w14:paraId="2EC3F914" w14:textId="77777777" w:rsidR="00400A76" w:rsidRPr="004E6801" w:rsidRDefault="00400A76" w:rsidP="00803578">
      <w:pPr>
        <w:pStyle w:val="ListNumber"/>
        <w:numPr>
          <w:ilvl w:val="0"/>
          <w:numId w:val="28"/>
        </w:numPr>
        <w:rPr>
          <w:b/>
        </w:rPr>
      </w:pPr>
      <w:r w:rsidRPr="00A348C7">
        <w:t xml:space="preserve">Is TASP contextually appropriate as a model for efficient and effective delivery of bilateral development assistance in Tonga? </w:t>
      </w:r>
    </w:p>
    <w:p w14:paraId="2F3734B5" w14:textId="1C98EF35" w:rsidR="00400A76" w:rsidRPr="00044BD8" w:rsidRDefault="00400A76" w:rsidP="00803578">
      <w:pPr>
        <w:pStyle w:val="ListNumber"/>
        <w:numPr>
          <w:ilvl w:val="0"/>
          <w:numId w:val="25"/>
        </w:numPr>
        <w:rPr>
          <w:b/>
        </w:rPr>
      </w:pPr>
      <w:r w:rsidRPr="00A348C7">
        <w:t>Does TASP remain the best model to support delivery of Australia’s ODA to Tonga and what lessons can be applied from the existing model to inform future directions?</w:t>
      </w:r>
      <w:r w:rsidR="00044BD8">
        <w:br/>
      </w:r>
    </w:p>
    <w:p w14:paraId="6BC094F2" w14:textId="77777777" w:rsidR="00194B11" w:rsidRPr="00DD59BB" w:rsidRDefault="000F1258" w:rsidP="00044BD8">
      <w:pPr>
        <w:pStyle w:val="TableHeadingBlue"/>
      </w:pPr>
      <w:bookmarkStart w:id="6" w:name="Table1"/>
      <w:r w:rsidRPr="00DD59BB">
        <w:t>Table 1</w:t>
      </w:r>
      <w:bookmarkEnd w:id="6"/>
      <w:r w:rsidRPr="00DD59BB">
        <w:t>: Key evaluation questions</w:t>
      </w:r>
    </w:p>
    <w:tbl>
      <w:tblPr>
        <w:tblW w:w="9855"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left w:w="85" w:type="dxa"/>
          <w:bottom w:w="85" w:type="dxa"/>
          <w:right w:w="85" w:type="dxa"/>
        </w:tblCellMar>
        <w:tblLook w:val="04A0" w:firstRow="1" w:lastRow="0" w:firstColumn="1" w:lastColumn="0" w:noHBand="0" w:noVBand="1"/>
      </w:tblPr>
      <w:tblGrid>
        <w:gridCol w:w="1378"/>
        <w:gridCol w:w="8477"/>
      </w:tblGrid>
      <w:tr w:rsidR="00D045F3" w:rsidRPr="00651C2F" w14:paraId="6BC094F5" w14:textId="77777777" w:rsidTr="00850AF1">
        <w:trPr>
          <w:tblHeader/>
        </w:trPr>
        <w:tc>
          <w:tcPr>
            <w:tcW w:w="1378" w:type="dxa"/>
            <w:shd w:val="clear" w:color="auto" w:fill="1D336D" w:themeFill="background2"/>
          </w:tcPr>
          <w:p w14:paraId="6BC094F3" w14:textId="77777777" w:rsidR="00194B11" w:rsidRPr="00651C2F" w:rsidRDefault="000F1258" w:rsidP="00A348C7">
            <w:pPr>
              <w:pStyle w:val="TableHeading"/>
              <w:rPr>
                <w:sz w:val="18"/>
                <w:szCs w:val="18"/>
              </w:rPr>
            </w:pPr>
            <w:r w:rsidRPr="00651C2F">
              <w:rPr>
                <w:sz w:val="18"/>
                <w:szCs w:val="18"/>
              </w:rPr>
              <w:t>Criteria</w:t>
            </w:r>
          </w:p>
        </w:tc>
        <w:tc>
          <w:tcPr>
            <w:tcW w:w="8477" w:type="dxa"/>
            <w:shd w:val="clear" w:color="auto" w:fill="1D336D" w:themeFill="background2"/>
          </w:tcPr>
          <w:p w14:paraId="6BC094F4" w14:textId="77777777" w:rsidR="00194B11" w:rsidRPr="00651C2F" w:rsidRDefault="000F1258" w:rsidP="00A348C7">
            <w:pPr>
              <w:pStyle w:val="TableHeading"/>
              <w:rPr>
                <w:sz w:val="18"/>
                <w:szCs w:val="18"/>
              </w:rPr>
            </w:pPr>
            <w:r w:rsidRPr="00651C2F">
              <w:rPr>
                <w:sz w:val="18"/>
                <w:szCs w:val="18"/>
              </w:rPr>
              <w:t>Key Question(s)</w:t>
            </w:r>
          </w:p>
        </w:tc>
      </w:tr>
      <w:tr w:rsidR="00A348C7" w:rsidRPr="00651C2F" w14:paraId="6BC094F8" w14:textId="77777777" w:rsidTr="00897D79">
        <w:trPr>
          <w:trHeight w:val="323"/>
        </w:trPr>
        <w:tc>
          <w:tcPr>
            <w:tcW w:w="1378" w:type="dxa"/>
            <w:shd w:val="clear" w:color="auto" w:fill="auto"/>
          </w:tcPr>
          <w:p w14:paraId="6BC094F6" w14:textId="000CDBCE" w:rsidR="00194B11" w:rsidRPr="00651C2F" w:rsidRDefault="000F1258" w:rsidP="00A348C7">
            <w:pPr>
              <w:pStyle w:val="TableHeading"/>
              <w:rPr>
                <w:b w:val="0"/>
                <w:bCs w:val="0"/>
                <w:color w:val="auto"/>
                <w:sz w:val="18"/>
                <w:szCs w:val="18"/>
              </w:rPr>
            </w:pPr>
            <w:hyperlink w:anchor="_Key_Findings:_Relevance," w:history="1">
              <w:r w:rsidRPr="00651C2F">
                <w:rPr>
                  <w:rStyle w:val="Hyperlink"/>
                  <w:b w:val="0"/>
                  <w:bCs w:val="0"/>
                  <w:sz w:val="18"/>
                  <w:szCs w:val="18"/>
                </w:rPr>
                <w:t>KEQ1</w:t>
              </w:r>
            </w:hyperlink>
            <w:r w:rsidRPr="00651C2F">
              <w:rPr>
                <w:b w:val="0"/>
                <w:bCs w:val="0"/>
                <w:color w:val="auto"/>
                <w:sz w:val="18"/>
                <w:szCs w:val="18"/>
              </w:rPr>
              <w:t xml:space="preserve">: (relevance) </w:t>
            </w:r>
          </w:p>
        </w:tc>
        <w:tc>
          <w:tcPr>
            <w:tcW w:w="8477" w:type="dxa"/>
            <w:shd w:val="clear" w:color="auto" w:fill="auto"/>
          </w:tcPr>
          <w:p w14:paraId="6BC094F7" w14:textId="77777777" w:rsidR="00194B11" w:rsidRPr="00651C2F" w:rsidRDefault="000F1258" w:rsidP="00A348C7">
            <w:pPr>
              <w:pStyle w:val="TableHeading"/>
              <w:rPr>
                <w:b w:val="0"/>
                <w:bCs w:val="0"/>
                <w:color w:val="auto"/>
                <w:sz w:val="18"/>
                <w:szCs w:val="18"/>
              </w:rPr>
            </w:pPr>
            <w:r w:rsidRPr="00651C2F">
              <w:rPr>
                <w:b w:val="0"/>
                <w:bCs w:val="0"/>
                <w:color w:val="auto"/>
                <w:sz w:val="18"/>
                <w:szCs w:val="18"/>
              </w:rPr>
              <w:t>How well has TASP adapted to changing strategic context?</w:t>
            </w:r>
          </w:p>
        </w:tc>
      </w:tr>
      <w:tr w:rsidR="00A348C7" w:rsidRPr="00651C2F" w14:paraId="6BC094FD" w14:textId="77777777" w:rsidTr="00897D79">
        <w:trPr>
          <w:trHeight w:val="875"/>
        </w:trPr>
        <w:tc>
          <w:tcPr>
            <w:tcW w:w="1378" w:type="dxa"/>
            <w:shd w:val="clear" w:color="auto" w:fill="auto"/>
          </w:tcPr>
          <w:p w14:paraId="6BC094F9" w14:textId="00538199" w:rsidR="00194B11" w:rsidRPr="00651C2F" w:rsidRDefault="000F1258" w:rsidP="00A348C7">
            <w:pPr>
              <w:pStyle w:val="TableHeading"/>
              <w:rPr>
                <w:b w:val="0"/>
                <w:bCs w:val="0"/>
                <w:color w:val="auto"/>
                <w:sz w:val="18"/>
                <w:szCs w:val="18"/>
              </w:rPr>
            </w:pPr>
            <w:hyperlink w:anchor="_Key_Findings:_Effectiveness," w:history="1">
              <w:r w:rsidRPr="00651C2F">
                <w:rPr>
                  <w:rStyle w:val="Hyperlink"/>
                  <w:b w:val="0"/>
                  <w:bCs w:val="0"/>
                  <w:sz w:val="18"/>
                  <w:szCs w:val="18"/>
                </w:rPr>
                <w:t>KEQ2</w:t>
              </w:r>
            </w:hyperlink>
            <w:r w:rsidRPr="00651C2F">
              <w:rPr>
                <w:b w:val="0"/>
                <w:bCs w:val="0"/>
                <w:color w:val="auto"/>
                <w:sz w:val="18"/>
                <w:szCs w:val="18"/>
              </w:rPr>
              <w:t>: (effectiveness)</w:t>
            </w:r>
          </w:p>
        </w:tc>
        <w:tc>
          <w:tcPr>
            <w:tcW w:w="8477" w:type="dxa"/>
            <w:shd w:val="clear" w:color="auto" w:fill="auto"/>
          </w:tcPr>
          <w:p w14:paraId="6BC094FA" w14:textId="61CE12A9" w:rsidR="00194B11" w:rsidRPr="00651C2F" w:rsidRDefault="000F1258" w:rsidP="00A348C7">
            <w:pPr>
              <w:pStyle w:val="TableHeading"/>
              <w:rPr>
                <w:b w:val="0"/>
                <w:bCs w:val="0"/>
                <w:color w:val="auto"/>
                <w:sz w:val="18"/>
                <w:szCs w:val="18"/>
                <w:highlight w:val="yellow"/>
              </w:rPr>
            </w:pPr>
            <w:r w:rsidRPr="00651C2F">
              <w:rPr>
                <w:b w:val="0"/>
                <w:bCs w:val="0"/>
                <w:color w:val="auto"/>
                <w:sz w:val="18"/>
                <w:szCs w:val="18"/>
              </w:rPr>
              <w:t>To what extent has TASP progressed towards achieving its End of Program Outcomes (EOPOs)</w:t>
            </w:r>
            <w:r w:rsidR="00EA487B" w:rsidRPr="00651C2F">
              <w:rPr>
                <w:b w:val="0"/>
                <w:bCs w:val="0"/>
                <w:color w:val="auto"/>
                <w:sz w:val="18"/>
                <w:szCs w:val="18"/>
              </w:rPr>
              <w:t xml:space="preserve"> (also known as End of Investment Outcomes)</w:t>
            </w:r>
            <w:r w:rsidRPr="00651C2F">
              <w:rPr>
                <w:b w:val="0"/>
                <w:bCs w:val="0"/>
                <w:color w:val="auto"/>
                <w:sz w:val="18"/>
                <w:szCs w:val="18"/>
              </w:rPr>
              <w:t xml:space="preserve">? </w:t>
            </w:r>
          </w:p>
          <w:p w14:paraId="6BC094FB" w14:textId="77777777" w:rsidR="00194B11" w:rsidRPr="00651C2F" w:rsidRDefault="000F1258" w:rsidP="00A348C7">
            <w:pPr>
              <w:pStyle w:val="TableHeading"/>
              <w:rPr>
                <w:b w:val="0"/>
                <w:bCs w:val="0"/>
                <w:color w:val="auto"/>
                <w:sz w:val="18"/>
                <w:szCs w:val="18"/>
              </w:rPr>
            </w:pPr>
            <w:r w:rsidRPr="00651C2F">
              <w:rPr>
                <w:b w:val="0"/>
                <w:bCs w:val="0"/>
                <w:color w:val="auto"/>
                <w:sz w:val="18"/>
                <w:szCs w:val="18"/>
              </w:rPr>
              <w:t xml:space="preserve">What has enhanced or constrained effectiveness? </w:t>
            </w:r>
          </w:p>
          <w:p w14:paraId="6BC094FC" w14:textId="77777777" w:rsidR="00194B11" w:rsidRPr="00651C2F" w:rsidRDefault="000F1258" w:rsidP="00A348C7">
            <w:pPr>
              <w:pStyle w:val="TableHeading"/>
              <w:rPr>
                <w:b w:val="0"/>
                <w:bCs w:val="0"/>
                <w:color w:val="auto"/>
                <w:sz w:val="18"/>
                <w:szCs w:val="18"/>
              </w:rPr>
            </w:pPr>
            <w:r w:rsidRPr="00651C2F">
              <w:rPr>
                <w:b w:val="0"/>
                <w:bCs w:val="0"/>
                <w:color w:val="auto"/>
                <w:sz w:val="18"/>
                <w:szCs w:val="18"/>
              </w:rPr>
              <w:t>To what extent has TASP supported stronger policy relationships with partner government and NGOs?</w:t>
            </w:r>
          </w:p>
        </w:tc>
      </w:tr>
      <w:tr w:rsidR="00A348C7" w:rsidRPr="00651C2F" w14:paraId="6BC09502" w14:textId="77777777" w:rsidTr="00897D79">
        <w:tc>
          <w:tcPr>
            <w:tcW w:w="1378" w:type="dxa"/>
            <w:shd w:val="clear" w:color="auto" w:fill="auto"/>
          </w:tcPr>
          <w:p w14:paraId="6BC094FE" w14:textId="67F84910" w:rsidR="00194B11" w:rsidRPr="00651C2F" w:rsidRDefault="000F1258" w:rsidP="00A348C7">
            <w:pPr>
              <w:pStyle w:val="TableHeading"/>
              <w:rPr>
                <w:b w:val="0"/>
                <w:bCs w:val="0"/>
                <w:color w:val="auto"/>
                <w:sz w:val="18"/>
                <w:szCs w:val="18"/>
              </w:rPr>
            </w:pPr>
            <w:hyperlink w:anchor="_Key_Findings:_Efficiency" w:history="1">
              <w:r w:rsidRPr="00651C2F">
                <w:rPr>
                  <w:rStyle w:val="Hyperlink"/>
                  <w:b w:val="0"/>
                  <w:bCs w:val="0"/>
                  <w:sz w:val="18"/>
                  <w:szCs w:val="18"/>
                </w:rPr>
                <w:t>KEQ3</w:t>
              </w:r>
            </w:hyperlink>
            <w:r w:rsidRPr="00651C2F">
              <w:rPr>
                <w:b w:val="0"/>
                <w:bCs w:val="0"/>
                <w:color w:val="auto"/>
                <w:sz w:val="18"/>
                <w:szCs w:val="18"/>
              </w:rPr>
              <w:t>: (efficiency)</w:t>
            </w:r>
          </w:p>
        </w:tc>
        <w:tc>
          <w:tcPr>
            <w:tcW w:w="8477" w:type="dxa"/>
            <w:shd w:val="clear" w:color="auto" w:fill="auto"/>
          </w:tcPr>
          <w:p w14:paraId="6BC094FF" w14:textId="77777777" w:rsidR="00194B11" w:rsidRPr="00651C2F" w:rsidRDefault="000F1258" w:rsidP="00A348C7">
            <w:pPr>
              <w:pStyle w:val="TableHeading"/>
              <w:rPr>
                <w:b w:val="0"/>
                <w:bCs w:val="0"/>
                <w:color w:val="auto"/>
                <w:sz w:val="18"/>
                <w:szCs w:val="18"/>
              </w:rPr>
            </w:pPr>
            <w:r w:rsidRPr="00651C2F">
              <w:rPr>
                <w:b w:val="0"/>
                <w:bCs w:val="0"/>
                <w:color w:val="auto"/>
                <w:sz w:val="18"/>
                <w:szCs w:val="18"/>
              </w:rPr>
              <w:t xml:space="preserve">How adequate are TASP’s governance, management, delivery approach and resourcing arrangements? </w:t>
            </w:r>
          </w:p>
          <w:p w14:paraId="6BC09500" w14:textId="77777777" w:rsidR="00194B11" w:rsidRPr="00651C2F" w:rsidRDefault="000F1258" w:rsidP="00A348C7">
            <w:pPr>
              <w:pStyle w:val="TableHeading"/>
              <w:rPr>
                <w:b w:val="0"/>
                <w:bCs w:val="0"/>
                <w:color w:val="auto"/>
                <w:sz w:val="18"/>
                <w:szCs w:val="18"/>
              </w:rPr>
            </w:pPr>
            <w:r w:rsidRPr="00651C2F">
              <w:rPr>
                <w:b w:val="0"/>
                <w:bCs w:val="0"/>
                <w:color w:val="auto"/>
                <w:sz w:val="18"/>
                <w:szCs w:val="18"/>
              </w:rPr>
              <w:t xml:space="preserve">Has the facility’s management of multi-sector activities and technical advisory services provided value for money? </w:t>
            </w:r>
          </w:p>
          <w:p w14:paraId="6BC09501" w14:textId="77777777" w:rsidR="00194B11" w:rsidRPr="00651C2F" w:rsidRDefault="000F1258" w:rsidP="00A348C7">
            <w:pPr>
              <w:pStyle w:val="TableHeading"/>
              <w:rPr>
                <w:b w:val="0"/>
                <w:bCs w:val="0"/>
                <w:color w:val="auto"/>
                <w:sz w:val="18"/>
                <w:szCs w:val="18"/>
              </w:rPr>
            </w:pPr>
            <w:r w:rsidRPr="00651C2F">
              <w:rPr>
                <w:b w:val="0"/>
                <w:bCs w:val="0"/>
                <w:color w:val="auto"/>
                <w:sz w:val="18"/>
                <w:szCs w:val="18"/>
              </w:rPr>
              <w:t xml:space="preserve">What evidence is there of cross-sectoral collaboration and coherence? </w:t>
            </w:r>
          </w:p>
        </w:tc>
      </w:tr>
      <w:tr w:rsidR="00A348C7" w:rsidRPr="00651C2F" w14:paraId="6BC09505" w14:textId="77777777" w:rsidTr="00897D79">
        <w:tc>
          <w:tcPr>
            <w:tcW w:w="1378" w:type="dxa"/>
            <w:shd w:val="clear" w:color="auto" w:fill="auto"/>
          </w:tcPr>
          <w:p w14:paraId="6BC09503" w14:textId="5CC3C660" w:rsidR="00194B11" w:rsidRPr="00651C2F" w:rsidRDefault="000F1258" w:rsidP="00A348C7">
            <w:pPr>
              <w:pStyle w:val="TableHeading"/>
              <w:rPr>
                <w:b w:val="0"/>
                <w:bCs w:val="0"/>
                <w:color w:val="auto"/>
                <w:sz w:val="18"/>
                <w:szCs w:val="18"/>
              </w:rPr>
            </w:pPr>
            <w:hyperlink w:anchor="_Key_Findings:_Monitoring," w:history="1">
              <w:r w:rsidRPr="00651C2F">
                <w:rPr>
                  <w:rStyle w:val="Hyperlink"/>
                  <w:b w:val="0"/>
                  <w:bCs w:val="0"/>
                  <w:sz w:val="18"/>
                  <w:szCs w:val="18"/>
                </w:rPr>
                <w:t>KEQ4</w:t>
              </w:r>
            </w:hyperlink>
            <w:r w:rsidRPr="00651C2F">
              <w:rPr>
                <w:b w:val="0"/>
                <w:bCs w:val="0"/>
                <w:color w:val="auto"/>
                <w:sz w:val="18"/>
                <w:szCs w:val="18"/>
              </w:rPr>
              <w:t>:(MEL)</w:t>
            </w:r>
          </w:p>
        </w:tc>
        <w:tc>
          <w:tcPr>
            <w:tcW w:w="8477" w:type="dxa"/>
            <w:shd w:val="clear" w:color="auto" w:fill="auto"/>
          </w:tcPr>
          <w:p w14:paraId="6BC09504" w14:textId="77777777" w:rsidR="00194B11" w:rsidRPr="00651C2F" w:rsidRDefault="000F1258" w:rsidP="00A348C7">
            <w:pPr>
              <w:pStyle w:val="TableHeading"/>
              <w:rPr>
                <w:b w:val="0"/>
                <w:bCs w:val="0"/>
                <w:color w:val="auto"/>
                <w:sz w:val="18"/>
                <w:szCs w:val="18"/>
              </w:rPr>
            </w:pPr>
            <w:r w:rsidRPr="00651C2F">
              <w:rPr>
                <w:b w:val="0"/>
                <w:bCs w:val="0"/>
                <w:color w:val="auto"/>
                <w:sz w:val="18"/>
                <w:szCs w:val="18"/>
              </w:rPr>
              <w:t>How adequate has TASP’s monitoring and evaluation and learning processes been?</w:t>
            </w:r>
          </w:p>
        </w:tc>
      </w:tr>
      <w:tr w:rsidR="00A348C7" w:rsidRPr="00651C2F" w14:paraId="6BC09508" w14:textId="77777777" w:rsidTr="00897D79">
        <w:tc>
          <w:tcPr>
            <w:tcW w:w="1378" w:type="dxa"/>
            <w:shd w:val="clear" w:color="auto" w:fill="auto"/>
          </w:tcPr>
          <w:p w14:paraId="6BC09506" w14:textId="58B12437" w:rsidR="00194B11" w:rsidRPr="00651C2F" w:rsidRDefault="000F1258" w:rsidP="00A348C7">
            <w:pPr>
              <w:pStyle w:val="TableHeading"/>
              <w:rPr>
                <w:b w:val="0"/>
                <w:bCs w:val="0"/>
                <w:color w:val="auto"/>
                <w:sz w:val="18"/>
                <w:szCs w:val="18"/>
              </w:rPr>
            </w:pPr>
            <w:hyperlink w:anchor="_Key_Findings:_GEDSI" w:history="1">
              <w:r w:rsidRPr="00651C2F">
                <w:rPr>
                  <w:rStyle w:val="Hyperlink"/>
                  <w:b w:val="0"/>
                  <w:bCs w:val="0"/>
                  <w:sz w:val="18"/>
                  <w:szCs w:val="18"/>
                </w:rPr>
                <w:t>KEQ5</w:t>
              </w:r>
            </w:hyperlink>
            <w:r w:rsidRPr="00651C2F">
              <w:rPr>
                <w:b w:val="0"/>
                <w:bCs w:val="0"/>
                <w:color w:val="auto"/>
                <w:sz w:val="18"/>
                <w:szCs w:val="18"/>
              </w:rPr>
              <w:t>:(GEDSI and Climate Change)</w:t>
            </w:r>
          </w:p>
        </w:tc>
        <w:tc>
          <w:tcPr>
            <w:tcW w:w="8477" w:type="dxa"/>
            <w:shd w:val="clear" w:color="auto" w:fill="auto"/>
          </w:tcPr>
          <w:p w14:paraId="6BC09507" w14:textId="77777777" w:rsidR="00194B11" w:rsidRPr="00651C2F" w:rsidRDefault="000F1258" w:rsidP="00A348C7">
            <w:pPr>
              <w:pStyle w:val="TableHeading"/>
              <w:rPr>
                <w:b w:val="0"/>
                <w:bCs w:val="0"/>
                <w:color w:val="auto"/>
                <w:sz w:val="18"/>
                <w:szCs w:val="18"/>
              </w:rPr>
            </w:pPr>
            <w:r w:rsidRPr="00651C2F">
              <w:rPr>
                <w:b w:val="0"/>
                <w:bCs w:val="0"/>
                <w:color w:val="auto"/>
                <w:sz w:val="18"/>
                <w:szCs w:val="18"/>
              </w:rPr>
              <w:t>To what extent has TASP implementation integrated gender equality, disability, and social inclusion and what progress has been made towards GEDSI related outcomes? What progress has been made on climate change action as envisaged in the TASP design?</w:t>
            </w:r>
          </w:p>
        </w:tc>
      </w:tr>
      <w:tr w:rsidR="00A348C7" w:rsidRPr="00651C2F" w14:paraId="6BC0950C" w14:textId="77777777" w:rsidTr="00897D79">
        <w:tc>
          <w:tcPr>
            <w:tcW w:w="1378" w:type="dxa"/>
            <w:shd w:val="clear" w:color="auto" w:fill="auto"/>
          </w:tcPr>
          <w:p w14:paraId="6BC09509" w14:textId="59B30EA3" w:rsidR="00194B11" w:rsidRPr="00651C2F" w:rsidRDefault="000F1258" w:rsidP="00A348C7">
            <w:pPr>
              <w:pStyle w:val="TableHeading"/>
              <w:rPr>
                <w:b w:val="0"/>
                <w:bCs w:val="0"/>
                <w:color w:val="auto"/>
                <w:sz w:val="18"/>
                <w:szCs w:val="18"/>
              </w:rPr>
            </w:pPr>
            <w:hyperlink w:anchor="_Key_Findings:_Agility" w:history="1">
              <w:r w:rsidRPr="00651C2F">
                <w:rPr>
                  <w:rStyle w:val="Hyperlink"/>
                  <w:b w:val="0"/>
                  <w:bCs w:val="0"/>
                  <w:sz w:val="18"/>
                  <w:szCs w:val="18"/>
                </w:rPr>
                <w:t>KEQ6</w:t>
              </w:r>
            </w:hyperlink>
            <w:r w:rsidRPr="00651C2F">
              <w:rPr>
                <w:b w:val="0"/>
                <w:bCs w:val="0"/>
                <w:color w:val="auto"/>
                <w:sz w:val="18"/>
                <w:szCs w:val="18"/>
              </w:rPr>
              <w:t>: (Agility and adaptation)</w:t>
            </w:r>
          </w:p>
        </w:tc>
        <w:tc>
          <w:tcPr>
            <w:tcW w:w="8477" w:type="dxa"/>
            <w:shd w:val="clear" w:color="auto" w:fill="auto"/>
          </w:tcPr>
          <w:p w14:paraId="6BC0950A" w14:textId="77777777" w:rsidR="00194B11" w:rsidRPr="00651C2F" w:rsidRDefault="000F1258" w:rsidP="00A348C7">
            <w:pPr>
              <w:pStyle w:val="TableHeading"/>
              <w:rPr>
                <w:b w:val="0"/>
                <w:bCs w:val="0"/>
                <w:color w:val="auto"/>
                <w:sz w:val="18"/>
                <w:szCs w:val="18"/>
              </w:rPr>
            </w:pPr>
            <w:r w:rsidRPr="00651C2F">
              <w:rPr>
                <w:b w:val="0"/>
                <w:bCs w:val="0"/>
                <w:color w:val="auto"/>
                <w:sz w:val="18"/>
                <w:szCs w:val="18"/>
              </w:rPr>
              <w:t xml:space="preserve">To what extent has the facility’s flexibility and responsiveness allowed DFAT to focus on emerging needs and opportunities? </w:t>
            </w:r>
          </w:p>
          <w:p w14:paraId="6BC0950B" w14:textId="77777777" w:rsidR="00194B11" w:rsidRPr="00651C2F" w:rsidRDefault="000F1258" w:rsidP="00A348C7">
            <w:pPr>
              <w:pStyle w:val="TableHeading"/>
              <w:rPr>
                <w:b w:val="0"/>
                <w:bCs w:val="0"/>
                <w:color w:val="auto"/>
                <w:sz w:val="18"/>
                <w:szCs w:val="18"/>
              </w:rPr>
            </w:pPr>
            <w:r w:rsidRPr="00651C2F">
              <w:rPr>
                <w:b w:val="0"/>
                <w:bCs w:val="0"/>
                <w:color w:val="auto"/>
                <w:sz w:val="18"/>
                <w:szCs w:val="18"/>
              </w:rPr>
              <w:t xml:space="preserve">How and how well did TASP pivot to respond to the HTHH disaster? </w:t>
            </w:r>
          </w:p>
        </w:tc>
      </w:tr>
      <w:tr w:rsidR="00194B11" w:rsidRPr="00651C2F" w14:paraId="6BC0950F" w14:textId="77777777" w:rsidTr="00897D79">
        <w:trPr>
          <w:trHeight w:val="503"/>
        </w:trPr>
        <w:tc>
          <w:tcPr>
            <w:tcW w:w="1378" w:type="dxa"/>
            <w:shd w:val="clear" w:color="auto" w:fill="auto"/>
          </w:tcPr>
          <w:p w14:paraId="6BC0950D" w14:textId="714E9011" w:rsidR="00194B11" w:rsidRPr="00651C2F" w:rsidRDefault="000F1258" w:rsidP="00897D79">
            <w:pPr>
              <w:spacing w:after="0" w:line="240" w:lineRule="auto"/>
              <w:rPr>
                <w:sz w:val="18"/>
                <w:szCs w:val="18"/>
              </w:rPr>
            </w:pPr>
            <w:hyperlink w:anchor="_Key_Findings_and" w:history="1">
              <w:r w:rsidRPr="00651C2F">
                <w:rPr>
                  <w:rStyle w:val="Hyperlink"/>
                  <w:sz w:val="18"/>
                  <w:szCs w:val="18"/>
                </w:rPr>
                <w:t>KEQ7</w:t>
              </w:r>
            </w:hyperlink>
            <w:r w:rsidRPr="00651C2F">
              <w:rPr>
                <w:sz w:val="18"/>
                <w:szCs w:val="18"/>
              </w:rPr>
              <w:t>: Lessons Learned:</w:t>
            </w:r>
          </w:p>
        </w:tc>
        <w:tc>
          <w:tcPr>
            <w:tcW w:w="8477" w:type="dxa"/>
            <w:shd w:val="clear" w:color="auto" w:fill="auto"/>
          </w:tcPr>
          <w:p w14:paraId="6BC0950E" w14:textId="77777777" w:rsidR="00194B11" w:rsidRPr="00651C2F" w:rsidRDefault="000F1258" w:rsidP="00897D79">
            <w:pPr>
              <w:spacing w:before="20" w:after="20" w:line="240" w:lineRule="auto"/>
              <w:rPr>
                <w:sz w:val="18"/>
                <w:szCs w:val="18"/>
              </w:rPr>
            </w:pPr>
            <w:r w:rsidRPr="00651C2F">
              <w:rPr>
                <w:sz w:val="18"/>
                <w:szCs w:val="18"/>
              </w:rPr>
              <w:t>What are the recommendations for policy, practice, and implementation for future facility support to DFAT in Tonga?</w:t>
            </w:r>
          </w:p>
        </w:tc>
      </w:tr>
    </w:tbl>
    <w:p w14:paraId="58E126C7" w14:textId="77777777" w:rsidR="007826B2" w:rsidRDefault="007826B2" w:rsidP="00A348C7">
      <w:pPr>
        <w:pStyle w:val="Heading1"/>
      </w:pPr>
      <w:r>
        <w:br w:type="page"/>
      </w:r>
    </w:p>
    <w:p w14:paraId="6BC09511" w14:textId="4C32EDFF" w:rsidR="00194B11" w:rsidRDefault="000F1258" w:rsidP="00A348C7">
      <w:pPr>
        <w:pStyle w:val="Heading1"/>
      </w:pPr>
      <w:bookmarkStart w:id="7" w:name="_Toc183423568"/>
      <w:r>
        <w:lastRenderedPageBreak/>
        <w:t>Methodology</w:t>
      </w:r>
      <w:bookmarkEnd w:id="7"/>
    </w:p>
    <w:p w14:paraId="6BC09512" w14:textId="12C31D8B" w:rsidR="00194B11" w:rsidRDefault="000F1258" w:rsidP="00A348C7">
      <w:r>
        <w:t xml:space="preserve">The </w:t>
      </w:r>
      <w:r w:rsidR="00D14D27">
        <w:t>e</w:t>
      </w:r>
      <w:r w:rsidR="00DD59BB">
        <w:t>valuation</w:t>
      </w:r>
      <w:r w:rsidR="00444EB1">
        <w:t xml:space="preserve"> was conducted in</w:t>
      </w:r>
      <w:r w:rsidRPr="00DD59BB">
        <w:t xml:space="preserve"> three stages t</w:t>
      </w:r>
      <w:r>
        <w:t xml:space="preserve">o fit the 4-month timeframe. </w:t>
      </w:r>
    </w:p>
    <w:p w14:paraId="6BC09513" w14:textId="101A99D8" w:rsidR="00194B11" w:rsidRDefault="000F1258" w:rsidP="00A348C7">
      <w:pPr>
        <w:rPr>
          <w:b/>
        </w:rPr>
      </w:pPr>
      <w:r>
        <w:rPr>
          <w:b/>
        </w:rPr>
        <w:t xml:space="preserve">Phase 1 – Inception Phase </w:t>
      </w:r>
      <w:r>
        <w:t xml:space="preserve">included discussion with Post, development of the assessment framework, literature review, preparing for </w:t>
      </w:r>
      <w:r w:rsidRPr="00A348C7">
        <w:t>interviews</w:t>
      </w:r>
      <w:r>
        <w:t xml:space="preserve"> in Tonga, preliminary interviews with Australian stakeholders, preparation and delivery of </w:t>
      </w:r>
      <w:r w:rsidR="007D2419">
        <w:t xml:space="preserve">the </w:t>
      </w:r>
      <w:r>
        <w:t>evaluation plan.</w:t>
      </w:r>
    </w:p>
    <w:p w14:paraId="6BC09514" w14:textId="4E8A5F4E" w:rsidR="00194B11" w:rsidRDefault="000F1258" w:rsidP="00A348C7">
      <w:r>
        <w:rPr>
          <w:b/>
        </w:rPr>
        <w:t>Phase 2 – Data Collection and analysis and delivery of the Aide Memoir</w:t>
      </w:r>
      <w:r w:rsidR="000161D8">
        <w:rPr>
          <w:b/>
        </w:rPr>
        <w:t>e</w:t>
      </w:r>
      <w:r>
        <w:rPr>
          <w:b/>
        </w:rPr>
        <w:t xml:space="preserve"> and 1</w:t>
      </w:r>
      <w:r>
        <w:rPr>
          <w:b/>
          <w:vertAlign w:val="superscript"/>
        </w:rPr>
        <w:t>st</w:t>
      </w:r>
      <w:r>
        <w:rPr>
          <w:b/>
        </w:rPr>
        <w:t xml:space="preserve"> Draft Report</w:t>
      </w:r>
      <w:r>
        <w:t>. The</w:t>
      </w:r>
      <w:r>
        <w:rPr>
          <w:b/>
        </w:rPr>
        <w:t xml:space="preserve"> </w:t>
      </w:r>
      <w:r>
        <w:t xml:space="preserve">Evaluation team, in consultation with Post </w:t>
      </w:r>
      <w:r w:rsidR="00CE28AC">
        <w:t xml:space="preserve">and TASP </w:t>
      </w:r>
      <w:r>
        <w:t>identified key informants</w:t>
      </w:r>
      <w:r w:rsidR="00CE28AC">
        <w:t>, most of whom were</w:t>
      </w:r>
      <w:r w:rsidR="00CE28AC" w:rsidRPr="00CE28AC">
        <w:t xml:space="preserve"> </w:t>
      </w:r>
      <w:r w:rsidR="00CE28AC">
        <w:t>interviewed</w:t>
      </w:r>
      <w:r>
        <w:t xml:space="preserve"> </w:t>
      </w:r>
      <w:r w:rsidR="00CE28AC">
        <w:t>i</w:t>
      </w:r>
      <w:r>
        <w:t>n</w:t>
      </w:r>
      <w:r w:rsidR="00DD59BB">
        <w:t>-</w:t>
      </w:r>
      <w:r>
        <w:t xml:space="preserve">country </w:t>
      </w:r>
      <w:r w:rsidR="00CE28AC">
        <w:t>during a 1-week</w:t>
      </w:r>
      <w:r>
        <w:t xml:space="preserve"> stakeholder consultation</w:t>
      </w:r>
      <w:r w:rsidR="00CE28AC">
        <w:t xml:space="preserve"> mission</w:t>
      </w:r>
      <w:r w:rsidR="00EF4B1D">
        <w:t xml:space="preserve"> in June 2024</w:t>
      </w:r>
      <w:r>
        <w:t xml:space="preserve">.  The Evaluation team presented key findings to DFAT Tonga and the TASP </w:t>
      </w:r>
      <w:r w:rsidR="00DD59BB">
        <w:t>Director, Deputy Director and Contract Representative</w:t>
      </w:r>
      <w:r>
        <w:t xml:space="preserve">. </w:t>
      </w:r>
      <w:r w:rsidR="00CE28AC">
        <w:t xml:space="preserve">A written Aide Memoire was provided to DFAT on 5 July 2024. </w:t>
      </w:r>
      <w:r w:rsidR="001A57A8">
        <w:t>A draft evaluation report was submitted</w:t>
      </w:r>
      <w:r w:rsidR="004D1657">
        <w:t xml:space="preserve"> on</w:t>
      </w:r>
      <w:r w:rsidR="00112599">
        <w:t xml:space="preserve"> 8 August 2024</w:t>
      </w:r>
      <w:r w:rsidR="004D1657">
        <w:t>.</w:t>
      </w:r>
    </w:p>
    <w:p w14:paraId="6BC09516" w14:textId="119E4C3E" w:rsidR="00194B11" w:rsidRDefault="000F1258" w:rsidP="00A348C7">
      <w:r w:rsidRPr="00A348C7">
        <w:rPr>
          <w:b/>
          <w:bCs/>
        </w:rPr>
        <w:t>Phase 3 – Final Reporting</w:t>
      </w:r>
      <w:r w:rsidR="00CE28AC">
        <w:rPr>
          <w:b/>
          <w:bCs/>
        </w:rPr>
        <w:t>.</w:t>
      </w:r>
      <w:r w:rsidRPr="00A348C7">
        <w:rPr>
          <w:b/>
          <w:bCs/>
        </w:rPr>
        <w:t xml:space="preserve"> </w:t>
      </w:r>
      <w:r>
        <w:rPr>
          <w:b/>
        </w:rPr>
        <w:t xml:space="preserve"> </w:t>
      </w:r>
      <w:r>
        <w:t>DFAT comment</w:t>
      </w:r>
      <w:r w:rsidR="004D1657">
        <w:t>s</w:t>
      </w:r>
      <w:r>
        <w:t xml:space="preserve"> on </w:t>
      </w:r>
      <w:r w:rsidR="004D1657">
        <w:t>the</w:t>
      </w:r>
      <w:r w:rsidR="00FF3DAD">
        <w:t xml:space="preserve"> </w:t>
      </w:r>
      <w:r>
        <w:t xml:space="preserve">draft report </w:t>
      </w:r>
      <w:r w:rsidR="00104289">
        <w:t>have been</w:t>
      </w:r>
      <w:r w:rsidR="00FF3DAD">
        <w:t xml:space="preserve"> </w:t>
      </w:r>
      <w:r>
        <w:t>incorporate</w:t>
      </w:r>
      <w:r w:rsidR="00FF3DAD">
        <w:t>d</w:t>
      </w:r>
      <w:r>
        <w:t xml:space="preserve"> into </w:t>
      </w:r>
      <w:r w:rsidR="00FF3DAD">
        <w:t xml:space="preserve">this </w:t>
      </w:r>
      <w:r>
        <w:t xml:space="preserve">final draft.  </w:t>
      </w:r>
    </w:p>
    <w:p w14:paraId="6BC09518" w14:textId="4916A7A3" w:rsidR="00194B11" w:rsidRDefault="000F1258" w:rsidP="00A348C7">
      <w:r>
        <w:t xml:space="preserve">The evaluation was designed to be exploratory, covering the KEQs provided and drawing on evidence in documents and discussions with stakeholders. Bearing in mind the relatively limited implementation in some areas of the program, the evaluation explored evidence of positive and negative program implementation experience and followed a line of inquiry that was forward looking, seeking ideas for future implementation strategies and mechanisms. Consistent with the KEQs, the evaluation explored adequacy of structure to deliver program outcomes; progress towards outcomes and </w:t>
      </w:r>
      <w:r w:rsidR="00CE28AC">
        <w:t xml:space="preserve">contributing </w:t>
      </w:r>
      <w:r>
        <w:t>factors</w:t>
      </w:r>
      <w:r w:rsidR="00CE28AC">
        <w:t>/hindrances</w:t>
      </w:r>
      <w:r>
        <w:t>; flexibility and adaptability</w:t>
      </w:r>
      <w:r w:rsidR="00CE28AC">
        <w:t>;</w:t>
      </w:r>
      <w:r>
        <w:t xml:space="preserve"> </w:t>
      </w:r>
      <w:r w:rsidR="00CE28AC">
        <w:t>and</w:t>
      </w:r>
      <w:r>
        <w:t xml:space="preserve"> </w:t>
      </w:r>
      <w:r w:rsidR="00CE28AC">
        <w:t xml:space="preserve">the </w:t>
      </w:r>
      <w:r>
        <w:t>appropriateness of the TASP model and lessons to date.</w:t>
      </w:r>
      <w:r w:rsidR="001067DA">
        <w:t xml:space="preserve"> </w:t>
      </w:r>
      <w:r w:rsidR="00CE28AC" w:rsidRPr="001E375D">
        <w:t>In providing recommendations, t</w:t>
      </w:r>
      <w:r w:rsidRPr="001E375D">
        <w:t>he team considered the viability of proposed adjustments within the timeframe of the remainder of the current program.</w:t>
      </w:r>
    </w:p>
    <w:p w14:paraId="6BC0952F" w14:textId="77777777" w:rsidR="00194B11" w:rsidRDefault="000F1258" w:rsidP="00A348C7">
      <w:pPr>
        <w:pStyle w:val="Heading1"/>
      </w:pPr>
      <w:bookmarkStart w:id="8" w:name="_Toc183423569"/>
      <w:r>
        <w:t>Data collection and analysis</w:t>
      </w:r>
      <w:bookmarkEnd w:id="8"/>
    </w:p>
    <w:p w14:paraId="1282C2B5" w14:textId="61BCBD7B" w:rsidR="00D72AFD" w:rsidRDefault="00D72AFD" w:rsidP="00D72AFD">
      <w:r>
        <w:t>The following information gathering methods to address the KEQs (</w:t>
      </w:r>
      <w:hyperlink w:anchor="Table1" w:history="1">
        <w:r w:rsidRPr="00872E3E">
          <w:rPr>
            <w:rStyle w:val="Hyperlink"/>
          </w:rPr>
          <w:t>Table</w:t>
        </w:r>
        <w:r w:rsidR="00872E3E" w:rsidRPr="00872E3E">
          <w:rPr>
            <w:rStyle w:val="Hyperlink"/>
          </w:rPr>
          <w:t xml:space="preserve"> </w:t>
        </w:r>
        <w:r w:rsidRPr="00872E3E">
          <w:rPr>
            <w:rStyle w:val="Hyperlink"/>
          </w:rPr>
          <w:t>1 above</w:t>
        </w:r>
      </w:hyperlink>
      <w:r>
        <w:t>) are appropriate to the Tongan context, and consistent with DFAT’s Monitoring and Evaluation Guidelines</w:t>
      </w:r>
      <w:r>
        <w:rPr>
          <w:vertAlign w:val="superscript"/>
        </w:rPr>
        <w:footnoteReference w:id="5"/>
      </w:r>
      <w:r>
        <w:t xml:space="preserve">. </w:t>
      </w:r>
    </w:p>
    <w:p w14:paraId="3D744823" w14:textId="77777777" w:rsidR="00D72AFD" w:rsidRPr="00DD59BB" w:rsidRDefault="00D72AFD" w:rsidP="00D72AFD">
      <w:pPr>
        <w:pStyle w:val="TableHeadingBlue"/>
      </w:pPr>
      <w:r w:rsidRPr="00DD59BB">
        <w:t>Table 2: Information-gathering methods</w:t>
      </w:r>
    </w:p>
    <w:tbl>
      <w:tblPr>
        <w:tblW w:w="9630"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60" w:type="dxa"/>
          <w:right w:w="60" w:type="dxa"/>
        </w:tblCellMar>
        <w:tblLook w:val="0600" w:firstRow="0" w:lastRow="0" w:firstColumn="0" w:lastColumn="0" w:noHBand="1" w:noVBand="1"/>
      </w:tblPr>
      <w:tblGrid>
        <w:gridCol w:w="1498"/>
        <w:gridCol w:w="8132"/>
      </w:tblGrid>
      <w:tr w:rsidR="00D72AFD" w:rsidRPr="00C31E59" w14:paraId="712487F6" w14:textId="77777777" w:rsidTr="00850AF1">
        <w:trPr>
          <w:trHeight w:val="120"/>
          <w:tblHeader/>
        </w:trPr>
        <w:tc>
          <w:tcPr>
            <w:tcW w:w="1498" w:type="dxa"/>
            <w:shd w:val="clear" w:color="auto" w:fill="1D336D"/>
          </w:tcPr>
          <w:p w14:paraId="31002AE7" w14:textId="77777777" w:rsidR="00D72AFD" w:rsidRPr="005D51AF" w:rsidRDefault="00D72AFD" w:rsidP="005D51AF">
            <w:pPr>
              <w:spacing w:before="60" w:after="60" w:line="240" w:lineRule="auto"/>
              <w:rPr>
                <w:b/>
                <w:bCs/>
                <w:color w:val="FFFFFF" w:themeColor="background1"/>
                <w:sz w:val="18"/>
                <w:szCs w:val="18"/>
              </w:rPr>
            </w:pPr>
            <w:r w:rsidRPr="005D51AF">
              <w:rPr>
                <w:b/>
                <w:bCs/>
                <w:color w:val="FFFFFF" w:themeColor="background1"/>
                <w:sz w:val="18"/>
                <w:szCs w:val="18"/>
              </w:rPr>
              <w:t>Methods</w:t>
            </w:r>
          </w:p>
        </w:tc>
        <w:tc>
          <w:tcPr>
            <w:tcW w:w="8132" w:type="dxa"/>
            <w:shd w:val="clear" w:color="auto" w:fill="1D336D"/>
          </w:tcPr>
          <w:p w14:paraId="6E7A9EA1" w14:textId="77777777" w:rsidR="00D72AFD" w:rsidRPr="005D51AF" w:rsidRDefault="00D72AFD" w:rsidP="005D51AF">
            <w:pPr>
              <w:spacing w:before="60" w:after="60" w:line="240" w:lineRule="auto"/>
              <w:rPr>
                <w:b/>
                <w:bCs/>
                <w:color w:val="FFFFFF" w:themeColor="background1"/>
                <w:sz w:val="18"/>
                <w:szCs w:val="18"/>
              </w:rPr>
            </w:pPr>
            <w:r w:rsidRPr="005D51AF">
              <w:rPr>
                <w:b/>
                <w:bCs/>
                <w:color w:val="FFFFFF" w:themeColor="background1"/>
                <w:sz w:val="18"/>
                <w:szCs w:val="18"/>
              </w:rPr>
              <w:t>Description</w:t>
            </w:r>
          </w:p>
        </w:tc>
      </w:tr>
      <w:tr w:rsidR="00D72AFD" w:rsidRPr="00C31E59" w14:paraId="1D155861" w14:textId="77777777" w:rsidTr="007E6DD3">
        <w:trPr>
          <w:trHeight w:val="120"/>
        </w:trPr>
        <w:tc>
          <w:tcPr>
            <w:tcW w:w="1498" w:type="dxa"/>
            <w:shd w:val="clear" w:color="auto" w:fill="C4D0EF"/>
          </w:tcPr>
          <w:p w14:paraId="2180E3C7" w14:textId="77777777" w:rsidR="00D72AFD" w:rsidRPr="007E6DD3" w:rsidRDefault="00D72AFD" w:rsidP="007E6DD3">
            <w:pPr>
              <w:spacing w:before="60" w:after="60" w:line="240" w:lineRule="auto"/>
              <w:rPr>
                <w:sz w:val="18"/>
                <w:szCs w:val="18"/>
              </w:rPr>
            </w:pPr>
            <w:r w:rsidRPr="007E6DD3">
              <w:rPr>
                <w:sz w:val="18"/>
                <w:szCs w:val="18"/>
              </w:rPr>
              <w:t>Document review</w:t>
            </w:r>
          </w:p>
        </w:tc>
        <w:tc>
          <w:tcPr>
            <w:tcW w:w="8132" w:type="dxa"/>
            <w:shd w:val="clear" w:color="auto" w:fill="auto"/>
          </w:tcPr>
          <w:p w14:paraId="68AF030F" w14:textId="1AC19FD7" w:rsidR="00D72AFD" w:rsidRPr="007E6DD3" w:rsidRDefault="00D72AFD" w:rsidP="007E6DD3">
            <w:pPr>
              <w:spacing w:before="60" w:after="60" w:line="240" w:lineRule="auto"/>
              <w:rPr>
                <w:sz w:val="18"/>
                <w:szCs w:val="18"/>
              </w:rPr>
            </w:pPr>
            <w:r w:rsidRPr="007E6DD3">
              <w:rPr>
                <w:sz w:val="18"/>
                <w:szCs w:val="18"/>
              </w:rPr>
              <w:t>Review of relevant existing documentation against the key and sub questions.</w:t>
            </w:r>
            <w:r w:rsidR="00EC313E" w:rsidRPr="007E6DD3">
              <w:rPr>
                <w:rStyle w:val="FootnoteReference"/>
                <w:sz w:val="18"/>
                <w:szCs w:val="18"/>
              </w:rPr>
              <w:footnoteReference w:id="6"/>
            </w:r>
            <w:r w:rsidRPr="007E6DD3">
              <w:rPr>
                <w:sz w:val="18"/>
                <w:szCs w:val="18"/>
              </w:rPr>
              <w:t xml:space="preserve"> </w:t>
            </w:r>
          </w:p>
        </w:tc>
      </w:tr>
      <w:tr w:rsidR="00D72AFD" w:rsidRPr="00C31E59" w14:paraId="1ECA9987" w14:textId="77777777" w:rsidTr="007E6DD3">
        <w:trPr>
          <w:trHeight w:val="120"/>
        </w:trPr>
        <w:tc>
          <w:tcPr>
            <w:tcW w:w="1498" w:type="dxa"/>
            <w:shd w:val="clear" w:color="auto" w:fill="C4D0EF"/>
          </w:tcPr>
          <w:p w14:paraId="56EC335D" w14:textId="77777777" w:rsidR="00D72AFD" w:rsidRPr="007E6DD3" w:rsidRDefault="00D72AFD" w:rsidP="007E6DD3">
            <w:pPr>
              <w:spacing w:before="60" w:after="60" w:line="240" w:lineRule="auto"/>
              <w:rPr>
                <w:sz w:val="18"/>
                <w:szCs w:val="18"/>
              </w:rPr>
            </w:pPr>
            <w:r w:rsidRPr="007E6DD3">
              <w:rPr>
                <w:sz w:val="18"/>
                <w:szCs w:val="18"/>
              </w:rPr>
              <w:t>Inception meeting</w:t>
            </w:r>
          </w:p>
        </w:tc>
        <w:tc>
          <w:tcPr>
            <w:tcW w:w="8132" w:type="dxa"/>
            <w:shd w:val="clear" w:color="auto" w:fill="auto"/>
          </w:tcPr>
          <w:p w14:paraId="3E7B647B" w14:textId="77777777" w:rsidR="00D72AFD" w:rsidRPr="007E6DD3" w:rsidRDefault="00D72AFD" w:rsidP="007E6DD3">
            <w:pPr>
              <w:spacing w:before="60" w:after="60" w:line="240" w:lineRule="auto"/>
              <w:rPr>
                <w:sz w:val="18"/>
                <w:szCs w:val="18"/>
              </w:rPr>
            </w:pPr>
            <w:r w:rsidRPr="007E6DD3">
              <w:rPr>
                <w:sz w:val="18"/>
                <w:szCs w:val="18"/>
              </w:rPr>
              <w:t>Discussion with DFAT Post covered DFAT overview, history and focus and discussion of evaluation questions and methodology.</w:t>
            </w:r>
          </w:p>
        </w:tc>
      </w:tr>
      <w:tr w:rsidR="00D72AFD" w:rsidRPr="00C31E59" w14:paraId="00F0721C" w14:textId="77777777" w:rsidTr="007E6DD3">
        <w:trPr>
          <w:trHeight w:val="120"/>
        </w:trPr>
        <w:tc>
          <w:tcPr>
            <w:tcW w:w="1498" w:type="dxa"/>
            <w:shd w:val="clear" w:color="auto" w:fill="C4D0EF"/>
          </w:tcPr>
          <w:p w14:paraId="5D709786" w14:textId="77777777" w:rsidR="00D72AFD" w:rsidRPr="007E6DD3" w:rsidRDefault="00D72AFD" w:rsidP="007E6DD3">
            <w:pPr>
              <w:spacing w:before="60" w:after="60" w:line="240" w:lineRule="auto"/>
              <w:rPr>
                <w:sz w:val="18"/>
                <w:szCs w:val="18"/>
              </w:rPr>
            </w:pPr>
            <w:r w:rsidRPr="007E6DD3">
              <w:rPr>
                <w:sz w:val="18"/>
                <w:szCs w:val="18"/>
              </w:rPr>
              <w:t>Document Study</w:t>
            </w:r>
          </w:p>
        </w:tc>
        <w:tc>
          <w:tcPr>
            <w:tcW w:w="8132" w:type="dxa"/>
            <w:shd w:val="clear" w:color="auto" w:fill="auto"/>
          </w:tcPr>
          <w:p w14:paraId="4371D475" w14:textId="55D1F184" w:rsidR="00D72AFD" w:rsidRPr="007E6DD3" w:rsidRDefault="00D72AFD" w:rsidP="007E6DD3">
            <w:pPr>
              <w:spacing w:before="60" w:after="60" w:line="240" w:lineRule="auto"/>
              <w:rPr>
                <w:sz w:val="18"/>
                <w:szCs w:val="18"/>
              </w:rPr>
            </w:pPr>
            <w:r w:rsidRPr="007E6DD3">
              <w:rPr>
                <w:sz w:val="18"/>
                <w:szCs w:val="18"/>
              </w:rPr>
              <w:t>Key documents provided a vital source of evidence of results and learnings so far.  These were used to inform lines on questioning in interviews and to triangulate evidence.</w:t>
            </w:r>
          </w:p>
        </w:tc>
      </w:tr>
      <w:tr w:rsidR="00D72AFD" w:rsidRPr="00C31E59" w14:paraId="2B2936A8" w14:textId="77777777" w:rsidTr="007E6DD3">
        <w:trPr>
          <w:trHeight w:val="120"/>
        </w:trPr>
        <w:tc>
          <w:tcPr>
            <w:tcW w:w="1498" w:type="dxa"/>
            <w:shd w:val="clear" w:color="auto" w:fill="C4D0EF"/>
          </w:tcPr>
          <w:p w14:paraId="23565B57" w14:textId="77777777" w:rsidR="00D72AFD" w:rsidRPr="007E6DD3" w:rsidRDefault="00D72AFD" w:rsidP="007E6DD3">
            <w:pPr>
              <w:spacing w:before="60" w:after="60" w:line="240" w:lineRule="auto"/>
              <w:rPr>
                <w:sz w:val="18"/>
                <w:szCs w:val="18"/>
              </w:rPr>
            </w:pPr>
            <w:r w:rsidRPr="007E6DD3">
              <w:rPr>
                <w:sz w:val="18"/>
                <w:szCs w:val="18"/>
              </w:rPr>
              <w:t>Key informant interviews/</w:t>
            </w:r>
            <w:r w:rsidRPr="007E6DD3">
              <w:rPr>
                <w:sz w:val="18"/>
                <w:szCs w:val="18"/>
              </w:rPr>
              <w:br/>
              <w:t>meetings</w:t>
            </w:r>
          </w:p>
        </w:tc>
        <w:tc>
          <w:tcPr>
            <w:tcW w:w="8132" w:type="dxa"/>
            <w:shd w:val="clear" w:color="auto" w:fill="auto"/>
          </w:tcPr>
          <w:p w14:paraId="42FAD0CE" w14:textId="233A3EDD" w:rsidR="00D72AFD" w:rsidRPr="007E6DD3" w:rsidRDefault="00D72AFD" w:rsidP="007E6DD3">
            <w:pPr>
              <w:spacing w:before="60" w:after="60" w:line="240" w:lineRule="auto"/>
              <w:rPr>
                <w:sz w:val="18"/>
                <w:szCs w:val="18"/>
              </w:rPr>
            </w:pPr>
            <w:r w:rsidRPr="007E6DD3">
              <w:rPr>
                <w:sz w:val="18"/>
                <w:szCs w:val="18"/>
              </w:rPr>
              <w:t>Stakeholder interviews including with DFAT, TASP Team Leads, Pillar leads, Advisors and Government partners in Governance, Skills, Health, Gender and Disability, Civil Society grantees, previous contractor staff</w:t>
            </w:r>
            <w:r w:rsidR="00A70FAC" w:rsidRPr="007E6DD3">
              <w:rPr>
                <w:rStyle w:val="FootnoteReference"/>
                <w:sz w:val="18"/>
                <w:szCs w:val="18"/>
              </w:rPr>
              <w:footnoteReference w:id="7"/>
            </w:r>
            <w:r w:rsidR="00A70FAC" w:rsidRPr="007E6DD3">
              <w:rPr>
                <w:sz w:val="18"/>
                <w:szCs w:val="18"/>
              </w:rPr>
              <w:t>.</w:t>
            </w:r>
            <w:r w:rsidRPr="007E6DD3">
              <w:rPr>
                <w:sz w:val="18"/>
                <w:szCs w:val="18"/>
              </w:rPr>
              <w:t xml:space="preserve"> </w:t>
            </w:r>
          </w:p>
        </w:tc>
      </w:tr>
    </w:tbl>
    <w:p w14:paraId="6BC09530" w14:textId="0CEFEB0A" w:rsidR="00194B11" w:rsidRPr="00444EB1" w:rsidRDefault="000F1258" w:rsidP="007E6DD3">
      <w:pPr>
        <w:pStyle w:val="Heading2"/>
        <w:keepNext/>
      </w:pPr>
      <w:bookmarkStart w:id="9" w:name="_Toc183423570"/>
      <w:r w:rsidRPr="00444EB1">
        <w:t>Document review</w:t>
      </w:r>
      <w:bookmarkEnd w:id="9"/>
    </w:p>
    <w:p w14:paraId="6BC09531" w14:textId="63B10476" w:rsidR="00194B11" w:rsidRDefault="00F25871" w:rsidP="00A348C7">
      <w:r>
        <w:t xml:space="preserve">An initial short list of approximately 20 documents were reviewed </w:t>
      </w:r>
      <w:r w:rsidR="00D72AFD">
        <w:t>prior to fieldwork</w:t>
      </w:r>
      <w:r>
        <w:t xml:space="preserve">.  As the Evaluation team started to interview stakeholders and analyse results other documents became available or were sought.  In </w:t>
      </w:r>
      <w:r>
        <w:lastRenderedPageBreak/>
        <w:t xml:space="preserve">total the team review </w:t>
      </w:r>
      <w:r w:rsidR="0043649F">
        <w:t>4</w:t>
      </w:r>
      <w:r w:rsidR="00E025E6">
        <w:t>9</w:t>
      </w:r>
      <w:r w:rsidR="000F1258">
        <w:t xml:space="preserve"> documents</w:t>
      </w:r>
      <w:r>
        <w:t>,</w:t>
      </w:r>
      <w:r w:rsidR="000F1258">
        <w:t xml:space="preserve"> consisting of TASP reports, DFAT reports and </w:t>
      </w:r>
      <w:r>
        <w:t>G</w:t>
      </w:r>
      <w:r w:rsidR="000F1258">
        <w:t xml:space="preserve">uidelines and </w:t>
      </w:r>
      <w:r>
        <w:t>other relevant reports and publications</w:t>
      </w:r>
      <w:r w:rsidR="0041483A">
        <w:t xml:space="preserve"> (</w:t>
      </w:r>
      <w:hyperlink w:anchor="_Annex_2:_References" w:history="1">
        <w:r w:rsidR="0041483A" w:rsidRPr="0041483A">
          <w:rPr>
            <w:rStyle w:val="Hyperlink"/>
          </w:rPr>
          <w:t>see Annex 2</w:t>
        </w:r>
      </w:hyperlink>
      <w:r w:rsidR="0041483A">
        <w:t xml:space="preserve"> for full list of References)</w:t>
      </w:r>
      <w:r>
        <w:t>.</w:t>
      </w:r>
    </w:p>
    <w:p w14:paraId="6BC09532" w14:textId="479A80D8" w:rsidR="00194B11" w:rsidRPr="00444EB1" w:rsidRDefault="000F1258" w:rsidP="00410679">
      <w:pPr>
        <w:pStyle w:val="Heading2"/>
      </w:pPr>
      <w:bookmarkStart w:id="10" w:name="_Toc183423571"/>
      <w:r w:rsidRPr="00444EB1">
        <w:t>Stakeholder consultations</w:t>
      </w:r>
      <w:bookmarkEnd w:id="10"/>
    </w:p>
    <w:p w14:paraId="6BC09534" w14:textId="3AC30106" w:rsidR="00194B11" w:rsidRDefault="00D86E71" w:rsidP="00A348C7">
      <w:r>
        <w:t xml:space="preserve">Thirty-five </w:t>
      </w:r>
      <w:r w:rsidR="000F1258">
        <w:t>meetings were conducted with 3</w:t>
      </w:r>
      <w:r w:rsidR="000B5BEC">
        <w:t>8</w:t>
      </w:r>
      <w:r w:rsidR="000F1258">
        <w:t xml:space="preserve"> stakeholders</w:t>
      </w:r>
      <w:r w:rsidR="00F25871">
        <w:t>, face to face in Tonga</w:t>
      </w:r>
      <w:r w:rsidR="00DD59BB">
        <w:t xml:space="preserve"> and online</w:t>
      </w:r>
      <w:r w:rsidR="00F25871">
        <w:t xml:space="preserve">. </w:t>
      </w:r>
      <w:r w:rsidR="000F1258">
        <w:t xml:space="preserve">Key stakeholder categories are shown in Table 3 below. </w:t>
      </w:r>
      <w:r w:rsidR="0041483A">
        <w:t>(see</w:t>
      </w:r>
      <w:r w:rsidR="000F1258" w:rsidRPr="00F25871">
        <w:t xml:space="preserve"> </w:t>
      </w:r>
      <w:hyperlink w:anchor="_Annex_3:_List" w:history="1">
        <w:r w:rsidR="000F1258" w:rsidRPr="008A75DA">
          <w:rPr>
            <w:rStyle w:val="Hyperlink"/>
          </w:rPr>
          <w:t xml:space="preserve">Annex </w:t>
        </w:r>
        <w:r w:rsidR="00F25871" w:rsidRPr="008A75DA">
          <w:rPr>
            <w:rStyle w:val="Hyperlink"/>
          </w:rPr>
          <w:t>3</w:t>
        </w:r>
      </w:hyperlink>
      <w:r w:rsidR="0041483A">
        <w:t xml:space="preserve"> for the full list of consultations)</w:t>
      </w:r>
      <w:r w:rsidR="000F1258">
        <w:t xml:space="preserve"> </w:t>
      </w:r>
    </w:p>
    <w:p w14:paraId="6BC09535" w14:textId="77777777" w:rsidR="00194B11" w:rsidRPr="00DD59BB" w:rsidRDefault="000F1258" w:rsidP="007948F7">
      <w:pPr>
        <w:pStyle w:val="TableHeadingBlue"/>
      </w:pPr>
      <w:r w:rsidRPr="00DD59BB">
        <w:t>Table 3. Key Stakeholder categories and numbers.</w:t>
      </w:r>
    </w:p>
    <w:tbl>
      <w:tblPr>
        <w:tblW w:w="9294"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600" w:firstRow="0" w:lastRow="0" w:firstColumn="0" w:lastColumn="0" w:noHBand="1" w:noVBand="1"/>
      </w:tblPr>
      <w:tblGrid>
        <w:gridCol w:w="1923"/>
        <w:gridCol w:w="709"/>
        <w:gridCol w:w="6662"/>
      </w:tblGrid>
      <w:tr w:rsidR="00DD59BB" w:rsidRPr="007F693F" w14:paraId="6BC09539" w14:textId="77777777" w:rsidTr="00850AF1">
        <w:trPr>
          <w:trHeight w:val="300"/>
          <w:tblHeader/>
        </w:trPr>
        <w:tc>
          <w:tcPr>
            <w:tcW w:w="1923" w:type="dxa"/>
            <w:shd w:val="clear" w:color="auto" w:fill="1D336D"/>
          </w:tcPr>
          <w:p w14:paraId="6BC09536" w14:textId="23D30DC0" w:rsidR="00194B11" w:rsidRPr="007F693F" w:rsidRDefault="002226C2" w:rsidP="007F693F">
            <w:pPr>
              <w:spacing w:before="60" w:after="60" w:line="240" w:lineRule="auto"/>
              <w:rPr>
                <w:b/>
                <w:bCs/>
                <w:color w:val="FFFFFF" w:themeColor="background1"/>
                <w:sz w:val="18"/>
                <w:szCs w:val="18"/>
              </w:rPr>
            </w:pPr>
            <w:r w:rsidRPr="007F693F">
              <w:rPr>
                <w:b/>
                <w:bCs/>
                <w:color w:val="FFFFFF" w:themeColor="background1"/>
                <w:sz w:val="18"/>
                <w:szCs w:val="18"/>
              </w:rPr>
              <w:t>C</w:t>
            </w:r>
            <w:r w:rsidR="000F1258" w:rsidRPr="007F693F">
              <w:rPr>
                <w:b/>
                <w:bCs/>
                <w:color w:val="FFFFFF" w:themeColor="background1"/>
                <w:sz w:val="18"/>
                <w:szCs w:val="18"/>
              </w:rPr>
              <w:t>onsultations</w:t>
            </w:r>
          </w:p>
        </w:tc>
        <w:tc>
          <w:tcPr>
            <w:tcW w:w="709" w:type="dxa"/>
            <w:shd w:val="clear" w:color="auto" w:fill="1D336D"/>
          </w:tcPr>
          <w:p w14:paraId="6BC09537" w14:textId="054ABEFC" w:rsidR="00194B11" w:rsidRPr="007F693F" w:rsidRDefault="009D3081" w:rsidP="007F693F">
            <w:pPr>
              <w:spacing w:before="60" w:after="60" w:line="240" w:lineRule="auto"/>
              <w:rPr>
                <w:b/>
                <w:bCs/>
                <w:color w:val="FFFFFF" w:themeColor="background1"/>
                <w:sz w:val="18"/>
                <w:szCs w:val="18"/>
              </w:rPr>
            </w:pPr>
            <w:r w:rsidRPr="007F693F">
              <w:rPr>
                <w:b/>
                <w:bCs/>
                <w:color w:val="FFFFFF" w:themeColor="background1"/>
                <w:sz w:val="18"/>
                <w:szCs w:val="18"/>
              </w:rPr>
              <w:t>#</w:t>
            </w:r>
          </w:p>
        </w:tc>
        <w:tc>
          <w:tcPr>
            <w:tcW w:w="6662" w:type="dxa"/>
            <w:shd w:val="clear" w:color="auto" w:fill="1D336D"/>
          </w:tcPr>
          <w:p w14:paraId="6BC09538" w14:textId="77777777" w:rsidR="00194B11" w:rsidRPr="007F693F" w:rsidRDefault="000F1258" w:rsidP="007F693F">
            <w:pPr>
              <w:spacing w:before="60" w:after="60" w:line="240" w:lineRule="auto"/>
              <w:rPr>
                <w:b/>
                <w:bCs/>
                <w:color w:val="FFFFFF" w:themeColor="background1"/>
                <w:sz w:val="18"/>
                <w:szCs w:val="18"/>
              </w:rPr>
            </w:pPr>
            <w:r w:rsidRPr="007F693F">
              <w:rPr>
                <w:b/>
                <w:bCs/>
                <w:color w:val="FFFFFF" w:themeColor="background1"/>
                <w:sz w:val="18"/>
                <w:szCs w:val="18"/>
              </w:rPr>
              <w:t>Interviewees</w:t>
            </w:r>
          </w:p>
        </w:tc>
      </w:tr>
      <w:tr w:rsidR="00194B11" w:rsidRPr="007F693F" w14:paraId="6BC0953D" w14:textId="77777777" w:rsidTr="009D3081">
        <w:trPr>
          <w:trHeight w:val="300"/>
        </w:trPr>
        <w:tc>
          <w:tcPr>
            <w:tcW w:w="1923" w:type="dxa"/>
            <w:shd w:val="clear" w:color="auto" w:fill="C4D0EF"/>
          </w:tcPr>
          <w:p w14:paraId="6BC0953A" w14:textId="085D1055" w:rsidR="00194B11" w:rsidRPr="007F693F" w:rsidRDefault="000F1258" w:rsidP="007F693F">
            <w:pPr>
              <w:spacing w:before="60" w:after="60" w:line="240" w:lineRule="auto"/>
              <w:rPr>
                <w:sz w:val="18"/>
                <w:szCs w:val="18"/>
              </w:rPr>
            </w:pPr>
            <w:proofErr w:type="spellStart"/>
            <w:r w:rsidRPr="007F693F">
              <w:rPr>
                <w:sz w:val="18"/>
                <w:szCs w:val="18"/>
              </w:rPr>
              <w:t>Go</w:t>
            </w:r>
            <w:r w:rsidR="006B15AD" w:rsidRPr="007F693F">
              <w:rPr>
                <w:sz w:val="18"/>
                <w:szCs w:val="18"/>
              </w:rPr>
              <w:t>T</w:t>
            </w:r>
            <w:proofErr w:type="spellEnd"/>
            <w:r w:rsidRPr="007F693F">
              <w:rPr>
                <w:sz w:val="18"/>
                <w:szCs w:val="18"/>
              </w:rPr>
              <w:t xml:space="preserve"> Staff</w:t>
            </w:r>
          </w:p>
        </w:tc>
        <w:tc>
          <w:tcPr>
            <w:tcW w:w="709" w:type="dxa"/>
            <w:shd w:val="clear" w:color="auto" w:fill="auto"/>
          </w:tcPr>
          <w:p w14:paraId="6BC0953B" w14:textId="663D8EE9" w:rsidR="00194B11" w:rsidRPr="007F693F" w:rsidRDefault="000B5BEC" w:rsidP="007F693F">
            <w:pPr>
              <w:spacing w:before="60" w:after="60" w:line="240" w:lineRule="auto"/>
              <w:rPr>
                <w:sz w:val="18"/>
                <w:szCs w:val="18"/>
              </w:rPr>
            </w:pPr>
            <w:r w:rsidRPr="007F693F">
              <w:rPr>
                <w:sz w:val="18"/>
                <w:szCs w:val="18"/>
              </w:rPr>
              <w:t>5</w:t>
            </w:r>
          </w:p>
        </w:tc>
        <w:tc>
          <w:tcPr>
            <w:tcW w:w="6662" w:type="dxa"/>
          </w:tcPr>
          <w:p w14:paraId="6BC0953C" w14:textId="247ECD85" w:rsidR="00194B11" w:rsidRPr="007F693F" w:rsidRDefault="000F1258" w:rsidP="007F693F">
            <w:pPr>
              <w:spacing w:before="60" w:after="60" w:line="240" w:lineRule="auto"/>
              <w:rPr>
                <w:sz w:val="18"/>
                <w:szCs w:val="18"/>
              </w:rPr>
            </w:pPr>
            <w:r w:rsidRPr="007F693F">
              <w:rPr>
                <w:sz w:val="18"/>
                <w:szCs w:val="18"/>
              </w:rPr>
              <w:t xml:space="preserve">Ministry </w:t>
            </w:r>
            <w:r w:rsidR="002226C2" w:rsidRPr="007F693F">
              <w:rPr>
                <w:sz w:val="18"/>
                <w:szCs w:val="18"/>
              </w:rPr>
              <w:t>of Finance, Ministry of Health, Tonga Public Service Commission</w:t>
            </w:r>
          </w:p>
        </w:tc>
      </w:tr>
      <w:tr w:rsidR="00194B11" w:rsidRPr="007F693F" w14:paraId="6BC09541" w14:textId="77777777" w:rsidTr="00572285">
        <w:trPr>
          <w:trHeight w:val="300"/>
        </w:trPr>
        <w:tc>
          <w:tcPr>
            <w:tcW w:w="1923" w:type="dxa"/>
            <w:shd w:val="clear" w:color="auto" w:fill="C4CFEF" w:themeFill="background2" w:themeFillTint="33"/>
          </w:tcPr>
          <w:p w14:paraId="6BC0953E" w14:textId="77777777" w:rsidR="00194B11" w:rsidRPr="007F693F" w:rsidRDefault="000F1258" w:rsidP="007F693F">
            <w:pPr>
              <w:spacing w:before="60" w:after="60" w:line="240" w:lineRule="auto"/>
              <w:rPr>
                <w:sz w:val="18"/>
                <w:szCs w:val="18"/>
              </w:rPr>
            </w:pPr>
            <w:r w:rsidRPr="007F693F">
              <w:rPr>
                <w:sz w:val="18"/>
                <w:szCs w:val="18"/>
              </w:rPr>
              <w:t>Grantees/CSOs</w:t>
            </w:r>
          </w:p>
        </w:tc>
        <w:tc>
          <w:tcPr>
            <w:tcW w:w="709" w:type="dxa"/>
            <w:shd w:val="clear" w:color="auto" w:fill="auto"/>
          </w:tcPr>
          <w:p w14:paraId="6BC0953F" w14:textId="77777777" w:rsidR="00194B11" w:rsidRPr="007F693F" w:rsidRDefault="000F1258" w:rsidP="007F693F">
            <w:pPr>
              <w:spacing w:before="60" w:after="60" w:line="240" w:lineRule="auto"/>
              <w:rPr>
                <w:sz w:val="18"/>
                <w:szCs w:val="18"/>
              </w:rPr>
            </w:pPr>
            <w:r w:rsidRPr="007F693F">
              <w:rPr>
                <w:sz w:val="18"/>
                <w:szCs w:val="18"/>
              </w:rPr>
              <w:t>7</w:t>
            </w:r>
          </w:p>
        </w:tc>
        <w:tc>
          <w:tcPr>
            <w:tcW w:w="6662" w:type="dxa"/>
          </w:tcPr>
          <w:p w14:paraId="6BC09540" w14:textId="4B9F0BFE" w:rsidR="00194B11" w:rsidRPr="007F693F" w:rsidRDefault="002226C2" w:rsidP="007F693F">
            <w:pPr>
              <w:spacing w:before="60" w:after="60" w:line="240" w:lineRule="auto"/>
              <w:rPr>
                <w:sz w:val="18"/>
                <w:szCs w:val="18"/>
              </w:rPr>
            </w:pPr>
            <w:r w:rsidRPr="007F693F">
              <w:rPr>
                <w:sz w:val="18"/>
                <w:szCs w:val="18"/>
              </w:rPr>
              <w:t xml:space="preserve">CSO grantees: </w:t>
            </w:r>
            <w:proofErr w:type="spellStart"/>
            <w:r w:rsidRPr="007F693F">
              <w:rPr>
                <w:sz w:val="18"/>
                <w:szCs w:val="18"/>
              </w:rPr>
              <w:t>Ma’a</w:t>
            </w:r>
            <w:proofErr w:type="spellEnd"/>
            <w:r w:rsidRPr="007F693F">
              <w:rPr>
                <w:sz w:val="18"/>
                <w:szCs w:val="18"/>
              </w:rPr>
              <w:t xml:space="preserve"> </w:t>
            </w:r>
            <w:proofErr w:type="spellStart"/>
            <w:r w:rsidRPr="007F693F">
              <w:rPr>
                <w:sz w:val="18"/>
                <w:szCs w:val="18"/>
              </w:rPr>
              <w:t>Fafine</w:t>
            </w:r>
            <w:proofErr w:type="spellEnd"/>
            <w:r w:rsidRPr="007F693F">
              <w:rPr>
                <w:sz w:val="18"/>
                <w:szCs w:val="18"/>
              </w:rPr>
              <w:t xml:space="preserve"> </w:t>
            </w:r>
            <w:proofErr w:type="spellStart"/>
            <w:r w:rsidRPr="007F693F">
              <w:rPr>
                <w:sz w:val="18"/>
                <w:szCs w:val="18"/>
              </w:rPr>
              <w:t>mo</w:t>
            </w:r>
            <w:proofErr w:type="spellEnd"/>
            <w:r w:rsidRPr="007F693F">
              <w:rPr>
                <w:sz w:val="18"/>
                <w:szCs w:val="18"/>
              </w:rPr>
              <w:t xml:space="preserve"> e </w:t>
            </w:r>
            <w:proofErr w:type="spellStart"/>
            <w:r w:rsidRPr="007F693F">
              <w:rPr>
                <w:sz w:val="18"/>
                <w:szCs w:val="18"/>
              </w:rPr>
              <w:t>Famili</w:t>
            </w:r>
            <w:proofErr w:type="spellEnd"/>
            <w:r w:rsidRPr="007F693F">
              <w:rPr>
                <w:sz w:val="18"/>
                <w:szCs w:val="18"/>
              </w:rPr>
              <w:t xml:space="preserve">, Tonga Women in (Information and Communications Technology) ICT, Tupou Tertiary Institute (TTI), Women and Children Crisis Centre (WCCC), </w:t>
            </w:r>
            <w:proofErr w:type="spellStart"/>
            <w:r w:rsidRPr="007F693F">
              <w:rPr>
                <w:sz w:val="18"/>
                <w:szCs w:val="18"/>
              </w:rPr>
              <w:t>Lavame’a</w:t>
            </w:r>
            <w:proofErr w:type="spellEnd"/>
            <w:r w:rsidRPr="007F693F">
              <w:rPr>
                <w:sz w:val="18"/>
                <w:szCs w:val="18"/>
              </w:rPr>
              <w:t xml:space="preserve"> </w:t>
            </w:r>
            <w:proofErr w:type="spellStart"/>
            <w:r w:rsidRPr="007F693F">
              <w:rPr>
                <w:sz w:val="18"/>
                <w:szCs w:val="18"/>
              </w:rPr>
              <w:t>Ta’e’iloa</w:t>
            </w:r>
            <w:proofErr w:type="spellEnd"/>
            <w:r w:rsidRPr="007F693F">
              <w:rPr>
                <w:sz w:val="18"/>
                <w:szCs w:val="18"/>
              </w:rPr>
              <w:t xml:space="preserve"> (LATA)</w:t>
            </w:r>
          </w:p>
        </w:tc>
      </w:tr>
      <w:tr w:rsidR="00194B11" w:rsidRPr="007F693F" w14:paraId="6BC09545" w14:textId="77777777" w:rsidTr="009D3081">
        <w:trPr>
          <w:trHeight w:val="300"/>
        </w:trPr>
        <w:tc>
          <w:tcPr>
            <w:tcW w:w="1923" w:type="dxa"/>
            <w:shd w:val="clear" w:color="auto" w:fill="C4D0EF"/>
          </w:tcPr>
          <w:p w14:paraId="6BC09542" w14:textId="77777777" w:rsidR="00194B11" w:rsidRPr="007F693F" w:rsidRDefault="000F1258" w:rsidP="007F693F">
            <w:pPr>
              <w:spacing w:before="60" w:after="60" w:line="240" w:lineRule="auto"/>
              <w:rPr>
                <w:sz w:val="18"/>
                <w:szCs w:val="18"/>
              </w:rPr>
            </w:pPr>
            <w:r w:rsidRPr="007F693F">
              <w:rPr>
                <w:sz w:val="18"/>
                <w:szCs w:val="18"/>
              </w:rPr>
              <w:t>TASP Staff including Advisors</w:t>
            </w:r>
          </w:p>
        </w:tc>
        <w:tc>
          <w:tcPr>
            <w:tcW w:w="709" w:type="dxa"/>
            <w:shd w:val="clear" w:color="auto" w:fill="auto"/>
          </w:tcPr>
          <w:p w14:paraId="6BC09543" w14:textId="40E3A8DE" w:rsidR="00194B11" w:rsidRPr="007F693F" w:rsidRDefault="000F1258" w:rsidP="007F693F">
            <w:pPr>
              <w:spacing w:before="60" w:after="60" w:line="240" w:lineRule="auto"/>
              <w:rPr>
                <w:sz w:val="18"/>
                <w:szCs w:val="18"/>
              </w:rPr>
            </w:pPr>
            <w:r w:rsidRPr="007F693F">
              <w:rPr>
                <w:color w:val="000000"/>
                <w:sz w:val="18"/>
                <w:szCs w:val="18"/>
              </w:rPr>
              <w:t>1</w:t>
            </w:r>
            <w:r w:rsidR="000B5BEC" w:rsidRPr="007F693F">
              <w:rPr>
                <w:color w:val="000000"/>
                <w:sz w:val="18"/>
                <w:szCs w:val="18"/>
              </w:rPr>
              <w:t>7</w:t>
            </w:r>
          </w:p>
        </w:tc>
        <w:tc>
          <w:tcPr>
            <w:tcW w:w="6662" w:type="dxa"/>
          </w:tcPr>
          <w:p w14:paraId="6BC09544" w14:textId="602B2773" w:rsidR="00194B11" w:rsidRPr="007F693F" w:rsidRDefault="000F1258" w:rsidP="007F693F">
            <w:pPr>
              <w:spacing w:before="60" w:after="60" w:line="240" w:lineRule="auto"/>
              <w:rPr>
                <w:sz w:val="18"/>
                <w:szCs w:val="18"/>
              </w:rPr>
            </w:pPr>
            <w:r w:rsidRPr="007F693F">
              <w:rPr>
                <w:sz w:val="18"/>
                <w:szCs w:val="18"/>
              </w:rPr>
              <w:t>Team leads, advisors, Directors and Deputy Director</w:t>
            </w:r>
            <w:r w:rsidR="002226C2" w:rsidRPr="007F693F">
              <w:rPr>
                <w:sz w:val="18"/>
                <w:szCs w:val="18"/>
              </w:rPr>
              <w:t>, DT Global, Clear Horizon</w:t>
            </w:r>
          </w:p>
        </w:tc>
      </w:tr>
      <w:tr w:rsidR="00194B11" w:rsidRPr="007F693F" w14:paraId="6BC09549" w14:textId="77777777" w:rsidTr="009D3081">
        <w:trPr>
          <w:trHeight w:val="300"/>
        </w:trPr>
        <w:tc>
          <w:tcPr>
            <w:tcW w:w="1923" w:type="dxa"/>
            <w:shd w:val="clear" w:color="auto" w:fill="C4D0EF"/>
          </w:tcPr>
          <w:p w14:paraId="6BC09546" w14:textId="77777777" w:rsidR="00194B11" w:rsidRPr="007F693F" w:rsidRDefault="000F1258" w:rsidP="007F693F">
            <w:pPr>
              <w:spacing w:before="60" w:after="60" w:line="240" w:lineRule="auto"/>
              <w:rPr>
                <w:sz w:val="18"/>
                <w:szCs w:val="18"/>
              </w:rPr>
            </w:pPr>
            <w:r w:rsidRPr="007F693F">
              <w:rPr>
                <w:sz w:val="18"/>
                <w:szCs w:val="18"/>
              </w:rPr>
              <w:t>Donors</w:t>
            </w:r>
          </w:p>
        </w:tc>
        <w:tc>
          <w:tcPr>
            <w:tcW w:w="709" w:type="dxa"/>
            <w:shd w:val="clear" w:color="auto" w:fill="auto"/>
          </w:tcPr>
          <w:p w14:paraId="6BC09547" w14:textId="499B433E" w:rsidR="00194B11" w:rsidRPr="007F693F" w:rsidRDefault="006B15AD" w:rsidP="007F693F">
            <w:pPr>
              <w:spacing w:before="60" w:after="60" w:line="240" w:lineRule="auto"/>
              <w:rPr>
                <w:sz w:val="18"/>
                <w:szCs w:val="18"/>
              </w:rPr>
            </w:pPr>
            <w:r w:rsidRPr="007F693F">
              <w:rPr>
                <w:sz w:val="18"/>
                <w:szCs w:val="18"/>
              </w:rPr>
              <w:t>9</w:t>
            </w:r>
          </w:p>
        </w:tc>
        <w:tc>
          <w:tcPr>
            <w:tcW w:w="6662" w:type="dxa"/>
          </w:tcPr>
          <w:p w14:paraId="6BC09548" w14:textId="20D7BF75" w:rsidR="00194B11" w:rsidRPr="007F693F" w:rsidRDefault="000F1258" w:rsidP="007F693F">
            <w:pPr>
              <w:spacing w:before="60" w:after="60" w:line="240" w:lineRule="auto"/>
              <w:rPr>
                <w:sz w:val="18"/>
                <w:szCs w:val="18"/>
              </w:rPr>
            </w:pPr>
            <w:r w:rsidRPr="007F693F">
              <w:rPr>
                <w:sz w:val="18"/>
                <w:szCs w:val="18"/>
              </w:rPr>
              <w:t xml:space="preserve">DFAT </w:t>
            </w:r>
          </w:p>
        </w:tc>
      </w:tr>
    </w:tbl>
    <w:p w14:paraId="6BC0954F" w14:textId="5C6E8896" w:rsidR="00194B11" w:rsidRDefault="00D86E71" w:rsidP="008A75DA">
      <w:r>
        <w:t xml:space="preserve">The types of information sought from each group is summarised below in Table 4. </w:t>
      </w:r>
    </w:p>
    <w:p w14:paraId="6BC09550" w14:textId="20B30295" w:rsidR="00194B11" w:rsidRDefault="000F1258" w:rsidP="00AD6729">
      <w:pPr>
        <w:pStyle w:val="TableHeadingBlue"/>
      </w:pPr>
      <w:r>
        <w:t xml:space="preserve">Table 4. </w:t>
      </w:r>
      <w:r w:rsidR="00D456F2">
        <w:t>Information sources</w:t>
      </w:r>
      <w:r>
        <w:t xml:space="preserve"> </w:t>
      </w:r>
    </w:p>
    <w:tbl>
      <w:tblPr>
        <w:tblW w:w="9628"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left w:w="85" w:type="dxa"/>
          <w:bottom w:w="85" w:type="dxa"/>
          <w:right w:w="85" w:type="dxa"/>
        </w:tblCellMar>
        <w:tblLook w:val="04A0" w:firstRow="1" w:lastRow="0" w:firstColumn="1" w:lastColumn="0" w:noHBand="0" w:noVBand="1"/>
      </w:tblPr>
      <w:tblGrid>
        <w:gridCol w:w="1258"/>
        <w:gridCol w:w="8370"/>
      </w:tblGrid>
      <w:tr w:rsidR="00194B11" w:rsidRPr="007F693F" w14:paraId="6BC09553" w14:textId="77777777" w:rsidTr="00850AF1">
        <w:trPr>
          <w:tblHeader/>
        </w:trPr>
        <w:tc>
          <w:tcPr>
            <w:tcW w:w="1258" w:type="dxa"/>
            <w:shd w:val="clear" w:color="auto" w:fill="1D336D" w:themeFill="background2"/>
          </w:tcPr>
          <w:p w14:paraId="6BC09551" w14:textId="77777777" w:rsidR="00194B11" w:rsidRPr="007F693F" w:rsidRDefault="000F1258" w:rsidP="00A348C7">
            <w:pPr>
              <w:pStyle w:val="TableHeading"/>
              <w:rPr>
                <w:color w:val="auto"/>
                <w:sz w:val="18"/>
                <w:szCs w:val="18"/>
              </w:rPr>
            </w:pPr>
            <w:r w:rsidRPr="007F693F">
              <w:rPr>
                <w:color w:val="auto"/>
                <w:sz w:val="18"/>
                <w:szCs w:val="18"/>
              </w:rPr>
              <w:t>Stakeholder Category</w:t>
            </w:r>
          </w:p>
        </w:tc>
        <w:tc>
          <w:tcPr>
            <w:tcW w:w="8370" w:type="dxa"/>
            <w:shd w:val="clear" w:color="auto" w:fill="1D336D" w:themeFill="background2"/>
          </w:tcPr>
          <w:p w14:paraId="6BC09552" w14:textId="34A20F9A" w:rsidR="00194B11" w:rsidRPr="007F693F" w:rsidRDefault="000F1258" w:rsidP="00A348C7">
            <w:pPr>
              <w:pStyle w:val="TableHeading"/>
              <w:rPr>
                <w:color w:val="auto"/>
                <w:sz w:val="18"/>
                <w:szCs w:val="18"/>
              </w:rPr>
            </w:pPr>
            <w:r w:rsidRPr="007F693F">
              <w:rPr>
                <w:color w:val="auto"/>
                <w:sz w:val="18"/>
                <w:szCs w:val="18"/>
              </w:rPr>
              <w:t xml:space="preserve">Information </w:t>
            </w:r>
            <w:r w:rsidR="00D86E71" w:rsidRPr="007F693F">
              <w:rPr>
                <w:color w:val="auto"/>
                <w:sz w:val="18"/>
                <w:szCs w:val="18"/>
              </w:rPr>
              <w:t>sought</w:t>
            </w:r>
          </w:p>
        </w:tc>
      </w:tr>
      <w:tr w:rsidR="00194B11" w:rsidRPr="007F693F" w14:paraId="6BC09559" w14:textId="77777777" w:rsidTr="00572285">
        <w:tc>
          <w:tcPr>
            <w:tcW w:w="1258" w:type="dxa"/>
            <w:shd w:val="clear" w:color="auto" w:fill="C4CFEF" w:themeFill="background2" w:themeFillTint="33"/>
          </w:tcPr>
          <w:p w14:paraId="6BC09554" w14:textId="77777777" w:rsidR="00194B11" w:rsidRPr="00632A71" w:rsidRDefault="000F1258" w:rsidP="00A348C7">
            <w:pPr>
              <w:pStyle w:val="TableHeading"/>
              <w:rPr>
                <w:b w:val="0"/>
                <w:bCs w:val="0"/>
                <w:color w:val="auto"/>
                <w:sz w:val="18"/>
                <w:szCs w:val="18"/>
              </w:rPr>
            </w:pPr>
            <w:r w:rsidRPr="007F693F">
              <w:rPr>
                <w:b w:val="0"/>
                <w:bCs w:val="0"/>
                <w:color w:val="auto"/>
                <w:sz w:val="18"/>
                <w:szCs w:val="18"/>
              </w:rPr>
              <w:t>DFAT</w:t>
            </w:r>
          </w:p>
        </w:tc>
        <w:tc>
          <w:tcPr>
            <w:tcW w:w="8370" w:type="dxa"/>
            <w:shd w:val="clear" w:color="auto" w:fill="auto"/>
          </w:tcPr>
          <w:p w14:paraId="6BC09555" w14:textId="77777777" w:rsidR="00194B11" w:rsidRPr="007F693F" w:rsidRDefault="000F1258" w:rsidP="00A348C7">
            <w:pPr>
              <w:pStyle w:val="TableHeading"/>
              <w:rPr>
                <w:b w:val="0"/>
                <w:bCs w:val="0"/>
                <w:color w:val="auto"/>
                <w:sz w:val="18"/>
                <w:szCs w:val="18"/>
              </w:rPr>
            </w:pPr>
            <w:r w:rsidRPr="007F693F">
              <w:rPr>
                <w:b w:val="0"/>
                <w:bCs w:val="0"/>
                <w:color w:val="auto"/>
                <w:sz w:val="18"/>
                <w:szCs w:val="18"/>
              </w:rPr>
              <w:t>Extent to which the program achieved its objectives</w:t>
            </w:r>
          </w:p>
          <w:p w14:paraId="6BC09556" w14:textId="77777777" w:rsidR="00194B11" w:rsidRPr="007F693F" w:rsidRDefault="000F1258" w:rsidP="00A348C7">
            <w:pPr>
              <w:pStyle w:val="TableHeading"/>
              <w:rPr>
                <w:b w:val="0"/>
                <w:bCs w:val="0"/>
                <w:color w:val="auto"/>
                <w:sz w:val="18"/>
                <w:szCs w:val="18"/>
              </w:rPr>
            </w:pPr>
            <w:r w:rsidRPr="007F693F">
              <w:rPr>
                <w:b w:val="0"/>
                <w:bCs w:val="0"/>
                <w:color w:val="auto"/>
                <w:sz w:val="18"/>
                <w:szCs w:val="18"/>
              </w:rPr>
              <w:t>Areas that would support greater efficiency for post in facility delivery.</w:t>
            </w:r>
          </w:p>
          <w:p w14:paraId="6BC09557" w14:textId="611ACCA4" w:rsidR="00194B11" w:rsidRPr="007F693F" w:rsidRDefault="000F1258" w:rsidP="00A348C7">
            <w:pPr>
              <w:pStyle w:val="TableHeading"/>
              <w:rPr>
                <w:b w:val="0"/>
                <w:bCs w:val="0"/>
                <w:color w:val="auto"/>
                <w:sz w:val="18"/>
                <w:szCs w:val="18"/>
              </w:rPr>
            </w:pPr>
            <w:r w:rsidRPr="007F693F">
              <w:rPr>
                <w:b w:val="0"/>
                <w:bCs w:val="0"/>
                <w:color w:val="auto"/>
                <w:sz w:val="18"/>
                <w:szCs w:val="18"/>
              </w:rPr>
              <w:t xml:space="preserve">Systems that would support Post to have more efficient and targeted information to inform policy </w:t>
            </w:r>
          </w:p>
          <w:p w14:paraId="6BC09558" w14:textId="77777777" w:rsidR="00194B11" w:rsidRPr="00632A71" w:rsidRDefault="000F1258" w:rsidP="00A348C7">
            <w:pPr>
              <w:pStyle w:val="TableHeading"/>
              <w:rPr>
                <w:b w:val="0"/>
                <w:bCs w:val="0"/>
                <w:color w:val="auto"/>
                <w:sz w:val="18"/>
                <w:szCs w:val="18"/>
              </w:rPr>
            </w:pPr>
            <w:r w:rsidRPr="007F693F">
              <w:rPr>
                <w:b w:val="0"/>
                <w:bCs w:val="0"/>
                <w:color w:val="auto"/>
                <w:sz w:val="18"/>
                <w:szCs w:val="18"/>
              </w:rPr>
              <w:t>Ideas and views on potential improvements for next phase (and why)</w:t>
            </w:r>
          </w:p>
        </w:tc>
      </w:tr>
      <w:tr w:rsidR="00194B11" w:rsidRPr="007F693F" w14:paraId="6BC09560" w14:textId="77777777" w:rsidTr="00572285">
        <w:tc>
          <w:tcPr>
            <w:tcW w:w="1258" w:type="dxa"/>
            <w:shd w:val="clear" w:color="auto" w:fill="C4CFEF" w:themeFill="background2" w:themeFillTint="33"/>
          </w:tcPr>
          <w:p w14:paraId="6BC0955A" w14:textId="77777777" w:rsidR="00194B11" w:rsidRPr="00632A71" w:rsidRDefault="000F1258" w:rsidP="00A348C7">
            <w:pPr>
              <w:pStyle w:val="TableHeading"/>
              <w:rPr>
                <w:b w:val="0"/>
                <w:bCs w:val="0"/>
                <w:color w:val="auto"/>
                <w:sz w:val="18"/>
                <w:szCs w:val="18"/>
              </w:rPr>
            </w:pPr>
            <w:r w:rsidRPr="007F693F">
              <w:rPr>
                <w:b w:val="0"/>
                <w:bCs w:val="0"/>
                <w:color w:val="auto"/>
                <w:sz w:val="18"/>
                <w:szCs w:val="18"/>
              </w:rPr>
              <w:t>TASP Program team</w:t>
            </w:r>
          </w:p>
        </w:tc>
        <w:tc>
          <w:tcPr>
            <w:tcW w:w="8370" w:type="dxa"/>
            <w:shd w:val="clear" w:color="auto" w:fill="auto"/>
          </w:tcPr>
          <w:p w14:paraId="6BC0955B" w14:textId="77777777" w:rsidR="00194B11" w:rsidRPr="007F693F" w:rsidRDefault="000F1258" w:rsidP="00A348C7">
            <w:pPr>
              <w:pStyle w:val="TableHeading"/>
              <w:rPr>
                <w:b w:val="0"/>
                <w:bCs w:val="0"/>
                <w:color w:val="auto"/>
                <w:sz w:val="18"/>
                <w:szCs w:val="18"/>
              </w:rPr>
            </w:pPr>
            <w:r w:rsidRPr="007F693F">
              <w:rPr>
                <w:b w:val="0"/>
                <w:bCs w:val="0"/>
                <w:color w:val="auto"/>
                <w:sz w:val="18"/>
                <w:szCs w:val="18"/>
              </w:rPr>
              <w:t>Guidance/insights on program documents and monitoring data</w:t>
            </w:r>
          </w:p>
          <w:p w14:paraId="6BC0955C" w14:textId="77777777" w:rsidR="00194B11" w:rsidRPr="007F693F" w:rsidRDefault="000F1258" w:rsidP="00A348C7">
            <w:pPr>
              <w:pStyle w:val="TableHeading"/>
              <w:rPr>
                <w:b w:val="0"/>
                <w:bCs w:val="0"/>
                <w:color w:val="auto"/>
                <w:sz w:val="18"/>
                <w:szCs w:val="18"/>
              </w:rPr>
            </w:pPr>
            <w:r w:rsidRPr="007F693F">
              <w:rPr>
                <w:b w:val="0"/>
                <w:bCs w:val="0"/>
                <w:color w:val="auto"/>
                <w:sz w:val="18"/>
                <w:szCs w:val="18"/>
              </w:rPr>
              <w:t xml:space="preserve">Overview of operations, management, processes, decision-making  </w:t>
            </w:r>
          </w:p>
          <w:p w14:paraId="6BC0955D" w14:textId="77777777" w:rsidR="00194B11" w:rsidRPr="007F693F" w:rsidRDefault="000F1258" w:rsidP="00A348C7">
            <w:pPr>
              <w:pStyle w:val="TableHeading"/>
              <w:rPr>
                <w:b w:val="0"/>
                <w:bCs w:val="0"/>
                <w:color w:val="auto"/>
                <w:sz w:val="18"/>
                <w:szCs w:val="18"/>
              </w:rPr>
            </w:pPr>
            <w:r w:rsidRPr="007F693F">
              <w:rPr>
                <w:b w:val="0"/>
                <w:bCs w:val="0"/>
                <w:color w:val="auto"/>
                <w:sz w:val="18"/>
                <w:szCs w:val="18"/>
              </w:rPr>
              <w:t>Team’s own perspectives on strengths, weaknesses, opportunities, challenges</w:t>
            </w:r>
          </w:p>
          <w:p w14:paraId="6BC0955F" w14:textId="234FD02F" w:rsidR="00194B11" w:rsidRPr="00632A71" w:rsidRDefault="000F1258" w:rsidP="00A348C7">
            <w:pPr>
              <w:pStyle w:val="TableHeading"/>
              <w:rPr>
                <w:b w:val="0"/>
                <w:bCs w:val="0"/>
                <w:color w:val="auto"/>
                <w:sz w:val="18"/>
                <w:szCs w:val="18"/>
              </w:rPr>
            </w:pPr>
            <w:r w:rsidRPr="007F693F">
              <w:rPr>
                <w:b w:val="0"/>
                <w:bCs w:val="0"/>
                <w:color w:val="auto"/>
                <w:sz w:val="18"/>
                <w:szCs w:val="18"/>
              </w:rPr>
              <w:t>Insights on contextual issues and factors affecting achievement</w:t>
            </w:r>
          </w:p>
        </w:tc>
      </w:tr>
      <w:tr w:rsidR="00194B11" w:rsidRPr="007F693F" w14:paraId="6BC09569" w14:textId="77777777" w:rsidTr="00572285">
        <w:tc>
          <w:tcPr>
            <w:tcW w:w="1258" w:type="dxa"/>
            <w:shd w:val="clear" w:color="auto" w:fill="C4CFEF" w:themeFill="background2" w:themeFillTint="33"/>
          </w:tcPr>
          <w:p w14:paraId="6BC09561" w14:textId="77777777" w:rsidR="00194B11" w:rsidRPr="00632A71" w:rsidRDefault="000F1258" w:rsidP="00A348C7">
            <w:pPr>
              <w:pStyle w:val="TableHeading"/>
              <w:rPr>
                <w:b w:val="0"/>
                <w:bCs w:val="0"/>
                <w:color w:val="auto"/>
                <w:sz w:val="18"/>
                <w:szCs w:val="18"/>
              </w:rPr>
            </w:pPr>
            <w:r w:rsidRPr="007F693F">
              <w:rPr>
                <w:b w:val="0"/>
                <w:bCs w:val="0"/>
                <w:color w:val="auto"/>
                <w:sz w:val="18"/>
                <w:szCs w:val="18"/>
              </w:rPr>
              <w:t>Partners</w:t>
            </w:r>
          </w:p>
        </w:tc>
        <w:tc>
          <w:tcPr>
            <w:tcW w:w="8370" w:type="dxa"/>
            <w:shd w:val="clear" w:color="auto" w:fill="auto"/>
          </w:tcPr>
          <w:p w14:paraId="6BC09562" w14:textId="77777777" w:rsidR="00194B11" w:rsidRPr="007F693F" w:rsidRDefault="000F1258" w:rsidP="00A348C7">
            <w:pPr>
              <w:pStyle w:val="TableHeading"/>
              <w:rPr>
                <w:b w:val="0"/>
                <w:bCs w:val="0"/>
                <w:color w:val="auto"/>
                <w:sz w:val="18"/>
                <w:szCs w:val="18"/>
              </w:rPr>
            </w:pPr>
            <w:r w:rsidRPr="007F693F">
              <w:rPr>
                <w:b w:val="0"/>
                <w:bCs w:val="0"/>
                <w:color w:val="auto"/>
                <w:sz w:val="18"/>
                <w:szCs w:val="18"/>
              </w:rPr>
              <w:t>Involvement with the program</w:t>
            </w:r>
          </w:p>
          <w:p w14:paraId="6BC09563" w14:textId="44537983" w:rsidR="00194B11" w:rsidRPr="007F693F" w:rsidRDefault="000F1258" w:rsidP="00A348C7">
            <w:pPr>
              <w:pStyle w:val="TableHeading"/>
              <w:rPr>
                <w:b w:val="0"/>
                <w:bCs w:val="0"/>
                <w:color w:val="auto"/>
                <w:sz w:val="18"/>
                <w:szCs w:val="18"/>
              </w:rPr>
            </w:pPr>
            <w:r w:rsidRPr="007F693F">
              <w:rPr>
                <w:b w:val="0"/>
                <w:bCs w:val="0"/>
                <w:color w:val="auto"/>
                <w:sz w:val="18"/>
                <w:szCs w:val="18"/>
              </w:rPr>
              <w:t>Views on its strengths, weaknesses, opportunities, challenges</w:t>
            </w:r>
            <w:r w:rsidR="00FD5A12">
              <w:rPr>
                <w:b w:val="0"/>
                <w:bCs w:val="0"/>
                <w:color w:val="auto"/>
                <w:sz w:val="18"/>
                <w:szCs w:val="18"/>
              </w:rPr>
              <w:t>. N</w:t>
            </w:r>
            <w:r w:rsidRPr="007F693F">
              <w:rPr>
                <w:b w:val="0"/>
                <w:bCs w:val="0"/>
                <w:color w:val="auto"/>
                <w:sz w:val="18"/>
                <w:szCs w:val="18"/>
              </w:rPr>
              <w:t>otable highlights, unforeseen impacts</w:t>
            </w:r>
          </w:p>
          <w:p w14:paraId="6BC09564" w14:textId="77777777" w:rsidR="00194B11" w:rsidRPr="007F693F" w:rsidRDefault="000F1258" w:rsidP="00A348C7">
            <w:pPr>
              <w:pStyle w:val="TableHeading"/>
              <w:rPr>
                <w:b w:val="0"/>
                <w:bCs w:val="0"/>
                <w:color w:val="auto"/>
                <w:sz w:val="18"/>
                <w:szCs w:val="18"/>
              </w:rPr>
            </w:pPr>
            <w:r w:rsidRPr="007F693F">
              <w:rPr>
                <w:b w:val="0"/>
                <w:bCs w:val="0"/>
                <w:color w:val="auto"/>
                <w:sz w:val="18"/>
                <w:szCs w:val="18"/>
              </w:rPr>
              <w:t>Contextual insights: factors affecting program performance</w:t>
            </w:r>
          </w:p>
          <w:p w14:paraId="6BC09565" w14:textId="77777777" w:rsidR="00194B11" w:rsidRPr="007F693F" w:rsidRDefault="000F1258" w:rsidP="00A348C7">
            <w:pPr>
              <w:pStyle w:val="TableHeading"/>
              <w:rPr>
                <w:b w:val="0"/>
                <w:bCs w:val="0"/>
                <w:color w:val="auto"/>
                <w:sz w:val="18"/>
                <w:szCs w:val="18"/>
              </w:rPr>
            </w:pPr>
            <w:r w:rsidRPr="007F693F">
              <w:rPr>
                <w:b w:val="0"/>
                <w:bCs w:val="0"/>
                <w:color w:val="auto"/>
                <w:sz w:val="18"/>
                <w:szCs w:val="18"/>
              </w:rPr>
              <w:t>Complementarities or overlaps with other programs</w:t>
            </w:r>
          </w:p>
          <w:p w14:paraId="6BC09566" w14:textId="77777777" w:rsidR="00194B11" w:rsidRPr="007F693F" w:rsidRDefault="000F1258" w:rsidP="00A348C7">
            <w:pPr>
              <w:pStyle w:val="TableHeading"/>
              <w:rPr>
                <w:b w:val="0"/>
                <w:bCs w:val="0"/>
                <w:color w:val="auto"/>
                <w:sz w:val="18"/>
                <w:szCs w:val="18"/>
              </w:rPr>
            </w:pPr>
            <w:r w:rsidRPr="007F693F">
              <w:rPr>
                <w:b w:val="0"/>
                <w:bCs w:val="0"/>
                <w:color w:val="auto"/>
                <w:sz w:val="18"/>
                <w:szCs w:val="18"/>
              </w:rPr>
              <w:t>Ideas and views on potential improvements for next phase (and why)</w:t>
            </w:r>
          </w:p>
          <w:p w14:paraId="6BC09567" w14:textId="77777777" w:rsidR="00194B11" w:rsidRPr="007F693F" w:rsidRDefault="000F1258" w:rsidP="00A348C7">
            <w:pPr>
              <w:pStyle w:val="TableHeading"/>
              <w:rPr>
                <w:b w:val="0"/>
                <w:bCs w:val="0"/>
                <w:color w:val="auto"/>
                <w:sz w:val="18"/>
                <w:szCs w:val="18"/>
              </w:rPr>
            </w:pPr>
            <w:r w:rsidRPr="007F693F">
              <w:rPr>
                <w:b w:val="0"/>
                <w:bCs w:val="0"/>
                <w:color w:val="auto"/>
                <w:sz w:val="18"/>
                <w:szCs w:val="18"/>
              </w:rPr>
              <w:t>Reflections on coherence and cooperation.</w:t>
            </w:r>
          </w:p>
          <w:p w14:paraId="6BC09568" w14:textId="77777777" w:rsidR="00194B11" w:rsidRPr="00632A71" w:rsidRDefault="000F1258" w:rsidP="00A348C7">
            <w:pPr>
              <w:pStyle w:val="TableHeading"/>
              <w:rPr>
                <w:b w:val="0"/>
                <w:bCs w:val="0"/>
                <w:color w:val="auto"/>
                <w:sz w:val="18"/>
                <w:szCs w:val="18"/>
              </w:rPr>
            </w:pPr>
            <w:r w:rsidRPr="007F693F">
              <w:rPr>
                <w:b w:val="0"/>
                <w:bCs w:val="0"/>
                <w:color w:val="auto"/>
                <w:sz w:val="18"/>
                <w:szCs w:val="18"/>
              </w:rPr>
              <w:t>Reflections on Tongan priorities and needs in their sector.</w:t>
            </w:r>
          </w:p>
        </w:tc>
      </w:tr>
      <w:tr w:rsidR="00194B11" w:rsidRPr="007F693F" w14:paraId="6BC0956F" w14:textId="77777777" w:rsidTr="00572285">
        <w:tc>
          <w:tcPr>
            <w:tcW w:w="1258" w:type="dxa"/>
            <w:shd w:val="clear" w:color="auto" w:fill="C4CFEF" w:themeFill="background2" w:themeFillTint="33"/>
          </w:tcPr>
          <w:p w14:paraId="6BC0956A" w14:textId="77777777" w:rsidR="00194B11" w:rsidRPr="00632A71" w:rsidRDefault="000F1258" w:rsidP="00A348C7">
            <w:pPr>
              <w:pStyle w:val="TableHeading"/>
              <w:rPr>
                <w:b w:val="0"/>
                <w:bCs w:val="0"/>
                <w:color w:val="auto"/>
                <w:sz w:val="18"/>
                <w:szCs w:val="18"/>
              </w:rPr>
            </w:pPr>
            <w:proofErr w:type="spellStart"/>
            <w:r w:rsidRPr="007F693F">
              <w:rPr>
                <w:b w:val="0"/>
                <w:bCs w:val="0"/>
                <w:color w:val="auto"/>
                <w:sz w:val="18"/>
                <w:szCs w:val="18"/>
              </w:rPr>
              <w:t>GoT</w:t>
            </w:r>
            <w:proofErr w:type="spellEnd"/>
          </w:p>
        </w:tc>
        <w:tc>
          <w:tcPr>
            <w:tcW w:w="8370" w:type="dxa"/>
            <w:shd w:val="clear" w:color="auto" w:fill="auto"/>
          </w:tcPr>
          <w:p w14:paraId="6BC0956B" w14:textId="4972B038" w:rsidR="00194B11" w:rsidRPr="007F693F" w:rsidRDefault="000F1258" w:rsidP="00A348C7">
            <w:pPr>
              <w:pStyle w:val="TableHeading"/>
              <w:rPr>
                <w:b w:val="0"/>
                <w:bCs w:val="0"/>
                <w:color w:val="auto"/>
                <w:sz w:val="18"/>
                <w:szCs w:val="18"/>
              </w:rPr>
            </w:pPr>
            <w:r w:rsidRPr="007F693F">
              <w:rPr>
                <w:b w:val="0"/>
                <w:bCs w:val="0"/>
                <w:color w:val="auto"/>
                <w:sz w:val="18"/>
                <w:szCs w:val="18"/>
              </w:rPr>
              <w:t xml:space="preserve">What has changed </w:t>
            </w:r>
            <w:proofErr w:type="gramStart"/>
            <w:r w:rsidRPr="007F693F">
              <w:rPr>
                <w:b w:val="0"/>
                <w:bCs w:val="0"/>
                <w:color w:val="auto"/>
                <w:sz w:val="18"/>
                <w:szCs w:val="18"/>
              </w:rPr>
              <w:t>as a result of</w:t>
            </w:r>
            <w:proofErr w:type="gramEnd"/>
            <w:r w:rsidRPr="007F693F">
              <w:rPr>
                <w:b w:val="0"/>
                <w:bCs w:val="0"/>
                <w:color w:val="auto"/>
                <w:sz w:val="18"/>
                <w:szCs w:val="18"/>
              </w:rPr>
              <w:t xml:space="preserve"> TASP and partnership with </w:t>
            </w:r>
            <w:proofErr w:type="spellStart"/>
            <w:r w:rsidRPr="007F693F">
              <w:rPr>
                <w:b w:val="0"/>
                <w:bCs w:val="0"/>
                <w:color w:val="auto"/>
                <w:sz w:val="18"/>
                <w:szCs w:val="18"/>
              </w:rPr>
              <w:t>GoA</w:t>
            </w:r>
            <w:proofErr w:type="spellEnd"/>
            <w:r w:rsidRPr="007F693F">
              <w:rPr>
                <w:b w:val="0"/>
                <w:bCs w:val="0"/>
                <w:color w:val="auto"/>
                <w:sz w:val="18"/>
                <w:szCs w:val="18"/>
              </w:rPr>
              <w:t xml:space="preserve">? </w:t>
            </w:r>
          </w:p>
          <w:p w14:paraId="6BC0956C" w14:textId="77777777" w:rsidR="00194B11" w:rsidRPr="007F693F" w:rsidRDefault="000F1258" w:rsidP="00A348C7">
            <w:pPr>
              <w:pStyle w:val="TableHeading"/>
              <w:rPr>
                <w:b w:val="0"/>
                <w:bCs w:val="0"/>
                <w:color w:val="auto"/>
                <w:sz w:val="18"/>
                <w:szCs w:val="18"/>
              </w:rPr>
            </w:pPr>
            <w:r w:rsidRPr="007F693F">
              <w:rPr>
                <w:b w:val="0"/>
                <w:bCs w:val="0"/>
                <w:color w:val="auto"/>
                <w:sz w:val="18"/>
                <w:szCs w:val="18"/>
              </w:rPr>
              <w:t>What worked well and what could have been improved? Any unforeseen effects?</w:t>
            </w:r>
          </w:p>
          <w:p w14:paraId="6BC0956D" w14:textId="77777777" w:rsidR="00194B11" w:rsidRPr="007F693F" w:rsidRDefault="000F1258" w:rsidP="00A348C7">
            <w:pPr>
              <w:pStyle w:val="TableHeading"/>
              <w:rPr>
                <w:b w:val="0"/>
                <w:bCs w:val="0"/>
                <w:color w:val="auto"/>
                <w:sz w:val="18"/>
                <w:szCs w:val="18"/>
              </w:rPr>
            </w:pPr>
            <w:r w:rsidRPr="007F693F">
              <w:rPr>
                <w:b w:val="0"/>
                <w:bCs w:val="0"/>
                <w:color w:val="auto"/>
                <w:sz w:val="18"/>
                <w:szCs w:val="18"/>
              </w:rPr>
              <w:t>Contextual insights: factors affecting program performance</w:t>
            </w:r>
          </w:p>
          <w:p w14:paraId="6BC0956E" w14:textId="77777777" w:rsidR="00194B11" w:rsidRPr="00632A71" w:rsidRDefault="000F1258" w:rsidP="00A348C7">
            <w:pPr>
              <w:pStyle w:val="TableHeading"/>
              <w:rPr>
                <w:b w:val="0"/>
                <w:bCs w:val="0"/>
                <w:color w:val="auto"/>
                <w:sz w:val="18"/>
                <w:szCs w:val="18"/>
              </w:rPr>
            </w:pPr>
            <w:r w:rsidRPr="007F693F">
              <w:rPr>
                <w:b w:val="0"/>
                <w:bCs w:val="0"/>
                <w:color w:val="auto"/>
                <w:sz w:val="18"/>
                <w:szCs w:val="18"/>
              </w:rPr>
              <w:t>Ideas and views on potential improvements for next phase (and why)</w:t>
            </w:r>
          </w:p>
        </w:tc>
      </w:tr>
      <w:tr w:rsidR="00194B11" w:rsidRPr="007F693F" w14:paraId="6BC09577" w14:textId="77777777" w:rsidTr="00572285">
        <w:tc>
          <w:tcPr>
            <w:tcW w:w="1258" w:type="dxa"/>
            <w:shd w:val="clear" w:color="auto" w:fill="C4CFEF" w:themeFill="background2" w:themeFillTint="33"/>
          </w:tcPr>
          <w:p w14:paraId="6BC09570" w14:textId="77777777" w:rsidR="00194B11" w:rsidRPr="00632A71" w:rsidRDefault="000F1258" w:rsidP="00A348C7">
            <w:pPr>
              <w:pStyle w:val="TableHeading"/>
              <w:rPr>
                <w:b w:val="0"/>
                <w:bCs w:val="0"/>
                <w:color w:val="auto"/>
                <w:sz w:val="18"/>
                <w:szCs w:val="18"/>
              </w:rPr>
            </w:pPr>
            <w:r w:rsidRPr="007F693F">
              <w:rPr>
                <w:b w:val="0"/>
                <w:bCs w:val="0"/>
                <w:color w:val="auto"/>
                <w:sz w:val="18"/>
                <w:szCs w:val="18"/>
              </w:rPr>
              <w:t>Others</w:t>
            </w:r>
          </w:p>
        </w:tc>
        <w:tc>
          <w:tcPr>
            <w:tcW w:w="8370" w:type="dxa"/>
            <w:shd w:val="clear" w:color="auto" w:fill="auto"/>
          </w:tcPr>
          <w:p w14:paraId="6BC09571" w14:textId="77777777" w:rsidR="00194B11" w:rsidRPr="007F693F" w:rsidRDefault="000F1258" w:rsidP="00A348C7">
            <w:pPr>
              <w:pStyle w:val="TableHeading"/>
              <w:rPr>
                <w:b w:val="0"/>
                <w:bCs w:val="0"/>
                <w:color w:val="auto"/>
                <w:sz w:val="18"/>
                <w:szCs w:val="18"/>
              </w:rPr>
            </w:pPr>
            <w:r w:rsidRPr="007F693F">
              <w:rPr>
                <w:b w:val="0"/>
                <w:bCs w:val="0"/>
                <w:color w:val="auto"/>
                <w:sz w:val="18"/>
                <w:szCs w:val="18"/>
              </w:rPr>
              <w:t>Involvement with the program</w:t>
            </w:r>
          </w:p>
          <w:p w14:paraId="6BC09572" w14:textId="77777777" w:rsidR="00194B11" w:rsidRPr="007F693F" w:rsidRDefault="000F1258" w:rsidP="00A348C7">
            <w:pPr>
              <w:pStyle w:val="TableHeading"/>
              <w:rPr>
                <w:b w:val="0"/>
                <w:bCs w:val="0"/>
                <w:color w:val="auto"/>
                <w:sz w:val="18"/>
                <w:szCs w:val="18"/>
              </w:rPr>
            </w:pPr>
            <w:r w:rsidRPr="007F693F">
              <w:rPr>
                <w:b w:val="0"/>
                <w:bCs w:val="0"/>
                <w:color w:val="auto"/>
                <w:sz w:val="18"/>
                <w:szCs w:val="18"/>
              </w:rPr>
              <w:t>Contextual insights: factors affecting program performance</w:t>
            </w:r>
          </w:p>
          <w:p w14:paraId="6BC09573" w14:textId="77777777" w:rsidR="00194B11" w:rsidRPr="007F693F" w:rsidRDefault="000F1258" w:rsidP="00A348C7">
            <w:pPr>
              <w:pStyle w:val="TableHeading"/>
              <w:rPr>
                <w:b w:val="0"/>
                <w:bCs w:val="0"/>
                <w:color w:val="auto"/>
                <w:sz w:val="18"/>
                <w:szCs w:val="18"/>
              </w:rPr>
            </w:pPr>
            <w:r w:rsidRPr="007F693F">
              <w:rPr>
                <w:b w:val="0"/>
                <w:bCs w:val="0"/>
                <w:color w:val="auto"/>
                <w:sz w:val="18"/>
                <w:szCs w:val="18"/>
              </w:rPr>
              <w:t xml:space="preserve">Views on the program’s strengths, weaknesses, opportunities, challenges </w:t>
            </w:r>
          </w:p>
          <w:p w14:paraId="6BC09574" w14:textId="77777777" w:rsidR="00194B11" w:rsidRPr="007F693F" w:rsidRDefault="000F1258" w:rsidP="00A348C7">
            <w:pPr>
              <w:pStyle w:val="TableHeading"/>
              <w:rPr>
                <w:b w:val="0"/>
                <w:bCs w:val="0"/>
                <w:color w:val="auto"/>
                <w:sz w:val="18"/>
                <w:szCs w:val="18"/>
              </w:rPr>
            </w:pPr>
            <w:r w:rsidRPr="007F693F">
              <w:rPr>
                <w:b w:val="0"/>
                <w:bCs w:val="0"/>
                <w:color w:val="auto"/>
                <w:sz w:val="18"/>
                <w:szCs w:val="18"/>
              </w:rPr>
              <w:t>Complementarities or overlaps with other programs</w:t>
            </w:r>
          </w:p>
          <w:p w14:paraId="6BC09575" w14:textId="77777777" w:rsidR="00194B11" w:rsidRPr="007F693F" w:rsidRDefault="000F1258" w:rsidP="00A348C7">
            <w:pPr>
              <w:pStyle w:val="TableHeading"/>
              <w:rPr>
                <w:b w:val="0"/>
                <w:bCs w:val="0"/>
                <w:color w:val="auto"/>
                <w:sz w:val="18"/>
                <w:szCs w:val="18"/>
              </w:rPr>
            </w:pPr>
            <w:r w:rsidRPr="007F693F">
              <w:rPr>
                <w:b w:val="0"/>
                <w:bCs w:val="0"/>
                <w:color w:val="auto"/>
                <w:sz w:val="18"/>
                <w:szCs w:val="18"/>
              </w:rPr>
              <w:t>What was the value of the program to stakeholders?</w:t>
            </w:r>
          </w:p>
          <w:p w14:paraId="6BC09576" w14:textId="77777777" w:rsidR="00194B11" w:rsidRPr="00632A71" w:rsidRDefault="000F1258" w:rsidP="00A348C7">
            <w:pPr>
              <w:pStyle w:val="TableHeading"/>
              <w:rPr>
                <w:b w:val="0"/>
                <w:bCs w:val="0"/>
                <w:color w:val="auto"/>
                <w:sz w:val="18"/>
                <w:szCs w:val="18"/>
              </w:rPr>
            </w:pPr>
            <w:r w:rsidRPr="007F693F">
              <w:rPr>
                <w:b w:val="0"/>
                <w:bCs w:val="0"/>
                <w:color w:val="auto"/>
                <w:sz w:val="18"/>
                <w:szCs w:val="18"/>
              </w:rPr>
              <w:t>What elements of the program should be changed/maintained, and why?</w:t>
            </w:r>
          </w:p>
        </w:tc>
      </w:tr>
    </w:tbl>
    <w:p w14:paraId="6BC0958C" w14:textId="77777777" w:rsidR="00194B11" w:rsidRDefault="000F1258" w:rsidP="00A348C7">
      <w:pPr>
        <w:pStyle w:val="Heading1"/>
      </w:pPr>
      <w:bookmarkStart w:id="11" w:name="_Toc183423572"/>
      <w:r>
        <w:t>Limitations</w:t>
      </w:r>
      <w:bookmarkEnd w:id="11"/>
      <w:r>
        <w:t xml:space="preserve"> </w:t>
      </w:r>
    </w:p>
    <w:p w14:paraId="72B6D7F3" w14:textId="0E41235C" w:rsidR="00741942" w:rsidRDefault="000F1258" w:rsidP="00A348C7">
      <w:r>
        <w:t xml:space="preserve">The approach outlined in the </w:t>
      </w:r>
      <w:r w:rsidR="00D86E71">
        <w:t xml:space="preserve">evaluation </w:t>
      </w:r>
      <w:r>
        <w:t xml:space="preserve">plan was developed to optimise the value of the in-country consultation period and ensure a range of evidence and information </w:t>
      </w:r>
      <w:r w:rsidR="00D86E71">
        <w:t xml:space="preserve">was </w:t>
      </w:r>
      <w:r>
        <w:t xml:space="preserve">collected. However, the team had </w:t>
      </w:r>
      <w:r>
        <w:lastRenderedPageBreak/>
        <w:t>to prioritise who to interview</w:t>
      </w:r>
      <w:r w:rsidR="00D86E71">
        <w:t xml:space="preserve"> given limited time in-country, and </w:t>
      </w:r>
      <w:proofErr w:type="gramStart"/>
      <w:r w:rsidR="00D86E71">
        <w:t>in light of</w:t>
      </w:r>
      <w:proofErr w:type="gramEnd"/>
      <w:r>
        <w:t xml:space="preserve"> </w:t>
      </w:r>
      <w:r w:rsidR="00D86E71">
        <w:t xml:space="preserve">intended respondents’ </w:t>
      </w:r>
      <w:r>
        <w:t>willing</w:t>
      </w:r>
      <w:r w:rsidR="00D86E71">
        <w:t>ness</w:t>
      </w:r>
      <w:r>
        <w:t xml:space="preserve"> </w:t>
      </w:r>
      <w:r w:rsidR="00444EB1">
        <w:t>and availab</w:t>
      </w:r>
      <w:r w:rsidR="00D86E71">
        <w:t>ility</w:t>
      </w:r>
      <w:r w:rsidR="00444EB1">
        <w:t xml:space="preserve"> t</w:t>
      </w:r>
      <w:r>
        <w:t xml:space="preserve">o participate. </w:t>
      </w:r>
      <w:r w:rsidR="00444EB1">
        <w:t xml:space="preserve"> </w:t>
      </w:r>
    </w:p>
    <w:p w14:paraId="432939A3" w14:textId="77777777" w:rsidR="007D4FBD" w:rsidRDefault="007D4FBD" w:rsidP="007D4FBD">
      <w:r>
        <w:t>The evaluation team did not interview other donors (e.g. NZ MFAT, World Bank) or beneficiaries of interventions (e.g. women, patients or trainees reached by CSOs or Ministries). This was consistent with the purposes of the review which were more about effectiveness and efficiency of the model and less about impact of interventions.</w:t>
      </w:r>
    </w:p>
    <w:p w14:paraId="2F5E72F1" w14:textId="5D28B512" w:rsidR="00741942" w:rsidRDefault="00741942" w:rsidP="00A348C7">
      <w:r>
        <w:t xml:space="preserve">The Team Leader was unable to attend in country fieldwork due to </w:t>
      </w:r>
      <w:r w:rsidR="00AD3B75">
        <w:t>last minute transport disruptions, however she was able to be fully involved remotely in key consultations, analysis with the team</w:t>
      </w:r>
      <w:r w:rsidR="00B91043">
        <w:t>,</w:t>
      </w:r>
      <w:r w:rsidR="00AD3B75">
        <w:t xml:space="preserve"> report back sessions to DFAT and TASP</w:t>
      </w:r>
      <w:r w:rsidR="00B91043">
        <w:t>,</w:t>
      </w:r>
      <w:r w:rsidR="007D4FBD">
        <w:t xml:space="preserve"> and report writing</w:t>
      </w:r>
      <w:r w:rsidR="00AD3B75">
        <w:t>.</w:t>
      </w:r>
    </w:p>
    <w:p w14:paraId="6BC09593" w14:textId="77777777" w:rsidR="00194B11" w:rsidRDefault="000F1258" w:rsidP="00C47F85">
      <w:pPr>
        <w:pStyle w:val="ChapterHeading"/>
        <w:pageBreakBefore w:val="0"/>
      </w:pPr>
      <w:bookmarkStart w:id="12" w:name="_Toc183423573"/>
      <w:r>
        <w:t>Key findings by KEQ</w:t>
      </w:r>
      <w:bookmarkEnd w:id="12"/>
    </w:p>
    <w:p w14:paraId="6BC09594" w14:textId="1F4A9638" w:rsidR="00194B11" w:rsidRDefault="000F1258" w:rsidP="00C47F85">
      <w:pPr>
        <w:pStyle w:val="Heading1"/>
        <w:rPr>
          <w:highlight w:val="yellow"/>
        </w:rPr>
      </w:pPr>
      <w:bookmarkStart w:id="13" w:name="_Key_Findings:_Relevance,"/>
      <w:bookmarkStart w:id="14" w:name="_Toc183423574"/>
      <w:bookmarkEnd w:id="13"/>
      <w:r>
        <w:t>Key Findings: Relevance, KEQ1</w:t>
      </w:r>
      <w:bookmarkEnd w:id="14"/>
    </w:p>
    <w:p w14:paraId="6BC09595" w14:textId="77777777" w:rsidR="00194B11" w:rsidRDefault="000F1258" w:rsidP="00644708">
      <w:pPr>
        <w:pBdr>
          <w:top w:val="single" w:sz="4" w:space="1" w:color="auto"/>
          <w:left w:val="single" w:sz="4" w:space="4" w:color="auto"/>
          <w:bottom w:val="single" w:sz="4" w:space="1" w:color="auto"/>
          <w:right w:val="single" w:sz="4" w:space="4" w:color="auto"/>
        </w:pBdr>
      </w:pPr>
      <w:r>
        <w:t>How well has TASP adapted to changing strategic context?</w:t>
      </w:r>
    </w:p>
    <w:p w14:paraId="74268AB5" w14:textId="536263C7" w:rsidR="00F15652" w:rsidRPr="00F15652" w:rsidRDefault="00F15652" w:rsidP="00644708">
      <w:pPr>
        <w:pBdr>
          <w:top w:val="single" w:sz="4" w:space="1" w:color="auto"/>
          <w:left w:val="single" w:sz="4" w:space="4" w:color="auto"/>
          <w:bottom w:val="single" w:sz="4" w:space="1" w:color="auto"/>
          <w:right w:val="single" w:sz="4" w:space="4" w:color="auto"/>
        </w:pBdr>
        <w:rPr>
          <w:rFonts w:ascii="Calibri" w:eastAsia="Calibri" w:hAnsi="Calibri"/>
          <w:b/>
          <w:bCs/>
        </w:rPr>
      </w:pPr>
      <w:r w:rsidRPr="00572285">
        <w:rPr>
          <w:b/>
          <w:bCs/>
        </w:rPr>
        <w:t>Reasonably Well</w:t>
      </w:r>
    </w:p>
    <w:p w14:paraId="0A55CD90" w14:textId="347943E2" w:rsidR="002A6EAD" w:rsidRDefault="1AB877E4" w:rsidP="00A348C7">
      <w:r w:rsidRPr="00E0698D">
        <w:rPr>
          <w:b/>
          <w:bCs/>
        </w:rPr>
        <w:t xml:space="preserve">TASP has been </w:t>
      </w:r>
      <w:r w:rsidR="14660A3D" w:rsidRPr="00E0698D">
        <w:rPr>
          <w:b/>
          <w:bCs/>
        </w:rPr>
        <w:t xml:space="preserve">somewhat </w:t>
      </w:r>
      <w:r w:rsidRPr="00E0698D">
        <w:rPr>
          <w:b/>
          <w:bCs/>
        </w:rPr>
        <w:t xml:space="preserve">successful </w:t>
      </w:r>
      <w:r w:rsidR="3C593A3D" w:rsidRPr="00E0698D">
        <w:rPr>
          <w:b/>
          <w:bCs/>
        </w:rPr>
        <w:t>in</w:t>
      </w:r>
      <w:r w:rsidRPr="00E0698D">
        <w:rPr>
          <w:b/>
          <w:bCs/>
        </w:rPr>
        <w:t xml:space="preserve"> adapting to changing strategic contexts</w:t>
      </w:r>
      <w:r w:rsidRPr="001B763A">
        <w:t>.</w:t>
      </w:r>
      <w:r>
        <w:t xml:space="preserve">  The high level of TASP and DFAT leadership turnover during the first two years of TASP has been unhelpful in translating adaptation to action.  </w:t>
      </w:r>
      <w:proofErr w:type="gramStart"/>
      <w:r>
        <w:t>However</w:t>
      </w:r>
      <w:proofErr w:type="gramEnd"/>
      <w:r>
        <w:t xml:space="preserve"> the flexibility of the design-implement approach and the inclusion of a strategic opportunities mechanism </w:t>
      </w:r>
      <w:r w:rsidR="0E11C6A1">
        <w:t xml:space="preserve">(SOM) </w:t>
      </w:r>
      <w:r>
        <w:t xml:space="preserve">has </w:t>
      </w:r>
      <w:r w:rsidR="3C593A3D">
        <w:t>facilitated</w:t>
      </w:r>
      <w:r>
        <w:t xml:space="preserve"> a </w:t>
      </w:r>
      <w:r w:rsidR="3C593A3D">
        <w:t>responsive capacity</w:t>
      </w:r>
      <w:r>
        <w:t>.</w:t>
      </w:r>
    </w:p>
    <w:p w14:paraId="14F68346" w14:textId="473C6C81" w:rsidR="46D3A6A7" w:rsidRDefault="00404C00">
      <w:pPr>
        <w:spacing w:before="240" w:after="240"/>
        <w:rPr>
          <w:rFonts w:ascii="Arial" w:eastAsia="Arial" w:hAnsi="Arial" w:cs="Arial"/>
          <w:szCs w:val="20"/>
        </w:rPr>
      </w:pPr>
      <w:r>
        <w:rPr>
          <w:rFonts w:ascii="Arial" w:eastAsia="Arial" w:hAnsi="Arial" w:cs="Arial"/>
          <w:szCs w:val="20"/>
        </w:rPr>
        <w:t xml:space="preserve">The </w:t>
      </w:r>
      <w:r w:rsidR="46D3A6A7" w:rsidRPr="00594011">
        <w:rPr>
          <w:rFonts w:ascii="Arial" w:eastAsia="Arial" w:hAnsi="Arial" w:cs="Arial"/>
          <w:szCs w:val="20"/>
        </w:rPr>
        <w:t>SOM</w:t>
      </w:r>
      <w:r w:rsidR="46D3A6A7" w:rsidRPr="41B041EA">
        <w:rPr>
          <w:rFonts w:ascii="Arial" w:eastAsia="Arial" w:hAnsi="Arial" w:cs="Arial"/>
          <w:szCs w:val="20"/>
        </w:rPr>
        <w:t xml:space="preserve"> within </w:t>
      </w:r>
      <w:r w:rsidR="46D3A6A7" w:rsidRPr="00594011">
        <w:rPr>
          <w:rFonts w:ascii="Arial" w:eastAsia="Arial" w:hAnsi="Arial" w:cs="Arial"/>
          <w:szCs w:val="20"/>
        </w:rPr>
        <w:t>TASP</w:t>
      </w:r>
      <w:r w:rsidR="46D3A6A7" w:rsidRPr="41B041EA">
        <w:rPr>
          <w:rFonts w:ascii="Arial" w:eastAsia="Arial" w:hAnsi="Arial" w:cs="Arial"/>
          <w:szCs w:val="20"/>
        </w:rPr>
        <w:t xml:space="preserve"> was designed to allow for flexible and rapid responses to development opportunities and challenges in Tonga, particularly in a dynamic </w:t>
      </w:r>
      <w:r w:rsidR="46D3A6A7" w:rsidRPr="00594011">
        <w:rPr>
          <w:rFonts w:ascii="Arial" w:eastAsia="Arial" w:hAnsi="Arial" w:cs="Arial"/>
          <w:szCs w:val="20"/>
        </w:rPr>
        <w:t>political-economy context</w:t>
      </w:r>
      <w:r w:rsidR="46D3A6A7" w:rsidRPr="41B041EA">
        <w:rPr>
          <w:rFonts w:ascii="Arial" w:eastAsia="Arial" w:hAnsi="Arial" w:cs="Arial"/>
          <w:szCs w:val="20"/>
        </w:rPr>
        <w:t xml:space="preserve"> and in the face of </w:t>
      </w:r>
      <w:r w:rsidR="46D3A6A7" w:rsidRPr="00594011">
        <w:rPr>
          <w:rFonts w:ascii="Arial" w:eastAsia="Arial" w:hAnsi="Arial" w:cs="Arial"/>
          <w:szCs w:val="20"/>
        </w:rPr>
        <w:t>natural disasters</w:t>
      </w:r>
      <w:r w:rsidR="46D3A6A7" w:rsidRPr="41B041EA">
        <w:rPr>
          <w:rFonts w:ascii="Arial" w:eastAsia="Arial" w:hAnsi="Arial" w:cs="Arial"/>
          <w:szCs w:val="20"/>
        </w:rPr>
        <w:t xml:space="preserve">. </w:t>
      </w:r>
      <w:r w:rsidR="3AE3DF61" w:rsidRPr="41B041EA">
        <w:rPr>
          <w:rFonts w:ascii="Arial" w:eastAsia="Arial" w:hAnsi="Arial" w:cs="Arial"/>
          <w:szCs w:val="20"/>
        </w:rPr>
        <w:t>The</w:t>
      </w:r>
      <w:r w:rsidR="46D3A6A7" w:rsidRPr="41B041EA">
        <w:rPr>
          <w:rFonts w:ascii="Arial" w:eastAsia="Arial" w:hAnsi="Arial" w:cs="Arial"/>
          <w:szCs w:val="20"/>
        </w:rPr>
        <w:t xml:space="preserve"> SOM component was intended to allocate resources for critical activities, such as:</w:t>
      </w:r>
    </w:p>
    <w:p w14:paraId="66BD1D23" w14:textId="615021CC" w:rsidR="46D3A6A7" w:rsidRDefault="46D3A6A7" w:rsidP="00803578">
      <w:pPr>
        <w:pStyle w:val="ListParagraph"/>
        <w:numPr>
          <w:ilvl w:val="0"/>
          <w:numId w:val="6"/>
        </w:numPr>
        <w:spacing w:after="0"/>
        <w:rPr>
          <w:rFonts w:ascii="Arial" w:eastAsia="Arial" w:hAnsi="Arial" w:cs="Arial"/>
          <w:szCs w:val="20"/>
        </w:rPr>
      </w:pPr>
      <w:r w:rsidRPr="00594011">
        <w:rPr>
          <w:rFonts w:ascii="Arial" w:eastAsia="Arial" w:hAnsi="Arial" w:cs="Arial"/>
          <w:szCs w:val="20"/>
        </w:rPr>
        <w:t>Emergency relief</w:t>
      </w:r>
      <w:r w:rsidRPr="41B041EA">
        <w:rPr>
          <w:rFonts w:ascii="Arial" w:eastAsia="Arial" w:hAnsi="Arial" w:cs="Arial"/>
          <w:szCs w:val="20"/>
        </w:rPr>
        <w:t xml:space="preserve"> efforts during or after natural disasters.</w:t>
      </w:r>
    </w:p>
    <w:p w14:paraId="1909C6D5" w14:textId="3386ABE8" w:rsidR="46D3A6A7" w:rsidRDefault="46D3A6A7" w:rsidP="00803578">
      <w:pPr>
        <w:pStyle w:val="ListParagraph"/>
        <w:numPr>
          <w:ilvl w:val="0"/>
          <w:numId w:val="6"/>
        </w:numPr>
        <w:spacing w:after="0"/>
        <w:rPr>
          <w:rFonts w:ascii="Arial" w:eastAsia="Arial" w:hAnsi="Arial" w:cs="Arial"/>
          <w:szCs w:val="20"/>
        </w:rPr>
      </w:pPr>
      <w:r w:rsidRPr="00594011">
        <w:rPr>
          <w:rFonts w:ascii="Arial" w:eastAsia="Arial" w:hAnsi="Arial" w:cs="Arial"/>
          <w:szCs w:val="20"/>
        </w:rPr>
        <w:t>Scoping new multi-year investments</w:t>
      </w:r>
      <w:r w:rsidRPr="41B041EA">
        <w:rPr>
          <w:rFonts w:ascii="Arial" w:eastAsia="Arial" w:hAnsi="Arial" w:cs="Arial"/>
          <w:szCs w:val="20"/>
        </w:rPr>
        <w:t xml:space="preserve"> in key sectors.</w:t>
      </w:r>
    </w:p>
    <w:p w14:paraId="0062A86E" w14:textId="5EAEA39F" w:rsidR="46D3A6A7" w:rsidRDefault="46D3A6A7" w:rsidP="00803578">
      <w:pPr>
        <w:pStyle w:val="ListParagraph"/>
        <w:numPr>
          <w:ilvl w:val="0"/>
          <w:numId w:val="6"/>
        </w:numPr>
        <w:spacing w:after="0"/>
        <w:rPr>
          <w:rFonts w:ascii="Arial" w:eastAsia="Arial" w:hAnsi="Arial" w:cs="Arial"/>
          <w:szCs w:val="20"/>
        </w:rPr>
      </w:pPr>
      <w:r w:rsidRPr="00594011">
        <w:rPr>
          <w:rFonts w:ascii="Arial" w:eastAsia="Arial" w:hAnsi="Arial" w:cs="Arial"/>
          <w:szCs w:val="20"/>
        </w:rPr>
        <w:t>Policy research and analysis</w:t>
      </w:r>
      <w:r w:rsidRPr="41B041EA">
        <w:rPr>
          <w:rFonts w:ascii="Arial" w:eastAsia="Arial" w:hAnsi="Arial" w:cs="Arial"/>
          <w:szCs w:val="20"/>
        </w:rPr>
        <w:t xml:space="preserve"> to inform future development initiatives</w:t>
      </w:r>
    </w:p>
    <w:p w14:paraId="627D8EDD" w14:textId="77777777" w:rsidR="000B2A3F" w:rsidRDefault="000B2A3F" w:rsidP="000B2A3F">
      <w:pPr>
        <w:spacing w:after="0"/>
        <w:rPr>
          <w:rFonts w:ascii="Arial" w:eastAsia="Arial" w:hAnsi="Arial" w:cs="Arial"/>
          <w:szCs w:val="20"/>
        </w:rPr>
      </w:pPr>
    </w:p>
    <w:p w14:paraId="30377893" w14:textId="3BC9ADEA" w:rsidR="000B2A3F" w:rsidRPr="00594011" w:rsidRDefault="00E13ABA" w:rsidP="00594011">
      <w:pPr>
        <w:spacing w:after="0"/>
        <w:rPr>
          <w:rFonts w:ascii="Arial" w:eastAsia="Arial" w:hAnsi="Arial" w:cs="Arial"/>
          <w:szCs w:val="20"/>
        </w:rPr>
      </w:pPr>
      <w:r>
        <w:rPr>
          <w:rFonts w:ascii="Arial" w:eastAsia="Arial" w:hAnsi="Arial" w:cs="Arial"/>
          <w:szCs w:val="20"/>
        </w:rPr>
        <w:t>The AHC</w:t>
      </w:r>
      <w:r w:rsidR="00CA7EF2">
        <w:rPr>
          <w:rFonts w:ascii="Arial" w:eastAsia="Arial" w:hAnsi="Arial" w:cs="Arial"/>
          <w:szCs w:val="20"/>
        </w:rPr>
        <w:t xml:space="preserve"> identifies potential SOM activities,</w:t>
      </w:r>
      <w:r w:rsidR="0023220F">
        <w:rPr>
          <w:rFonts w:ascii="Arial" w:eastAsia="Arial" w:hAnsi="Arial" w:cs="Arial"/>
          <w:szCs w:val="20"/>
        </w:rPr>
        <w:t xml:space="preserve"> TASP responds with a plan of action</w:t>
      </w:r>
      <w:r>
        <w:rPr>
          <w:rFonts w:ascii="Arial" w:eastAsia="Arial" w:hAnsi="Arial" w:cs="Arial"/>
          <w:szCs w:val="20"/>
        </w:rPr>
        <w:t xml:space="preserve"> and whether the activity fits within the MC scope of work/header agreement,</w:t>
      </w:r>
      <w:r w:rsidR="0023220F">
        <w:rPr>
          <w:rFonts w:ascii="Arial" w:eastAsia="Arial" w:hAnsi="Arial" w:cs="Arial"/>
          <w:szCs w:val="20"/>
        </w:rPr>
        <w:t xml:space="preserve"> and then tasking notes are generated</w:t>
      </w:r>
      <w:r>
        <w:rPr>
          <w:rFonts w:ascii="Arial" w:eastAsia="Arial" w:hAnsi="Arial" w:cs="Arial"/>
          <w:szCs w:val="20"/>
        </w:rPr>
        <w:t xml:space="preserve"> by AHC</w:t>
      </w:r>
      <w:r w:rsidR="0023220F">
        <w:rPr>
          <w:rFonts w:ascii="Arial" w:eastAsia="Arial" w:hAnsi="Arial" w:cs="Arial"/>
          <w:szCs w:val="20"/>
        </w:rPr>
        <w:t>.</w:t>
      </w:r>
    </w:p>
    <w:p w14:paraId="5A2D4FC5" w14:textId="231C556E" w:rsidR="41B041EA" w:rsidRDefault="41B041EA" w:rsidP="00594011">
      <w:pPr>
        <w:pStyle w:val="ListParagraph"/>
        <w:spacing w:after="0"/>
        <w:ind w:left="360"/>
        <w:rPr>
          <w:rFonts w:ascii="Arial" w:eastAsia="Arial" w:hAnsi="Arial" w:cs="Arial"/>
          <w:szCs w:val="20"/>
        </w:rPr>
      </w:pPr>
    </w:p>
    <w:p w14:paraId="6A645ADC" w14:textId="2BF35433" w:rsidR="00E13ABA" w:rsidRDefault="46D3A6A7" w:rsidP="00A348C7">
      <w:r w:rsidRPr="00594011">
        <w:rPr>
          <w:rFonts w:ascii="Arial" w:eastAsia="Arial" w:hAnsi="Arial" w:cs="Arial"/>
          <w:szCs w:val="20"/>
        </w:rPr>
        <w:t>The Evaluation Team note</w:t>
      </w:r>
      <w:r w:rsidR="001D24C1" w:rsidRPr="00594011">
        <w:rPr>
          <w:rFonts w:ascii="Arial" w:eastAsia="Arial" w:hAnsi="Arial" w:cs="Arial"/>
          <w:szCs w:val="20"/>
        </w:rPr>
        <w:t>s</w:t>
      </w:r>
      <w:r w:rsidRPr="00594011">
        <w:rPr>
          <w:rFonts w:ascii="Arial" w:eastAsia="Arial" w:hAnsi="Arial" w:cs="Arial"/>
          <w:szCs w:val="20"/>
        </w:rPr>
        <w:t xml:space="preserve"> that policy research and analysis activities, which were part of the SOM</w:t>
      </w:r>
      <w:r w:rsidR="008D2810" w:rsidRPr="00594011">
        <w:rPr>
          <w:rFonts w:ascii="Arial" w:eastAsia="Arial" w:hAnsi="Arial" w:cs="Arial"/>
          <w:szCs w:val="20"/>
        </w:rPr>
        <w:t xml:space="preserve"> design</w:t>
      </w:r>
      <w:r w:rsidRPr="00594011">
        <w:rPr>
          <w:rFonts w:ascii="Arial" w:eastAsia="Arial" w:hAnsi="Arial" w:cs="Arial"/>
          <w:szCs w:val="20"/>
        </w:rPr>
        <w:t xml:space="preserve">, </w:t>
      </w:r>
      <w:r w:rsidR="001D24C1">
        <w:rPr>
          <w:rFonts w:ascii="Arial" w:eastAsia="Arial" w:hAnsi="Arial" w:cs="Arial"/>
          <w:szCs w:val="20"/>
        </w:rPr>
        <w:t>have not been</w:t>
      </w:r>
      <w:r w:rsidRPr="00594011">
        <w:rPr>
          <w:rFonts w:ascii="Arial" w:eastAsia="Arial" w:hAnsi="Arial" w:cs="Arial"/>
          <w:szCs w:val="20"/>
        </w:rPr>
        <w:t xml:space="preserve"> reported. This is a gap considering that the TASP Design Document (IDD) explicitly states that the SOM should support new opportunities aligned with TASP's overall objectives</w:t>
      </w:r>
      <w:r w:rsidR="00892C5F">
        <w:rPr>
          <w:rFonts w:ascii="Arial" w:eastAsia="Arial" w:hAnsi="Arial" w:cs="Arial"/>
          <w:szCs w:val="20"/>
        </w:rPr>
        <w:t xml:space="preserve"> (</w:t>
      </w:r>
      <w:hyperlink w:anchor="PolicyAdvice" w:history="1">
        <w:r w:rsidR="00892C5F" w:rsidRPr="00892C5F">
          <w:rPr>
            <w:rStyle w:val="Hyperlink"/>
            <w:rFonts w:ascii="Arial" w:eastAsia="Arial" w:hAnsi="Arial" w:cs="Arial"/>
            <w:szCs w:val="20"/>
          </w:rPr>
          <w:t>see QE2 for greater detail on Policy Advice</w:t>
        </w:r>
      </w:hyperlink>
      <w:r w:rsidR="0094652D">
        <w:rPr>
          <w:rFonts w:ascii="Arial" w:eastAsia="Arial" w:hAnsi="Arial" w:cs="Arial"/>
          <w:szCs w:val="20"/>
        </w:rPr>
        <w:t xml:space="preserve"> across the platform</w:t>
      </w:r>
      <w:r w:rsidR="00892C5F">
        <w:rPr>
          <w:rFonts w:ascii="Arial" w:eastAsia="Arial" w:hAnsi="Arial" w:cs="Arial"/>
          <w:szCs w:val="20"/>
        </w:rPr>
        <w:t>)</w:t>
      </w:r>
      <w:r w:rsidRPr="00594011">
        <w:rPr>
          <w:rFonts w:ascii="Arial" w:eastAsia="Arial" w:hAnsi="Arial" w:cs="Arial"/>
          <w:szCs w:val="20"/>
        </w:rPr>
        <w:t xml:space="preserve">. </w:t>
      </w:r>
    </w:p>
    <w:p w14:paraId="28563260" w14:textId="79DCD50D" w:rsidR="00F63843" w:rsidRDefault="7C50A8D3" w:rsidP="00A348C7">
      <w:r>
        <w:t xml:space="preserve">TASP has responded to </w:t>
      </w:r>
      <w:r w:rsidR="002F104A">
        <w:t>some</w:t>
      </w:r>
      <w:r w:rsidR="00B124F2">
        <w:t xml:space="preserve"> </w:t>
      </w:r>
      <w:r>
        <w:t>emerging issues and needs</w:t>
      </w:r>
      <w:r w:rsidR="00B124F2">
        <w:t>, such as the health and logistical challenges of COVID and HHTH</w:t>
      </w:r>
      <w:r w:rsidR="002F204E">
        <w:t>.</w:t>
      </w:r>
      <w:r>
        <w:t xml:space="preserve">  </w:t>
      </w:r>
    </w:p>
    <w:p w14:paraId="1D76FC25" w14:textId="4534860F" w:rsidR="002A6EAD" w:rsidRDefault="1AB877E4" w:rsidP="00A348C7">
      <w:r>
        <w:t xml:space="preserve">Governance Advisors work closely with DFAT as needed to ensure that policy directions are in line with </w:t>
      </w:r>
      <w:proofErr w:type="spellStart"/>
      <w:r>
        <w:t>GoA</w:t>
      </w:r>
      <w:proofErr w:type="spellEnd"/>
      <w:r>
        <w:t xml:space="preserve"> interests.</w:t>
      </w:r>
      <w:r w:rsidR="00B124F2" w:rsidRPr="00B124F2">
        <w:t xml:space="preserve"> </w:t>
      </w:r>
      <w:r w:rsidR="00B124F2">
        <w:t xml:space="preserve">The Governance pillar of TASP is very attuned to </w:t>
      </w:r>
      <w:proofErr w:type="spellStart"/>
      <w:r w:rsidR="00B124F2">
        <w:t>GoT</w:t>
      </w:r>
      <w:proofErr w:type="spellEnd"/>
      <w:r w:rsidR="00B124F2">
        <w:t xml:space="preserve"> needs with strong AHC </w:t>
      </w:r>
      <w:proofErr w:type="gramStart"/>
      <w:r w:rsidR="00B124F2">
        <w:t>engagement, and</w:t>
      </w:r>
      <w:proofErr w:type="gramEnd"/>
      <w:r w:rsidR="00B124F2">
        <w:t xml:space="preserve"> well connected into multi-donor processes. </w:t>
      </w:r>
      <w:r>
        <w:t xml:space="preserve"> </w:t>
      </w:r>
      <w:r w:rsidR="00B124F2">
        <w:t xml:space="preserve">While Governance support remains a priority of Australian Government investment in Tonga, </w:t>
      </w:r>
      <w:r w:rsidR="00F63843">
        <w:t>delays in finalising the new Governance program</w:t>
      </w:r>
      <w:r>
        <w:t xml:space="preserve"> </w:t>
      </w:r>
      <w:r w:rsidR="007265B7">
        <w:t xml:space="preserve">are </w:t>
      </w:r>
      <w:r>
        <w:t>making forward planning problematic for TASP and Governance staff.</w:t>
      </w:r>
    </w:p>
    <w:p w14:paraId="31B14E8B" w14:textId="2A174AA3" w:rsidR="00B26BCF" w:rsidRDefault="00B26BCF" w:rsidP="00A348C7">
      <w:r>
        <w:t xml:space="preserve">The </w:t>
      </w:r>
      <w:proofErr w:type="gramStart"/>
      <w:r>
        <w:t>Health</w:t>
      </w:r>
      <w:proofErr w:type="gramEnd"/>
      <w:r>
        <w:t xml:space="preserve"> pillar has effectively implemented planned activities and been responsive to </w:t>
      </w:r>
      <w:proofErr w:type="spellStart"/>
      <w:r>
        <w:t>GoT</w:t>
      </w:r>
      <w:proofErr w:type="spellEnd"/>
      <w:r>
        <w:t xml:space="preserve"> requests and needs with the support of </w:t>
      </w:r>
      <w:r w:rsidR="00A456E5">
        <w:t xml:space="preserve">TASP’s </w:t>
      </w:r>
      <w:r>
        <w:t xml:space="preserve">procurement and governance </w:t>
      </w:r>
      <w:r w:rsidR="002A6EAD">
        <w:t>functions</w:t>
      </w:r>
      <w:r>
        <w:t>.</w:t>
      </w:r>
      <w:r w:rsidR="008F780C">
        <w:t xml:space="preserve"> </w:t>
      </w:r>
    </w:p>
    <w:p w14:paraId="03A63D10" w14:textId="512F6E84" w:rsidR="29D8CBAF" w:rsidRDefault="29D8CBAF">
      <w:r>
        <w:lastRenderedPageBreak/>
        <w:t xml:space="preserve">The </w:t>
      </w:r>
      <w:r w:rsidR="3593F77A">
        <w:t xml:space="preserve">Cross-cutting program (disability, gender, climate change action), CSO </w:t>
      </w:r>
      <w:proofErr w:type="gramStart"/>
      <w:r w:rsidR="1AB877E4">
        <w:t>G</w:t>
      </w:r>
      <w:r w:rsidR="3593F77A">
        <w:t>rants</w:t>
      </w:r>
      <w:proofErr w:type="gramEnd"/>
      <w:r w:rsidR="3593F77A">
        <w:t xml:space="preserve"> and the </w:t>
      </w:r>
      <w:r w:rsidR="50B6A5E5">
        <w:t>SOM</w:t>
      </w:r>
      <w:r w:rsidR="3593F77A">
        <w:t xml:space="preserve"> provide for strategic </w:t>
      </w:r>
      <w:r w:rsidR="1AB877E4">
        <w:t>yet adaptive</w:t>
      </w:r>
      <w:r w:rsidR="3593F77A">
        <w:t xml:space="preserve"> targeting of activities to support DFAT strategic priorities in GEDSI</w:t>
      </w:r>
      <w:r w:rsidR="1AB877E4">
        <w:t xml:space="preserve">. </w:t>
      </w:r>
      <w:r w:rsidR="3593F77A">
        <w:t xml:space="preserve">The CSO grants were originally designed as competitive rounds, </w:t>
      </w:r>
      <w:r w:rsidR="1AB877E4">
        <w:t xml:space="preserve">but TASP </w:t>
      </w:r>
      <w:r w:rsidR="0C779E61">
        <w:t>was</w:t>
      </w:r>
      <w:r w:rsidR="1AB877E4">
        <w:t xml:space="preserve"> able t</w:t>
      </w:r>
      <w:r w:rsidR="11D06F35">
        <w:t xml:space="preserve">o shift </w:t>
      </w:r>
      <w:r w:rsidR="001460A2">
        <w:t xml:space="preserve">at the request of </w:t>
      </w:r>
      <w:r w:rsidR="00B13D0B">
        <w:t>the new Counsellor Development at the AHC</w:t>
      </w:r>
      <w:r w:rsidR="001460A2">
        <w:t xml:space="preserve"> </w:t>
      </w:r>
      <w:r w:rsidR="11D06F35">
        <w:t>to a more strategic partnership approach</w:t>
      </w:r>
      <w:r w:rsidR="00B13D0B">
        <w:t xml:space="preserve"> with specific CSOs</w:t>
      </w:r>
      <w:r w:rsidR="1AB877E4">
        <w:t xml:space="preserve">.  TASP adaptations for this shift have included </w:t>
      </w:r>
      <w:r w:rsidR="11D06F35">
        <w:t xml:space="preserve">providing </w:t>
      </w:r>
      <w:r w:rsidR="15B0066C">
        <w:t>internal</w:t>
      </w:r>
      <w:r w:rsidR="11D06F35">
        <w:t xml:space="preserve"> resourcing</w:t>
      </w:r>
      <w:r w:rsidR="00DF7F64">
        <w:t xml:space="preserve"> (longer-term core institutional funding)</w:t>
      </w:r>
      <w:r w:rsidR="11D06F35">
        <w:t xml:space="preserve"> to support CSOs to meet DFAT due diligence requirements and to develop acceptable grant proposals</w:t>
      </w:r>
      <w:r w:rsidR="1AB877E4">
        <w:t xml:space="preserve">, </w:t>
      </w:r>
      <w:r w:rsidR="11D06F35">
        <w:t>supporting</w:t>
      </w:r>
      <w:r>
        <w:t xml:space="preserve"> key CSOs to improve effectiveness, including for policy advocacy</w:t>
      </w:r>
      <w:r w:rsidR="00B13D0B">
        <w:t xml:space="preserve"> and some </w:t>
      </w:r>
      <w:r w:rsidR="00DF7F64">
        <w:t>additional projects for CSOs such as TWICT</w:t>
      </w:r>
      <w:r>
        <w:t>.</w:t>
      </w:r>
      <w:r w:rsidR="00207421">
        <w:t xml:space="preserve"> CSOs have responded well to these adaptations.</w:t>
      </w:r>
      <w:r w:rsidR="16D4500A">
        <w:t xml:space="preserve"> </w:t>
      </w:r>
    </w:p>
    <w:p w14:paraId="1117C416" w14:textId="7986D54F" w:rsidR="000967C6" w:rsidRDefault="000967C6" w:rsidP="00A348C7">
      <w:pPr>
        <w:rPr>
          <w:sz w:val="18"/>
          <w:szCs w:val="18"/>
          <w:highlight w:val="yellow"/>
        </w:rPr>
      </w:pPr>
      <w:r w:rsidRPr="003F3DDD">
        <w:t xml:space="preserve">In the </w:t>
      </w:r>
      <w:r w:rsidR="008C40C4">
        <w:t>first year</w:t>
      </w:r>
      <w:r w:rsidRPr="003F3DDD">
        <w:t xml:space="preserve"> of the program the </w:t>
      </w:r>
      <w:r>
        <w:t>SOM</w:t>
      </w:r>
      <w:r w:rsidRPr="003F3DDD">
        <w:t xml:space="preserve"> effectively and efficiently supported a pivot of activities to focus on emergency support.  </w:t>
      </w:r>
      <w:r w:rsidR="00CD7744">
        <w:t>Tasking</w:t>
      </w:r>
      <w:r w:rsidRPr="003F3DDD">
        <w:t xml:space="preserve"> notes </w:t>
      </w:r>
      <w:r w:rsidR="00CD7744">
        <w:t>enabled</w:t>
      </w:r>
      <w:r w:rsidRPr="003F3DDD">
        <w:t xml:space="preserve"> ongoing responsiveness to Government ad hoc requests for support. As the leadership team in the High Commission stabilised and has been able to realign priorities and strategy to the new International Development Policy priorities, the program is now seeing a more measured use of the </w:t>
      </w:r>
      <w:r w:rsidR="00003AF0">
        <w:t>SOM</w:t>
      </w:r>
      <w:r w:rsidRPr="003F3DDD">
        <w:t xml:space="preserve"> funding.</w:t>
      </w:r>
      <w:r>
        <w:t xml:space="preserve"> TASP Team Leaders, DT Global and DFAT all reported the valuable role that having a flexible funding mechanism provided to meeting short term and emergency needs to support DFAT. (See </w:t>
      </w:r>
      <w:hyperlink w:anchor="_Key_Findings:_Effectiveness," w:history="1">
        <w:r w:rsidRPr="00FD7490">
          <w:rPr>
            <w:rStyle w:val="Hyperlink"/>
          </w:rPr>
          <w:t>KEQ2</w:t>
        </w:r>
      </w:hyperlink>
      <w:r>
        <w:t xml:space="preserve"> for more detail on effectiveness of the SOM</w:t>
      </w:r>
      <w:r w:rsidR="00003AF0">
        <w:t>)</w:t>
      </w:r>
      <w:r>
        <w:t>.</w:t>
      </w:r>
    </w:p>
    <w:p w14:paraId="6BC0959B" w14:textId="2C0B2733" w:rsidR="00194B11" w:rsidRDefault="00E0698D" w:rsidP="00A348C7">
      <w:r>
        <w:t>I</w:t>
      </w:r>
      <w:r w:rsidR="000F1258">
        <w:t>mportant recent progress in establishing and fine-tuning ways of working</w:t>
      </w:r>
      <w:r w:rsidR="0088228F">
        <w:t xml:space="preserve"> (WoW)</w:t>
      </w:r>
      <w:r w:rsidR="000F1258">
        <w:t xml:space="preserve"> has improved the potential for shared influence. There is some ongoing uncertainty under the DT Global contract around the role of TASP in providing policy guidance for DFAT</w:t>
      </w:r>
      <w:r w:rsidR="0046622C">
        <w:t>. A</w:t>
      </w:r>
      <w:r w:rsidR="004C0873">
        <w:t>n agreed Policy Dialogue Strategy</w:t>
      </w:r>
      <w:r w:rsidR="0046622C">
        <w:t xml:space="preserve"> (under development)</w:t>
      </w:r>
      <w:r w:rsidR="004C0873">
        <w:t xml:space="preserve"> should </w:t>
      </w:r>
      <w:r w:rsidR="0046622C">
        <w:t>support</w:t>
      </w:r>
      <w:r w:rsidR="004C0873">
        <w:t xml:space="preserve"> this.</w:t>
      </w:r>
    </w:p>
    <w:p w14:paraId="6F50C56B" w14:textId="7567A5B7" w:rsidR="00F32924" w:rsidRDefault="000F1258" w:rsidP="00A348C7">
      <w:r w:rsidRPr="003F3DDD">
        <w:t xml:space="preserve">The creation of the </w:t>
      </w:r>
      <w:r w:rsidR="00003AF0">
        <w:t>TASP F</w:t>
      </w:r>
      <w:r w:rsidRPr="003F3DDD">
        <w:t xml:space="preserve">acility in the context of a relatively small DFAT Post </w:t>
      </w:r>
      <w:r w:rsidR="00003AF0">
        <w:t>was intended to</w:t>
      </w:r>
      <w:r w:rsidRPr="003F3DDD">
        <w:t xml:space="preserve"> allow for flexibility (see </w:t>
      </w:r>
      <w:hyperlink w:anchor="_Key_Findings:_Agility" w:history="1">
        <w:r w:rsidRPr="00ED0CD5">
          <w:rPr>
            <w:rStyle w:val="Hyperlink"/>
          </w:rPr>
          <w:t>KEQ</w:t>
        </w:r>
        <w:r w:rsidR="00ED0CD5" w:rsidRPr="00ED0CD5">
          <w:rPr>
            <w:rStyle w:val="Hyperlink"/>
          </w:rPr>
          <w:t>6</w:t>
        </w:r>
      </w:hyperlink>
      <w:r w:rsidRPr="003F3DDD">
        <w:t>) and responsiveness.  However, with significant delays in establishing a fully functional facility and designing new programmatic components</w:t>
      </w:r>
      <w:r w:rsidR="00003AF0">
        <w:t xml:space="preserve"> through the design-implement modality</w:t>
      </w:r>
      <w:r w:rsidRPr="003F3DDD">
        <w:t xml:space="preserve"> (skills and labo</w:t>
      </w:r>
      <w:r w:rsidR="00D027D2" w:rsidRPr="003F3DDD">
        <w:t>u</w:t>
      </w:r>
      <w:r w:rsidRPr="003F3DDD">
        <w:t xml:space="preserve">r mobility and gender equality), </w:t>
      </w:r>
      <w:r w:rsidR="0046622C">
        <w:t xml:space="preserve">and time taken to embed ways of working between DFAT and TASP, </w:t>
      </w:r>
      <w:r w:rsidRPr="003F3DDD">
        <w:t>the potential impact of the model is only now starting to be realised.</w:t>
      </w:r>
      <w:r w:rsidR="00825EB1">
        <w:t xml:space="preserve"> (See </w:t>
      </w:r>
      <w:hyperlink w:anchor="_Key_Findings:_Efficiency," w:history="1">
        <w:r w:rsidR="00825EB1" w:rsidRPr="00825EB1">
          <w:rPr>
            <w:rStyle w:val="Hyperlink"/>
          </w:rPr>
          <w:t>KEQ3</w:t>
        </w:r>
      </w:hyperlink>
      <w:r w:rsidR="00825EB1">
        <w:t xml:space="preserve"> for greater detail on delays associated with delivery approach and staffing and recruitment).</w:t>
      </w:r>
    </w:p>
    <w:p w14:paraId="6BC095A0" w14:textId="12326D80" w:rsidR="00194B11" w:rsidRDefault="00C51346" w:rsidP="00FC7820">
      <w:r w:rsidRPr="003F3DDD">
        <w:t>The original TASP Concept</w:t>
      </w:r>
      <w:r w:rsidR="00757E5D" w:rsidRPr="003F3DDD">
        <w:t xml:space="preserve"> and Design proposed an integrated </w:t>
      </w:r>
      <w:r w:rsidR="000F1258" w:rsidRPr="000967C6">
        <w:t>Skills and Labo</w:t>
      </w:r>
      <w:r w:rsidR="00757E5D" w:rsidRPr="000967C6">
        <w:t>u</w:t>
      </w:r>
      <w:r w:rsidR="000F1258" w:rsidRPr="000967C6">
        <w:t xml:space="preserve">r </w:t>
      </w:r>
      <w:r w:rsidR="00586819">
        <w:t>M</w:t>
      </w:r>
      <w:r w:rsidR="000F1258" w:rsidRPr="000967C6">
        <w:t xml:space="preserve">obility </w:t>
      </w:r>
      <w:r w:rsidR="00586819">
        <w:t xml:space="preserve">(SLM) </w:t>
      </w:r>
      <w:r w:rsidR="000F1258" w:rsidRPr="000967C6">
        <w:t>program</w:t>
      </w:r>
      <w:r w:rsidR="00DF4476" w:rsidRPr="000967C6">
        <w:t>.</w:t>
      </w:r>
      <w:r w:rsidR="00DF4476" w:rsidRPr="003F3DDD">
        <w:t xml:space="preserve">  </w:t>
      </w:r>
      <w:r w:rsidR="00A65F84">
        <w:t xml:space="preserve">DFAT’s </w:t>
      </w:r>
      <w:r w:rsidR="00644708">
        <w:t>Aid Investment Monitoring Report</w:t>
      </w:r>
      <w:r w:rsidR="00003AF0">
        <w:t xml:space="preserve"> (AIMR) </w:t>
      </w:r>
      <w:r w:rsidR="00A65F84">
        <w:t>for 2023</w:t>
      </w:r>
      <w:r w:rsidR="006C5444">
        <w:t xml:space="preserve"> stated</w:t>
      </w:r>
      <w:r w:rsidR="00586819">
        <w:t>,</w:t>
      </w:r>
      <w:r w:rsidR="00A65F84">
        <w:t xml:space="preserve"> </w:t>
      </w:r>
      <w:r w:rsidR="00163F0A">
        <w:t>“</w:t>
      </w:r>
      <w:r w:rsidR="00FC7820" w:rsidRPr="00594011">
        <w:rPr>
          <w:i/>
          <w:iCs/>
        </w:rPr>
        <w:t>The SLM design is 18 months overdue, in part, due to changes in DFATs approach/response to an evolving political landscape. However, after three drafts, TASP did not provide the requisite skills and resources to deliver a quality design document, despite clear instructions from DFAT</w:t>
      </w:r>
      <w:r w:rsidR="00FC7820" w:rsidRPr="00FC7820">
        <w:t>.</w:t>
      </w:r>
      <w:r w:rsidR="006C5444">
        <w:rPr>
          <w:rStyle w:val="FootnoteReference"/>
        </w:rPr>
        <w:footnoteReference w:id="8"/>
      </w:r>
      <w:r w:rsidR="00163F0A">
        <w:t>”</w:t>
      </w:r>
      <w:r w:rsidR="00F323CF">
        <w:t xml:space="preserve">  </w:t>
      </w:r>
      <w:r w:rsidR="00F6014E">
        <w:t xml:space="preserve">The agreed focus now </w:t>
      </w:r>
      <w:r w:rsidR="00242F12">
        <w:t xml:space="preserve">on </w:t>
      </w:r>
      <w:r w:rsidR="006C5444">
        <w:t>s</w:t>
      </w:r>
      <w:r w:rsidR="00242F12">
        <w:t xml:space="preserve">kills only is more relevant for the final year of </w:t>
      </w:r>
      <w:r w:rsidR="006C5444">
        <w:t xml:space="preserve">TASP </w:t>
      </w:r>
      <w:r w:rsidR="00242F12">
        <w:t xml:space="preserve">as it provides </w:t>
      </w:r>
      <w:r w:rsidR="00113290">
        <w:t>more likel</w:t>
      </w:r>
      <w:r w:rsidR="00242F12">
        <w:t xml:space="preserve">ihood of </w:t>
      </w:r>
      <w:r w:rsidR="00113290">
        <w:t>achieve</w:t>
      </w:r>
      <w:r w:rsidR="00242F12">
        <w:t>ment</w:t>
      </w:r>
      <w:r w:rsidR="00113290">
        <w:t xml:space="preserve"> against the </w:t>
      </w:r>
      <w:r w:rsidR="006C5444">
        <w:t xml:space="preserve">remaining </w:t>
      </w:r>
      <w:r w:rsidR="00113290">
        <w:t>program of work</w:t>
      </w:r>
      <w:r w:rsidR="00390DE7">
        <w:t xml:space="preserve">. </w:t>
      </w:r>
      <w:r w:rsidR="00060771">
        <w:t>It also reflects DFAT’s preparation of a new regional</w:t>
      </w:r>
      <w:r w:rsidR="009D730F">
        <w:t xml:space="preserve"> l</w:t>
      </w:r>
      <w:r w:rsidR="00D21988">
        <w:t xml:space="preserve">abour mobility </w:t>
      </w:r>
      <w:r w:rsidR="00604A61">
        <w:t xml:space="preserve">support program </w:t>
      </w:r>
      <w:r w:rsidR="00D84C17">
        <w:t xml:space="preserve">that will include </w:t>
      </w:r>
      <w:r w:rsidR="00D21988">
        <w:t xml:space="preserve">activities </w:t>
      </w:r>
      <w:r w:rsidR="00D84C17">
        <w:t>in Tonga</w:t>
      </w:r>
      <w:r w:rsidR="00D21988">
        <w:t>.</w:t>
      </w:r>
      <w:r w:rsidR="00D61AAE">
        <w:t xml:space="preserve"> </w:t>
      </w:r>
    </w:p>
    <w:p w14:paraId="6BC095A3" w14:textId="77777777" w:rsidR="00194B11" w:rsidRDefault="000F1258" w:rsidP="00670B7E">
      <w:pPr>
        <w:pStyle w:val="Heading1"/>
      </w:pPr>
      <w:bookmarkStart w:id="15" w:name="_Key_Findings:_Effectiveness,"/>
      <w:bookmarkStart w:id="16" w:name="_Toc183423575"/>
      <w:bookmarkEnd w:id="15"/>
      <w:r>
        <w:t>Key Findings: Effectiveness, KEQ2</w:t>
      </w:r>
      <w:bookmarkEnd w:id="16"/>
    </w:p>
    <w:p w14:paraId="12E8CFED" w14:textId="10301F88" w:rsidR="0081377D" w:rsidRDefault="00B34352" w:rsidP="00B34352">
      <w:pPr>
        <w:pBdr>
          <w:top w:val="single" w:sz="4" w:space="1" w:color="auto"/>
          <w:left w:val="single" w:sz="4" w:space="4" w:color="auto"/>
          <w:bottom w:val="single" w:sz="4" w:space="1" w:color="auto"/>
          <w:right w:val="single" w:sz="4" w:space="4" w:color="auto"/>
        </w:pBdr>
      </w:pPr>
      <w:r w:rsidRPr="00A348C7">
        <w:rPr>
          <w:color w:val="auto"/>
        </w:rPr>
        <w:t>To what extent has TASP progressed towards achieving its End of Program Outcomes (EOPOs</w:t>
      </w:r>
      <w:r>
        <w:rPr>
          <w:color w:val="auto"/>
        </w:rPr>
        <w:t>)</w:t>
      </w:r>
      <w:r w:rsidR="000F1258">
        <w:t xml:space="preserve">? </w:t>
      </w:r>
    </w:p>
    <w:p w14:paraId="75853DCE" w14:textId="2D583DEA" w:rsidR="00013CDF" w:rsidRPr="007826B2" w:rsidRDefault="00013CDF" w:rsidP="00B34352">
      <w:pPr>
        <w:pBdr>
          <w:top w:val="single" w:sz="4" w:space="1" w:color="auto"/>
          <w:left w:val="single" w:sz="4" w:space="4" w:color="auto"/>
          <w:bottom w:val="single" w:sz="4" w:space="1" w:color="auto"/>
          <w:right w:val="single" w:sz="4" w:space="4" w:color="auto"/>
        </w:pBdr>
        <w:rPr>
          <w:b/>
          <w:bCs/>
        </w:rPr>
      </w:pPr>
      <w:r w:rsidRPr="007826B2">
        <w:rPr>
          <w:b/>
          <w:bCs/>
        </w:rPr>
        <w:t>Partially achieved</w:t>
      </w:r>
    </w:p>
    <w:p w14:paraId="6BC095A6" w14:textId="622CFB5B" w:rsidR="00194B11" w:rsidRPr="007826B2" w:rsidRDefault="000F1258" w:rsidP="00644708">
      <w:pPr>
        <w:pBdr>
          <w:top w:val="single" w:sz="4" w:space="1" w:color="auto"/>
          <w:left w:val="single" w:sz="4" w:space="4" w:color="auto"/>
          <w:bottom w:val="single" w:sz="4" w:space="1" w:color="auto"/>
          <w:right w:val="single" w:sz="4" w:space="4" w:color="auto"/>
        </w:pBdr>
      </w:pPr>
      <w:r w:rsidRPr="007826B2">
        <w:t>To what extent has TASP supported stronger policy relationships with partner government and NGOs?</w:t>
      </w:r>
    </w:p>
    <w:p w14:paraId="2259C96B" w14:textId="2B398866" w:rsidR="00013CDF" w:rsidRPr="00013CDF" w:rsidRDefault="00013CDF" w:rsidP="00644708">
      <w:pPr>
        <w:pBdr>
          <w:top w:val="single" w:sz="4" w:space="1" w:color="auto"/>
          <w:left w:val="single" w:sz="4" w:space="4" w:color="auto"/>
          <w:bottom w:val="single" w:sz="4" w:space="1" w:color="auto"/>
          <w:right w:val="single" w:sz="4" w:space="4" w:color="auto"/>
        </w:pBdr>
        <w:rPr>
          <w:b/>
          <w:bCs/>
        </w:rPr>
      </w:pPr>
      <w:r w:rsidRPr="007826B2">
        <w:rPr>
          <w:b/>
          <w:bCs/>
        </w:rPr>
        <w:t>Partially achieved</w:t>
      </w:r>
    </w:p>
    <w:p w14:paraId="0EF7C595" w14:textId="77777777" w:rsidR="00644708" w:rsidRDefault="00644708" w:rsidP="00644708">
      <w:pPr>
        <w:pBdr>
          <w:top w:val="single" w:sz="4" w:space="1" w:color="auto"/>
          <w:left w:val="single" w:sz="4" w:space="4" w:color="auto"/>
          <w:bottom w:val="single" w:sz="4" w:space="1" w:color="auto"/>
          <w:right w:val="single" w:sz="4" w:space="4" w:color="auto"/>
        </w:pBdr>
      </w:pPr>
      <w:r>
        <w:t xml:space="preserve">What has enhanced or constrained effectiveness? </w:t>
      </w:r>
    </w:p>
    <w:p w14:paraId="22A2EF21" w14:textId="35A7B9F8" w:rsidR="008657E5" w:rsidRDefault="00AC1DE3" w:rsidP="00644708">
      <w:pPr>
        <w:pBdr>
          <w:top w:val="single" w:sz="4" w:space="1" w:color="auto"/>
          <w:left w:val="single" w:sz="4" w:space="4" w:color="auto"/>
          <w:bottom w:val="single" w:sz="4" w:space="1" w:color="auto"/>
          <w:right w:val="single" w:sz="4" w:space="4" w:color="auto"/>
        </w:pBdr>
        <w:rPr>
          <w:rFonts w:ascii="Calibri" w:eastAsia="Calibri" w:hAnsi="Calibri"/>
          <w:b/>
        </w:rPr>
      </w:pPr>
      <w:r>
        <w:rPr>
          <w:rFonts w:ascii="Calibri" w:eastAsia="Calibri" w:hAnsi="Calibri"/>
          <w:b/>
        </w:rPr>
        <w:t>See below</w:t>
      </w:r>
    </w:p>
    <w:p w14:paraId="0C556D3E" w14:textId="58C95671" w:rsidR="00265DDB" w:rsidRDefault="00CB4EB2" w:rsidP="00A348C7">
      <w:r>
        <w:lastRenderedPageBreak/>
        <w:t xml:space="preserve">Success of this </w:t>
      </w:r>
      <w:r w:rsidR="00275310">
        <w:t>Facility</w:t>
      </w:r>
      <w:r w:rsidR="00D87020">
        <w:t xml:space="preserve"> </w:t>
      </w:r>
      <w:r>
        <w:t>is measured against</w:t>
      </w:r>
      <w:r w:rsidR="00BD2A9E">
        <w:t xml:space="preserve"> the</w:t>
      </w:r>
      <w:r w:rsidR="00D87020">
        <w:t xml:space="preserve"> Platform Objective, Development Outcome</w:t>
      </w:r>
      <w:r w:rsidR="00052707">
        <w:t xml:space="preserve"> (EOPO1)</w:t>
      </w:r>
      <w:r w:rsidR="00D87020">
        <w:t xml:space="preserve"> and </w:t>
      </w:r>
      <w:r w:rsidR="00D00DBE">
        <w:t>Enabling Outcome</w:t>
      </w:r>
      <w:r w:rsidR="00052707">
        <w:t xml:space="preserve"> (EOPO2)</w:t>
      </w:r>
      <w:r w:rsidR="00EC1EF1">
        <w:t>.</w:t>
      </w:r>
    </w:p>
    <w:p w14:paraId="446A30A5" w14:textId="77777777" w:rsidR="00CF21EB" w:rsidRDefault="00136F3A" w:rsidP="00A348C7">
      <w:r w:rsidRPr="00676B2C">
        <w:rPr>
          <w:b/>
          <w:bCs/>
        </w:rPr>
        <w:t>Platform Objective</w:t>
      </w:r>
      <w:r>
        <w:t xml:space="preserve">: </w:t>
      </w:r>
      <w:r w:rsidRPr="00652B5F">
        <w:t>Investments</w:t>
      </w:r>
      <w:r w:rsidR="00676B2C" w:rsidRPr="00652B5F">
        <w:t xml:space="preserve"> in priority areas as agreed by </w:t>
      </w:r>
      <w:proofErr w:type="spellStart"/>
      <w:r w:rsidR="00676B2C" w:rsidRPr="00652B5F">
        <w:t>GoT</w:t>
      </w:r>
      <w:proofErr w:type="spellEnd"/>
      <w:r w:rsidR="00676B2C" w:rsidRPr="00652B5F">
        <w:t xml:space="preserve"> and </w:t>
      </w:r>
      <w:proofErr w:type="spellStart"/>
      <w:r w:rsidR="00676B2C" w:rsidRPr="00652B5F">
        <w:t>GoA</w:t>
      </w:r>
      <w:proofErr w:type="spellEnd"/>
      <w:r w:rsidR="00676B2C" w:rsidRPr="00652B5F">
        <w:t xml:space="preserve"> are efficient, effective and equitable.</w:t>
      </w:r>
      <w:r w:rsidR="00DC0A3B">
        <w:t xml:space="preserve">  </w:t>
      </w:r>
    </w:p>
    <w:p w14:paraId="299E2D5C" w14:textId="20E63379" w:rsidR="005A361E" w:rsidRDefault="005A361E" w:rsidP="00A348C7">
      <w:r w:rsidRPr="00241555">
        <w:rPr>
          <w:b/>
          <w:bCs/>
        </w:rPr>
        <w:t>Development Outcome</w:t>
      </w:r>
      <w:r>
        <w:t xml:space="preserve">: EOPO1: </w:t>
      </w:r>
      <w:r w:rsidRPr="00B13CCB">
        <w:t xml:space="preserve">Tonga realises equitable development outcome for investments in priority areas as </w:t>
      </w:r>
      <w:r>
        <w:t>a</w:t>
      </w:r>
      <w:r w:rsidRPr="00B13CCB">
        <w:t>greed in TASP annual plans</w:t>
      </w:r>
      <w:r w:rsidR="00A10B92">
        <w:t>.</w:t>
      </w:r>
    </w:p>
    <w:p w14:paraId="4A2D0F1F" w14:textId="7147BA0D" w:rsidR="00996003" w:rsidRDefault="00241555" w:rsidP="00A348C7">
      <w:r w:rsidRPr="00241555">
        <w:rPr>
          <w:b/>
          <w:bCs/>
        </w:rPr>
        <w:t>Enabling Outcome</w:t>
      </w:r>
      <w:r>
        <w:t xml:space="preserve">: </w:t>
      </w:r>
      <w:r w:rsidRPr="00241555">
        <w:t>EOPO2</w:t>
      </w:r>
      <w:r>
        <w:t>: Tonga benefits from efficient and equitable development program management support for investments in priority areas.</w:t>
      </w:r>
    </w:p>
    <w:p w14:paraId="4D0AF0FB" w14:textId="0FE327FC" w:rsidR="00297F91" w:rsidRDefault="00297F91" w:rsidP="00A348C7">
      <w:r>
        <w:t xml:space="preserve">As articulated in the TASP MELP Vol 1 </w:t>
      </w:r>
      <w:r w:rsidR="008948E8">
        <w:t>“</w:t>
      </w:r>
      <w:r w:rsidR="008948E8" w:rsidRPr="00594011">
        <w:rPr>
          <w:i/>
          <w:iCs/>
        </w:rPr>
        <w:t>The focus of MEL in TASP is on whether expected outcomes are being achieved. This includes development results achieved by TASP pillars (end-of-investment-outcome 1) and enabling management services (end-of-investment-outcome 2)</w:t>
      </w:r>
      <w:r w:rsidR="008948E8" w:rsidRPr="008044EB">
        <w:t>.</w:t>
      </w:r>
      <w:r w:rsidR="008948E8">
        <w:t xml:space="preserve">” </w:t>
      </w:r>
      <w:r w:rsidR="00F01886">
        <w:t xml:space="preserve">Achievement of </w:t>
      </w:r>
      <w:r w:rsidR="00E35744">
        <w:t>EOPO1 is measured against yearly plans</w:t>
      </w:r>
      <w:r w:rsidR="001A495D">
        <w:t xml:space="preserve"> implemented under the </w:t>
      </w:r>
      <w:r w:rsidR="00A85BF8">
        <w:t>p</w:t>
      </w:r>
      <w:r w:rsidR="001A495D">
        <w:t xml:space="preserve">illar </w:t>
      </w:r>
      <w:r w:rsidR="00A85BF8">
        <w:t>t</w:t>
      </w:r>
      <w:r w:rsidR="001A495D">
        <w:t xml:space="preserve">heories of </w:t>
      </w:r>
      <w:r w:rsidR="00A85BF8">
        <w:t>c</w:t>
      </w:r>
      <w:r w:rsidR="001A495D">
        <w:t xml:space="preserve">hange or </w:t>
      </w:r>
      <w:r w:rsidR="00A85BF8">
        <w:t>s</w:t>
      </w:r>
      <w:r w:rsidR="001A495D">
        <w:t>trategies.  Achievement of EOPO2</w:t>
      </w:r>
      <w:r w:rsidR="00C830F5">
        <w:t xml:space="preserve"> is assessed against the quality of </w:t>
      </w:r>
      <w:r w:rsidR="003855CA">
        <w:t>p</w:t>
      </w:r>
      <w:r w:rsidR="00C830F5">
        <w:t xml:space="preserve">latform support systems and processes rather than </w:t>
      </w:r>
      <w:r w:rsidR="005D5AD2">
        <w:t>progress against plans.</w:t>
      </w:r>
    </w:p>
    <w:p w14:paraId="0ED611EC" w14:textId="329D5436" w:rsidR="00321509" w:rsidRDefault="00890A25" w:rsidP="00A348C7">
      <w:r>
        <w:t>As a design</w:t>
      </w:r>
      <w:r w:rsidR="005B6D23">
        <w:t>-</w:t>
      </w:r>
      <w:r>
        <w:t>implement</w:t>
      </w:r>
      <w:r w:rsidR="00DA2EE9">
        <w:t xml:space="preserve"> facility, and with year one delays associated with COVID, </w:t>
      </w:r>
      <w:r w:rsidR="00987982">
        <w:t xml:space="preserve">the </w:t>
      </w:r>
      <w:r w:rsidR="00DA2EE9">
        <w:t xml:space="preserve">HTHH </w:t>
      </w:r>
      <w:r w:rsidR="00987982">
        <w:t>disaster</w:t>
      </w:r>
      <w:r w:rsidR="00DA2EE9">
        <w:t xml:space="preserve">, </w:t>
      </w:r>
      <w:r w:rsidR="009C32BE">
        <w:t xml:space="preserve">recruitment </w:t>
      </w:r>
      <w:r w:rsidR="005B6D23">
        <w:t xml:space="preserve">and management </w:t>
      </w:r>
      <w:r w:rsidR="009C32BE">
        <w:t>challenges, annual workplans commenced in 2023</w:t>
      </w:r>
      <w:r w:rsidR="001D4330">
        <w:t>.</w:t>
      </w:r>
      <w:r w:rsidR="009C32BE">
        <w:t xml:space="preserve"> </w:t>
      </w:r>
      <w:r w:rsidR="00C908B0">
        <w:t>T</w:t>
      </w:r>
      <w:r w:rsidR="005B6D23">
        <w:t xml:space="preserve">he </w:t>
      </w:r>
      <w:r w:rsidR="00141FCC">
        <w:t>h</w:t>
      </w:r>
      <w:r w:rsidR="005B6D23">
        <w:t xml:space="preserve">ealth and </w:t>
      </w:r>
      <w:r w:rsidR="00141FCC">
        <w:t>economic g</w:t>
      </w:r>
      <w:r w:rsidR="005B6D23">
        <w:t>overnance</w:t>
      </w:r>
      <w:r w:rsidR="009079BF">
        <w:t xml:space="preserve"> pillars</w:t>
      </w:r>
      <w:r w:rsidR="00977816">
        <w:t>,</w:t>
      </w:r>
      <w:r w:rsidR="005B6D23">
        <w:t xml:space="preserve"> </w:t>
      </w:r>
      <w:r w:rsidR="00977816">
        <w:t>being</w:t>
      </w:r>
      <w:r w:rsidR="00C908B0">
        <w:t xml:space="preserve"> </w:t>
      </w:r>
      <w:r w:rsidR="00125628">
        <w:t xml:space="preserve">novated </w:t>
      </w:r>
      <w:r w:rsidR="00C908B0">
        <w:t>from earlier programs</w:t>
      </w:r>
      <w:r w:rsidR="009079BF">
        <w:t xml:space="preserve"> with existing designs</w:t>
      </w:r>
      <w:r w:rsidR="00FF226C">
        <w:t>,</w:t>
      </w:r>
      <w:r w:rsidR="00C908B0">
        <w:t xml:space="preserve"> </w:t>
      </w:r>
      <w:r w:rsidR="0077307E">
        <w:t>were</w:t>
      </w:r>
      <w:r w:rsidR="00977816">
        <w:t xml:space="preserve"> </w:t>
      </w:r>
      <w:r w:rsidR="009079BF">
        <w:t>first to progress</w:t>
      </w:r>
      <w:r w:rsidR="005B6D23">
        <w:t>.</w:t>
      </w:r>
    </w:p>
    <w:p w14:paraId="3134CB1A" w14:textId="58B474A1" w:rsidR="006141DC" w:rsidRDefault="00421DEB" w:rsidP="00A348C7">
      <w:r>
        <w:t xml:space="preserve">As a facility the TASP team is responsible </w:t>
      </w:r>
      <w:r w:rsidR="006B635B">
        <w:t>for</w:t>
      </w:r>
      <w:r>
        <w:t xml:space="preserve"> developing yearly priorities </w:t>
      </w:r>
      <w:r w:rsidR="004657D0">
        <w:t>and</w:t>
      </w:r>
      <w:r w:rsidR="0077307E">
        <w:t>,</w:t>
      </w:r>
      <w:r w:rsidR="00D15564">
        <w:t xml:space="preserve"> i</w:t>
      </w:r>
      <w:r w:rsidR="00953164">
        <w:t xml:space="preserve">n the case of the </w:t>
      </w:r>
      <w:r w:rsidR="00670B7E">
        <w:t xml:space="preserve">Health and the </w:t>
      </w:r>
      <w:r w:rsidR="00953164">
        <w:t xml:space="preserve">Economic Governance </w:t>
      </w:r>
      <w:r w:rsidR="0077307E">
        <w:t>p</w:t>
      </w:r>
      <w:r w:rsidR="00953164">
        <w:t>illars</w:t>
      </w:r>
      <w:r w:rsidR="0077307E">
        <w:t>,</w:t>
      </w:r>
      <w:r w:rsidR="00953164">
        <w:t xml:space="preserve"> these priorities are aligned with the</w:t>
      </w:r>
      <w:r w:rsidR="00E37996">
        <w:t xml:space="preserve"> individual p</w:t>
      </w:r>
      <w:r w:rsidR="00953164">
        <w:t xml:space="preserve">illar </w:t>
      </w:r>
      <w:r w:rsidR="00E37996">
        <w:t>L</w:t>
      </w:r>
      <w:r w:rsidR="00953164">
        <w:t>ogics</w:t>
      </w:r>
      <w:r w:rsidR="00E37996">
        <w:t xml:space="preserve"> (see </w:t>
      </w:r>
      <w:hyperlink w:anchor="_Annex_6:_THSSP3" w:history="1">
        <w:r w:rsidR="00586819" w:rsidRPr="00670B7E">
          <w:rPr>
            <w:rStyle w:val="Hyperlink"/>
          </w:rPr>
          <w:t>Annex 6</w:t>
        </w:r>
      </w:hyperlink>
      <w:r w:rsidR="00586819">
        <w:t xml:space="preserve"> for the </w:t>
      </w:r>
      <w:r w:rsidR="00670B7E">
        <w:t xml:space="preserve">Health Logic and </w:t>
      </w:r>
      <w:hyperlink w:anchor="_Annex_7:_Governance" w:history="1">
        <w:r w:rsidR="00E37996" w:rsidRPr="00670B7E">
          <w:rPr>
            <w:rStyle w:val="Hyperlink"/>
          </w:rPr>
          <w:t xml:space="preserve">Annex </w:t>
        </w:r>
        <w:r w:rsidR="00644708" w:rsidRPr="00670B7E">
          <w:rPr>
            <w:rStyle w:val="Hyperlink"/>
          </w:rPr>
          <w:t>7</w:t>
        </w:r>
      </w:hyperlink>
      <w:r w:rsidR="00E37996">
        <w:t xml:space="preserve"> for </w:t>
      </w:r>
      <w:r w:rsidR="00670B7E">
        <w:t>Governance Pillar Logic</w:t>
      </w:r>
      <w:r w:rsidR="00DD6D72">
        <w:t>)</w:t>
      </w:r>
      <w:r w:rsidR="00953164">
        <w:t>.</w:t>
      </w:r>
      <w:r w:rsidR="00586819" w:rsidRPr="00586819">
        <w:t xml:space="preserve"> </w:t>
      </w:r>
      <w:r w:rsidR="00AE2DF2">
        <w:t xml:space="preserve">The first </w:t>
      </w:r>
      <w:r w:rsidR="004470B8">
        <w:t xml:space="preserve">TASP </w:t>
      </w:r>
      <w:r w:rsidR="0074323A">
        <w:t xml:space="preserve">report </w:t>
      </w:r>
      <w:r w:rsidR="00D83554">
        <w:t>(</w:t>
      </w:r>
      <w:r w:rsidR="0074323A">
        <w:t>the Inception Report</w:t>
      </w:r>
      <w:r w:rsidR="00D83554">
        <w:t>) of</w:t>
      </w:r>
      <w:r w:rsidR="0074323A">
        <w:t xml:space="preserve"> May 2023 (covering inception/design phase and initial </w:t>
      </w:r>
      <w:r w:rsidR="007612C4">
        <w:t>implementation</w:t>
      </w:r>
      <w:r w:rsidR="0074323A">
        <w:t xml:space="preserve"> phase from Nov 2021 – Dec 2022)</w:t>
      </w:r>
      <w:r w:rsidR="00AE2DF2">
        <w:t xml:space="preserve"> did not report on achievement towards EOPOs as </w:t>
      </w:r>
      <w:r w:rsidR="0043200B">
        <w:t>Monitoring, Evaluation and Learning (</w:t>
      </w:r>
      <w:r w:rsidR="003E5FC8">
        <w:t>MEL</w:t>
      </w:r>
      <w:r w:rsidR="0043200B">
        <w:t>)</w:t>
      </w:r>
      <w:r w:rsidR="003E5FC8">
        <w:t xml:space="preserve"> systems were still being developed</w:t>
      </w:r>
      <w:r w:rsidR="006A371E">
        <w:t xml:space="preserve">, pillar workplans were still being </w:t>
      </w:r>
      <w:r w:rsidR="0045472D">
        <w:t>designed</w:t>
      </w:r>
      <w:r w:rsidR="00745704">
        <w:t xml:space="preserve"> under the design-implement model,</w:t>
      </w:r>
      <w:r w:rsidR="00586819">
        <w:t xml:space="preserve"> </w:t>
      </w:r>
      <w:r w:rsidR="00745704">
        <w:t>novation arrangements for Governance and Health</w:t>
      </w:r>
      <w:r w:rsidR="00AB0EFE">
        <w:t xml:space="preserve"> </w:t>
      </w:r>
      <w:r w:rsidR="00745704">
        <w:t>were still settling, and TASP was not yet fully</w:t>
      </w:r>
      <w:r w:rsidR="00745704" w:rsidRPr="00745704">
        <w:t xml:space="preserve"> </w:t>
      </w:r>
      <w:r w:rsidR="00745704">
        <w:t>staffed and operational.</w:t>
      </w:r>
      <w:r w:rsidR="008B25BB">
        <w:t xml:space="preserve">  Progress against EOPOs is measurable from the </w:t>
      </w:r>
      <w:r w:rsidR="008850F5">
        <w:t>M</w:t>
      </w:r>
      <w:r w:rsidR="008B25BB">
        <w:t>id</w:t>
      </w:r>
      <w:r w:rsidR="00E90067">
        <w:t xml:space="preserve"> FY progress</w:t>
      </w:r>
      <w:r w:rsidR="008B25BB">
        <w:t xml:space="preserve"> report of </w:t>
      </w:r>
      <w:r w:rsidR="004D5655">
        <w:t>M</w:t>
      </w:r>
      <w:r w:rsidR="008B25BB">
        <w:t>arch 2024</w:t>
      </w:r>
      <w:r w:rsidR="008850F5">
        <w:rPr>
          <w:rStyle w:val="FootnoteReference"/>
        </w:rPr>
        <w:footnoteReference w:id="9"/>
      </w:r>
      <w:r w:rsidR="00E90067">
        <w:t>, reporting to the period to the end of 2023</w:t>
      </w:r>
      <w:r w:rsidR="008B25BB">
        <w:t>.</w:t>
      </w:r>
    </w:p>
    <w:p w14:paraId="3E46898D" w14:textId="5F2B5A0C" w:rsidR="00644708" w:rsidRPr="00C14255" w:rsidRDefault="00D232A9" w:rsidP="008E7E43">
      <w:pPr>
        <w:pStyle w:val="Heading2"/>
        <w:rPr>
          <w:rFonts w:ascii="Calibri" w:eastAsia="Calibri" w:hAnsi="Calibri"/>
          <w:color w:val="505050" w:themeColor="accent6" w:themeShade="80"/>
        </w:rPr>
      </w:pPr>
      <w:bookmarkStart w:id="17" w:name="_Toc183423576"/>
      <w:r w:rsidRPr="00C14255">
        <w:rPr>
          <w:color w:val="505050" w:themeColor="accent6" w:themeShade="80"/>
        </w:rPr>
        <w:t>P</w:t>
      </w:r>
      <w:r w:rsidR="00644708" w:rsidRPr="00C14255">
        <w:rPr>
          <w:color w:val="505050" w:themeColor="accent6" w:themeShade="80"/>
        </w:rPr>
        <w:t>rogress towards achieving EOPOs</w:t>
      </w:r>
      <w:bookmarkEnd w:id="17"/>
      <w:r w:rsidR="00644708" w:rsidRPr="00C14255">
        <w:rPr>
          <w:color w:val="505050" w:themeColor="accent6" w:themeShade="80"/>
        </w:rPr>
        <w:t xml:space="preserve"> </w:t>
      </w:r>
    </w:p>
    <w:p w14:paraId="74D9D89D" w14:textId="1DEB3C9A" w:rsidR="00BB6F3B" w:rsidRPr="00FF571F" w:rsidRDefault="0018661B" w:rsidP="00A348C7">
      <w:r>
        <w:t>Partner</w:t>
      </w:r>
      <w:r w:rsidR="002172DA">
        <w:t xml:space="preserve"> Performance Assessments</w:t>
      </w:r>
      <w:r w:rsidR="00BB6F3B" w:rsidRPr="00FF571F">
        <w:t xml:space="preserve">, </w:t>
      </w:r>
      <w:r w:rsidR="00B34352" w:rsidRPr="00FF571F">
        <w:t>A</w:t>
      </w:r>
      <w:r w:rsidR="00BB6F3B" w:rsidRPr="00FF571F">
        <w:t xml:space="preserve">IMRs and Annual Reports all demonstrate that </w:t>
      </w:r>
      <w:r w:rsidR="00B34352" w:rsidRPr="00FF571F">
        <w:t xml:space="preserve">achievements </w:t>
      </w:r>
      <w:r w:rsidR="00BB6F3B" w:rsidRPr="00FF571F">
        <w:t xml:space="preserve">in the Health and Economic Governance </w:t>
      </w:r>
      <w:r w:rsidR="00C24461" w:rsidRPr="00FF571F">
        <w:t>pillars</w:t>
      </w:r>
      <w:r w:rsidR="00BB6F3B" w:rsidRPr="00FF571F">
        <w:t xml:space="preserve"> </w:t>
      </w:r>
      <w:r w:rsidR="00B34352" w:rsidRPr="00FF571F">
        <w:t xml:space="preserve">(the </w:t>
      </w:r>
      <w:r w:rsidR="00BB6F3B" w:rsidRPr="00FF571F">
        <w:t>two novated programs</w:t>
      </w:r>
      <w:r w:rsidR="00B34352" w:rsidRPr="00FF571F">
        <w:t>)</w:t>
      </w:r>
      <w:r w:rsidR="00BB6F3B" w:rsidRPr="00FF571F">
        <w:t xml:space="preserve">, have been in the range of Good to Adequate </w:t>
      </w:r>
      <w:proofErr w:type="gramStart"/>
      <w:r w:rsidR="00BB6F3B" w:rsidRPr="00FF571F">
        <w:t>with the exception of</w:t>
      </w:r>
      <w:proofErr w:type="gramEnd"/>
      <w:r w:rsidR="00BB6F3B" w:rsidRPr="00FF571F">
        <w:t xml:space="preserve"> the investment in Tonga</w:t>
      </w:r>
      <w:r w:rsidR="00C02CF2" w:rsidRPr="00FF571F">
        <w:t xml:space="preserve"> </w:t>
      </w:r>
      <w:r w:rsidR="00BB6F3B" w:rsidRPr="00FF571F">
        <w:t>Health</w:t>
      </w:r>
      <w:r w:rsidR="00C02CF2" w:rsidRPr="00FF571F">
        <w:t xml:space="preserve"> Promotion Foundation</w:t>
      </w:r>
      <w:r w:rsidR="000B56EA" w:rsidRPr="00FF571F">
        <w:t xml:space="preserve"> (THPF)</w:t>
      </w:r>
      <w:r w:rsidR="00C02CF2" w:rsidRPr="00FF571F">
        <w:t xml:space="preserve"> </w:t>
      </w:r>
      <w:r w:rsidR="00B34352" w:rsidRPr="00FF571F">
        <w:t>which</w:t>
      </w:r>
      <w:r w:rsidR="00BB6F3B" w:rsidRPr="00FF571F">
        <w:t xml:space="preserve"> is </w:t>
      </w:r>
      <w:r w:rsidR="00B255C6" w:rsidRPr="00FF571F">
        <w:t>underperforming</w:t>
      </w:r>
      <w:r w:rsidR="00BB6F3B" w:rsidRPr="00FF571F">
        <w:t>.</w:t>
      </w:r>
      <w:r w:rsidR="00294B80" w:rsidRPr="00FF571F">
        <w:t xml:space="preserve"> </w:t>
      </w:r>
    </w:p>
    <w:p w14:paraId="4FE7666D" w14:textId="1DE74E70" w:rsidR="003C0803" w:rsidRPr="00FF571F" w:rsidRDefault="004940AC" w:rsidP="00A348C7">
      <w:r w:rsidRPr="00FF571F">
        <w:t xml:space="preserve">The </w:t>
      </w:r>
      <w:r w:rsidRPr="00FF571F">
        <w:rPr>
          <w:b/>
          <w:bCs/>
        </w:rPr>
        <w:t>Health Pillar</w:t>
      </w:r>
      <w:r w:rsidR="009A7802" w:rsidRPr="00FF571F">
        <w:t xml:space="preserve"> AIMR </w:t>
      </w:r>
      <w:r w:rsidR="003C61C9" w:rsidRPr="00FF571F">
        <w:t>Investment Performance Rating (</w:t>
      </w:r>
      <w:r w:rsidR="00545424" w:rsidRPr="00FF571F">
        <w:t>IPR</w:t>
      </w:r>
      <w:r w:rsidR="003C61C9" w:rsidRPr="00FF571F">
        <w:t>)</w:t>
      </w:r>
      <w:r w:rsidR="00545424" w:rsidRPr="00FF571F">
        <w:t xml:space="preserve"> Ratings for 2023 resulted in a score of 5</w:t>
      </w:r>
      <w:r w:rsidR="00B255C6" w:rsidRPr="00FF571F">
        <w:rPr>
          <w:rStyle w:val="FootnoteReference"/>
        </w:rPr>
        <w:footnoteReference w:id="10"/>
      </w:r>
      <w:r w:rsidR="008A005B" w:rsidRPr="00FF571F">
        <w:t xml:space="preserve"> for Effectiveness</w:t>
      </w:r>
      <w:r w:rsidR="003C0803" w:rsidRPr="00FF571F">
        <w:t>. T</w:t>
      </w:r>
      <w:r w:rsidR="00B02604" w:rsidRPr="00FF571F">
        <w:t>he report stat</w:t>
      </w:r>
      <w:r w:rsidR="003C0803" w:rsidRPr="00FF571F">
        <w:t>es:</w:t>
      </w:r>
    </w:p>
    <w:p w14:paraId="52B96D14" w14:textId="56AC6178" w:rsidR="003C0803" w:rsidRDefault="00B02604" w:rsidP="00A348C7">
      <w:r w:rsidRPr="00121C96">
        <w:rPr>
          <w:i/>
          <w:iCs/>
        </w:rPr>
        <w:t>“</w:t>
      </w:r>
      <w:r w:rsidR="00871827" w:rsidRPr="00D15720">
        <w:rPr>
          <w:i/>
          <w:iCs/>
        </w:rPr>
        <w:t>Of the four EOPOs, EOPO 1 and 2 are making good progress, EOPO3 is making some progress</w:t>
      </w:r>
      <w:r w:rsidR="00AC098A" w:rsidRPr="00D15720">
        <w:rPr>
          <w:i/>
          <w:iCs/>
        </w:rPr>
        <w:t xml:space="preserve"> although data a</w:t>
      </w:r>
      <w:r w:rsidR="003C0803" w:rsidRPr="00D15720">
        <w:rPr>
          <w:i/>
          <w:iCs/>
        </w:rPr>
        <w:t>n</w:t>
      </w:r>
      <w:r w:rsidR="00AC098A" w:rsidRPr="00D15720">
        <w:rPr>
          <w:i/>
          <w:iCs/>
        </w:rPr>
        <w:t xml:space="preserve">d M&amp;E systems are now required to better assess effectiveness of </w:t>
      </w:r>
      <w:r w:rsidR="00D722F8" w:rsidRPr="00D15720">
        <w:rPr>
          <w:i/>
          <w:iCs/>
        </w:rPr>
        <w:t>T</w:t>
      </w:r>
      <w:r w:rsidR="006715E3" w:rsidRPr="00D15720">
        <w:rPr>
          <w:i/>
          <w:iCs/>
        </w:rPr>
        <w:t>HPF</w:t>
      </w:r>
      <w:r w:rsidR="00D722F8" w:rsidRPr="00D15720">
        <w:rPr>
          <w:i/>
          <w:iCs/>
        </w:rPr>
        <w:t xml:space="preserve"> activities. </w:t>
      </w:r>
      <w:r w:rsidR="00871827" w:rsidRPr="00D15720">
        <w:rPr>
          <w:i/>
          <w:iCs/>
        </w:rPr>
        <w:t xml:space="preserve">EOPO4 </w:t>
      </w:r>
      <w:r w:rsidR="00C10CE1" w:rsidRPr="00D15720">
        <w:rPr>
          <w:i/>
          <w:iCs/>
        </w:rPr>
        <w:t>(</w:t>
      </w:r>
      <w:proofErr w:type="spellStart"/>
      <w:r w:rsidR="00C10CE1" w:rsidRPr="00D15720">
        <w:rPr>
          <w:i/>
          <w:iCs/>
        </w:rPr>
        <w:t>Mulitsectoral</w:t>
      </w:r>
      <w:proofErr w:type="spellEnd"/>
      <w:r w:rsidR="00C10CE1" w:rsidRPr="00D15720">
        <w:rPr>
          <w:i/>
          <w:iCs/>
        </w:rPr>
        <w:t xml:space="preserve"> Approach) </w:t>
      </w:r>
      <w:r w:rsidR="00871827" w:rsidRPr="00D15720">
        <w:rPr>
          <w:i/>
          <w:iCs/>
        </w:rPr>
        <w:t>requires improvement</w:t>
      </w:r>
      <w:r w:rsidR="00C53A80">
        <w:rPr>
          <w:i/>
          <w:iCs/>
        </w:rPr>
        <w:t>…</w:t>
      </w:r>
      <w:r w:rsidR="00871827" w:rsidRPr="00D15720">
        <w:rPr>
          <w:i/>
          <w:iCs/>
        </w:rPr>
        <w:t>.</w:t>
      </w:r>
      <w:r w:rsidR="00584288">
        <w:t>”</w:t>
      </w:r>
      <w:r w:rsidR="009A57CA">
        <w:t xml:space="preserve">  </w:t>
      </w:r>
    </w:p>
    <w:p w14:paraId="4F32025D" w14:textId="379F2C9C" w:rsidR="00871827" w:rsidRPr="00871827" w:rsidRDefault="003C0803" w:rsidP="00A348C7">
      <w:r>
        <w:t xml:space="preserve">In addition, the </w:t>
      </w:r>
      <w:r w:rsidR="009A57CA">
        <w:t xml:space="preserve">Ministry of Health counterpart expressed satisfaction and praise for the work of the </w:t>
      </w:r>
      <w:r w:rsidR="00DC7995">
        <w:t>Health Team Leader and funding support.</w:t>
      </w:r>
    </w:p>
    <w:p w14:paraId="678F705F" w14:textId="70CFBE59" w:rsidR="00103EAB" w:rsidRDefault="0084265C" w:rsidP="00A348C7">
      <w:r w:rsidRPr="00FF571F">
        <w:lastRenderedPageBreak/>
        <w:t xml:space="preserve">Under the </w:t>
      </w:r>
      <w:r w:rsidR="000851AF" w:rsidRPr="00FF571F">
        <w:rPr>
          <w:b/>
          <w:bCs/>
        </w:rPr>
        <w:t>Economic Governance Pillar</w:t>
      </w:r>
      <w:r w:rsidR="003C0803" w:rsidRPr="00FF571F">
        <w:t>,</w:t>
      </w:r>
      <w:r w:rsidR="000851AF" w:rsidRPr="00FF571F">
        <w:t xml:space="preserve"> </w:t>
      </w:r>
      <w:r w:rsidR="00724420" w:rsidRPr="00FF571F">
        <w:t xml:space="preserve">TASP has been working to an interim Governance </w:t>
      </w:r>
      <w:r w:rsidR="00304DC2" w:rsidRPr="00FF571F">
        <w:t>Pillar Logic</w:t>
      </w:r>
      <w:r w:rsidR="00304DC2">
        <w:t xml:space="preserve"> which focuses on the PFM Reform Roadmap</w:t>
      </w:r>
      <w:r w:rsidR="007D4F26">
        <w:t>.</w:t>
      </w:r>
      <w:r w:rsidR="00304DC2">
        <w:t xml:space="preserve"> </w:t>
      </w:r>
      <w:r w:rsidR="007D4F26">
        <w:t>O</w:t>
      </w:r>
      <w:r w:rsidR="00304DC2">
        <w:t xml:space="preserve">ther key </w:t>
      </w:r>
      <w:r w:rsidR="007D4F26">
        <w:t xml:space="preserve">priority </w:t>
      </w:r>
      <w:r w:rsidR="00304DC2">
        <w:t xml:space="preserve">areas of </w:t>
      </w:r>
      <w:r w:rsidR="007D4F26">
        <w:t xml:space="preserve">the </w:t>
      </w:r>
      <w:r w:rsidR="00E73731">
        <w:t>Public Service Commission (</w:t>
      </w:r>
      <w:r w:rsidR="00D13FDE">
        <w:t>PSC</w:t>
      </w:r>
      <w:r w:rsidR="00E73731">
        <w:t>)</w:t>
      </w:r>
      <w:r w:rsidR="00D13FDE">
        <w:t xml:space="preserve"> and </w:t>
      </w:r>
      <w:r w:rsidR="00EB0B63">
        <w:t>the Central Procu</w:t>
      </w:r>
      <w:r w:rsidR="00A743D6">
        <w:t>re</w:t>
      </w:r>
      <w:r w:rsidR="00EB0B63">
        <w:t>ment Unit</w:t>
      </w:r>
      <w:r w:rsidR="00A743D6">
        <w:t xml:space="preserve"> (CPU)</w:t>
      </w:r>
      <w:r w:rsidR="00EB0B63">
        <w:t xml:space="preserve"> of the Ministry of Finance (MoF)</w:t>
      </w:r>
      <w:r w:rsidR="007D4F26">
        <w:t xml:space="preserve"> are</w:t>
      </w:r>
      <w:r w:rsidR="00D13FDE">
        <w:t xml:space="preserve"> </w:t>
      </w:r>
      <w:r w:rsidR="004C075E">
        <w:t xml:space="preserve">identified only in the activities line. </w:t>
      </w:r>
      <w:r w:rsidR="00304DC2">
        <w:t xml:space="preserve"> </w:t>
      </w:r>
      <w:r w:rsidR="00E04C1C">
        <w:t>This will change through the redesign of the Governance Program.</w:t>
      </w:r>
      <w:r w:rsidR="00563083">
        <w:t xml:space="preserve">  </w:t>
      </w:r>
      <w:r w:rsidR="00CF57FB">
        <w:t xml:space="preserve">The Pillar, via the three Long Term Advisors </w:t>
      </w:r>
      <w:r w:rsidR="002D5825">
        <w:t xml:space="preserve">and in collaboration with DFAT Post, </w:t>
      </w:r>
      <w:r w:rsidR="00CF57FB">
        <w:t>ha</w:t>
      </w:r>
      <w:r w:rsidR="003C0803">
        <w:t>s</w:t>
      </w:r>
      <w:r w:rsidR="00CF57FB">
        <w:t xml:space="preserve"> made significant progress against the </w:t>
      </w:r>
      <w:r w:rsidR="00FA603C">
        <w:t xml:space="preserve">Intermediate Outcomes such as: </w:t>
      </w:r>
    </w:p>
    <w:p w14:paraId="0B265468" w14:textId="1D225961" w:rsidR="00103EAB" w:rsidRDefault="00F06486" w:rsidP="0062067D">
      <w:pPr>
        <w:pStyle w:val="ListBullet"/>
        <w:spacing w:line="280" w:lineRule="atLeast"/>
        <w:ind w:left="284" w:hanging="284"/>
      </w:pPr>
      <w:r>
        <w:t xml:space="preserve">Various agreed reforms and donor focus </w:t>
      </w:r>
      <w:proofErr w:type="gramStart"/>
      <w:r>
        <w:t>in</w:t>
      </w:r>
      <w:proofErr w:type="gramEnd"/>
      <w:r>
        <w:t xml:space="preserve"> line with </w:t>
      </w:r>
      <w:proofErr w:type="spellStart"/>
      <w:r>
        <w:t>GoA</w:t>
      </w:r>
      <w:proofErr w:type="spellEnd"/>
      <w:r>
        <w:t xml:space="preserve"> priorities during the </w:t>
      </w:r>
      <w:r w:rsidR="0062067D" w:rsidRPr="0062067D">
        <w:rPr>
          <w:lang w:val="en-AU"/>
        </w:rPr>
        <w:t>Joint Policy Reform Matrix</w:t>
      </w:r>
      <w:r w:rsidR="0062067D">
        <w:rPr>
          <w:lang w:val="en-AU"/>
        </w:rPr>
        <w:t xml:space="preserve"> (</w:t>
      </w:r>
      <w:r>
        <w:t>JPRM</w:t>
      </w:r>
      <w:r w:rsidR="0062067D">
        <w:t>)</w:t>
      </w:r>
      <w:r>
        <w:t xml:space="preserve"> Mission in 2023.</w:t>
      </w:r>
    </w:p>
    <w:p w14:paraId="6043AF2A" w14:textId="01C25607" w:rsidR="00103EAB" w:rsidRPr="00F06486" w:rsidRDefault="00D15720" w:rsidP="00333381">
      <w:pPr>
        <w:pStyle w:val="ListBullet"/>
        <w:spacing w:line="280" w:lineRule="atLeast"/>
        <w:ind w:left="284" w:hanging="284"/>
      </w:pPr>
      <w:r>
        <w:t>Short Term Advisor (</w:t>
      </w:r>
      <w:r w:rsidR="00103EAB" w:rsidRPr="00103EAB">
        <w:t>STA</w:t>
      </w:r>
      <w:r>
        <w:t>)</w:t>
      </w:r>
      <w:r w:rsidR="00103EAB" w:rsidRPr="00103EAB">
        <w:t xml:space="preserve"> </w:t>
      </w:r>
      <w:r>
        <w:t>Policy</w:t>
      </w:r>
      <w:r w:rsidR="00103EAB" w:rsidRPr="00103EAB">
        <w:t xml:space="preserve"> provided responsive policy advice on a range of topics, including ministerial briefings on debt management, procurement regulations, and various </w:t>
      </w:r>
      <w:proofErr w:type="spellStart"/>
      <w:r w:rsidR="00103EAB" w:rsidRPr="00103EAB">
        <w:t>GoT</w:t>
      </w:r>
      <w:proofErr w:type="spellEnd"/>
      <w:r w:rsidR="00103EAB" w:rsidRPr="00103EAB">
        <w:t xml:space="preserve"> high-level multilateral engagements</w:t>
      </w:r>
    </w:p>
    <w:p w14:paraId="58D182EA" w14:textId="6ED27CA5" w:rsidR="00F06486" w:rsidRPr="00F47CCC" w:rsidRDefault="00F06486" w:rsidP="00214AB2">
      <w:pPr>
        <w:pStyle w:val="ListBullet"/>
        <w:spacing w:line="280" w:lineRule="atLeast"/>
        <w:ind w:left="284" w:hanging="284"/>
      </w:pPr>
      <w:r>
        <w:t>PFM Bill approved by Ca</w:t>
      </w:r>
      <w:r w:rsidR="003C0803">
        <w:t>b</w:t>
      </w:r>
      <w:r>
        <w:t>i</w:t>
      </w:r>
      <w:r w:rsidR="003C0803">
        <w:t>ne</w:t>
      </w:r>
      <w:r>
        <w:t>t</w:t>
      </w:r>
      <w:r w:rsidR="00F47CCC">
        <w:t xml:space="preserve"> and PFM Secretariat established to support reform implementation</w:t>
      </w:r>
    </w:p>
    <w:p w14:paraId="30632065" w14:textId="5A95A209" w:rsidR="00EE7971" w:rsidRPr="00EE7971" w:rsidRDefault="00F47CCC" w:rsidP="00255432">
      <w:pPr>
        <w:pStyle w:val="ListBullet"/>
        <w:spacing w:line="280" w:lineRule="atLeast"/>
        <w:ind w:left="284" w:hanging="284"/>
      </w:pPr>
      <w:r>
        <w:t>PSC</w:t>
      </w:r>
      <w:r w:rsidR="00EE7971">
        <w:t xml:space="preserve"> reforms to </w:t>
      </w:r>
      <w:r w:rsidR="003C0803">
        <w:t xml:space="preserve">human resource </w:t>
      </w:r>
      <w:r w:rsidR="00EE7971">
        <w:t>planning and analysis</w:t>
      </w:r>
      <w:r w:rsidR="003C0803">
        <w:t>;</w:t>
      </w:r>
      <w:r w:rsidR="007B02FC">
        <w:t xml:space="preserve"> </w:t>
      </w:r>
      <w:proofErr w:type="spellStart"/>
      <w:r w:rsidR="007B02FC">
        <w:t>organi</w:t>
      </w:r>
      <w:r w:rsidR="003C0803">
        <w:t>s</w:t>
      </w:r>
      <w:r w:rsidR="007B02FC">
        <w:t>ational</w:t>
      </w:r>
      <w:proofErr w:type="spellEnd"/>
      <w:r w:rsidR="007B02FC">
        <w:t xml:space="preserve"> structure reviews started</w:t>
      </w:r>
    </w:p>
    <w:p w14:paraId="204A23A5" w14:textId="2B26CB90" w:rsidR="00EE7971" w:rsidRDefault="00DE750E" w:rsidP="00255432">
      <w:pPr>
        <w:pStyle w:val="ListBullet"/>
        <w:spacing w:line="280" w:lineRule="atLeast"/>
        <w:ind w:left="284" w:hanging="284"/>
      </w:pPr>
      <w:r>
        <w:t xml:space="preserve">Reestablishment of the </w:t>
      </w:r>
      <w:r w:rsidR="00323A19">
        <w:t xml:space="preserve">PFM Reform </w:t>
      </w:r>
      <w:r>
        <w:t>Committee</w:t>
      </w:r>
      <w:r w:rsidR="009F3BF7">
        <w:t xml:space="preserve"> and reviewing some ministry </w:t>
      </w:r>
      <w:proofErr w:type="spellStart"/>
      <w:r w:rsidR="009F3BF7">
        <w:t>organisational</w:t>
      </w:r>
      <w:proofErr w:type="spellEnd"/>
      <w:r w:rsidR="009F3BF7">
        <w:t xml:space="preserve"> structures (with </w:t>
      </w:r>
      <w:proofErr w:type="gramStart"/>
      <w:r w:rsidR="009F3BF7">
        <w:t>particular success</w:t>
      </w:r>
      <w:proofErr w:type="gramEnd"/>
      <w:r w:rsidR="009F3BF7">
        <w:t xml:space="preserve"> in the Health Sector via cross pillar collaboration) </w:t>
      </w:r>
      <w:r w:rsidR="00164760">
        <w:t>goes some way to supporting action to reduce the large</w:t>
      </w:r>
      <w:r>
        <w:t xml:space="preserve"> </w:t>
      </w:r>
      <w:proofErr w:type="spellStart"/>
      <w:r>
        <w:t>GoT</w:t>
      </w:r>
      <w:proofErr w:type="spellEnd"/>
      <w:r>
        <w:t xml:space="preserve"> wage bill</w:t>
      </w:r>
      <w:r w:rsidR="00164760">
        <w:t>.</w:t>
      </w:r>
    </w:p>
    <w:p w14:paraId="0F13CC71" w14:textId="399B5FB0" w:rsidR="00164760" w:rsidRDefault="006A7D4D" w:rsidP="00255432">
      <w:pPr>
        <w:pStyle w:val="ListBullet"/>
        <w:spacing w:line="280" w:lineRule="atLeast"/>
        <w:ind w:left="284" w:hanging="284"/>
      </w:pPr>
      <w:r>
        <w:t xml:space="preserve">Actions to promote gender equality </w:t>
      </w:r>
      <w:proofErr w:type="gramStart"/>
      <w:r>
        <w:t>included</w:t>
      </w:r>
      <w:proofErr w:type="gramEnd"/>
      <w:r>
        <w:t xml:space="preserve"> in the new draft PFM Action Plan matrix.</w:t>
      </w:r>
    </w:p>
    <w:p w14:paraId="51A7692C" w14:textId="3078E275" w:rsidR="0072499C" w:rsidRDefault="00DC7995" w:rsidP="00A348C7">
      <w:r>
        <w:t>Ministry counterparts</w:t>
      </w:r>
      <w:r w:rsidR="00452375">
        <w:t xml:space="preserve"> </w:t>
      </w:r>
      <w:r w:rsidR="00776D7C">
        <w:t>were clear about the r</w:t>
      </w:r>
      <w:r w:rsidR="0072499C">
        <w:t>o</w:t>
      </w:r>
      <w:r w:rsidR="00776D7C">
        <w:t xml:space="preserve">le that Australian </w:t>
      </w:r>
      <w:r w:rsidR="003C0803">
        <w:t>a</w:t>
      </w:r>
      <w:r w:rsidR="00776D7C">
        <w:t xml:space="preserve">dvisors can and should play in the Ministry </w:t>
      </w:r>
      <w:proofErr w:type="gramStart"/>
      <w:r w:rsidR="00776D7C">
        <w:t xml:space="preserve">and </w:t>
      </w:r>
      <w:r w:rsidR="003C0803">
        <w:t>also</w:t>
      </w:r>
      <w:proofErr w:type="gramEnd"/>
      <w:r w:rsidR="0072499C">
        <w:t xml:space="preserve"> about th</w:t>
      </w:r>
      <w:r w:rsidR="00776D7C">
        <w:t xml:space="preserve">e </w:t>
      </w:r>
      <w:r w:rsidR="001B1683">
        <w:t xml:space="preserve">limits and opportunities </w:t>
      </w:r>
      <w:r w:rsidR="003C0803">
        <w:t>associated with</w:t>
      </w:r>
      <w:r w:rsidR="0072499C">
        <w:t xml:space="preserve"> </w:t>
      </w:r>
      <w:r w:rsidR="001B1683">
        <w:t xml:space="preserve">having </w:t>
      </w:r>
      <w:r w:rsidR="00255432">
        <w:t>long term advisors (</w:t>
      </w:r>
      <w:r w:rsidR="001B1683">
        <w:t>LTAs</w:t>
      </w:r>
      <w:r w:rsidR="00255432">
        <w:t>)</w:t>
      </w:r>
      <w:r w:rsidR="001B1683">
        <w:t xml:space="preserve"> embedded in their Ministries supporting reform and </w:t>
      </w:r>
      <w:r w:rsidR="0072499C">
        <w:t xml:space="preserve">capacity building.  Each Governance counterpart expressed an interest in having or maintaining direct lines of contact and communication with the </w:t>
      </w:r>
      <w:r w:rsidR="009016E8">
        <w:t>AHC</w:t>
      </w:r>
      <w:r w:rsidR="00AE066E">
        <w:t>, not always having to ‘go through’ the advisor.</w:t>
      </w:r>
    </w:p>
    <w:p w14:paraId="6A860B9B" w14:textId="6D46A005" w:rsidR="00F47185" w:rsidRDefault="00C24461" w:rsidP="00A348C7">
      <w:r>
        <w:t>The</w:t>
      </w:r>
      <w:r w:rsidR="00D55501">
        <w:t xml:space="preserve"> </w:t>
      </w:r>
      <w:r w:rsidR="00D55501" w:rsidRPr="001A1306">
        <w:rPr>
          <w:b/>
          <w:bCs/>
        </w:rPr>
        <w:t xml:space="preserve">Gender Equality </w:t>
      </w:r>
      <w:r w:rsidR="00032C27">
        <w:rPr>
          <w:b/>
          <w:bCs/>
        </w:rPr>
        <w:t>P</w:t>
      </w:r>
      <w:r w:rsidR="001A1306">
        <w:rPr>
          <w:b/>
          <w:bCs/>
        </w:rPr>
        <w:t xml:space="preserve">illar </w:t>
      </w:r>
      <w:r w:rsidR="00D55501">
        <w:t xml:space="preserve">was rated </w:t>
      </w:r>
      <w:r w:rsidR="0053638E">
        <w:t>‘</w:t>
      </w:r>
      <w:r w:rsidR="00A66223">
        <w:t>A</w:t>
      </w:r>
      <w:r w:rsidR="00D55501">
        <w:t>dequate</w:t>
      </w:r>
      <w:r w:rsidR="0053638E">
        <w:t>’</w:t>
      </w:r>
      <w:r w:rsidR="00E3615E">
        <w:t xml:space="preserve"> (by the </w:t>
      </w:r>
      <w:r w:rsidR="00114FFA">
        <w:t xml:space="preserve">2023 </w:t>
      </w:r>
      <w:r w:rsidR="00E3615E">
        <w:t xml:space="preserve">AIMR and the </w:t>
      </w:r>
      <w:r w:rsidR="00114FFA">
        <w:t xml:space="preserve">March 2024 </w:t>
      </w:r>
      <w:r>
        <w:t>Mid FY Progress Report)</w:t>
      </w:r>
      <w:r w:rsidR="00220207">
        <w:t xml:space="preserve"> with </w:t>
      </w:r>
      <w:proofErr w:type="gramStart"/>
      <w:r w:rsidR="009B0B55">
        <w:t>the majority of</w:t>
      </w:r>
      <w:proofErr w:type="gramEnd"/>
      <w:r w:rsidR="009B0B55">
        <w:t xml:space="preserve"> outputs related to </w:t>
      </w:r>
      <w:r w:rsidR="00023AC8">
        <w:t xml:space="preserve">work with existing </w:t>
      </w:r>
      <w:r w:rsidR="00D1773D">
        <w:t>c</w:t>
      </w:r>
      <w:r w:rsidR="00023AC8">
        <w:t xml:space="preserve">ivil </w:t>
      </w:r>
      <w:r w:rsidR="00D1773D">
        <w:t>s</w:t>
      </w:r>
      <w:r w:rsidR="00023AC8">
        <w:t xml:space="preserve">ociety partners </w:t>
      </w:r>
      <w:r w:rsidR="00D674F4">
        <w:t xml:space="preserve">and related to </w:t>
      </w:r>
      <w:r w:rsidR="0010613F">
        <w:t>GEDSI Action Plan</w:t>
      </w:r>
      <w:r w:rsidR="00D674F4">
        <w:t xml:space="preserve"> development.</w:t>
      </w:r>
      <w:r w:rsidR="009B0B55">
        <w:t xml:space="preserve"> </w:t>
      </w:r>
      <w:r w:rsidR="004961F9">
        <w:t xml:space="preserve">Partnering with </w:t>
      </w:r>
      <w:r w:rsidR="005D4F2F">
        <w:t>CS</w:t>
      </w:r>
      <w:r w:rsidR="004961F9">
        <w:t xml:space="preserve">Os by supporting operating costs and </w:t>
      </w:r>
      <w:r w:rsidR="00CB7DBE">
        <w:t xml:space="preserve">agreeing on strategic activity investments is already leading </w:t>
      </w:r>
      <w:r w:rsidR="0050529C">
        <w:t>to effective</w:t>
      </w:r>
      <w:r w:rsidR="00CB7DBE">
        <w:t xml:space="preserve"> CSO support for the wider TASP program</w:t>
      </w:r>
      <w:r w:rsidR="0050529C">
        <w:t xml:space="preserve"> (such as GEDSI Training to other CSO partners and to Ministry of Health and some </w:t>
      </w:r>
      <w:r w:rsidR="00EF2982">
        <w:t>partners of the Governance pillar</w:t>
      </w:r>
      <w:r w:rsidR="320BCE82">
        <w:t>)</w:t>
      </w:r>
      <w:r w:rsidR="00EF2982">
        <w:t xml:space="preserve">. </w:t>
      </w:r>
    </w:p>
    <w:p w14:paraId="03764A69" w14:textId="1B60F9F0" w:rsidR="005F01E4" w:rsidRDefault="00D674F4" w:rsidP="00A348C7">
      <w:r w:rsidRPr="008B7BB7">
        <w:t xml:space="preserve">The </w:t>
      </w:r>
      <w:r w:rsidR="0010613F">
        <w:t xml:space="preserve">GEDSI Action </w:t>
      </w:r>
      <w:r w:rsidRPr="008B7BB7">
        <w:t>Plan</w:t>
      </w:r>
      <w:r w:rsidR="00DB0689">
        <w:t xml:space="preserve"> (GAP)</w:t>
      </w:r>
      <w:r w:rsidRPr="008B7BB7">
        <w:t xml:space="preserve"> adopts </w:t>
      </w:r>
      <w:r w:rsidR="00487476">
        <w:t>a</w:t>
      </w:r>
      <w:r w:rsidR="00487476" w:rsidRPr="008B7BB7">
        <w:t xml:space="preserve"> </w:t>
      </w:r>
      <w:r w:rsidRPr="008B7BB7">
        <w:t xml:space="preserve">twin track approach in seeking to achieve GEDSI outcomes by mainstreaming GEDSI through all TASP efforts, as well as implementing targeted activities to address the specific requirements of women, people with disabilities and marginalised groups, to enable them to benefit equitably from development efforts. TASP has identified opportunities </w:t>
      </w:r>
      <w:r w:rsidR="00487476">
        <w:t>to progress both tracks</w:t>
      </w:r>
      <w:r>
        <w:t xml:space="preserve">. </w:t>
      </w:r>
      <w:r w:rsidR="00487476">
        <w:t xml:space="preserve">With the </w:t>
      </w:r>
      <w:r w:rsidR="00DB0689">
        <w:t>GAP</w:t>
      </w:r>
      <w:r w:rsidR="00487476">
        <w:t xml:space="preserve"> </w:t>
      </w:r>
      <w:r w:rsidR="00FB7459">
        <w:t xml:space="preserve">written </w:t>
      </w:r>
      <w:r w:rsidR="00487476">
        <w:t xml:space="preserve">(and aligned with the DFAT Gender Country Plan) and with recruitment </w:t>
      </w:r>
      <w:r w:rsidR="00C41896">
        <w:t>of the GEDSI</w:t>
      </w:r>
      <w:r w:rsidR="00AC258D">
        <w:t xml:space="preserve"> Advisor</w:t>
      </w:r>
      <w:r w:rsidR="00487476">
        <w:t xml:space="preserve"> (with </w:t>
      </w:r>
      <w:r w:rsidR="00AC258D">
        <w:t>STA support</w:t>
      </w:r>
      <w:r w:rsidR="00487476">
        <w:t>) in 2023 and a Disability Coordinator in 2024</w:t>
      </w:r>
      <w:r w:rsidR="00AF22BE">
        <w:t xml:space="preserve">, </w:t>
      </w:r>
      <w:r w:rsidR="004D7947">
        <w:t xml:space="preserve">the Gender Equality Pillar and Disability </w:t>
      </w:r>
      <w:r w:rsidR="00F6404F">
        <w:t xml:space="preserve">work should see </w:t>
      </w:r>
      <w:r w:rsidR="00487476">
        <w:t xml:space="preserve">future </w:t>
      </w:r>
      <w:r w:rsidR="00F6404F">
        <w:t xml:space="preserve">achievement against the </w:t>
      </w:r>
      <w:r w:rsidR="00DB0689">
        <w:t>GAP</w:t>
      </w:r>
      <w:r w:rsidR="00487476">
        <w:t xml:space="preserve"> including additional Disability focused </w:t>
      </w:r>
      <w:r w:rsidR="00487476" w:rsidRPr="009B11E3">
        <w:t>CSO</w:t>
      </w:r>
      <w:r w:rsidR="00487476">
        <w:t xml:space="preserve"> grants</w:t>
      </w:r>
      <w:r>
        <w:t xml:space="preserve">, and improved MEL systems able to measure sex </w:t>
      </w:r>
      <w:r w:rsidR="00487476">
        <w:t xml:space="preserve">and disability </w:t>
      </w:r>
      <w:r>
        <w:t>disaggregated data</w:t>
      </w:r>
      <w:r w:rsidR="000C0335">
        <w:t xml:space="preserve">.  </w:t>
      </w:r>
    </w:p>
    <w:p w14:paraId="1CCCB020" w14:textId="67900C17" w:rsidR="00D674F4" w:rsidRDefault="00D674F4" w:rsidP="00A348C7">
      <w:r>
        <w:t xml:space="preserve">However, </w:t>
      </w:r>
      <w:r w:rsidRPr="00A32AFC">
        <w:rPr>
          <w:rFonts w:ascii="Arial" w:hAnsi="Arial" w:cs="Arial"/>
          <w:szCs w:val="20"/>
        </w:rPr>
        <w:t xml:space="preserve">given the range of contextual challenges </w:t>
      </w:r>
      <w:proofErr w:type="gramStart"/>
      <w:r w:rsidRPr="00A32AFC">
        <w:rPr>
          <w:rFonts w:ascii="Arial" w:hAnsi="Arial" w:cs="Arial"/>
          <w:szCs w:val="20"/>
        </w:rPr>
        <w:t>including</w:t>
      </w:r>
      <w:r>
        <w:rPr>
          <w:rFonts w:ascii="Arial" w:hAnsi="Arial" w:cs="Arial"/>
          <w:szCs w:val="20"/>
        </w:rPr>
        <w:t>:</w:t>
      </w:r>
      <w:proofErr w:type="gramEnd"/>
      <w:r w:rsidRPr="00A32AFC">
        <w:rPr>
          <w:rFonts w:ascii="Arial" w:hAnsi="Arial" w:cs="Arial"/>
          <w:szCs w:val="20"/>
        </w:rPr>
        <w:t xml:space="preserve"> deeply embedded social norms</w:t>
      </w:r>
      <w:r>
        <w:rPr>
          <w:rFonts w:ascii="Arial" w:hAnsi="Arial" w:cs="Arial"/>
          <w:szCs w:val="20"/>
        </w:rPr>
        <w:t>;</w:t>
      </w:r>
      <w:r w:rsidRPr="00A32AFC">
        <w:rPr>
          <w:rFonts w:ascii="Arial" w:hAnsi="Arial" w:cs="Arial"/>
          <w:szCs w:val="20"/>
        </w:rPr>
        <w:t xml:space="preserve"> lukewarm </w:t>
      </w:r>
      <w:proofErr w:type="spellStart"/>
      <w:r w:rsidRPr="00A32AFC">
        <w:rPr>
          <w:rFonts w:ascii="Arial" w:hAnsi="Arial" w:cs="Arial"/>
          <w:szCs w:val="20"/>
        </w:rPr>
        <w:t>GoT</w:t>
      </w:r>
      <w:proofErr w:type="spellEnd"/>
      <w:r w:rsidRPr="00A32AFC">
        <w:rPr>
          <w:rFonts w:ascii="Arial" w:hAnsi="Arial" w:cs="Arial"/>
          <w:szCs w:val="20"/>
        </w:rPr>
        <w:t xml:space="preserve"> interest</w:t>
      </w:r>
      <w:r>
        <w:rPr>
          <w:rFonts w:ascii="Arial" w:hAnsi="Arial" w:cs="Arial"/>
          <w:szCs w:val="20"/>
        </w:rPr>
        <w:t>;</w:t>
      </w:r>
      <w:r w:rsidRPr="00A32AFC">
        <w:rPr>
          <w:rFonts w:ascii="Arial" w:hAnsi="Arial" w:cs="Arial"/>
          <w:szCs w:val="20"/>
        </w:rPr>
        <w:t xml:space="preserve"> and CSO limitations</w:t>
      </w:r>
      <w:r>
        <w:rPr>
          <w:rFonts w:ascii="Arial" w:hAnsi="Arial" w:cs="Arial"/>
          <w:szCs w:val="20"/>
        </w:rPr>
        <w:t>, achievement against the GEDSI Pillar is likely to remain at ‘adequate’</w:t>
      </w:r>
      <w:r>
        <w:t xml:space="preserve">. With a limited period remaining for implementation of the </w:t>
      </w:r>
      <w:r w:rsidR="0043200B">
        <w:t>GAP</w:t>
      </w:r>
      <w:r w:rsidR="00487476">
        <w:t>,</w:t>
      </w:r>
      <w:r>
        <w:t xml:space="preserve"> TASP staff reported some concerns with the ambitious nature of the plan. </w:t>
      </w:r>
      <w:r w:rsidRPr="00724181">
        <w:t xml:space="preserve">(See </w:t>
      </w:r>
      <w:hyperlink w:anchor="_Key_Findings:_GEDSI" w:history="1">
        <w:r w:rsidRPr="0043200B">
          <w:rPr>
            <w:rStyle w:val="Hyperlink"/>
          </w:rPr>
          <w:t>KEQ5</w:t>
        </w:r>
      </w:hyperlink>
      <w:r w:rsidRPr="00724181">
        <w:t xml:space="preserve"> below for greater detail </w:t>
      </w:r>
      <w:r w:rsidR="00487476">
        <w:t>on</w:t>
      </w:r>
      <w:r w:rsidR="00487476" w:rsidRPr="00724181">
        <w:t xml:space="preserve"> </w:t>
      </w:r>
      <w:r w:rsidRPr="00724181">
        <w:t>GEDSI</w:t>
      </w:r>
      <w:r w:rsidR="00487476">
        <w:t>.</w:t>
      </w:r>
      <w:r w:rsidRPr="00724181">
        <w:t>)</w:t>
      </w:r>
    </w:p>
    <w:p w14:paraId="5BC8D4DC" w14:textId="3B01C0B6" w:rsidR="00510021" w:rsidRDefault="00487476" w:rsidP="00A348C7">
      <w:r>
        <w:t>As of August 2024,</w:t>
      </w:r>
      <w:r w:rsidR="00D674F4">
        <w:t xml:space="preserve"> </w:t>
      </w:r>
      <w:r w:rsidR="0066517E">
        <w:t xml:space="preserve">the </w:t>
      </w:r>
      <w:r w:rsidR="004C4C60">
        <w:t>MC has</w:t>
      </w:r>
      <w:r w:rsidR="00D674F4">
        <w:t xml:space="preserve"> failed to produce a </w:t>
      </w:r>
      <w:r w:rsidR="00BE066B" w:rsidRPr="00014420">
        <w:rPr>
          <w:b/>
          <w:bCs/>
        </w:rPr>
        <w:t>Skills and Labour Mobility</w:t>
      </w:r>
      <w:r w:rsidR="00BE066B">
        <w:rPr>
          <w:b/>
          <w:bCs/>
        </w:rPr>
        <w:t xml:space="preserve"> (SLM)</w:t>
      </w:r>
      <w:r w:rsidR="00BE066B" w:rsidRPr="000A2A48">
        <w:t xml:space="preserve"> </w:t>
      </w:r>
      <w:r w:rsidR="00D674F4">
        <w:t xml:space="preserve">Pillar Strategy to DFAT’s </w:t>
      </w:r>
      <w:r w:rsidR="00D57D57">
        <w:t>standards</w:t>
      </w:r>
      <w:r w:rsidR="00BA6E27">
        <w:t>,</w:t>
      </w:r>
      <w:r w:rsidR="00BA6E27" w:rsidRPr="00BA6E27">
        <w:t xml:space="preserve"> </w:t>
      </w:r>
      <w:r w:rsidR="00BA6E27">
        <w:t>despite a year of inputs and comments from DFAT</w:t>
      </w:r>
      <w:r w:rsidR="00223531">
        <w:t>.</w:t>
      </w:r>
      <w:r w:rsidR="00D674F4">
        <w:t xml:space="preserve"> </w:t>
      </w:r>
      <w:r w:rsidR="00223531">
        <w:t>C</w:t>
      </w:r>
      <w:r w:rsidR="00D674F4">
        <w:t>onsequently</w:t>
      </w:r>
      <w:r w:rsidR="00223531">
        <w:t>,</w:t>
      </w:r>
      <w:r w:rsidR="00D674F4">
        <w:t xml:space="preserve"> the three 2023/24 TASP </w:t>
      </w:r>
      <w:r w:rsidR="00965BE0">
        <w:t>annual workplan</w:t>
      </w:r>
      <w:r w:rsidR="00D674F4">
        <w:t xml:space="preserve"> priorities under </w:t>
      </w:r>
      <w:r w:rsidR="00BA6E27">
        <w:t xml:space="preserve">the </w:t>
      </w:r>
      <w:r w:rsidR="00223531">
        <w:t>SLM</w:t>
      </w:r>
      <w:r w:rsidR="00D674F4">
        <w:t xml:space="preserve"> Pillar have been rated Highly Challenging</w:t>
      </w:r>
      <w:r w:rsidR="00860BAC">
        <w:t xml:space="preserve"> and </w:t>
      </w:r>
      <w:r w:rsidR="00D674F4">
        <w:t xml:space="preserve">Challenging </w:t>
      </w:r>
      <w:r w:rsidR="00D674F4">
        <w:lastRenderedPageBreak/>
        <w:t xml:space="preserve">in TASP’s Mid-Year Progress Report (March 2024). </w:t>
      </w:r>
      <w:r w:rsidR="00BC7E30">
        <w:t>T</w:t>
      </w:r>
      <w:r w:rsidR="004A3DB6">
        <w:t xml:space="preserve">he </w:t>
      </w:r>
      <w:r w:rsidR="00D674F4">
        <w:t>DFAT</w:t>
      </w:r>
      <w:r w:rsidR="00B23CA3">
        <w:t xml:space="preserve"> </w:t>
      </w:r>
      <w:r w:rsidR="00D674F4">
        <w:t>AIMR</w:t>
      </w:r>
      <w:r w:rsidR="00D674F4">
        <w:rPr>
          <w:rStyle w:val="FootnoteReference"/>
        </w:rPr>
        <w:footnoteReference w:id="11"/>
      </w:r>
      <w:r w:rsidR="00D674F4">
        <w:t xml:space="preserve"> (for the period 1 Jan – 30 Dec 2023)</w:t>
      </w:r>
      <w:r w:rsidR="004A3DB6">
        <w:t xml:space="preserve"> states that</w:t>
      </w:r>
      <w:r w:rsidR="00D674F4">
        <w:t xml:space="preserve"> </w:t>
      </w:r>
      <w:r w:rsidR="004A3DB6">
        <w:t>“</w:t>
      </w:r>
      <w:r w:rsidR="004A3DB6" w:rsidRPr="004A3DB6">
        <w:t>The SLM design is 18 months overdue, in part, due to changes in DFATs approach/response to an evolving</w:t>
      </w:r>
      <w:r w:rsidR="00D85361">
        <w:t xml:space="preserve"> </w:t>
      </w:r>
      <w:r w:rsidR="004A3DB6" w:rsidRPr="004A3DB6">
        <w:t>political landscape</w:t>
      </w:r>
      <w:r w:rsidR="00D85361">
        <w:t>”</w:t>
      </w:r>
      <w:r w:rsidR="00FB57B6">
        <w:t>.</w:t>
      </w:r>
      <w:r w:rsidR="005204B0">
        <w:t xml:space="preserve"> </w:t>
      </w:r>
      <w:r w:rsidR="0009515D">
        <w:t xml:space="preserve">However, </w:t>
      </w:r>
      <w:r w:rsidR="005204B0">
        <w:t xml:space="preserve">it is </w:t>
      </w:r>
      <w:r w:rsidR="00A02FE1">
        <w:t xml:space="preserve">evident both from the AIMR and </w:t>
      </w:r>
      <w:r w:rsidR="002F1526">
        <w:t>from</w:t>
      </w:r>
      <w:r w:rsidR="00A94640">
        <w:t xml:space="preserve"> further </w:t>
      </w:r>
      <w:r w:rsidR="00D46FB9">
        <w:t>consultations</w:t>
      </w:r>
      <w:r w:rsidR="00B56AC6">
        <w:t xml:space="preserve"> as part of this </w:t>
      </w:r>
      <w:r w:rsidR="00382650">
        <w:t xml:space="preserve">independent </w:t>
      </w:r>
      <w:r w:rsidR="00B56AC6">
        <w:t>evaluation</w:t>
      </w:r>
      <w:r w:rsidR="00D46FB9">
        <w:t xml:space="preserve"> that </w:t>
      </w:r>
      <w:r w:rsidR="00352453">
        <w:t xml:space="preserve">the primary reason for this pillar not achieving its original ambition was </w:t>
      </w:r>
      <w:r w:rsidR="005862E8">
        <w:t xml:space="preserve">the ongoing inability </w:t>
      </w:r>
      <w:r w:rsidR="004C4C60">
        <w:t>of</w:t>
      </w:r>
      <w:r w:rsidR="00A94640">
        <w:t xml:space="preserve"> </w:t>
      </w:r>
      <w:r w:rsidR="004C4C60">
        <w:t>the MC</w:t>
      </w:r>
      <w:r w:rsidR="00A94640">
        <w:t xml:space="preserve"> to</w:t>
      </w:r>
      <w:r w:rsidR="00382650">
        <w:t xml:space="preserve"> provide adequate resources </w:t>
      </w:r>
      <w:r w:rsidR="00116EDF">
        <w:t xml:space="preserve">and skills to produce a good quality </w:t>
      </w:r>
      <w:r w:rsidR="002F1526">
        <w:t>SLM</w:t>
      </w:r>
      <w:r w:rsidR="00116EDF">
        <w:t xml:space="preserve"> pillar des</w:t>
      </w:r>
      <w:r w:rsidR="002D7C14">
        <w:t>i</w:t>
      </w:r>
      <w:r w:rsidR="00116EDF">
        <w:t>gn</w:t>
      </w:r>
      <w:r w:rsidR="00524E03">
        <w:t xml:space="preserve">.  </w:t>
      </w:r>
      <w:r w:rsidR="00D345C4">
        <w:t>S</w:t>
      </w:r>
      <w:r w:rsidR="00261AAB">
        <w:t>takeholder consultations</w:t>
      </w:r>
      <w:r w:rsidR="00D345C4">
        <w:t xml:space="preserve"> in 2024 mean</w:t>
      </w:r>
      <w:r w:rsidR="00D75EAD">
        <w:t xml:space="preserve"> the planned s</w:t>
      </w:r>
      <w:r w:rsidR="002D7C14">
        <w:t xml:space="preserve">kills interventions are now well aligned with </w:t>
      </w:r>
      <w:proofErr w:type="spellStart"/>
      <w:r w:rsidR="002D7C14">
        <w:t>GoT</w:t>
      </w:r>
      <w:proofErr w:type="spellEnd"/>
      <w:r w:rsidR="002D7C14">
        <w:t xml:space="preserve">, CSOs, education providers, and </w:t>
      </w:r>
      <w:proofErr w:type="spellStart"/>
      <w:r w:rsidR="002D7C14">
        <w:t>GoA</w:t>
      </w:r>
      <w:proofErr w:type="spellEnd"/>
      <w:r w:rsidR="002D7C14">
        <w:t xml:space="preserve"> priorities</w:t>
      </w:r>
      <w:r w:rsidR="00D75EAD">
        <w:t>.</w:t>
      </w:r>
      <w:r w:rsidR="00D75EAD" w:rsidDel="005862E8">
        <w:t xml:space="preserve"> </w:t>
      </w:r>
      <w:r w:rsidR="00925040">
        <w:t xml:space="preserve">The </w:t>
      </w:r>
      <w:proofErr w:type="gramStart"/>
      <w:r w:rsidR="00925040">
        <w:t>final outcome</w:t>
      </w:r>
      <w:proofErr w:type="gramEnd"/>
      <w:r w:rsidR="00925040">
        <w:t xml:space="preserve"> is </w:t>
      </w:r>
      <w:r w:rsidR="00D345C4">
        <w:t>a</w:t>
      </w:r>
      <w:r w:rsidR="00925040">
        <w:t xml:space="preserve"> scaled back set of initiatives in the Skills only area.  These will be implemented over the last 12 months of th</w:t>
      </w:r>
      <w:r w:rsidR="008A450C">
        <w:t>e TASP</w:t>
      </w:r>
      <w:r w:rsidR="00925040">
        <w:t xml:space="preserve"> contract. </w:t>
      </w:r>
    </w:p>
    <w:p w14:paraId="4AA94F01" w14:textId="38EA52E1" w:rsidR="00D0337A" w:rsidRDefault="00EF6CD6" w:rsidP="00137B74">
      <w:r>
        <w:t xml:space="preserve">The </w:t>
      </w:r>
      <w:r w:rsidR="00DC20F1" w:rsidRPr="00C31056">
        <w:rPr>
          <w:b/>
          <w:bCs/>
        </w:rPr>
        <w:t>Strategic Opportunities Mec</w:t>
      </w:r>
      <w:r w:rsidR="00C31056" w:rsidRPr="00C31056">
        <w:rPr>
          <w:b/>
          <w:bCs/>
        </w:rPr>
        <w:t>hanism (</w:t>
      </w:r>
      <w:r w:rsidR="009F67C1" w:rsidRPr="00C31056">
        <w:rPr>
          <w:b/>
          <w:bCs/>
        </w:rPr>
        <w:t>SOM</w:t>
      </w:r>
      <w:r w:rsidR="00C31056" w:rsidRPr="00C31056">
        <w:rPr>
          <w:b/>
          <w:bCs/>
        </w:rPr>
        <w:t>)</w:t>
      </w:r>
      <w:r w:rsidRPr="00EF6CD6">
        <w:t xml:space="preserve"> </w:t>
      </w:r>
      <w:r>
        <w:t>is designed t</w:t>
      </w:r>
      <w:r w:rsidRPr="00EF6CD6">
        <w:t xml:space="preserve">o enable responses to development opportunities that emerge in Tonga’s rapidly changing political-economy context and in the event of natural disasters (Tonga is rated as the second most at-risk country in the world). </w:t>
      </w:r>
      <w:r w:rsidR="001C4994">
        <w:t>This compone</w:t>
      </w:r>
      <w:r w:rsidR="00403126">
        <w:t xml:space="preserve">nt of the facility was designed to cover engagement of </w:t>
      </w:r>
      <w:r w:rsidRPr="00EF6CD6">
        <w:t xml:space="preserve">resources </w:t>
      </w:r>
      <w:r w:rsidR="00403126">
        <w:t>for activities such as</w:t>
      </w:r>
      <w:r w:rsidR="002C776D">
        <w:t>:</w:t>
      </w:r>
      <w:r w:rsidRPr="00EF6CD6">
        <w:t xml:space="preserve"> </w:t>
      </w:r>
      <w:r w:rsidR="00536D78" w:rsidRPr="00536D78">
        <w:t>emergency relief</w:t>
      </w:r>
      <w:r w:rsidR="002C776D">
        <w:t>;</w:t>
      </w:r>
      <w:r w:rsidR="00536D78" w:rsidRPr="00536D78">
        <w:t xml:space="preserve"> scoping new multi-year pillar investments</w:t>
      </w:r>
      <w:r w:rsidR="002C776D">
        <w:t>; and</w:t>
      </w:r>
      <w:r w:rsidR="00536D78" w:rsidRPr="00536D78">
        <w:t xml:space="preserve"> policy research and analysis</w:t>
      </w:r>
      <w:r w:rsidR="005A2AC4">
        <w:t>. T</w:t>
      </w:r>
      <w:r w:rsidR="008474BB">
        <w:t>he Evaluation Team did not see any policy research or analysis activities reported</w:t>
      </w:r>
      <w:r w:rsidR="00536D78" w:rsidRPr="00536D78">
        <w:t xml:space="preserve">. </w:t>
      </w:r>
      <w:r w:rsidR="00E402CE">
        <w:t xml:space="preserve">As stated in the </w:t>
      </w:r>
      <w:r w:rsidR="00D0337A">
        <w:t>TASP Design Document</w:t>
      </w:r>
      <w:r w:rsidR="00E94EA8">
        <w:t xml:space="preserve"> (IDD)</w:t>
      </w:r>
      <w:r w:rsidR="00D0337A">
        <w:t xml:space="preserve"> the </w:t>
      </w:r>
      <w:r w:rsidR="009F67C1" w:rsidRPr="009F67C1">
        <w:rPr>
          <w:bCs/>
        </w:rPr>
        <w:t>SOM</w:t>
      </w:r>
      <w:r w:rsidR="00D0337A" w:rsidRPr="003B0FF7">
        <w:rPr>
          <w:b/>
        </w:rPr>
        <w:t xml:space="preserve"> </w:t>
      </w:r>
      <w:r w:rsidR="00D0337A" w:rsidRPr="003B0FF7">
        <w:rPr>
          <w:bCs/>
        </w:rPr>
        <w:t>enables</w:t>
      </w:r>
      <w:r w:rsidR="00D0337A" w:rsidRPr="00D0337A">
        <w:t xml:space="preserve"> a quick response to urgent/unexpected problems/events and new and emerging opportunities to progress TASP’s objectives, as identified/approved by DFAT</w:t>
      </w:r>
      <w:r w:rsidR="00E91AA0">
        <w:rPr>
          <w:rStyle w:val="FootnoteReference"/>
        </w:rPr>
        <w:footnoteReference w:id="12"/>
      </w:r>
      <w:r w:rsidR="00E91AA0">
        <w:t>.</w:t>
      </w:r>
      <w:r w:rsidR="00B25658">
        <w:t xml:space="preserve">  T</w:t>
      </w:r>
      <w:r w:rsidR="0003098F">
        <w:t xml:space="preserve">ASP has </w:t>
      </w:r>
      <w:r w:rsidR="00145BC0">
        <w:t xml:space="preserve">found it difficult at times to agree on the alignment of some </w:t>
      </w:r>
      <w:r w:rsidR="00F31B1F">
        <w:t xml:space="preserve">tasking notes with TASP’s objectives which has created tension between the managing contractor and DFAT.  </w:t>
      </w:r>
    </w:p>
    <w:p w14:paraId="6E5707C3" w14:textId="5A4C6E3C" w:rsidR="00435145" w:rsidRPr="006601CB" w:rsidRDefault="48FEE6FA" w:rsidP="41B041EA">
      <w:pPr>
        <w:rPr>
          <w:sz w:val="22"/>
          <w:szCs w:val="22"/>
        </w:rPr>
      </w:pPr>
      <w:r>
        <w:t>Yearly satisfaction surveys of Tasking Note recipients are conducted</w:t>
      </w:r>
      <w:r w:rsidR="00435145" w:rsidRPr="41B041EA">
        <w:rPr>
          <w:rStyle w:val="FootnoteReference"/>
        </w:rPr>
        <w:footnoteReference w:id="13"/>
      </w:r>
      <w:r>
        <w:t xml:space="preserve">.  The current survey results included an analysis of stakeholder satisfaction with </w:t>
      </w:r>
      <w:r w:rsidR="0BCF3580" w:rsidRPr="41B041EA">
        <w:rPr>
          <w:rFonts w:ascii="Arial" w:eastAsia="Arial" w:hAnsi="Arial" w:cs="Arial"/>
          <w:szCs w:val="20"/>
        </w:rPr>
        <w:t>a very high rate of DFAT staff agreed that their relationship with TASP is respectful, mutually valued, and transparent</w:t>
      </w:r>
      <w:r w:rsidR="0BCF3580">
        <w:t xml:space="preserve"> </w:t>
      </w:r>
    </w:p>
    <w:p w14:paraId="3256B780" w14:textId="49FD640A" w:rsidR="00CA0CBA" w:rsidRPr="00C14255" w:rsidRDefault="00D232A9" w:rsidP="005140C5">
      <w:pPr>
        <w:pStyle w:val="Heading2"/>
        <w:rPr>
          <w:color w:val="505050" w:themeColor="accent6" w:themeShade="80"/>
        </w:rPr>
      </w:pPr>
      <w:bookmarkStart w:id="18" w:name="_Toc183423577"/>
      <w:r w:rsidRPr="00C14255">
        <w:rPr>
          <w:color w:val="505050" w:themeColor="accent6" w:themeShade="80"/>
        </w:rPr>
        <w:t>P</w:t>
      </w:r>
      <w:r w:rsidR="009C2E21" w:rsidRPr="00C14255">
        <w:rPr>
          <w:color w:val="505050" w:themeColor="accent6" w:themeShade="80"/>
        </w:rPr>
        <w:t xml:space="preserve">olicy </w:t>
      </w:r>
      <w:r w:rsidR="001F2F68" w:rsidRPr="00C14255">
        <w:rPr>
          <w:color w:val="505050" w:themeColor="accent6" w:themeShade="80"/>
        </w:rPr>
        <w:t>r</w:t>
      </w:r>
      <w:r w:rsidR="009C2E21" w:rsidRPr="00C14255">
        <w:rPr>
          <w:color w:val="505050" w:themeColor="accent6" w:themeShade="80"/>
        </w:rPr>
        <w:t>elationships</w:t>
      </w:r>
      <w:bookmarkEnd w:id="18"/>
      <w:r w:rsidR="00846B1C" w:rsidRPr="00C14255">
        <w:rPr>
          <w:color w:val="505050" w:themeColor="accent6" w:themeShade="80"/>
        </w:rPr>
        <w:t xml:space="preserve"> </w:t>
      </w:r>
    </w:p>
    <w:p w14:paraId="28A27CD0" w14:textId="0CBAB1C0" w:rsidR="009C2E21" w:rsidRPr="00644708" w:rsidRDefault="00846B1C" w:rsidP="000E0658">
      <w:pPr>
        <w:pStyle w:val="Heading3"/>
      </w:pPr>
      <w:r w:rsidRPr="00644708">
        <w:t>Partner Government</w:t>
      </w:r>
    </w:p>
    <w:p w14:paraId="4D1A0AC7" w14:textId="6F73EFDE" w:rsidR="00A26008" w:rsidRPr="003C0C36" w:rsidRDefault="00A26008" w:rsidP="00A26008">
      <w:r>
        <w:t>T</w:t>
      </w:r>
      <w:r w:rsidRPr="003C0C36">
        <w:t xml:space="preserve">ASP has been able to continue to deliver high quality advisory and service delivery support against the Health and Governance programs to </w:t>
      </w:r>
      <w:proofErr w:type="spellStart"/>
      <w:r w:rsidRPr="003C0C36">
        <w:t>GoT</w:t>
      </w:r>
      <w:proofErr w:type="spellEnd"/>
      <w:r w:rsidRPr="003C0C36">
        <w:t xml:space="preserve"> and </w:t>
      </w:r>
      <w:proofErr w:type="spellStart"/>
      <w:r w:rsidRPr="003C0C36">
        <w:t>GoA</w:t>
      </w:r>
      <w:proofErr w:type="spellEnd"/>
      <w:r w:rsidRPr="003C0C36">
        <w:t xml:space="preserve"> </w:t>
      </w:r>
      <w:proofErr w:type="gramStart"/>
      <w:r w:rsidRPr="003C0C36">
        <w:t>satisfaction</w:t>
      </w:r>
      <w:proofErr w:type="gramEnd"/>
      <w:r w:rsidRPr="003C0C36">
        <w:t xml:space="preserve"> but other significant areas of the program are </w:t>
      </w:r>
      <w:proofErr w:type="gramStart"/>
      <w:r w:rsidRPr="003C0C36">
        <w:t>lagging behind</w:t>
      </w:r>
      <w:proofErr w:type="gramEnd"/>
      <w:r w:rsidRPr="003C0C36">
        <w:t xml:space="preserve"> or being reduced in scope.</w:t>
      </w:r>
      <w:r w:rsidR="00055C4C" w:rsidRPr="00055C4C">
        <w:t xml:space="preserve"> </w:t>
      </w:r>
      <w:r w:rsidR="00055C4C">
        <w:t>TASP has taken on phases 3 and 4 of the Health Sector Support Program (a 20</w:t>
      </w:r>
      <w:r w:rsidR="005531F5">
        <w:t>-</w:t>
      </w:r>
      <w:r w:rsidR="00055C4C">
        <w:t xml:space="preserve">year Australian Government commitment) </w:t>
      </w:r>
      <w:r w:rsidR="00C4151C">
        <w:t xml:space="preserve">and </w:t>
      </w:r>
      <w:r w:rsidR="00C4151C">
        <w:rPr>
          <w:iCs/>
        </w:rPr>
        <w:t>DFAT’s investment in economic and public sector governance (TEGS) which has been going since 2009.</w:t>
      </w:r>
    </w:p>
    <w:p w14:paraId="3ABF66C2" w14:textId="0805CED5" w:rsidR="00AB1203" w:rsidRPr="00AB1203" w:rsidRDefault="6C0D2A1F" w:rsidP="00594011">
      <w:pPr>
        <w:rPr>
          <w:rFonts w:ascii="Aptos" w:hAnsi="Aptos" w:cs="Aptos"/>
          <w:sz w:val="22"/>
          <w:szCs w:val="22"/>
        </w:rPr>
      </w:pPr>
      <w:r>
        <w:t>A component of the Stakeholder Satisfaction Survey</w:t>
      </w:r>
      <w:r w:rsidR="003D279E">
        <w:t xml:space="preserve"> (SSS)</w:t>
      </w:r>
      <w:r>
        <w:t xml:space="preserve"> (</w:t>
      </w:r>
      <w:r w:rsidR="6C103ED6">
        <w:t>2022-2023</w:t>
      </w:r>
      <w:r>
        <w:t xml:space="preserve">) included </w:t>
      </w:r>
      <w:r w:rsidR="395D361B">
        <w:t xml:space="preserve">specific </w:t>
      </w:r>
      <w:r>
        <w:t xml:space="preserve">questions </w:t>
      </w:r>
      <w:r w:rsidR="063C02EB">
        <w:t>to MOH and TH</w:t>
      </w:r>
      <w:r w:rsidR="374CC91C">
        <w:t>P</w:t>
      </w:r>
      <w:r w:rsidR="063C02EB">
        <w:t>F on</w:t>
      </w:r>
      <w:r w:rsidR="52D3ADFA">
        <w:t>: r</w:t>
      </w:r>
      <w:r w:rsidR="52D3ADFA" w:rsidRPr="00BC6F16">
        <w:t>espectful relationships</w:t>
      </w:r>
      <w:r w:rsidR="52D3ADFA">
        <w:t>; v</w:t>
      </w:r>
      <w:r w:rsidR="52D3ADFA" w:rsidRPr="00BC6F16">
        <w:t xml:space="preserve">alue placed on relationships; and </w:t>
      </w:r>
      <w:r w:rsidR="52D3ADFA">
        <w:t>t</w:t>
      </w:r>
      <w:r w:rsidR="52D3ADFA" w:rsidRPr="00BC6F16">
        <w:t xml:space="preserve">ransparency in relationships. </w:t>
      </w:r>
      <w:r w:rsidR="52D3ADFA">
        <w:t xml:space="preserve"> </w:t>
      </w:r>
      <w:r w:rsidR="62305D72">
        <w:t xml:space="preserve">The results </w:t>
      </w:r>
      <w:r w:rsidR="395D361B">
        <w:t>“</w:t>
      </w:r>
      <w:r w:rsidR="5B0F65F0">
        <w:t>indicate</w:t>
      </w:r>
      <w:r w:rsidR="5B0F65F0" w:rsidRPr="00F037D9">
        <w:t xml:space="preserve"> that the relationships between TASP and </w:t>
      </w:r>
      <w:r w:rsidR="57F4FDE4">
        <w:t>Tonga Health Systems Support Program</w:t>
      </w:r>
      <w:r w:rsidR="57F4FDE4" w:rsidRPr="00F037D9">
        <w:t xml:space="preserve"> </w:t>
      </w:r>
      <w:r w:rsidR="57F4FDE4">
        <w:t>(</w:t>
      </w:r>
      <w:r w:rsidR="5B0F65F0" w:rsidRPr="00F037D9">
        <w:t>THSSP3</w:t>
      </w:r>
      <w:r w:rsidR="57F4FDE4">
        <w:t>)</w:t>
      </w:r>
      <w:r w:rsidR="5B0F65F0" w:rsidRPr="00F037D9">
        <w:t xml:space="preserve"> partners are strong, and mutually valued, with a very s</w:t>
      </w:r>
      <w:r w:rsidR="5B0F65F0" w:rsidRPr="00F648E0">
        <w:t>mall minority of scores (6%) at neutral and no scores below neutral”</w:t>
      </w:r>
      <w:r w:rsidR="00F037D9" w:rsidRPr="00F648E0">
        <w:rPr>
          <w:rStyle w:val="FootnoteReference"/>
        </w:rPr>
        <w:footnoteReference w:id="14"/>
      </w:r>
      <w:r w:rsidR="07569E22" w:rsidRPr="00947315">
        <w:t xml:space="preserve"> </w:t>
      </w:r>
      <w:r w:rsidR="6ACB1E6B">
        <w:t xml:space="preserve">and the first year of this phase (following COVID and </w:t>
      </w:r>
      <w:r w:rsidR="2FC70E23">
        <w:t xml:space="preserve">HTHH </w:t>
      </w:r>
      <w:r w:rsidR="6ACB1E6B">
        <w:t>emergency) has see</w:t>
      </w:r>
      <w:r w:rsidR="71375B0C">
        <w:t>n</w:t>
      </w:r>
      <w:r w:rsidR="6ACB1E6B">
        <w:t xml:space="preserve"> achievement </w:t>
      </w:r>
      <w:r w:rsidR="71375B0C">
        <w:t>against</w:t>
      </w:r>
      <w:r w:rsidR="6ACB1E6B">
        <w:t xml:space="preserve"> </w:t>
      </w:r>
      <w:r w:rsidR="6F2C3DD4">
        <w:t xml:space="preserve">clinical </w:t>
      </w:r>
      <w:r w:rsidR="71375B0C">
        <w:t>Governance</w:t>
      </w:r>
      <w:r w:rsidR="6F2C3DD4">
        <w:t xml:space="preserve"> (</w:t>
      </w:r>
      <w:r w:rsidR="32A4AE04">
        <w:t>health</w:t>
      </w:r>
      <w:r w:rsidR="6F2C3DD4">
        <w:t xml:space="preserve"> systems strengthening)</w:t>
      </w:r>
      <w:r w:rsidR="71375B0C">
        <w:t xml:space="preserve"> and development partner coordination</w:t>
      </w:r>
      <w:r w:rsidR="6F2C3DD4">
        <w:t xml:space="preserve">. </w:t>
      </w:r>
      <w:r w:rsidR="008E1C8D">
        <w:t>During evaluation key informant interviews, h</w:t>
      </w:r>
      <w:r w:rsidR="6F2C3DD4">
        <w:t>ealth counterpart</w:t>
      </w:r>
      <w:r w:rsidR="2FC70E23">
        <w:t>s</w:t>
      </w:r>
      <w:r w:rsidR="6F2C3DD4">
        <w:t xml:space="preserve"> reported excellent relationships </w:t>
      </w:r>
      <w:r w:rsidR="6F2C3DD4">
        <w:lastRenderedPageBreak/>
        <w:t xml:space="preserve">with </w:t>
      </w:r>
      <w:r w:rsidR="7738ED0C">
        <w:t xml:space="preserve">the TASP Health </w:t>
      </w:r>
      <w:r w:rsidR="00117C7F">
        <w:t xml:space="preserve">Pillar Team Lead </w:t>
      </w:r>
      <w:r w:rsidR="7738ED0C">
        <w:t>and Advisors.</w:t>
      </w:r>
      <w:r w:rsidR="00CA5DEA">
        <w:t xml:space="preserve"> Feedback from DFAT</w:t>
      </w:r>
      <w:r w:rsidR="00AB1203">
        <w:t>/AHC in the 2023-2024 Stakeholder Satisfaction Survey</w:t>
      </w:r>
      <w:r w:rsidR="00CA5DEA">
        <w:t xml:space="preserve"> </w:t>
      </w:r>
      <w:r w:rsidR="00AB1203">
        <w:t xml:space="preserve">noted: </w:t>
      </w:r>
    </w:p>
    <w:p w14:paraId="5BD5E81B" w14:textId="483FC15D" w:rsidR="00AB1203" w:rsidRPr="00AB1203" w:rsidRDefault="00AB1203" w:rsidP="00594011">
      <w:pPr>
        <w:ind w:left="360"/>
        <w:rPr>
          <w:color w:val="000000"/>
        </w:rPr>
      </w:pPr>
      <w:r w:rsidRPr="00F648E0">
        <w:rPr>
          <w:i/>
          <w:iCs/>
        </w:rPr>
        <w:t>Relationship that THSSP3 and the Health Ministry is solid, and it is because of this that DFAT can communicate well with the Health Ministry</w:t>
      </w:r>
      <w:r w:rsidRPr="00AB1203">
        <w:t xml:space="preserve">. </w:t>
      </w:r>
    </w:p>
    <w:p w14:paraId="3A330A71" w14:textId="43E77CB8" w:rsidR="002C6288" w:rsidRPr="002C6288" w:rsidRDefault="00AB1203" w:rsidP="002C6288">
      <w:r w:rsidRPr="00AB1203">
        <w:t xml:space="preserve">The establishment of the </w:t>
      </w:r>
      <w:r w:rsidR="00DE13F4" w:rsidRPr="00C261C1">
        <w:rPr>
          <w:highlight w:val="white"/>
        </w:rPr>
        <w:t xml:space="preserve">Health Sector Support Implementation </w:t>
      </w:r>
      <w:proofErr w:type="gramStart"/>
      <w:r w:rsidR="00DE13F4" w:rsidRPr="00C261C1">
        <w:rPr>
          <w:highlight w:val="white"/>
        </w:rPr>
        <w:t>Group</w:t>
      </w:r>
      <w:r w:rsidR="00DE13F4" w:rsidRPr="00AB1203">
        <w:t xml:space="preserve"> </w:t>
      </w:r>
      <w:r w:rsidR="00DE13F4">
        <w:t xml:space="preserve"> (</w:t>
      </w:r>
      <w:proofErr w:type="gramEnd"/>
      <w:r w:rsidRPr="00AB1203">
        <w:t>HSSIG</w:t>
      </w:r>
      <w:r w:rsidR="00DE13F4">
        <w:t>)</w:t>
      </w:r>
      <w:r w:rsidR="00A81139">
        <w:t xml:space="preserve">, with </w:t>
      </w:r>
      <w:r w:rsidRPr="00AB1203">
        <w:t xml:space="preserve">DFAT </w:t>
      </w:r>
      <w:r w:rsidR="00A81139">
        <w:t xml:space="preserve">as </w:t>
      </w:r>
      <w:r w:rsidRPr="00AB1203">
        <w:t>co-chair</w:t>
      </w:r>
      <w:r w:rsidR="00A81139">
        <w:t>,</w:t>
      </w:r>
      <w:r w:rsidRPr="00AB1203">
        <w:t xml:space="preserve"> is an added value across DFAT portfolio. This forum also provides opportunities for co-funding with other donors, which is very effective and efficient in terms of activity planning. </w:t>
      </w:r>
      <w:r w:rsidR="065284FE">
        <w:t xml:space="preserve">DFAT </w:t>
      </w:r>
      <w:r w:rsidR="2B684AC1">
        <w:t xml:space="preserve">already </w:t>
      </w:r>
      <w:r w:rsidR="065284FE">
        <w:t xml:space="preserve">had strong relationships with Partner Government and NGOs prior to TASP. Since TASP however, partners are </w:t>
      </w:r>
      <w:r w:rsidR="0F542A07">
        <w:t xml:space="preserve">reporting good contact with </w:t>
      </w:r>
      <w:r w:rsidR="65F67136">
        <w:t xml:space="preserve">TASP </w:t>
      </w:r>
      <w:r w:rsidR="0F542A07">
        <w:t xml:space="preserve">Advisors who are meeting the needs of </w:t>
      </w:r>
      <w:r w:rsidR="65F67136">
        <w:t>p</w:t>
      </w:r>
      <w:r w:rsidR="0F542A07">
        <w:t>artner agencies</w:t>
      </w:r>
      <w:r w:rsidR="1D372973">
        <w:t xml:space="preserve"> and maintaining a</w:t>
      </w:r>
      <w:r w:rsidR="65F67136">
        <w:t xml:space="preserve"> strong </w:t>
      </w:r>
      <w:r w:rsidR="1D372973">
        <w:t xml:space="preserve">Australian presence in the Health </w:t>
      </w:r>
      <w:r w:rsidR="08C1BC44">
        <w:t>and</w:t>
      </w:r>
      <w:r w:rsidR="1D372973">
        <w:t xml:space="preserve"> </w:t>
      </w:r>
      <w:r w:rsidR="5E063843">
        <w:t xml:space="preserve">Economic </w:t>
      </w:r>
      <w:r w:rsidR="1D372973">
        <w:t>Governance</w:t>
      </w:r>
      <w:r w:rsidR="2B684AC1">
        <w:t xml:space="preserve"> sectors</w:t>
      </w:r>
      <w:r w:rsidR="08C1BC44">
        <w:t xml:space="preserve">.  </w:t>
      </w:r>
      <w:r w:rsidR="00640BE1">
        <w:t>In the most recent Stakeholder Satisfactio</w:t>
      </w:r>
      <w:r w:rsidR="00C847B3">
        <w:t>n</w:t>
      </w:r>
      <w:r w:rsidR="00640BE1">
        <w:t xml:space="preserve"> Survey (2023-2024)</w:t>
      </w:r>
      <w:r w:rsidR="002C6288">
        <w:t xml:space="preserve"> </w:t>
      </w:r>
      <w:r w:rsidR="00C847B3">
        <w:t>“t</w:t>
      </w:r>
      <w:r w:rsidR="002C6288" w:rsidRPr="002C6288">
        <w:t xml:space="preserve">he average rate of satisfaction or better for </w:t>
      </w:r>
      <w:proofErr w:type="spellStart"/>
      <w:r w:rsidR="002C6288" w:rsidRPr="002C6288">
        <w:t>GoT</w:t>
      </w:r>
      <w:proofErr w:type="spellEnd"/>
      <w:r w:rsidR="002C6288" w:rsidRPr="002C6288">
        <w:t xml:space="preserve"> counterparts with the health of their relationship with TASP is 100%</w:t>
      </w:r>
      <w:r w:rsidR="00C847B3">
        <w:t>”</w:t>
      </w:r>
      <w:r w:rsidR="002C6288" w:rsidRPr="002C6288">
        <w:t>.</w:t>
      </w:r>
      <w:r w:rsidR="00E14514">
        <w:t xml:space="preserve"> </w:t>
      </w:r>
      <w:r w:rsidR="00A640E0">
        <w:t>This survey returned</w:t>
      </w:r>
      <w:r w:rsidR="00E14514">
        <w:t xml:space="preserve"> a 74% response rate</w:t>
      </w:r>
      <w:r w:rsidR="00A640E0">
        <w:t xml:space="preserve"> which is relatively high and demonstrates an interest and value in </w:t>
      </w:r>
      <w:r w:rsidR="00BC6ECB">
        <w:t>providing feedback to the program.</w:t>
      </w:r>
    </w:p>
    <w:p w14:paraId="2E1212FA" w14:textId="6CCD3D2F" w:rsidR="00283F06" w:rsidRPr="009741CF" w:rsidRDefault="1CB19796" w:rsidP="007360B4">
      <w:r>
        <w:t>TASP Advisors are making effective progress on</w:t>
      </w:r>
      <w:r w:rsidR="1D372973">
        <w:t xml:space="preserve"> </w:t>
      </w:r>
      <w:r w:rsidR="6DB86680">
        <w:t>expenditure and procurement policies and systems, PFM roadmap reform, civil service reform and supporting DFAT</w:t>
      </w:r>
      <w:r w:rsidR="0820EC9E">
        <w:t xml:space="preserve"> engagement in the multi-donor JPRM – particularly around </w:t>
      </w:r>
      <w:r w:rsidR="08C1BC44">
        <w:t>performance triggers.</w:t>
      </w:r>
      <w:r w:rsidR="00C70F62">
        <w:t xml:space="preserve"> Of note in the</w:t>
      </w:r>
      <w:r w:rsidR="00283F06">
        <w:t xml:space="preserve"> 2023-2024 SSS</w:t>
      </w:r>
      <w:r w:rsidR="001A10E1">
        <w:t>, a</w:t>
      </w:r>
      <w:r w:rsidR="00283F06">
        <w:t xml:space="preserve"> DFAT/AHC respondent noted that “</w:t>
      </w:r>
      <w:r w:rsidR="00283F06" w:rsidRPr="00BD063A">
        <w:t>There has been more momentum build in governance, with further requests from the PM’s Office and more technical policy developments in place for the coming financial year.</w:t>
      </w:r>
      <w:r w:rsidR="00283F06">
        <w:t>”</w:t>
      </w:r>
      <w:r w:rsidR="00283F06" w:rsidRPr="00BD063A">
        <w:t xml:space="preserve"> </w:t>
      </w:r>
    </w:p>
    <w:p w14:paraId="4F99E6B4" w14:textId="500F0CC4" w:rsidR="00AF5CD6" w:rsidRDefault="00611B9F" w:rsidP="007360B4">
      <w:r>
        <w:t>In key informant</w:t>
      </w:r>
      <w:r w:rsidR="6061FBA9">
        <w:t xml:space="preserve"> </w:t>
      </w:r>
      <w:r>
        <w:t xml:space="preserve">interviews </w:t>
      </w:r>
      <w:r w:rsidR="6061FBA9">
        <w:t>government counterparts express</w:t>
      </w:r>
      <w:r>
        <w:t>ed</w:t>
      </w:r>
      <w:r w:rsidR="6061FBA9">
        <w:t xml:space="preserve"> a </w:t>
      </w:r>
      <w:r w:rsidR="00D658B4">
        <w:t xml:space="preserve">preference for </w:t>
      </w:r>
      <w:r w:rsidR="6061FBA9">
        <w:t>maintain</w:t>
      </w:r>
      <w:r w:rsidR="00D658B4">
        <w:t>ing</w:t>
      </w:r>
      <w:r w:rsidR="6061FBA9">
        <w:t xml:space="preserve"> some level of direct engagement with </w:t>
      </w:r>
      <w:r w:rsidR="0B246139">
        <w:t>AHC</w:t>
      </w:r>
      <w:r w:rsidR="10CE6078" w:rsidRPr="00BA5F57">
        <w:t xml:space="preserve"> staff</w:t>
      </w:r>
      <w:r w:rsidR="00466F42">
        <w:t xml:space="preserve"> as they felt this meant that their views were heard directly by DFAT</w:t>
      </w:r>
      <w:r w:rsidR="10CE6078">
        <w:t>.</w:t>
      </w:r>
    </w:p>
    <w:p w14:paraId="518664E6" w14:textId="5B6EACC6" w:rsidR="00B519C3" w:rsidRDefault="002A4BD4" w:rsidP="00594011">
      <w:bookmarkStart w:id="19" w:name="PolicyAdvice"/>
      <w:r>
        <w:t xml:space="preserve">DFAT envisaged that with TASP advisers </w:t>
      </w:r>
      <w:r w:rsidR="00E07BD4">
        <w:t xml:space="preserve">and pillar leads engaging in the local policy space on a day-to-day basis, they would be </w:t>
      </w:r>
      <w:r w:rsidR="008D495B">
        <w:t>able to</w:t>
      </w:r>
      <w:r w:rsidR="008C79F8">
        <w:t xml:space="preserve"> </w:t>
      </w:r>
      <w:r w:rsidR="007C30CF">
        <w:t>“</w:t>
      </w:r>
      <w:r w:rsidR="008D495B">
        <w:t>identify emerging opportunities for policy change and bring technical knowledge</w:t>
      </w:r>
      <w:r w:rsidR="008C79F8">
        <w:t xml:space="preserve"> and political understanding on policy issues</w:t>
      </w:r>
      <w:r w:rsidR="005C2850">
        <w:t>”</w:t>
      </w:r>
      <w:r w:rsidR="008C79F8">
        <w:rPr>
          <w:rStyle w:val="FootnoteReference"/>
        </w:rPr>
        <w:footnoteReference w:id="15"/>
      </w:r>
      <w:r w:rsidR="008C79F8">
        <w:t xml:space="preserve"> </w:t>
      </w:r>
      <w:r w:rsidR="0033225D">
        <w:t>that would support Australian Government Poli</w:t>
      </w:r>
      <w:r w:rsidR="00D10814">
        <w:t>c</w:t>
      </w:r>
      <w:r w:rsidR="0033225D">
        <w:t>y Development Dialogue</w:t>
      </w:r>
      <w:r w:rsidR="00D10814">
        <w:t xml:space="preserve">. </w:t>
      </w:r>
      <w:r w:rsidR="008C79F8">
        <w:t xml:space="preserve"> </w:t>
      </w:r>
      <w:r w:rsidR="00693315">
        <w:t>TASP is contracted to provide</w:t>
      </w:r>
      <w:r w:rsidR="002B031A">
        <w:t xml:space="preserve"> a regularly updated policy matrix</w:t>
      </w:r>
      <w:r w:rsidR="007360B4">
        <w:t xml:space="preserve">. </w:t>
      </w:r>
      <w:r w:rsidR="00FD762D">
        <w:t>The TASP</w:t>
      </w:r>
      <w:r w:rsidR="00404B88">
        <w:t xml:space="preserve"> M</w:t>
      </w:r>
      <w:r w:rsidR="00FD762D">
        <w:t>id-</w:t>
      </w:r>
      <w:r w:rsidR="00404B88">
        <w:t>Y</w:t>
      </w:r>
      <w:r w:rsidR="00FD762D">
        <w:t>ear</w:t>
      </w:r>
      <w:r w:rsidR="00404B88">
        <w:t xml:space="preserve"> Progress report update (13 March 2024) noted </w:t>
      </w:r>
      <w:r w:rsidR="00215585">
        <w:t>“Little progress with documentation of DFAT/TASP key policy</w:t>
      </w:r>
      <w:r w:rsidR="00315221">
        <w:t xml:space="preserve"> priorities”</w:t>
      </w:r>
      <w:r w:rsidR="008047F7">
        <w:t xml:space="preserve">. </w:t>
      </w:r>
      <w:proofErr w:type="gramStart"/>
      <w:r w:rsidR="00976163">
        <w:t>Consequently</w:t>
      </w:r>
      <w:proofErr w:type="gramEnd"/>
      <w:r w:rsidR="00976163">
        <w:t xml:space="preserve"> t</w:t>
      </w:r>
      <w:r w:rsidR="008047F7">
        <w:t>he Interim Team Leader produced a TASP Policy Dialogue Strategy and Policy Matrix Template</w:t>
      </w:r>
      <w:r w:rsidR="00EF5956">
        <w:t xml:space="preserve"> in April 2024</w:t>
      </w:r>
      <w:r w:rsidR="0078250A">
        <w:rPr>
          <w:rStyle w:val="FootnoteReference"/>
        </w:rPr>
        <w:footnoteReference w:id="16"/>
      </w:r>
      <w:r w:rsidR="0078250A">
        <w:t xml:space="preserve">. </w:t>
      </w:r>
      <w:r w:rsidR="00501C1E">
        <w:t>At</w:t>
      </w:r>
      <w:r w:rsidR="00416A2D">
        <w:t xml:space="preserve"> the time of </w:t>
      </w:r>
      <w:r w:rsidR="00EF5956">
        <w:t>this evaluation</w:t>
      </w:r>
      <w:r w:rsidR="00416A2D">
        <w:t xml:space="preserve"> </w:t>
      </w:r>
      <w:r w:rsidR="00501C1E">
        <w:t>the AHC</w:t>
      </w:r>
      <w:r w:rsidR="00416A2D">
        <w:t xml:space="preserve"> was still reporting </w:t>
      </w:r>
      <w:r w:rsidR="00501C1E">
        <w:t xml:space="preserve">dissatisfaction with the quality of TASP policy advice and recommendations and their ability to prioritise recommendations to a degree that was useful </w:t>
      </w:r>
      <w:r w:rsidR="00723184">
        <w:t>as a strategic tool for DFAT</w:t>
      </w:r>
      <w:r w:rsidR="00501C1E">
        <w:t>.</w:t>
      </w:r>
      <w:r w:rsidR="002B031A">
        <w:t xml:space="preserve"> </w:t>
      </w:r>
    </w:p>
    <w:bookmarkEnd w:id="19"/>
    <w:p w14:paraId="788999AA" w14:textId="1113D4D5" w:rsidR="00985222" w:rsidRPr="00644708" w:rsidRDefault="00141696" w:rsidP="00742B8D">
      <w:pPr>
        <w:pStyle w:val="Heading3"/>
        <w:rPr>
          <w:bCs/>
        </w:rPr>
      </w:pPr>
      <w:r>
        <w:rPr>
          <w:bCs/>
        </w:rPr>
        <w:t>Civil Society Organisations (CSOs)</w:t>
      </w:r>
    </w:p>
    <w:p w14:paraId="24694C68" w14:textId="7B2BB043" w:rsidR="00DA5E55" w:rsidRDefault="000C300B" w:rsidP="00A348C7">
      <w:pPr>
        <w:rPr>
          <w:rFonts w:cstheme="minorHAnsi"/>
        </w:rPr>
      </w:pPr>
      <w:r>
        <w:t>Prior to TASP</w:t>
      </w:r>
      <w:r w:rsidR="00141696">
        <w:t>,</w:t>
      </w:r>
      <w:r>
        <w:t xml:space="preserve"> DFAT had some </w:t>
      </w:r>
      <w:r w:rsidR="00036FA9">
        <w:t>long-term</w:t>
      </w:r>
      <w:r>
        <w:t xml:space="preserve"> partnerships and relationships with </w:t>
      </w:r>
      <w:proofErr w:type="gramStart"/>
      <w:r w:rsidR="00141696">
        <w:t>a number of</w:t>
      </w:r>
      <w:proofErr w:type="gramEnd"/>
      <w:r w:rsidR="00141696">
        <w:t xml:space="preserve"> </w:t>
      </w:r>
      <w:r>
        <w:t xml:space="preserve">Tongan </w:t>
      </w:r>
      <w:r w:rsidR="00141696">
        <w:t>CSOs</w:t>
      </w:r>
      <w:r w:rsidR="00663AB8">
        <w:t xml:space="preserve">.  </w:t>
      </w:r>
      <w:r w:rsidR="00DA5E55">
        <w:t xml:space="preserve">The </w:t>
      </w:r>
      <w:r w:rsidR="00663AB8">
        <w:t>TASP design</w:t>
      </w:r>
      <w:r w:rsidR="00DA5E55">
        <w:t xml:space="preserve"> clearly articulated the intention</w:t>
      </w:r>
      <w:r w:rsidR="00DE2A73">
        <w:t xml:space="preserve"> for the Australian program to provid</w:t>
      </w:r>
      <w:r w:rsidR="00C644FF">
        <w:t>e</w:t>
      </w:r>
      <w:r w:rsidR="00DA5E55" w:rsidRPr="00F44E61">
        <w:rPr>
          <w:rFonts w:cstheme="minorHAnsi"/>
        </w:rPr>
        <w:t xml:space="preserve"> funding for </w:t>
      </w:r>
      <w:r w:rsidR="00DA5E55">
        <w:rPr>
          <w:rFonts w:cstheme="minorHAnsi"/>
        </w:rPr>
        <w:t>core/</w:t>
      </w:r>
      <w:r w:rsidR="00692E7C">
        <w:rPr>
          <w:rFonts w:cstheme="minorHAnsi"/>
        </w:rPr>
        <w:t xml:space="preserve"> </w:t>
      </w:r>
      <w:r w:rsidR="00DA5E55">
        <w:rPr>
          <w:rFonts w:cstheme="minorHAnsi"/>
        </w:rPr>
        <w:t xml:space="preserve">institutional </w:t>
      </w:r>
      <w:r w:rsidR="00DA5E55" w:rsidRPr="00F44E61">
        <w:rPr>
          <w:rFonts w:cstheme="minorHAnsi"/>
        </w:rPr>
        <w:t>costs</w:t>
      </w:r>
      <w:r w:rsidR="00DA5E55">
        <w:rPr>
          <w:rFonts w:cstheme="minorHAnsi"/>
        </w:rPr>
        <w:t xml:space="preserve"> and substantial projects</w:t>
      </w:r>
      <w:r w:rsidR="00DE2A73">
        <w:rPr>
          <w:rFonts w:cstheme="minorHAnsi"/>
        </w:rPr>
        <w:t xml:space="preserve"> with CSOs to</w:t>
      </w:r>
      <w:r w:rsidR="00DA5E55" w:rsidRPr="00F44E61">
        <w:rPr>
          <w:rFonts w:cstheme="minorHAnsi"/>
        </w:rPr>
        <w:t xml:space="preserve"> create an enabling environment for </w:t>
      </w:r>
      <w:r w:rsidR="00DA5E55">
        <w:rPr>
          <w:rFonts w:cstheme="minorHAnsi"/>
        </w:rPr>
        <w:t>civil society</w:t>
      </w:r>
      <w:r w:rsidR="00DA5E55" w:rsidRPr="00F44E61">
        <w:rPr>
          <w:rFonts w:cstheme="minorHAnsi"/>
        </w:rPr>
        <w:t xml:space="preserve"> participation in capacity exchange with partners</w:t>
      </w:r>
      <w:r w:rsidR="00DA5E55">
        <w:rPr>
          <w:rFonts w:cstheme="minorHAnsi"/>
        </w:rPr>
        <w:t xml:space="preserve"> and for strengthening governance</w:t>
      </w:r>
      <w:r w:rsidR="00DA5E55" w:rsidRPr="00F44E61">
        <w:rPr>
          <w:rFonts w:cstheme="minorHAnsi"/>
        </w:rPr>
        <w:t xml:space="preserve">. </w:t>
      </w:r>
      <w:r w:rsidR="00DE2A73">
        <w:rPr>
          <w:rFonts w:cstheme="minorHAnsi"/>
        </w:rPr>
        <w:t xml:space="preserve"> The original design and initial </w:t>
      </w:r>
      <w:r w:rsidR="007970BB">
        <w:rPr>
          <w:rFonts w:cstheme="minorHAnsi"/>
        </w:rPr>
        <w:t xml:space="preserve">competitive </w:t>
      </w:r>
      <w:r w:rsidR="00DE2A73">
        <w:rPr>
          <w:rFonts w:cstheme="minorHAnsi"/>
        </w:rPr>
        <w:t>grant</w:t>
      </w:r>
      <w:r w:rsidR="00393B5A">
        <w:rPr>
          <w:rFonts w:cstheme="minorHAnsi"/>
        </w:rPr>
        <w:t>ing</w:t>
      </w:r>
      <w:r w:rsidR="00DE2A73">
        <w:rPr>
          <w:rFonts w:cstheme="minorHAnsi"/>
        </w:rPr>
        <w:t xml:space="preserve"> arrangements </w:t>
      </w:r>
      <w:r w:rsidR="00393B5A">
        <w:rPr>
          <w:rFonts w:cstheme="minorHAnsi"/>
        </w:rPr>
        <w:t xml:space="preserve">for CSOs </w:t>
      </w:r>
      <w:r w:rsidR="002C6908">
        <w:rPr>
          <w:rFonts w:cstheme="minorHAnsi"/>
        </w:rPr>
        <w:t>have transitioned to a more strategic</w:t>
      </w:r>
      <w:r w:rsidR="00637CA1">
        <w:rPr>
          <w:rFonts w:cstheme="minorHAnsi"/>
        </w:rPr>
        <w:t xml:space="preserve"> partnership</w:t>
      </w:r>
      <w:r w:rsidR="00F07808">
        <w:rPr>
          <w:rFonts w:cstheme="minorHAnsi"/>
        </w:rPr>
        <w:t>-</w:t>
      </w:r>
      <w:r w:rsidR="00637CA1">
        <w:rPr>
          <w:rFonts w:cstheme="minorHAnsi"/>
        </w:rPr>
        <w:t xml:space="preserve">based arrangement whereby TASP is supporting CSOs to both provide </w:t>
      </w:r>
      <w:r w:rsidR="0021408D">
        <w:rPr>
          <w:rFonts w:cstheme="minorHAnsi"/>
        </w:rPr>
        <w:t xml:space="preserve">core funding and to support them to build capacity in key areas of weakness.  </w:t>
      </w:r>
    </w:p>
    <w:p w14:paraId="3CBC0474" w14:textId="77777777" w:rsidR="007D4E8F" w:rsidRDefault="001502CA" w:rsidP="00A348C7">
      <w:r w:rsidRPr="00100B4A">
        <w:t xml:space="preserve">CSOs all reported a </w:t>
      </w:r>
      <w:r w:rsidR="009343C7" w:rsidRPr="00100B4A">
        <w:t xml:space="preserve">high degree of </w:t>
      </w:r>
      <w:r w:rsidRPr="00100B4A">
        <w:t>satisfaction with the core funding model</w:t>
      </w:r>
      <w:r w:rsidR="00CB7790" w:rsidRPr="00100B4A">
        <w:t>. S</w:t>
      </w:r>
      <w:r w:rsidR="00D770F3" w:rsidRPr="00100B4A">
        <w:t xml:space="preserve">ome smaller CSOs indicated the due diligence bar was too high in the first instance and would have been better implemented </w:t>
      </w:r>
      <w:r w:rsidR="00CB7790" w:rsidRPr="00100B4A">
        <w:t>incrementally as capacity building took place and following core funding grants, some of which have enabled hiring of more staff</w:t>
      </w:r>
      <w:r w:rsidRPr="00100B4A">
        <w:t xml:space="preserve">. </w:t>
      </w:r>
    </w:p>
    <w:p w14:paraId="5ACF83F8" w14:textId="2788C032" w:rsidR="001502CA" w:rsidRPr="00EB5289" w:rsidRDefault="007C51E5" w:rsidP="00A348C7">
      <w:r>
        <w:lastRenderedPageBreak/>
        <w:t xml:space="preserve">Support for CSOs </w:t>
      </w:r>
      <w:r w:rsidR="00FD2F46">
        <w:t xml:space="preserve">is intended also to </w:t>
      </w:r>
      <w:r>
        <w:t xml:space="preserve">enable their increased </w:t>
      </w:r>
      <w:r w:rsidR="0027053C">
        <w:t xml:space="preserve">engagement in policy, both directly through </w:t>
      </w:r>
      <w:r w:rsidR="00F447DA">
        <w:t>advocacy and by providing</w:t>
      </w:r>
      <w:r w:rsidR="00C84113">
        <w:t xml:space="preserve"> evidence and insights DFAT can draw on </w:t>
      </w:r>
      <w:r w:rsidR="00A008D6">
        <w:t>for policy discussions.</w:t>
      </w:r>
      <w:r w:rsidR="00C84113">
        <w:t xml:space="preserve"> </w:t>
      </w:r>
      <w:r w:rsidR="0027053C">
        <w:t xml:space="preserve"> </w:t>
      </w:r>
      <w:r w:rsidR="00807A1C" w:rsidRPr="00100B4A">
        <w:t>TASP did note that “</w:t>
      </w:r>
      <w:r w:rsidR="00807A1C" w:rsidRPr="00100B4A">
        <w:rPr>
          <w:i/>
          <w:iCs/>
        </w:rPr>
        <w:t>With TASP financial support, our grant partners advocate and lobby the Government of Tonga for a number of policy and legislative reforms in support of inclusivity, GBV issues and discrimination</w:t>
      </w:r>
      <w:r w:rsidR="00807A1C" w:rsidRPr="00100B4A">
        <w:t>.”</w:t>
      </w:r>
      <w:r w:rsidR="00807A1C" w:rsidRPr="64562396">
        <w:rPr>
          <w:rStyle w:val="FootnoteReference"/>
          <w:rFonts w:cstheme="minorBidi"/>
        </w:rPr>
        <w:footnoteReference w:id="17"/>
      </w:r>
      <w:r w:rsidR="00807A1C" w:rsidRPr="00100B4A">
        <w:t xml:space="preserve"> </w:t>
      </w:r>
      <w:r w:rsidR="00A008D6">
        <w:t>S</w:t>
      </w:r>
      <w:r w:rsidR="00646CB6">
        <w:t>ecure funding to WCCC supports their ongoing engagement in the Tongan and regional policy space</w:t>
      </w:r>
      <w:r w:rsidR="002A7101">
        <w:t>. Beyond this,</w:t>
      </w:r>
      <w:r w:rsidR="00646CB6">
        <w:t xml:space="preserve"> t</w:t>
      </w:r>
      <w:r w:rsidR="00646CB6" w:rsidRPr="00100B4A">
        <w:t xml:space="preserve">he evaluation </w:t>
      </w:r>
      <w:r w:rsidR="002A7101">
        <w:t xml:space="preserve">team </w:t>
      </w:r>
      <w:r w:rsidR="00646CB6" w:rsidRPr="00100B4A">
        <w:t>did not see any clear evidence</w:t>
      </w:r>
      <w:r w:rsidR="00646CB6">
        <w:t xml:space="preserve"> </w:t>
      </w:r>
      <w:r w:rsidR="00DA0858">
        <w:t xml:space="preserve">(in program reporting or consultations) </w:t>
      </w:r>
      <w:r w:rsidR="00646CB6" w:rsidRPr="00100B4A">
        <w:t xml:space="preserve">of improved </w:t>
      </w:r>
      <w:r w:rsidR="002A7101">
        <w:t xml:space="preserve">policy </w:t>
      </w:r>
      <w:r w:rsidR="00646CB6" w:rsidRPr="00100B4A">
        <w:t xml:space="preserve">engagement </w:t>
      </w:r>
      <w:proofErr w:type="gramStart"/>
      <w:r w:rsidR="00646CB6" w:rsidRPr="00100B4A">
        <w:t>as a result of</w:t>
      </w:r>
      <w:proofErr w:type="gramEnd"/>
      <w:r w:rsidR="00646CB6" w:rsidRPr="00100B4A">
        <w:t xml:space="preserve"> the funding to CSOs</w:t>
      </w:r>
      <w:r w:rsidR="005F3B4B">
        <w:t xml:space="preserve"> to date</w:t>
      </w:r>
      <w:r w:rsidR="00646CB6" w:rsidRPr="00100B4A">
        <w:t xml:space="preserve">.  </w:t>
      </w:r>
      <w:r w:rsidR="00677BC6">
        <w:t>Going forward, e</w:t>
      </w:r>
      <w:r w:rsidR="000E1476" w:rsidRPr="00100B4A">
        <w:t xml:space="preserve">ngagement of the key </w:t>
      </w:r>
      <w:r w:rsidR="008D2D4D" w:rsidRPr="00100B4A">
        <w:t>w</w:t>
      </w:r>
      <w:r w:rsidR="000E1476" w:rsidRPr="00100B4A">
        <w:t xml:space="preserve">omen’s organisations in Tonga via </w:t>
      </w:r>
      <w:r w:rsidR="001C7FC5" w:rsidRPr="00100B4A">
        <w:t>TASP</w:t>
      </w:r>
      <w:r w:rsidR="000E1476" w:rsidRPr="00100B4A">
        <w:t xml:space="preserve"> grants will support implementation of the </w:t>
      </w:r>
      <w:r w:rsidR="008D2D4D" w:rsidRPr="00100B4A">
        <w:t xml:space="preserve">TASP </w:t>
      </w:r>
      <w:r w:rsidR="000E1476" w:rsidRPr="00100B4A">
        <w:t xml:space="preserve">GEDSI </w:t>
      </w:r>
      <w:r w:rsidR="008D2D4D" w:rsidRPr="00100B4A">
        <w:t>Action Plan</w:t>
      </w:r>
      <w:r w:rsidR="000E1476" w:rsidRPr="00100B4A">
        <w:t xml:space="preserve"> and </w:t>
      </w:r>
      <w:r w:rsidR="0097158C" w:rsidRPr="00100B4A">
        <w:t xml:space="preserve">policy engagement to align with </w:t>
      </w:r>
      <w:r w:rsidR="008D2D4D" w:rsidRPr="00100B4A">
        <w:t xml:space="preserve">DFAT’s </w:t>
      </w:r>
      <w:r w:rsidR="0097158C" w:rsidRPr="00100B4A">
        <w:t xml:space="preserve">Gender </w:t>
      </w:r>
      <w:r w:rsidR="008D2D4D" w:rsidRPr="00100B4A">
        <w:t xml:space="preserve">Country </w:t>
      </w:r>
      <w:r w:rsidR="0097158C" w:rsidRPr="00100B4A">
        <w:t>Plan</w:t>
      </w:r>
      <w:r w:rsidR="001C7FC5" w:rsidRPr="00100B4A">
        <w:t xml:space="preserve">. </w:t>
      </w:r>
      <w:r w:rsidR="00F07808" w:rsidRPr="00100B4A">
        <w:t xml:space="preserve">A greater focus </w:t>
      </w:r>
      <w:r w:rsidR="00605FE1" w:rsidRPr="00100B4A">
        <w:t xml:space="preserve">and clear program of work in both the </w:t>
      </w:r>
      <w:r w:rsidR="00B450D7" w:rsidRPr="00100B4A">
        <w:t xml:space="preserve">CSO </w:t>
      </w:r>
      <w:r w:rsidR="00605FE1" w:rsidRPr="00100B4A">
        <w:t xml:space="preserve">program </w:t>
      </w:r>
      <w:r w:rsidR="00080832" w:rsidRPr="00100B4A">
        <w:t>investments</w:t>
      </w:r>
      <w:r w:rsidR="00605FE1" w:rsidRPr="00100B4A">
        <w:t xml:space="preserve"> but also the policy space</w:t>
      </w:r>
      <w:r w:rsidR="00080832" w:rsidRPr="00100B4A">
        <w:t>, particularly for</w:t>
      </w:r>
      <w:r w:rsidR="00605FE1" w:rsidRPr="00100B4A">
        <w:t xml:space="preserve"> </w:t>
      </w:r>
      <w:r w:rsidR="0078088C">
        <w:t>Organisations</w:t>
      </w:r>
      <w:r w:rsidR="000A0CF7">
        <w:t xml:space="preserve"> of Persons with Disabilities</w:t>
      </w:r>
      <w:r w:rsidR="001C766E">
        <w:t xml:space="preserve"> (OPDs)</w:t>
      </w:r>
      <w:r w:rsidR="000A0CF7">
        <w:t xml:space="preserve"> </w:t>
      </w:r>
      <w:r w:rsidR="00605FE1" w:rsidRPr="00100B4A">
        <w:t xml:space="preserve">is needed </w:t>
      </w:r>
      <w:r w:rsidR="00905A75" w:rsidRPr="00100B4A">
        <w:t xml:space="preserve">given the low government appetite for addressing </w:t>
      </w:r>
      <w:r w:rsidR="00155CDD" w:rsidRPr="00100B4A">
        <w:t>disability inequity in Tonga.</w:t>
      </w:r>
      <w:r w:rsidR="00155CDD">
        <w:t xml:space="preserve">  </w:t>
      </w:r>
    </w:p>
    <w:p w14:paraId="78058877" w14:textId="1866B626" w:rsidR="00944D0E" w:rsidRPr="00C14255" w:rsidRDefault="001E29AA" w:rsidP="00742B8D">
      <w:pPr>
        <w:pStyle w:val="Heading2"/>
        <w:rPr>
          <w:color w:val="505050" w:themeColor="accent6" w:themeShade="80"/>
        </w:rPr>
      </w:pPr>
      <w:bookmarkStart w:id="20" w:name="_Toc183423578"/>
      <w:r w:rsidRPr="00C14255">
        <w:rPr>
          <w:color w:val="505050" w:themeColor="accent6" w:themeShade="80"/>
        </w:rPr>
        <w:t>Additional f</w:t>
      </w:r>
      <w:r w:rsidR="00FE3356" w:rsidRPr="00C14255">
        <w:rPr>
          <w:color w:val="505050" w:themeColor="accent6" w:themeShade="80"/>
        </w:rPr>
        <w:t xml:space="preserve">actors </w:t>
      </w:r>
      <w:r w:rsidR="001D0EE5" w:rsidRPr="00C14255">
        <w:rPr>
          <w:color w:val="505050" w:themeColor="accent6" w:themeShade="80"/>
        </w:rPr>
        <w:t>found to</w:t>
      </w:r>
      <w:r w:rsidR="00FE3356" w:rsidRPr="00C14255">
        <w:rPr>
          <w:color w:val="505050" w:themeColor="accent6" w:themeShade="80"/>
        </w:rPr>
        <w:t xml:space="preserve"> i</w:t>
      </w:r>
      <w:r w:rsidR="00DF19AA" w:rsidRPr="00C14255">
        <w:rPr>
          <w:color w:val="505050" w:themeColor="accent6" w:themeShade="80"/>
        </w:rPr>
        <w:t>m</w:t>
      </w:r>
      <w:r w:rsidR="00FE3356" w:rsidRPr="00C14255">
        <w:rPr>
          <w:color w:val="505050" w:themeColor="accent6" w:themeShade="80"/>
        </w:rPr>
        <w:t>pact</w:t>
      </w:r>
      <w:r w:rsidR="00DF19AA" w:rsidRPr="00C14255">
        <w:rPr>
          <w:color w:val="505050" w:themeColor="accent6" w:themeShade="80"/>
        </w:rPr>
        <w:t xml:space="preserve"> effectiveness</w:t>
      </w:r>
      <w:bookmarkEnd w:id="20"/>
    </w:p>
    <w:p w14:paraId="6BC095AF" w14:textId="43323DEC" w:rsidR="00194B11" w:rsidRPr="001E29AA" w:rsidRDefault="0042774C" w:rsidP="00803578">
      <w:pPr>
        <w:pStyle w:val="ListNumber"/>
        <w:numPr>
          <w:ilvl w:val="0"/>
          <w:numId w:val="24"/>
        </w:numPr>
      </w:pPr>
      <w:r>
        <w:t>The h</w:t>
      </w:r>
      <w:r w:rsidR="000F1258" w:rsidRPr="001E29AA">
        <w:t xml:space="preserve">igh level of leadership changes </w:t>
      </w:r>
      <w:r w:rsidR="001E29AA">
        <w:t>in both DFAT and TASP</w:t>
      </w:r>
      <w:r>
        <w:t>,</w:t>
      </w:r>
      <w:r w:rsidR="001E29AA">
        <w:t xml:space="preserve"> </w:t>
      </w:r>
      <w:r>
        <w:t xml:space="preserve">with the added impact of the emergencies in the first year, </w:t>
      </w:r>
      <w:r w:rsidR="00FE0AAF">
        <w:t>delayed</w:t>
      </w:r>
      <w:r w:rsidR="00516077">
        <w:t xml:space="preserve"> </w:t>
      </w:r>
      <w:r w:rsidR="00FE0AAF">
        <w:t>TASP’s</w:t>
      </w:r>
      <w:r w:rsidR="00516077">
        <w:t xml:space="preserve"> </w:t>
      </w:r>
      <w:r w:rsidR="00B437EB">
        <w:t>d</w:t>
      </w:r>
      <w:r w:rsidR="00516077">
        <w:t xml:space="preserve">esign stage, </w:t>
      </w:r>
      <w:r w:rsidR="00FE0AAF">
        <w:t>resulting in</w:t>
      </w:r>
      <w:r w:rsidR="00B62775">
        <w:t xml:space="preserve"> the whole program run</w:t>
      </w:r>
      <w:r w:rsidR="0095194F">
        <w:t>ning</w:t>
      </w:r>
      <w:r w:rsidR="00B62775">
        <w:t xml:space="preserve"> </w:t>
      </w:r>
      <w:r w:rsidR="0095194F">
        <w:t>approximately one</w:t>
      </w:r>
      <w:r w:rsidR="00B62775">
        <w:t xml:space="preserve"> year behind by the time activities were able to </w:t>
      </w:r>
      <w:r w:rsidR="0058709E">
        <w:t>start seeing results.</w:t>
      </w:r>
    </w:p>
    <w:p w14:paraId="6BC095B0" w14:textId="1DD33769" w:rsidR="00194B11" w:rsidRPr="001E29AA" w:rsidRDefault="0058709E" w:rsidP="00A348C7">
      <w:pPr>
        <w:pStyle w:val="ListNumber"/>
      </w:pPr>
      <w:r>
        <w:t xml:space="preserve">There were </w:t>
      </w:r>
      <w:proofErr w:type="gramStart"/>
      <w:r>
        <w:t>a number of</w:t>
      </w:r>
      <w:proofErr w:type="gramEnd"/>
      <w:r>
        <w:t xml:space="preserve"> factors that led to d</w:t>
      </w:r>
      <w:r w:rsidR="000F1258" w:rsidRPr="001E29AA">
        <w:t>ifficulties recruiting and retaining staff</w:t>
      </w:r>
      <w:r>
        <w:t xml:space="preserve"> (COVID, travel restr</w:t>
      </w:r>
      <w:r w:rsidR="001A6882">
        <w:t>i</w:t>
      </w:r>
      <w:r>
        <w:t xml:space="preserve">ctions, local </w:t>
      </w:r>
      <w:r w:rsidR="001A6882">
        <w:t>skilled staff</w:t>
      </w:r>
      <w:r>
        <w:t xml:space="preserve"> shortages</w:t>
      </w:r>
      <w:r w:rsidR="001A6882">
        <w:t xml:space="preserve">) </w:t>
      </w:r>
      <w:r w:rsidR="008F28B3">
        <w:t xml:space="preserve">(see </w:t>
      </w:r>
      <w:hyperlink w:anchor="Staffingandrecruitment" w:history="1">
        <w:r w:rsidR="008F28B3" w:rsidRPr="002A4C2D">
          <w:rPr>
            <w:rStyle w:val="Hyperlink"/>
          </w:rPr>
          <w:t>KEQ3</w:t>
        </w:r>
      </w:hyperlink>
      <w:r w:rsidR="008F28B3">
        <w:t xml:space="preserve"> for more detail). </w:t>
      </w:r>
      <w:r w:rsidR="001A6882">
        <w:t xml:space="preserve">TASP has now overcome those </w:t>
      </w:r>
      <w:proofErr w:type="gramStart"/>
      <w:r w:rsidR="001A6882">
        <w:t>issues</w:t>
      </w:r>
      <w:proofErr w:type="gramEnd"/>
      <w:r w:rsidR="001A6882">
        <w:t xml:space="preserve"> and some instances worked creatively in conjunction with DFAT to </w:t>
      </w:r>
      <w:r w:rsidR="00214D33">
        <w:t>find or develop the skills and capacity locally (e.g. GEDSI Advisor).</w:t>
      </w:r>
    </w:p>
    <w:p w14:paraId="6C0F47C0" w14:textId="0ED8766B" w:rsidR="00E204C0" w:rsidRDefault="00295A0D" w:rsidP="00A348C7">
      <w:pPr>
        <w:pStyle w:val="ListNumber"/>
      </w:pPr>
      <w:r>
        <w:t>N</w:t>
      </w:r>
      <w:r w:rsidR="000F1258">
        <w:t xml:space="preserve">ovated programs (Economic Governance and Health) </w:t>
      </w:r>
      <w:r>
        <w:t>have</w:t>
      </w:r>
      <w:r w:rsidR="004864F4">
        <w:t xml:space="preserve"> been prioritised in terms of </w:t>
      </w:r>
      <w:r w:rsidR="00194EEF">
        <w:t>staffing, management focus</w:t>
      </w:r>
      <w:r w:rsidR="00C35515">
        <w:t xml:space="preserve"> </w:t>
      </w:r>
      <w:r w:rsidR="00194EEF">
        <w:t xml:space="preserve">and strategy, </w:t>
      </w:r>
      <w:r w:rsidR="004864F4">
        <w:t xml:space="preserve">over the </w:t>
      </w:r>
      <w:r w:rsidR="000F1258">
        <w:t>new</w:t>
      </w:r>
      <w:r w:rsidR="004864F4">
        <w:t>er</w:t>
      </w:r>
      <w:r w:rsidR="000F1258">
        <w:t xml:space="preserve"> design</w:t>
      </w:r>
      <w:r w:rsidR="00C35515">
        <w:t>-</w:t>
      </w:r>
      <w:r w:rsidR="000F1258">
        <w:t>implement (SLM and GE) programs</w:t>
      </w:r>
      <w:r w:rsidR="009C3F72">
        <w:t xml:space="preserve">. This has </w:t>
      </w:r>
      <w:r w:rsidR="004864F4">
        <w:t xml:space="preserve">contributed to slower </w:t>
      </w:r>
      <w:r w:rsidR="00364481">
        <w:t>progress on the two new pillars.</w:t>
      </w:r>
    </w:p>
    <w:p w14:paraId="3723E4A7" w14:textId="5E5FF301" w:rsidR="598A3FBA" w:rsidRDefault="598A3FBA" w:rsidP="007F01B2"/>
    <w:p w14:paraId="6BC095CC" w14:textId="77777777" w:rsidR="00194B11" w:rsidRDefault="000F1258" w:rsidP="00742B8D">
      <w:pPr>
        <w:pStyle w:val="Heading1"/>
      </w:pPr>
      <w:bookmarkStart w:id="21" w:name="_Key_Findings:_Efficiency"/>
      <w:bookmarkStart w:id="22" w:name="_Key_Findings:_Efficiency,"/>
      <w:bookmarkStart w:id="23" w:name="_Toc183423579"/>
      <w:bookmarkEnd w:id="21"/>
      <w:bookmarkEnd w:id="22"/>
      <w:r>
        <w:t>Key Findings: Efficiency, KEQ3</w:t>
      </w:r>
      <w:bookmarkEnd w:id="23"/>
    </w:p>
    <w:p w14:paraId="447A55BD" w14:textId="77777777" w:rsidR="005D3866" w:rsidRDefault="000F1258" w:rsidP="00B437EB">
      <w:pPr>
        <w:pBdr>
          <w:top w:val="single" w:sz="4" w:space="1" w:color="auto"/>
          <w:left w:val="single" w:sz="4" w:space="4" w:color="auto"/>
          <w:bottom w:val="single" w:sz="4" w:space="1" w:color="auto"/>
          <w:right w:val="single" w:sz="4" w:space="4" w:color="auto"/>
        </w:pBdr>
        <w:spacing w:after="0"/>
      </w:pPr>
      <w:r>
        <w:t xml:space="preserve">How adequate are TASP’s governance, management, delivery approach and resourcing arrangements? </w:t>
      </w:r>
    </w:p>
    <w:p w14:paraId="3D644168" w14:textId="33160BFF" w:rsidR="00062861" w:rsidRPr="00B437EB" w:rsidRDefault="00062861" w:rsidP="00644708">
      <w:pPr>
        <w:pBdr>
          <w:top w:val="single" w:sz="4" w:space="1" w:color="auto"/>
          <w:left w:val="single" w:sz="4" w:space="4" w:color="auto"/>
          <w:bottom w:val="single" w:sz="4" w:space="1" w:color="auto"/>
          <w:right w:val="single" w:sz="4" w:space="4" w:color="auto"/>
        </w:pBdr>
        <w:rPr>
          <w:b/>
          <w:bCs/>
        </w:rPr>
      </w:pPr>
      <w:r w:rsidRPr="00B437EB">
        <w:rPr>
          <w:b/>
          <w:bCs/>
        </w:rPr>
        <w:t>Very adequate</w:t>
      </w:r>
    </w:p>
    <w:p w14:paraId="6BC095CE" w14:textId="0905F450" w:rsidR="00194B11" w:rsidRPr="00B437EB" w:rsidRDefault="000F1258" w:rsidP="00B437EB">
      <w:pPr>
        <w:pBdr>
          <w:top w:val="single" w:sz="4" w:space="1" w:color="auto"/>
          <w:left w:val="single" w:sz="4" w:space="4" w:color="auto"/>
          <w:bottom w:val="single" w:sz="4" w:space="1" w:color="auto"/>
          <w:right w:val="single" w:sz="4" w:space="4" w:color="auto"/>
        </w:pBdr>
        <w:spacing w:after="0"/>
      </w:pPr>
      <w:r w:rsidRPr="00B437EB">
        <w:t xml:space="preserve">Has the facility’s management of multi-sector activities and technical advisory services provided value for money? </w:t>
      </w:r>
    </w:p>
    <w:p w14:paraId="256BB02C" w14:textId="19AA9F89" w:rsidR="00062861" w:rsidRPr="00B437EB" w:rsidRDefault="001E7045" w:rsidP="00644708">
      <w:pPr>
        <w:pBdr>
          <w:top w:val="single" w:sz="4" w:space="1" w:color="auto"/>
          <w:left w:val="single" w:sz="4" w:space="4" w:color="auto"/>
          <w:bottom w:val="single" w:sz="4" w:space="1" w:color="auto"/>
          <w:right w:val="single" w:sz="4" w:space="4" w:color="auto"/>
        </w:pBdr>
        <w:rPr>
          <w:rFonts w:ascii="Calibri" w:eastAsia="Calibri" w:hAnsi="Calibri"/>
          <w:b/>
          <w:bCs/>
        </w:rPr>
      </w:pPr>
      <w:r w:rsidRPr="00B437EB">
        <w:rPr>
          <w:b/>
          <w:bCs/>
        </w:rPr>
        <w:t>In some areas</w:t>
      </w:r>
    </w:p>
    <w:p w14:paraId="6BC095CF" w14:textId="77777777" w:rsidR="00194B11" w:rsidRPr="00B437EB" w:rsidRDefault="000F1258" w:rsidP="00B437EB">
      <w:pPr>
        <w:pBdr>
          <w:top w:val="single" w:sz="4" w:space="1" w:color="auto"/>
          <w:left w:val="single" w:sz="4" w:space="4" w:color="auto"/>
          <w:bottom w:val="single" w:sz="4" w:space="1" w:color="auto"/>
          <w:right w:val="single" w:sz="4" w:space="4" w:color="auto"/>
        </w:pBdr>
        <w:spacing w:after="0"/>
      </w:pPr>
      <w:r w:rsidRPr="00B437EB">
        <w:t>What evidence is there of cross-sectoral collaboration and coherence?</w:t>
      </w:r>
    </w:p>
    <w:p w14:paraId="24C302DF" w14:textId="3F42ABF2" w:rsidR="001E7045" w:rsidRPr="001E7045" w:rsidRDefault="001E7045" w:rsidP="00644708">
      <w:pPr>
        <w:pBdr>
          <w:top w:val="single" w:sz="4" w:space="1" w:color="auto"/>
          <w:left w:val="single" w:sz="4" w:space="4" w:color="auto"/>
          <w:bottom w:val="single" w:sz="4" w:space="1" w:color="auto"/>
          <w:right w:val="single" w:sz="4" w:space="4" w:color="auto"/>
        </w:pBdr>
        <w:rPr>
          <w:b/>
          <w:bCs/>
        </w:rPr>
      </w:pPr>
      <w:r w:rsidRPr="00B437EB">
        <w:rPr>
          <w:b/>
          <w:bCs/>
        </w:rPr>
        <w:t>Off Track</w:t>
      </w:r>
    </w:p>
    <w:p w14:paraId="301AF1EF" w14:textId="6130950A" w:rsidR="00DA0EAC" w:rsidRDefault="009065CC" w:rsidP="00DA0EAC">
      <w:r>
        <w:t>TASP has</w:t>
      </w:r>
      <w:r w:rsidR="0081601A">
        <w:t xml:space="preserve"> gradually built the program over </w:t>
      </w:r>
      <w:r w:rsidR="007265FA">
        <w:t>three</w:t>
      </w:r>
      <w:r w:rsidR="0081601A">
        <w:t xml:space="preserve"> years with </w:t>
      </w:r>
      <w:r w:rsidR="002423D2">
        <w:t>mainly</w:t>
      </w:r>
      <w:r w:rsidR="0081601A">
        <w:t xml:space="preserve"> the novated programs, strategic opportunities and grants, seeing substantive programming and expenditure to date. </w:t>
      </w:r>
      <w:r w:rsidR="00A978F0">
        <w:t>The TASP leadership team noted that “T</w:t>
      </w:r>
      <w:r w:rsidR="0081601A" w:rsidRPr="0081601A">
        <w:t xml:space="preserve">he Facility </w:t>
      </w:r>
      <w:r w:rsidR="00A978F0">
        <w:t xml:space="preserve">functions well as </w:t>
      </w:r>
      <w:r w:rsidR="009835CA">
        <w:t xml:space="preserve">an </w:t>
      </w:r>
      <w:r w:rsidR="0081601A" w:rsidRPr="0081601A">
        <w:t xml:space="preserve">enabling service – but that design-implement </w:t>
      </w:r>
      <w:r w:rsidR="009835CA">
        <w:t>doesn’t</w:t>
      </w:r>
      <w:r w:rsidR="0081601A" w:rsidRPr="0081601A">
        <w:t xml:space="preserve"> </w:t>
      </w:r>
      <w:r w:rsidR="00593476" w:rsidRPr="0081601A">
        <w:t>synchronise</w:t>
      </w:r>
      <w:r w:rsidR="009835CA">
        <w:t xml:space="preserve"> with other components as it takes time for the design </w:t>
      </w:r>
      <w:r w:rsidR="00593476">
        <w:t>components</w:t>
      </w:r>
      <w:r w:rsidR="009835CA">
        <w:t xml:space="preserve"> to </w:t>
      </w:r>
      <w:r w:rsidR="00362565">
        <w:t xml:space="preserve">be implemented in a way that </w:t>
      </w:r>
      <w:r w:rsidR="0081601A" w:rsidRPr="0081601A">
        <w:t>reflect the context.”</w:t>
      </w:r>
      <w:r w:rsidR="00362565">
        <w:t xml:space="preserve">  This has impacted efficiency.</w:t>
      </w:r>
    </w:p>
    <w:p w14:paraId="4562B6E0" w14:textId="3CB6139B" w:rsidR="00763A9A" w:rsidRPr="00C14255" w:rsidRDefault="009556CA" w:rsidP="0042334B">
      <w:pPr>
        <w:pStyle w:val="Heading2"/>
        <w:rPr>
          <w:color w:val="505050" w:themeColor="accent6" w:themeShade="80"/>
        </w:rPr>
      </w:pPr>
      <w:r w:rsidRPr="00C14255">
        <w:rPr>
          <w:color w:val="505050" w:themeColor="accent6" w:themeShade="80"/>
        </w:rPr>
        <w:t>Governance, management, delivery approach and resourcing arrangements</w:t>
      </w:r>
      <w:r w:rsidR="00763A9A" w:rsidRPr="00C14255">
        <w:rPr>
          <w:color w:val="505050" w:themeColor="accent6" w:themeShade="80"/>
        </w:rPr>
        <w:t xml:space="preserve"> </w:t>
      </w:r>
    </w:p>
    <w:p w14:paraId="71C4A806" w14:textId="0F634FB4" w:rsidR="009556CA" w:rsidRPr="00644708" w:rsidRDefault="00763A9A" w:rsidP="00F508E5">
      <w:r>
        <w:lastRenderedPageBreak/>
        <w:t>This Independent Evaluation concurs with the 2023 AIMR that “</w:t>
      </w:r>
      <w:r w:rsidRPr="005822DF">
        <w:rPr>
          <w:i/>
          <w:iCs/>
        </w:rPr>
        <w:t xml:space="preserve">On balance, there is adequate evidence that demonstrates TASP is making </w:t>
      </w:r>
      <w:r w:rsidRPr="009A3AF0">
        <w:rPr>
          <w:i/>
          <w:iCs/>
        </w:rPr>
        <w:t>appropriate use of time and resources</w:t>
      </w:r>
      <w:r w:rsidRPr="005822DF">
        <w:rPr>
          <w:i/>
          <w:iCs/>
        </w:rPr>
        <w:t xml:space="preserve"> in relation to some EOPOs and IOs. The investment has delivered unforeseen results in response to a changed operating context.</w:t>
      </w:r>
      <w:r>
        <w:rPr>
          <w:i/>
          <w:iCs/>
        </w:rPr>
        <w:t>”</w:t>
      </w:r>
      <w:r>
        <w:t xml:space="preserve"> In </w:t>
      </w:r>
      <w:proofErr w:type="gramStart"/>
      <w:r>
        <w:t>addition</w:t>
      </w:r>
      <w:proofErr w:type="gramEnd"/>
      <w:r>
        <w:t xml:space="preserve"> the Evaluation Team believe that </w:t>
      </w:r>
      <w:r w:rsidR="004A5B6D">
        <w:t xml:space="preserve">large improvements to systems (expenditure, policies, systems, ways of working) have been made over </w:t>
      </w:r>
      <w:r w:rsidR="00C65B3F">
        <w:t xml:space="preserve">the </w:t>
      </w:r>
      <w:r w:rsidR="004A5B6D">
        <w:t>last year</w:t>
      </w:r>
      <w:r w:rsidR="00C65B3F">
        <w:t>,</w:t>
      </w:r>
      <w:r w:rsidR="004A5B6D">
        <w:t xml:space="preserve"> supporting rapid scale up of expenditure into the </w:t>
      </w:r>
      <w:r w:rsidR="00C65B3F">
        <w:t xml:space="preserve">final </w:t>
      </w:r>
      <w:r w:rsidR="004A5B6D">
        <w:t xml:space="preserve">year of the </w:t>
      </w:r>
      <w:r w:rsidR="009437E7">
        <w:t>current</w:t>
      </w:r>
      <w:r w:rsidR="00F508E5">
        <w:t xml:space="preserve"> phase.</w:t>
      </w:r>
    </w:p>
    <w:p w14:paraId="08F06917" w14:textId="43DA357F" w:rsidR="00763A9A" w:rsidRDefault="00763A9A" w:rsidP="0095406F">
      <w:pPr>
        <w:pStyle w:val="Heading3"/>
      </w:pPr>
      <w:r>
        <w:t>Budget management</w:t>
      </w:r>
    </w:p>
    <w:p w14:paraId="5C460E27" w14:textId="6B957E3F" w:rsidR="004950AF" w:rsidRPr="009A3AF0" w:rsidRDefault="00A83CB3" w:rsidP="004C438B">
      <w:pPr>
        <w:rPr>
          <w:i/>
          <w:iCs/>
        </w:rPr>
      </w:pPr>
      <w:r w:rsidRPr="009A3AF0">
        <w:t>While expenditure has been slow</w:t>
      </w:r>
      <w:r w:rsidR="008B49E0" w:rsidRPr="009A3AF0">
        <w:t>, b</w:t>
      </w:r>
      <w:r w:rsidR="004D43E1" w:rsidRPr="009A3AF0">
        <w:t xml:space="preserve">udget and procurement management </w:t>
      </w:r>
      <w:proofErr w:type="gramStart"/>
      <w:r w:rsidR="003970F9" w:rsidRPr="009A3AF0">
        <w:t>is</w:t>
      </w:r>
      <w:proofErr w:type="gramEnd"/>
      <w:r w:rsidR="003970F9" w:rsidRPr="009A3AF0">
        <w:t xml:space="preserve"> now strong with high confidence of efficiency in distribution of funds.  </w:t>
      </w:r>
      <w:r w:rsidR="004C438B" w:rsidRPr="009A3AF0">
        <w:t>The AIMR</w:t>
      </w:r>
      <w:r w:rsidR="004950AF" w:rsidRPr="009A3AF0">
        <w:rPr>
          <w:rStyle w:val="FootnoteReference"/>
        </w:rPr>
        <w:footnoteReference w:id="18"/>
      </w:r>
      <w:r w:rsidR="004C438B" w:rsidRPr="009A3AF0">
        <w:t xml:space="preserve"> found that “</w:t>
      </w:r>
      <w:r w:rsidR="004C438B" w:rsidRPr="009A3AF0">
        <w:rPr>
          <w:i/>
          <w:iCs/>
        </w:rPr>
        <w:t xml:space="preserve">Budget management processes remain a strength, with financial records demonstrating that accurate forecasts are provided on time. </w:t>
      </w:r>
    </w:p>
    <w:p w14:paraId="5640B2B8" w14:textId="1DE75107" w:rsidR="004C438B" w:rsidRDefault="00793C6A" w:rsidP="004C438B">
      <w:pPr>
        <w:rPr>
          <w:i/>
          <w:iCs/>
        </w:rPr>
      </w:pPr>
      <w:r w:rsidRPr="007836E4">
        <w:t xml:space="preserve">The AIMR showed that </w:t>
      </w:r>
      <w:r w:rsidR="00320C9E" w:rsidRPr="007836E4">
        <w:t>of the $26,340,092 allocated</w:t>
      </w:r>
      <w:r w:rsidR="009E34FD">
        <w:t>,</w:t>
      </w:r>
      <w:r w:rsidR="00320C9E" w:rsidRPr="007836E4">
        <w:t xml:space="preserve"> TASP has expensed $13,584.</w:t>
      </w:r>
      <w:r w:rsidR="007836E4">
        <w:t>591 (</w:t>
      </w:r>
      <w:r w:rsidR="002D2D25">
        <w:t>52</w:t>
      </w:r>
      <w:r w:rsidR="007836E4">
        <w:t>%)</w:t>
      </w:r>
      <w:r w:rsidR="004C438B" w:rsidRPr="005822DF">
        <w:rPr>
          <w:i/>
          <w:iCs/>
        </w:rPr>
        <w:t xml:space="preserve">, </w:t>
      </w:r>
      <w:r w:rsidR="001444AA">
        <w:rPr>
          <w:i/>
          <w:iCs/>
        </w:rPr>
        <w:t>“</w:t>
      </w:r>
      <w:r w:rsidR="004C438B" w:rsidRPr="005822DF">
        <w:rPr>
          <w:i/>
          <w:iCs/>
        </w:rPr>
        <w:t xml:space="preserve">mainly due to delays in SLM pillars and less than expected activities in climate change. The health pillar is on track and well managed, with its timely expenditure derived from the utilisation of clear plans and budgets linked to each IO and agreed through the </w:t>
      </w:r>
      <w:r w:rsidR="000B6394">
        <w:rPr>
          <w:i/>
          <w:iCs/>
        </w:rPr>
        <w:t>(</w:t>
      </w:r>
      <w:r w:rsidR="00C261C1" w:rsidRPr="00C261C1">
        <w:rPr>
          <w:i/>
          <w:iCs/>
        </w:rPr>
        <w:t>Health Sector Support Implementation Group</w:t>
      </w:r>
      <w:r w:rsidR="00C261C1">
        <w:rPr>
          <w:i/>
          <w:iCs/>
        </w:rPr>
        <w:t>)</w:t>
      </w:r>
      <w:r w:rsidR="000B6394">
        <w:rPr>
          <w:i/>
          <w:iCs/>
        </w:rPr>
        <w:t xml:space="preserve"> </w:t>
      </w:r>
      <w:r w:rsidR="004C438B" w:rsidRPr="005822DF">
        <w:rPr>
          <w:i/>
          <w:iCs/>
        </w:rPr>
        <w:t>HSSIG. Opportunities have arisen due to under-expenditure, creating a flexibility in the bilateral budget to ensure that Post is able to respond to urgent needs, including in line with TASP priorities (e.g. health systems infrastructure and equipment). TASP expenditure rates have improved in early 2024.</w:t>
      </w:r>
      <w:r w:rsidR="004C438B">
        <w:rPr>
          <w:i/>
          <w:iCs/>
        </w:rPr>
        <w:t>”</w:t>
      </w:r>
    </w:p>
    <w:p w14:paraId="424C4D3C" w14:textId="4149E220" w:rsidR="004C438B" w:rsidRPr="004C438B" w:rsidRDefault="00C9640F" w:rsidP="004C438B">
      <w:r w:rsidRPr="009A3AF0">
        <w:t xml:space="preserve">The managing contractor identified </w:t>
      </w:r>
      <w:r w:rsidR="00C461A9" w:rsidRPr="009A3AF0">
        <w:t xml:space="preserve">that there had been significant </w:t>
      </w:r>
      <w:r w:rsidRPr="009A3AF0">
        <w:t xml:space="preserve">shortcomings in </w:t>
      </w:r>
      <w:r w:rsidR="00C461A9" w:rsidRPr="009A3AF0">
        <w:t xml:space="preserve">creation of </w:t>
      </w:r>
      <w:r w:rsidR="00EA0FBF" w:rsidRPr="009A3AF0">
        <w:t xml:space="preserve">processes and procedures for procurement and program management </w:t>
      </w:r>
      <w:r w:rsidR="00EB4F9A" w:rsidRPr="009A3AF0">
        <w:t xml:space="preserve">in TASP. They also noted </w:t>
      </w:r>
      <w:r w:rsidR="00EA0FBF" w:rsidRPr="009A3AF0">
        <w:t xml:space="preserve">that </w:t>
      </w:r>
      <w:r w:rsidR="00BB42E0" w:rsidRPr="009A3AF0">
        <w:t>with the work</w:t>
      </w:r>
      <w:r w:rsidR="00BB42E0">
        <w:t xml:space="preserve"> of </w:t>
      </w:r>
      <w:r w:rsidR="00EA0FBF">
        <w:t>the interim team leader a</w:t>
      </w:r>
      <w:r w:rsidR="00DD4484">
        <w:t xml:space="preserve">nd </w:t>
      </w:r>
      <w:r w:rsidR="004950AF">
        <w:t>the current more</w:t>
      </w:r>
      <w:r w:rsidR="00DD4484">
        <w:t xml:space="preserve"> permanent team lead, and full complement of operations staff, the </w:t>
      </w:r>
      <w:r w:rsidR="00BB42E0">
        <w:t>contractor</w:t>
      </w:r>
      <w:r w:rsidR="00DD4484">
        <w:t xml:space="preserve"> has been able to focu</w:t>
      </w:r>
      <w:r w:rsidR="008C0460">
        <w:t>s</w:t>
      </w:r>
      <w:r w:rsidR="00DD4484">
        <w:t xml:space="preserve"> on </w:t>
      </w:r>
      <w:r w:rsidR="008C0460">
        <w:t xml:space="preserve">development of a comprehensive operations manual and training </w:t>
      </w:r>
      <w:r w:rsidR="00BB42E0">
        <w:t>o</w:t>
      </w:r>
      <w:r w:rsidR="008C0460">
        <w:t xml:space="preserve">n </w:t>
      </w:r>
      <w:r w:rsidR="0086715A">
        <w:t>delegation limits, procurement rules</w:t>
      </w:r>
      <w:r w:rsidR="00A33620">
        <w:t xml:space="preserve"> and</w:t>
      </w:r>
      <w:r w:rsidR="0086715A">
        <w:t xml:space="preserve"> processes that have </w:t>
      </w:r>
      <w:r w:rsidR="00AA0063">
        <w:t xml:space="preserve">built </w:t>
      </w:r>
      <w:r w:rsidR="0086715A">
        <w:t xml:space="preserve">local staff </w:t>
      </w:r>
      <w:r w:rsidR="00AA0063">
        <w:t>capacity and prepared the team for a ramp up of expenditure</w:t>
      </w:r>
      <w:r w:rsidR="000D0AAF">
        <w:t xml:space="preserve">. </w:t>
      </w:r>
      <w:r w:rsidR="003E138E">
        <w:t>TASP has</w:t>
      </w:r>
      <w:r w:rsidR="003B1625">
        <w:t xml:space="preserve"> refocussed on activities and</w:t>
      </w:r>
      <w:r w:rsidR="003E138E">
        <w:t xml:space="preserve"> drafted a plan</w:t>
      </w:r>
      <w:r w:rsidR="003A0CA6">
        <w:rPr>
          <w:rStyle w:val="FootnoteReference"/>
        </w:rPr>
        <w:footnoteReference w:id="19"/>
      </w:r>
      <w:r w:rsidR="003E138E">
        <w:t xml:space="preserve"> for accelerated expenditure </w:t>
      </w:r>
      <w:r w:rsidR="003A0CA6">
        <w:t>in FY2024.</w:t>
      </w:r>
      <w:r w:rsidR="00675D00" w:rsidRPr="004C438B">
        <w:t xml:space="preserve"> </w:t>
      </w:r>
    </w:p>
    <w:p w14:paraId="1AB51048" w14:textId="11161B10" w:rsidR="00FB2E99" w:rsidRDefault="00E24A1F" w:rsidP="00016365">
      <w:r>
        <w:t>For a program with numerous tasking notes and procurement requirements</w:t>
      </w:r>
      <w:r w:rsidR="00A33620">
        <w:t>,</w:t>
      </w:r>
      <w:r w:rsidR="00F12619">
        <w:t xml:space="preserve"> </w:t>
      </w:r>
      <w:r w:rsidR="00A83CB3">
        <w:t xml:space="preserve">the contractor is </w:t>
      </w:r>
      <w:r w:rsidR="00EB1115">
        <w:t xml:space="preserve">exploring the possibility </w:t>
      </w:r>
      <w:r w:rsidR="000314F4">
        <w:t xml:space="preserve">of adding </w:t>
      </w:r>
      <w:r w:rsidR="00A83CB3" w:rsidRPr="00BF022F">
        <w:t xml:space="preserve">an additional </w:t>
      </w:r>
      <w:r w:rsidR="00F12619" w:rsidRPr="00BF022F">
        <w:t>procurement advisor (possibly partial role) to ensure the procurement is given the atten</w:t>
      </w:r>
      <w:r w:rsidR="00BB42E0" w:rsidRPr="00BF022F">
        <w:t>tion</w:t>
      </w:r>
      <w:r w:rsidR="00F12619" w:rsidRPr="00BF022F">
        <w:t xml:space="preserve"> and priority needed</w:t>
      </w:r>
      <w:r w:rsidR="001A6960" w:rsidRPr="00BF022F">
        <w:t>. If locally engaged</w:t>
      </w:r>
      <w:r w:rsidR="00BB42E0" w:rsidRPr="00BF022F">
        <w:t>,</w:t>
      </w:r>
      <w:r w:rsidR="001A6960" w:rsidRPr="00BF022F">
        <w:t xml:space="preserve"> then there should be early opportunities for them</w:t>
      </w:r>
      <w:r w:rsidR="001A6960">
        <w:t xml:space="preserve"> to visit the head office (rather than Aus</w:t>
      </w:r>
      <w:r w:rsidR="00071E86">
        <w:t>tralian-</w:t>
      </w:r>
      <w:r w:rsidR="001A6960">
        <w:t>based advisor</w:t>
      </w:r>
      <w:r w:rsidR="00071E86">
        <w:t>s</w:t>
      </w:r>
      <w:r w:rsidR="001A6960">
        <w:t xml:space="preserve"> visiting Tonga) to build skills and </w:t>
      </w:r>
      <w:r w:rsidR="0058099D">
        <w:t xml:space="preserve">support networks for key activities such as development </w:t>
      </w:r>
      <w:r w:rsidR="00C65054">
        <w:t xml:space="preserve">of </w:t>
      </w:r>
      <w:r w:rsidR="0058099D">
        <w:t>an op</w:t>
      </w:r>
      <w:r w:rsidR="00071E86">
        <w:t>erations</w:t>
      </w:r>
      <w:r w:rsidR="0058099D">
        <w:t xml:space="preserve"> plan and procurement policies.</w:t>
      </w:r>
    </w:p>
    <w:p w14:paraId="068BF296" w14:textId="142A876C" w:rsidR="0095406F" w:rsidRPr="00FB2E99" w:rsidRDefault="0095406F" w:rsidP="0095406F">
      <w:pPr>
        <w:pStyle w:val="Heading3"/>
      </w:pPr>
      <w:r>
        <w:t>Delivery Approach</w:t>
      </w:r>
    </w:p>
    <w:p w14:paraId="289AC88A" w14:textId="35929AF7" w:rsidR="004950AF" w:rsidRDefault="00860F93" w:rsidP="00803578">
      <w:pPr>
        <w:pStyle w:val="ListParagraph"/>
        <w:numPr>
          <w:ilvl w:val="1"/>
          <w:numId w:val="18"/>
        </w:numPr>
        <w:ind w:left="0"/>
      </w:pPr>
      <w:r w:rsidRPr="009A3AF0">
        <w:t xml:space="preserve">TASP Team Leaders, DT Global and DFAT all reported the valuable role that having a </w:t>
      </w:r>
      <w:r w:rsidR="009D7DCF" w:rsidRPr="009A3AF0">
        <w:t xml:space="preserve">strategic opportunities mechanism (flexible </w:t>
      </w:r>
      <w:r w:rsidRPr="009A3AF0">
        <w:t>funding</w:t>
      </w:r>
      <w:r w:rsidR="009D7DCF" w:rsidRPr="009A3AF0">
        <w:t>)</w:t>
      </w:r>
      <w:r w:rsidRPr="009A3AF0">
        <w:t xml:space="preserve"> </w:t>
      </w:r>
      <w:r w:rsidR="009D7DCF" w:rsidRPr="009A3AF0">
        <w:t>p</w:t>
      </w:r>
      <w:r w:rsidRPr="009A3AF0">
        <w:t>rovided to meeting short term and emergency needs to</w:t>
      </w:r>
      <w:r>
        <w:t xml:space="preserve"> support DFAT</w:t>
      </w:r>
      <w:r w:rsidR="00C93462">
        <w:t xml:space="preserve"> (see KEQ1 for more details on </w:t>
      </w:r>
      <w:r w:rsidR="00CB51FA">
        <w:t xml:space="preserve">how the </w:t>
      </w:r>
      <w:r w:rsidR="00C93462">
        <w:t>SOM</w:t>
      </w:r>
      <w:r w:rsidR="00CB51FA">
        <w:t xml:space="preserve"> works)</w:t>
      </w:r>
      <w:r>
        <w:t xml:space="preserve">.  </w:t>
      </w:r>
    </w:p>
    <w:p w14:paraId="4D884CED" w14:textId="77777777" w:rsidR="004950AF" w:rsidRDefault="004950AF" w:rsidP="00803578">
      <w:pPr>
        <w:pStyle w:val="ListParagraph"/>
        <w:numPr>
          <w:ilvl w:val="1"/>
          <w:numId w:val="18"/>
        </w:numPr>
        <w:ind w:left="0"/>
      </w:pPr>
    </w:p>
    <w:p w14:paraId="74699D9E" w14:textId="4C38B6C0" w:rsidR="00860F93" w:rsidRDefault="00860F93" w:rsidP="00803578">
      <w:pPr>
        <w:pStyle w:val="ListParagraph"/>
        <w:numPr>
          <w:ilvl w:val="1"/>
          <w:numId w:val="18"/>
        </w:numPr>
        <w:ind w:left="0"/>
      </w:pPr>
      <w:r>
        <w:t xml:space="preserve">TASP has been able to deliver on many of the tasking notes created, </w:t>
      </w:r>
      <w:r w:rsidR="00FF19DD">
        <w:t xml:space="preserve">including </w:t>
      </w:r>
      <w:r>
        <w:t xml:space="preserve">during the first year of implementation when </w:t>
      </w:r>
      <w:r w:rsidR="00FF19DD">
        <w:t>it</w:t>
      </w:r>
      <w:r>
        <w:t xml:space="preserve"> pivot</w:t>
      </w:r>
      <w:r w:rsidR="00FF19DD">
        <w:t>ed</w:t>
      </w:r>
      <w:r>
        <w:t xml:space="preserve"> to support the humanitarian response associated with the HTHH volcanic eruption (and associated cut of internet for 5 weeks) and then </w:t>
      </w:r>
      <w:r w:rsidR="00CE2AE5">
        <w:t>detection</w:t>
      </w:r>
      <w:r>
        <w:t xml:space="preserve"> of COVID </w:t>
      </w:r>
      <w:r w:rsidR="00CE2AE5">
        <w:t xml:space="preserve">in </w:t>
      </w:r>
      <w:r>
        <w:t>Tonga</w:t>
      </w:r>
      <w:r w:rsidR="00CE2AE5">
        <w:t xml:space="preserve"> </w:t>
      </w:r>
      <w:r w:rsidR="00153E70">
        <w:t>resulting in</w:t>
      </w:r>
      <w:r>
        <w:t xml:space="preserve"> the extraction of international staff</w:t>
      </w:r>
      <w:r w:rsidR="00467571" w:rsidRPr="00467571">
        <w:t xml:space="preserve"> </w:t>
      </w:r>
      <w:r w:rsidR="00467571">
        <w:t>and cessation of flights</w:t>
      </w:r>
      <w:r w:rsidR="004D798D">
        <w:t>. During this period</w:t>
      </w:r>
      <w:r>
        <w:t xml:space="preserve"> there were difficulties drawing the program back to the design and </w:t>
      </w:r>
      <w:r w:rsidR="6606A599">
        <w:t>pillar</w:t>
      </w:r>
      <w:r w:rsidR="460BDCE7">
        <w:t>s</w:t>
      </w:r>
      <w:r w:rsidR="6606A599">
        <w:t>.</w:t>
      </w:r>
      <w:r>
        <w:t xml:space="preserve">  It is worth repeating here the reflection provided in the TASP Combined Inception and Six-Month Report, May 2023 (p22); “</w:t>
      </w:r>
      <w:r w:rsidRPr="00C26F48">
        <w:rPr>
          <w:i/>
          <w:iCs/>
        </w:rPr>
        <w:t xml:space="preserve">Support for Tasking Note activities requires a high degree of program management flexibility due to the considerable variability in the way that each </w:t>
      </w:r>
      <w:r w:rsidRPr="00C26F48">
        <w:rPr>
          <w:i/>
          <w:iCs/>
        </w:rPr>
        <w:lastRenderedPageBreak/>
        <w:t>activity needs to be implemented, in some cases including unique financing and management arrangements involving other stakeholders. This pillar is also unique as it has no discrete management resourcing of its</w:t>
      </w:r>
      <w:r w:rsidR="00C26F48">
        <w:rPr>
          <w:i/>
          <w:iCs/>
        </w:rPr>
        <w:t xml:space="preserve"> </w:t>
      </w:r>
      <w:r w:rsidRPr="00C26F48">
        <w:rPr>
          <w:i/>
          <w:iCs/>
        </w:rPr>
        <w:t xml:space="preserve">own. Implementation and oversight </w:t>
      </w:r>
      <w:proofErr w:type="gramStart"/>
      <w:r w:rsidRPr="00C26F48">
        <w:rPr>
          <w:i/>
          <w:iCs/>
        </w:rPr>
        <w:t>is</w:t>
      </w:r>
      <w:proofErr w:type="gramEnd"/>
      <w:r w:rsidRPr="00C26F48">
        <w:rPr>
          <w:i/>
          <w:iCs/>
        </w:rPr>
        <w:t xml:space="preserve"> drawn from across the TASP Program Support Unit and in most cases implemented directly by the Platform Director, Operations Director and Senior Finance and Administration Officer with support from DT Global head office personnel. Whilst this has largely worked so far, it is unlikely to be sustainable in the longer-term as activities increase across the other pillars</w:t>
      </w:r>
      <w:r w:rsidRPr="00DF078F">
        <w:t>.</w:t>
      </w:r>
      <w:r>
        <w:t>” Under the updated Organisational Structure</w:t>
      </w:r>
      <w:r w:rsidR="003846EF">
        <w:t>,</w:t>
      </w:r>
      <w:r>
        <w:t xml:space="preserve"> TASP has allocated direct responsibility for implementation and management of the SOM to the Procurement Officer.</w:t>
      </w:r>
    </w:p>
    <w:p w14:paraId="6A84CD96" w14:textId="123C7990" w:rsidR="00FA444C" w:rsidRDefault="00FA444C" w:rsidP="00FA444C">
      <w:r>
        <w:t xml:space="preserve">The two </w:t>
      </w:r>
      <w:r w:rsidR="007D509D">
        <w:t>ways of working (</w:t>
      </w:r>
      <w:r>
        <w:t>WoW</w:t>
      </w:r>
      <w:r w:rsidR="007D509D">
        <w:t>)</w:t>
      </w:r>
      <w:r>
        <w:t xml:space="preserve"> sessions</w:t>
      </w:r>
      <w:r w:rsidR="007D509D">
        <w:t xml:space="preserve"> and </w:t>
      </w:r>
      <w:r>
        <w:t>agreements</w:t>
      </w:r>
      <w:r w:rsidR="007D509D">
        <w:t>,</w:t>
      </w:r>
      <w:r>
        <w:t xml:space="preserve"> and stability of the TASP and DFAT teams and leadership</w:t>
      </w:r>
      <w:r w:rsidR="007D509D">
        <w:t>,</w:t>
      </w:r>
      <w:r>
        <w:t xml:space="preserve"> have made a big difference </w:t>
      </w:r>
      <w:r w:rsidRPr="00E204C0">
        <w:t>to communication between DFAT and TASP leadership</w:t>
      </w:r>
      <w:r>
        <w:t xml:space="preserve"> and </w:t>
      </w:r>
      <w:r w:rsidRPr="00451ACB">
        <w:t xml:space="preserve">supported </w:t>
      </w:r>
      <w:r w:rsidRPr="00594011">
        <w:t xml:space="preserve">more efficient governance </w:t>
      </w:r>
      <w:r w:rsidR="003846EF">
        <w:t>and</w:t>
      </w:r>
      <w:r w:rsidR="003846EF" w:rsidRPr="00594011">
        <w:t xml:space="preserve"> </w:t>
      </w:r>
      <w:r w:rsidRPr="00594011">
        <w:t>management</w:t>
      </w:r>
      <w:r w:rsidRPr="00451ACB">
        <w:t xml:space="preserve">. All </w:t>
      </w:r>
      <w:r w:rsidRPr="00E204C0">
        <w:t>TASP Advisors, Management and DFAT staff placed a huge value on th</w:t>
      </w:r>
      <w:r>
        <w:t>e results of the WoW agreements</w:t>
      </w:r>
      <w:r w:rsidR="00F04F57">
        <w:rPr>
          <w:rStyle w:val="FootnoteReference"/>
        </w:rPr>
        <w:footnoteReference w:id="20"/>
      </w:r>
      <w:r w:rsidRPr="00E204C0">
        <w:t>.  Close implementation and monitoring against the WoW agreements will ensure the investment in those processes is capitalised</w:t>
      </w:r>
      <w:r w:rsidR="002B1C0B">
        <w:t>.</w:t>
      </w:r>
    </w:p>
    <w:p w14:paraId="595480CA" w14:textId="73538591" w:rsidR="00FA444C" w:rsidRDefault="00EF653E" w:rsidP="00FA444C">
      <w:pPr>
        <w:pStyle w:val="ListParagraph"/>
        <w:ind w:left="0"/>
      </w:pPr>
      <w:r>
        <w:t xml:space="preserve">See </w:t>
      </w:r>
      <w:r w:rsidR="001167DB">
        <w:t xml:space="preserve">sections below for comment </w:t>
      </w:r>
      <w:r w:rsidR="00176D3B" w:rsidRPr="00EF4EA7">
        <w:t>on the Pillar modality and delivery approach</w:t>
      </w:r>
      <w:r w:rsidR="001167DB">
        <w:t xml:space="preserve"> and the arrangements between DFAT and TASP </w:t>
      </w:r>
      <w:r w:rsidR="00FA444C">
        <w:t>(</w:t>
      </w:r>
      <w:r w:rsidR="00E808E6" w:rsidRPr="00EF4EA7">
        <w:t>cross sector collaboration and coherence</w:t>
      </w:r>
      <w:r w:rsidR="00FA444C">
        <w:t>).</w:t>
      </w:r>
    </w:p>
    <w:p w14:paraId="08BE96F2" w14:textId="77777777" w:rsidR="004640A1" w:rsidRDefault="004640A1" w:rsidP="004640A1">
      <w:pPr>
        <w:pStyle w:val="Heading3"/>
      </w:pPr>
      <w:bookmarkStart w:id="24" w:name="Staffingandrecruitment"/>
      <w:r>
        <w:t>Staffing and Recruitment</w:t>
      </w:r>
    </w:p>
    <w:bookmarkEnd w:id="24"/>
    <w:p w14:paraId="7DAAC4D5" w14:textId="21433D23" w:rsidR="004E27BC" w:rsidRDefault="004640A1" w:rsidP="004E27BC">
      <w:r>
        <w:t xml:space="preserve">There have been </w:t>
      </w:r>
      <w:r w:rsidRPr="00C01F10">
        <w:t>significant inefficiencies</w:t>
      </w:r>
      <w:r w:rsidR="00A026B2">
        <w:t xml:space="preserve"> and del</w:t>
      </w:r>
      <w:r w:rsidR="00124707">
        <w:t>a</w:t>
      </w:r>
      <w:r w:rsidR="00A026B2">
        <w:t>ys</w:t>
      </w:r>
      <w:r w:rsidRPr="00C01F10">
        <w:t xml:space="preserve"> </w:t>
      </w:r>
      <w:proofErr w:type="gramStart"/>
      <w:r w:rsidRPr="00C01F10">
        <w:t>as a result of</w:t>
      </w:r>
      <w:proofErr w:type="gramEnd"/>
      <w:r w:rsidRPr="00C01F10">
        <w:t xml:space="preserve"> staffing recruitment and retention</w:t>
      </w:r>
      <w:r>
        <w:t xml:space="preserve"> </w:t>
      </w:r>
      <w:r w:rsidRPr="00C01F10">
        <w:t xml:space="preserve">difficulties </w:t>
      </w:r>
      <w:r>
        <w:t>in TASP</w:t>
      </w:r>
      <w:r w:rsidR="004E27BC">
        <w:t xml:space="preserve"> in the first year</w:t>
      </w:r>
      <w:r w:rsidR="00B37114">
        <w:t xml:space="preserve">. </w:t>
      </w:r>
      <w:r w:rsidR="004E27BC">
        <w:t xml:space="preserve">These factors significantly hampered the inception and </w:t>
      </w:r>
      <w:r w:rsidR="00B37114">
        <w:t xml:space="preserve">delayed the </w:t>
      </w:r>
      <w:r w:rsidR="004E27BC">
        <w:t>design phases of the facility by up to a year, with a large proportion of staff effort going into delivery of tasking notes via service orders</w:t>
      </w:r>
      <w:r w:rsidR="004E27BC">
        <w:rPr>
          <w:vertAlign w:val="superscript"/>
        </w:rPr>
        <w:footnoteReference w:id="21"/>
      </w:r>
      <w:r w:rsidR="004E27BC">
        <w:t xml:space="preserve"> (</w:t>
      </w:r>
      <w:r w:rsidR="00770A3D">
        <w:t>s</w:t>
      </w:r>
      <w:r w:rsidR="004E27BC">
        <w:t xml:space="preserve">ee </w:t>
      </w:r>
      <w:hyperlink w:anchor="_Key_Findings:_Agility" w:history="1">
        <w:r w:rsidR="004E27BC" w:rsidRPr="004640A1">
          <w:rPr>
            <w:rStyle w:val="Hyperlink"/>
          </w:rPr>
          <w:t>KEQ6</w:t>
        </w:r>
      </w:hyperlink>
      <w:r w:rsidR="004E27BC">
        <w:t xml:space="preserve"> for more detail). </w:t>
      </w:r>
    </w:p>
    <w:p w14:paraId="12B16AD4" w14:textId="4309A53C" w:rsidR="004640A1" w:rsidRDefault="004640A1" w:rsidP="004640A1">
      <w:r>
        <w:t>The first TASP</w:t>
      </w:r>
      <w:r w:rsidR="000C4C90">
        <w:t xml:space="preserve"> Platform Director </w:t>
      </w:r>
      <w:r w:rsidR="00C73D97">
        <w:t>withdrew before being deployed</w:t>
      </w:r>
      <w:r w:rsidR="00E9279B">
        <w:rPr>
          <w:rStyle w:val="FootnoteReference"/>
        </w:rPr>
        <w:footnoteReference w:id="22"/>
      </w:r>
      <w:r w:rsidR="00C73D97">
        <w:t xml:space="preserve"> (February 2022)</w:t>
      </w:r>
      <w:r>
        <w:t xml:space="preserve"> </w:t>
      </w:r>
      <w:r w:rsidR="002D71C5">
        <w:t xml:space="preserve">and was replaced by an Australian based Cardno </w:t>
      </w:r>
      <w:r w:rsidR="00AB28B1">
        <w:t>Interim Platform</w:t>
      </w:r>
      <w:r w:rsidR="008D7719">
        <w:t xml:space="preserve"> Director</w:t>
      </w:r>
      <w:r w:rsidR="000C667C">
        <w:t xml:space="preserve"> prior to the first long term advisor deployment in the role of Platform Director in August 2022. </w:t>
      </w:r>
      <w:r w:rsidR="00AE6CB1">
        <w:t xml:space="preserve">Since </w:t>
      </w:r>
      <w:proofErr w:type="gramStart"/>
      <w:r w:rsidR="00AE6CB1">
        <w:t>then</w:t>
      </w:r>
      <w:proofErr w:type="gramEnd"/>
      <w:r w:rsidR="00AE6CB1">
        <w:t xml:space="preserve"> ther</w:t>
      </w:r>
      <w:r w:rsidR="001A3133">
        <w:t xml:space="preserve">e has been an </w:t>
      </w:r>
      <w:r w:rsidR="002659E4">
        <w:t>I</w:t>
      </w:r>
      <w:r w:rsidR="000B0970">
        <w:t xml:space="preserve">nterim </w:t>
      </w:r>
      <w:r w:rsidR="002659E4">
        <w:t>T</w:t>
      </w:r>
      <w:r w:rsidR="000B0970">
        <w:t xml:space="preserve">eam </w:t>
      </w:r>
      <w:r w:rsidR="002659E4">
        <w:t>L</w:t>
      </w:r>
      <w:r w:rsidR="000B0970">
        <w:t xml:space="preserve">eader in Tonga prior to recruitment of the current </w:t>
      </w:r>
      <w:r w:rsidR="002659E4">
        <w:t>T</w:t>
      </w:r>
      <w:r w:rsidR="000B0970">
        <w:t xml:space="preserve">eam </w:t>
      </w:r>
      <w:r w:rsidR="002659E4">
        <w:t>L</w:t>
      </w:r>
      <w:r w:rsidR="000B0970">
        <w:t>eader</w:t>
      </w:r>
      <w:r w:rsidR="00DA16A2">
        <w:t xml:space="preserve"> </w:t>
      </w:r>
      <w:r w:rsidR="007154C2">
        <w:t>i</w:t>
      </w:r>
      <w:r w:rsidR="00DA16A2">
        <w:t>n</w:t>
      </w:r>
      <w:r w:rsidR="0042250D">
        <w:t xml:space="preserve"> </w:t>
      </w:r>
      <w:r w:rsidR="00DA16A2">
        <w:t>April</w:t>
      </w:r>
      <w:r w:rsidR="0042250D">
        <w:t xml:space="preserve"> </w:t>
      </w:r>
      <w:r w:rsidR="00DA16A2">
        <w:t>2024</w:t>
      </w:r>
      <w:r w:rsidR="005666D1">
        <w:t xml:space="preserve">.  </w:t>
      </w:r>
      <w:r w:rsidR="002316CD">
        <w:t>Long Term Advisory s</w:t>
      </w:r>
      <w:r w:rsidR="005666D1">
        <w:t xml:space="preserve">taffing </w:t>
      </w:r>
      <w:r w:rsidR="0045681B">
        <w:t xml:space="preserve">stability </w:t>
      </w:r>
      <w:r w:rsidR="005666D1">
        <w:t xml:space="preserve">has been impacted by </w:t>
      </w:r>
      <w:r>
        <w:t>periods of remote deployment and impact from COVID evacuations</w:t>
      </w:r>
      <w:r w:rsidR="00E9279B">
        <w:t xml:space="preserve"> and shutdown</w:t>
      </w:r>
      <w:r>
        <w:t>, 5 weeks without internet during project start up</w:t>
      </w:r>
      <w:r w:rsidR="00E9279B">
        <w:t xml:space="preserve"> and</w:t>
      </w:r>
      <w:r>
        <w:t xml:space="preserve"> periods without flights to/from Tonga</w:t>
      </w:r>
      <w:r w:rsidR="00244F54">
        <w:t xml:space="preserve">. </w:t>
      </w:r>
      <w:r w:rsidR="00A931D8" w:rsidRPr="00A931D8">
        <w:t xml:space="preserve"> </w:t>
      </w:r>
      <w:r w:rsidR="00A931D8">
        <w:t xml:space="preserve">DFAT leadership turnover also resulted in shifting priorities which frustrated TASP implementation and Team Leaders. </w:t>
      </w:r>
      <w:r>
        <w:t>There is a sense of stability now in the management at DFAT and TASP and the Evaluation Team can see a period of stability for the remainder of the current TASP program period.</w:t>
      </w:r>
    </w:p>
    <w:p w14:paraId="53A839CE" w14:textId="27E86CED" w:rsidR="004640A1" w:rsidRDefault="004640A1" w:rsidP="004640A1">
      <w:r>
        <w:t xml:space="preserve">Some transition/start up activities were delayed or missed such as updating </w:t>
      </w:r>
      <w:proofErr w:type="spellStart"/>
      <w:r>
        <w:t>ToRs</w:t>
      </w:r>
      <w:proofErr w:type="spellEnd"/>
      <w:r>
        <w:t xml:space="preserve"> for novated Advisers</w:t>
      </w:r>
      <w:r w:rsidR="00B35F34">
        <w:t>.</w:t>
      </w:r>
      <w:r>
        <w:t xml:space="preserve"> These had not been addressed at the time of Evaluation but were acknowledged as issues for rectification.  </w:t>
      </w:r>
    </w:p>
    <w:p w14:paraId="30CFAF66" w14:textId="27EC8971" w:rsidR="007E7921" w:rsidRDefault="004640A1" w:rsidP="004640A1">
      <w:r>
        <w:t xml:space="preserve">DT Global has identified that TASP </w:t>
      </w:r>
      <w:r w:rsidR="00803363">
        <w:t>took</w:t>
      </w:r>
      <w:r>
        <w:t xml:space="preserve"> up a </w:t>
      </w:r>
      <w:r w:rsidR="0093537B">
        <w:t xml:space="preserve">relatively </w:t>
      </w:r>
      <w:r>
        <w:t>higher proportion of head office time than other DFAT facilities.</w:t>
      </w:r>
      <w:r w:rsidR="003771CC">
        <w:t xml:space="preserve"> </w:t>
      </w:r>
      <w:r w:rsidR="0011652E">
        <w:t>This is attributed to:</w:t>
      </w:r>
      <w:r w:rsidR="00097721">
        <w:t xml:space="preserve"> a </w:t>
      </w:r>
      <w:r w:rsidR="003771CC">
        <w:t xml:space="preserve">lack of </w:t>
      </w:r>
      <w:r w:rsidR="00D630AE">
        <w:t>a</w:t>
      </w:r>
      <w:r w:rsidR="003771CC">
        <w:t>vai</w:t>
      </w:r>
      <w:r w:rsidR="00D630AE">
        <w:t>l</w:t>
      </w:r>
      <w:r w:rsidR="003771CC">
        <w:t>able skilled staff in Tonga and</w:t>
      </w:r>
      <w:r w:rsidR="00D630AE">
        <w:t xml:space="preserve"> difficulties recruiting staff in the first year of the program during </w:t>
      </w:r>
      <w:r w:rsidR="003771CC">
        <w:t>COVID</w:t>
      </w:r>
      <w:r w:rsidR="0011652E">
        <w:t xml:space="preserve">; </w:t>
      </w:r>
      <w:r w:rsidR="00162886">
        <w:t xml:space="preserve">and </w:t>
      </w:r>
      <w:r w:rsidR="0011652E">
        <w:t>local recruitments whenever possible to support Tonga based technical support and program delivery</w:t>
      </w:r>
      <w:r w:rsidR="005F6711">
        <w:t xml:space="preserve">.  </w:t>
      </w:r>
      <w:r w:rsidR="009D4E1F">
        <w:t xml:space="preserve">Slow creation and rollout </w:t>
      </w:r>
      <w:r w:rsidR="005F6711">
        <w:t xml:space="preserve">of </w:t>
      </w:r>
      <w:r w:rsidR="009D4E1F">
        <w:t xml:space="preserve">operational </w:t>
      </w:r>
      <w:r w:rsidR="005F6711">
        <w:t>policies and processes (financial management and governance)</w:t>
      </w:r>
      <w:r w:rsidR="003E2216">
        <w:t xml:space="preserve"> have required additional head office support</w:t>
      </w:r>
      <w:r w:rsidR="009D4E1F">
        <w:t>,</w:t>
      </w:r>
      <w:r w:rsidR="003E2216">
        <w:t xml:space="preserve"> but this</w:t>
      </w:r>
      <w:r w:rsidR="00097721">
        <w:t xml:space="preserve"> </w:t>
      </w:r>
      <w:r w:rsidR="003E2216">
        <w:t>is becoming less as the program evolves</w:t>
      </w:r>
      <w:r w:rsidR="009D4E1F">
        <w:t xml:space="preserve"> and staff capacity grows</w:t>
      </w:r>
      <w:r w:rsidR="003E2216">
        <w:t xml:space="preserve">. </w:t>
      </w:r>
      <w:r w:rsidR="00097721">
        <w:t xml:space="preserve">This additional head office </w:t>
      </w:r>
      <w:r w:rsidR="009D4E1F">
        <w:t>input is</w:t>
      </w:r>
      <w:r w:rsidR="00370EA9">
        <w:t xml:space="preserve"> drawn from the</w:t>
      </w:r>
      <w:r w:rsidR="00E05AE1">
        <w:t xml:space="preserve"> </w:t>
      </w:r>
      <w:r w:rsidR="00370EA9">
        <w:t>contractor</w:t>
      </w:r>
      <w:r w:rsidR="00E05AE1">
        <w:t>’</w:t>
      </w:r>
      <w:r w:rsidR="00370EA9">
        <w:t>s management fee and ha</w:t>
      </w:r>
      <w:r w:rsidR="009D4E1F">
        <w:t>s</w:t>
      </w:r>
      <w:r w:rsidR="00370EA9">
        <w:t xml:space="preserve"> not required additional resourc</w:t>
      </w:r>
      <w:r w:rsidR="009D4E1F">
        <w:t>ing.</w:t>
      </w:r>
      <w:r w:rsidR="00653828">
        <w:rPr>
          <w:rStyle w:val="FootnoteReference"/>
        </w:rPr>
        <w:footnoteReference w:id="23"/>
      </w:r>
      <w:r w:rsidR="009D4E1F">
        <w:t xml:space="preserve"> </w:t>
      </w:r>
      <w:r w:rsidR="007E7921">
        <w:t xml:space="preserve">Some modifications to the </w:t>
      </w:r>
      <w:r w:rsidR="007E7921">
        <w:lastRenderedPageBreak/>
        <w:t xml:space="preserve">staffing cohort </w:t>
      </w:r>
      <w:r w:rsidR="009D4E1F">
        <w:t xml:space="preserve">in Tonga </w:t>
      </w:r>
      <w:r w:rsidR="007E7921">
        <w:t xml:space="preserve">are being made for the final year of the contract – such as a new </w:t>
      </w:r>
      <w:r w:rsidR="00B62349">
        <w:t xml:space="preserve">strategic advisor to support the director (particularly with report writing) and a </w:t>
      </w:r>
      <w:r w:rsidR="004E27BC">
        <w:t>procurement advisor.</w:t>
      </w:r>
    </w:p>
    <w:p w14:paraId="2EEB74F9" w14:textId="633F2715" w:rsidR="00FA4E6C" w:rsidRDefault="00D45103" w:rsidP="00FA4E6C">
      <w:r w:rsidRPr="0047075C">
        <w:t xml:space="preserve">The facility was designed to </w:t>
      </w:r>
      <w:proofErr w:type="gramStart"/>
      <w:r w:rsidRPr="0047075C">
        <w:t xml:space="preserve">be </w:t>
      </w:r>
      <w:r w:rsidR="004B5BF6" w:rsidRPr="0047075C">
        <w:t>located in</w:t>
      </w:r>
      <w:proofErr w:type="gramEnd"/>
      <w:r w:rsidR="004B5BF6" w:rsidRPr="0047075C">
        <w:t xml:space="preserve"> Tonga</w:t>
      </w:r>
      <w:r w:rsidR="00AB2403" w:rsidRPr="0047075C">
        <w:t>.</w:t>
      </w:r>
      <w:r w:rsidR="007D7759" w:rsidRPr="0047075C">
        <w:t xml:space="preserve"> Most TASP staff are Tongan </w:t>
      </w:r>
      <w:r w:rsidR="00DF3B1E">
        <w:t>nationals</w:t>
      </w:r>
      <w:r w:rsidR="00DF3B1E" w:rsidRPr="0047075C">
        <w:t xml:space="preserve"> </w:t>
      </w:r>
      <w:r w:rsidR="007D7759" w:rsidRPr="0047075C">
        <w:t xml:space="preserve">and because of </w:t>
      </w:r>
      <w:r w:rsidR="00027407" w:rsidRPr="0047075C">
        <w:t xml:space="preserve">difficulties recruiting and retaining international LTAs some of the positions designed for LTAs are now filled by local staff.  </w:t>
      </w:r>
      <w:r w:rsidR="00C03642" w:rsidRPr="0047075C">
        <w:t xml:space="preserve">In some </w:t>
      </w:r>
      <w:proofErr w:type="gramStart"/>
      <w:r w:rsidR="00C03642" w:rsidRPr="0047075C">
        <w:t>cases</w:t>
      </w:r>
      <w:proofErr w:type="gramEnd"/>
      <w:r w:rsidR="00C03642" w:rsidRPr="0047075C">
        <w:t xml:space="preserve"> difficulty recruiting international </w:t>
      </w:r>
      <w:r w:rsidR="00D50D4E" w:rsidRPr="0047075C">
        <w:t xml:space="preserve">advisors and challenges finding highly skilled local staff meant that </w:t>
      </w:r>
      <w:r w:rsidR="00BB233E">
        <w:t xml:space="preserve">creative </w:t>
      </w:r>
      <w:r w:rsidR="00D50D4E" w:rsidRPr="0047075C">
        <w:t>work arounds had to be found</w:t>
      </w:r>
      <w:r w:rsidR="00BB233E">
        <w:t xml:space="preserve"> (such as mentoring</w:t>
      </w:r>
      <w:r w:rsidR="009D3A16">
        <w:t xml:space="preserve"> and some additional STA supports</w:t>
      </w:r>
      <w:r w:rsidR="00BB233E">
        <w:t>)</w:t>
      </w:r>
      <w:r w:rsidR="00D50D4E" w:rsidRPr="0047075C">
        <w:t xml:space="preserve">.  </w:t>
      </w:r>
      <w:r w:rsidR="006F350F" w:rsidRPr="0047075C">
        <w:t xml:space="preserve">However, the TASP team and DFAT have noted </w:t>
      </w:r>
      <w:r w:rsidR="009D3A16">
        <w:t>the positive impacts of</w:t>
      </w:r>
      <w:r w:rsidR="006F350F">
        <w:t xml:space="preserve"> some of these work arounds </w:t>
      </w:r>
      <w:r w:rsidR="009D3A16">
        <w:t xml:space="preserve">such as </w:t>
      </w:r>
      <w:r w:rsidR="006F350F">
        <w:t>recruitment of local staff with local context</w:t>
      </w:r>
      <w:r w:rsidR="006D6831">
        <w:t xml:space="preserve">, experience </w:t>
      </w:r>
      <w:r w:rsidR="006F350F">
        <w:t>and cultural</w:t>
      </w:r>
      <w:r w:rsidR="006D6831">
        <w:t xml:space="preserve"> awareness that </w:t>
      </w:r>
      <w:r w:rsidR="005D35CC">
        <w:t>are</w:t>
      </w:r>
      <w:r w:rsidR="006D6831">
        <w:t xml:space="preserve"> likely to lead to </w:t>
      </w:r>
      <w:r w:rsidR="005D35CC">
        <w:t>more locally led development</w:t>
      </w:r>
      <w:r w:rsidR="006D6831">
        <w:t xml:space="preserve"> results in the long</w:t>
      </w:r>
      <w:r w:rsidR="005D35CC">
        <w:t>er</w:t>
      </w:r>
      <w:r w:rsidR="006D6831">
        <w:t xml:space="preserve"> term. </w:t>
      </w:r>
      <w:r w:rsidR="00BC0399">
        <w:t xml:space="preserve">(see </w:t>
      </w:r>
      <w:hyperlink w:anchor="_Key_Findings_and" w:history="1">
        <w:r w:rsidR="00BC0399" w:rsidRPr="00AD47E1">
          <w:rPr>
            <w:rStyle w:val="Hyperlink"/>
          </w:rPr>
          <w:t>KEQ7</w:t>
        </w:r>
      </w:hyperlink>
      <w:r w:rsidR="00BC0399">
        <w:t xml:space="preserve"> for lessons around Locally Led Development)</w:t>
      </w:r>
      <w:r w:rsidR="00A60365">
        <w:t>.</w:t>
      </w:r>
    </w:p>
    <w:p w14:paraId="50DC93EC" w14:textId="2C8D6144" w:rsidR="00C01F10" w:rsidRPr="00C14255" w:rsidRDefault="00C01F10" w:rsidP="00E211B8">
      <w:pPr>
        <w:pStyle w:val="Heading2"/>
        <w:rPr>
          <w:color w:val="505050" w:themeColor="accent6" w:themeShade="80"/>
        </w:rPr>
      </w:pPr>
      <w:bookmarkStart w:id="25" w:name="_VfM_of_multi-sector"/>
      <w:bookmarkStart w:id="26" w:name="_Toc183423580"/>
      <w:bookmarkEnd w:id="25"/>
      <w:r w:rsidRPr="00C14255">
        <w:rPr>
          <w:color w:val="505050" w:themeColor="accent6" w:themeShade="80"/>
        </w:rPr>
        <w:t>VfM of multi-sector activities and technical advisory services</w:t>
      </w:r>
      <w:bookmarkEnd w:id="26"/>
    </w:p>
    <w:p w14:paraId="56BE0194" w14:textId="62EB9269" w:rsidR="00C01F10" w:rsidRDefault="000F1258" w:rsidP="00A348C7">
      <w:r w:rsidRPr="00594011">
        <w:t>Delivery approaches</w:t>
      </w:r>
      <w:r w:rsidR="00AA0E2A" w:rsidRPr="00594011">
        <w:t>, including technical advice,</w:t>
      </w:r>
      <w:r w:rsidRPr="00594011">
        <w:t xml:space="preserve"> are mostly working well</w:t>
      </w:r>
      <w:r>
        <w:t xml:space="preserve"> with a range of modalities including in country LTAs, flexible core grants, streamlined reporting</w:t>
      </w:r>
      <w:r w:rsidR="00AB2CDA">
        <w:t xml:space="preserve"> across the Facility</w:t>
      </w:r>
      <w:r>
        <w:t xml:space="preserve">. </w:t>
      </w:r>
      <w:r w:rsidR="00C01F10">
        <w:t>TASP staff, including Advisors embedded in Ministries reported satisfaction with the TASP management arrangements and their roles, and were starting to engage more as</w:t>
      </w:r>
      <w:r w:rsidR="00E712A4">
        <w:t xml:space="preserve"> ‘one t</w:t>
      </w:r>
      <w:r w:rsidR="00C01F10">
        <w:t>eam</w:t>
      </w:r>
      <w:r w:rsidR="00E712A4">
        <w:t>’</w:t>
      </w:r>
      <w:r w:rsidR="00C01F10">
        <w:t xml:space="preserve"> and seeing some value in cross pillar collaboration.</w:t>
      </w:r>
      <w:r w:rsidR="0081158D">
        <w:t xml:space="preserve"> </w:t>
      </w:r>
    </w:p>
    <w:p w14:paraId="5F3EC1DC" w14:textId="63D952DC" w:rsidR="000A4436" w:rsidRDefault="000A4436" w:rsidP="005F7056">
      <w:r w:rsidRPr="00ED12A9">
        <w:t>THPF is an important participant in the delivery of the Tonga National Strategy for the Prevention and Control of Non-communicable Diseases (NCDs). A review commissioned by DFAT and administered by TASP of THPF found that “</w:t>
      </w:r>
      <w:proofErr w:type="spellStart"/>
      <w:r w:rsidRPr="00ED12A9">
        <w:t>TongaHealth</w:t>
      </w:r>
      <w:proofErr w:type="spellEnd"/>
      <w:r w:rsidRPr="00ED12A9">
        <w:t xml:space="preserve"> is not on track to achieve its mandate under the NCD Strategy” (pg. 19) and that “the most significant barriers to delivery are internal, namely the significant capacity gaps in the </w:t>
      </w:r>
      <w:proofErr w:type="spellStart"/>
      <w:r w:rsidRPr="00ED12A9">
        <w:t>TongaHealth</w:t>
      </w:r>
      <w:proofErr w:type="spellEnd"/>
      <w:r w:rsidRPr="00ED12A9">
        <w:t xml:space="preserve"> team (e.g. in health, M&amp;E, project management, grants management and financial management), the team’s focus on grant administration rather than the broader suite of functions in </w:t>
      </w:r>
      <w:proofErr w:type="spellStart"/>
      <w:r w:rsidRPr="00ED12A9">
        <w:t>TongaHealth’s</w:t>
      </w:r>
      <w:proofErr w:type="spellEnd"/>
      <w:r w:rsidRPr="00ED12A9">
        <w:t xml:space="preserve"> mandate, and the lack of functioning governance and accountability mechanisms” (pg.9)</w:t>
      </w:r>
      <w:r w:rsidRPr="000A4436">
        <w:t xml:space="preserve"> </w:t>
      </w:r>
      <w:r>
        <w:t>”</w:t>
      </w:r>
      <w:r w:rsidRPr="00ED12A9">
        <w:footnoteReference w:id="24"/>
      </w:r>
      <w:r w:rsidRPr="00ED12A9">
        <w:t xml:space="preserve"> The review recommended that “If </w:t>
      </w:r>
      <w:proofErr w:type="spellStart"/>
      <w:r w:rsidRPr="00ED12A9">
        <w:t>TongaHealth</w:t>
      </w:r>
      <w:proofErr w:type="spellEnd"/>
      <w:r w:rsidRPr="00ED12A9">
        <w:t xml:space="preserve"> is unable to make adequate progress against the revised workplan, consideration should be given to a partial or full withdrawal of DFAT funding from </w:t>
      </w:r>
      <w:proofErr w:type="spellStart"/>
      <w:r w:rsidRPr="00ED12A9">
        <w:t>TongaHealth</w:t>
      </w:r>
      <w:proofErr w:type="spellEnd"/>
      <w:r w:rsidRPr="00ED12A9">
        <w:t>, which could instead be reallocated to directly funding the HPU, other organisations and short-term advisers</w:t>
      </w:r>
    </w:p>
    <w:p w14:paraId="6B8CF377" w14:textId="2A64A276" w:rsidR="00651EE1" w:rsidRDefault="001C2B14" w:rsidP="000307E3">
      <w:r w:rsidRPr="00451ACB">
        <w:t xml:space="preserve">A key </w:t>
      </w:r>
      <w:r w:rsidR="008F629E" w:rsidRPr="00451ACB">
        <w:t xml:space="preserve">success </w:t>
      </w:r>
      <w:r w:rsidR="00D67B48" w:rsidRPr="00451ACB">
        <w:t>factor in assess</w:t>
      </w:r>
      <w:r w:rsidR="000307E3" w:rsidRPr="00451ACB">
        <w:t>ing</w:t>
      </w:r>
      <w:r w:rsidR="00D67B48" w:rsidRPr="00451ACB">
        <w:t xml:space="preserve"> the </w:t>
      </w:r>
      <w:r w:rsidR="000F1258" w:rsidRPr="00451ACB">
        <w:t>Value for Money</w:t>
      </w:r>
      <w:r w:rsidR="008661F6" w:rsidRPr="00451ACB">
        <w:t xml:space="preserve"> </w:t>
      </w:r>
      <w:r w:rsidR="00D67B48" w:rsidRPr="00451ACB">
        <w:t xml:space="preserve">for DFAT is if the facility </w:t>
      </w:r>
      <w:r w:rsidR="006977EA" w:rsidRPr="00451ACB">
        <w:t xml:space="preserve">is </w:t>
      </w:r>
      <w:r w:rsidR="000F1258" w:rsidRPr="00594011">
        <w:t xml:space="preserve">relieving </w:t>
      </w:r>
      <w:r w:rsidR="006977EA" w:rsidRPr="00594011">
        <w:t xml:space="preserve">the small </w:t>
      </w:r>
      <w:r w:rsidR="000F1258" w:rsidRPr="00594011">
        <w:t xml:space="preserve">DFAT </w:t>
      </w:r>
      <w:r w:rsidR="006977EA" w:rsidRPr="00594011">
        <w:t xml:space="preserve">Tonga Post </w:t>
      </w:r>
      <w:r w:rsidR="000F1258" w:rsidRPr="00594011">
        <w:t xml:space="preserve">of significant work. </w:t>
      </w:r>
      <w:r w:rsidR="006977EA" w:rsidRPr="00594011">
        <w:t>This has been part</w:t>
      </w:r>
      <w:r w:rsidR="00651EE1" w:rsidRPr="00594011">
        <w:t>ial</w:t>
      </w:r>
      <w:r w:rsidR="006977EA" w:rsidRPr="00594011">
        <w:t>ly achieved</w:t>
      </w:r>
      <w:r w:rsidR="00044097" w:rsidRPr="00044097">
        <w:t xml:space="preserve"> </w:t>
      </w:r>
      <w:r w:rsidR="00044097">
        <w:t>with TASP e</w:t>
      </w:r>
      <w:r w:rsidR="00044097" w:rsidRPr="00D70E1E">
        <w:t xml:space="preserve">nabling support through the </w:t>
      </w:r>
      <w:r w:rsidR="00044097">
        <w:t>p</w:t>
      </w:r>
      <w:r w:rsidR="00044097" w:rsidRPr="00D70E1E">
        <w:t xml:space="preserve">rocurement </w:t>
      </w:r>
      <w:r w:rsidR="00044097">
        <w:t>a</w:t>
      </w:r>
      <w:r w:rsidR="00044097" w:rsidRPr="00D70E1E">
        <w:t xml:space="preserve">dvisor, </w:t>
      </w:r>
      <w:r w:rsidR="00044097">
        <w:t>o</w:t>
      </w:r>
      <w:r w:rsidR="00044097" w:rsidRPr="00D70E1E">
        <w:t xml:space="preserve">perations staff and </w:t>
      </w:r>
      <w:r w:rsidR="00044097">
        <w:t>g</w:t>
      </w:r>
      <w:r w:rsidR="00044097" w:rsidRPr="00D70E1E">
        <w:t xml:space="preserve">rants </w:t>
      </w:r>
      <w:r w:rsidR="00044097">
        <w:t>m</w:t>
      </w:r>
      <w:r w:rsidR="00044097" w:rsidRPr="00D70E1E">
        <w:t xml:space="preserve">anager, and through the strategic opportunities </w:t>
      </w:r>
      <w:r w:rsidR="00044097">
        <w:t>mechanism</w:t>
      </w:r>
      <w:r w:rsidR="0047686E">
        <w:t xml:space="preserve"> which</w:t>
      </w:r>
      <w:r w:rsidR="00044097" w:rsidRPr="00D70E1E">
        <w:t xml:space="preserve"> has relieved DFAT of the day-to-day administration, management and due diligence re</w:t>
      </w:r>
      <w:r w:rsidR="00044097">
        <w:t xml:space="preserve">quired to implement the </w:t>
      </w:r>
      <w:r w:rsidR="00044097" w:rsidRPr="00D70E1E">
        <w:t>task</w:t>
      </w:r>
      <w:r w:rsidR="00044097">
        <w:t>ing</w:t>
      </w:r>
      <w:r w:rsidR="00044097" w:rsidRPr="00D70E1E">
        <w:t xml:space="preserve"> notes and the CSO grant</w:t>
      </w:r>
      <w:r w:rsidR="0047686E">
        <w:t>s</w:t>
      </w:r>
      <w:r w:rsidR="00044097" w:rsidRPr="00D70E1E">
        <w:t xml:space="preserve"> program.</w:t>
      </w:r>
      <w:r w:rsidR="00D8640D">
        <w:t xml:space="preserve"> </w:t>
      </w:r>
      <w:r w:rsidR="00D422D3">
        <w:t>However</w:t>
      </w:r>
      <w:r w:rsidR="00E25BF9">
        <w:t>,</w:t>
      </w:r>
      <w:r w:rsidR="00D422D3">
        <w:t xml:space="preserve"> DFAT reported that there </w:t>
      </w:r>
      <w:r w:rsidR="00651EE1">
        <w:t xml:space="preserve">has been </w:t>
      </w:r>
      <w:r w:rsidR="00317012">
        <w:t>significant ongoing work</w:t>
      </w:r>
      <w:r w:rsidR="008B4483">
        <w:t xml:space="preserve"> by DFAT staff </w:t>
      </w:r>
      <w:r w:rsidR="00AE07C0">
        <w:t xml:space="preserve">in </w:t>
      </w:r>
      <w:r w:rsidR="008B4483">
        <w:t xml:space="preserve">Tonga and </w:t>
      </w:r>
      <w:r w:rsidR="00AE07C0">
        <w:t>addition</w:t>
      </w:r>
      <w:r w:rsidR="0089270F">
        <w:t>al</w:t>
      </w:r>
      <w:r w:rsidR="00AE07C0">
        <w:t xml:space="preserve"> </w:t>
      </w:r>
      <w:r w:rsidR="008B4483">
        <w:t>STA</w:t>
      </w:r>
      <w:r w:rsidR="00AE07C0">
        <w:t>s</w:t>
      </w:r>
      <w:r w:rsidR="00317012">
        <w:t xml:space="preserve"> to support the design of GEDSI and </w:t>
      </w:r>
      <w:r w:rsidR="00DB2953">
        <w:t>skills and labour mobility pillars.</w:t>
      </w:r>
      <w:r w:rsidR="000307E3">
        <w:t xml:space="preserve"> </w:t>
      </w:r>
      <w:r w:rsidR="00E14E84">
        <w:t>AHC</w:t>
      </w:r>
      <w:r w:rsidR="00E14E84" w:rsidRPr="00651EE1">
        <w:t xml:space="preserve"> </w:t>
      </w:r>
      <w:r w:rsidR="00651EE1" w:rsidRPr="00651EE1">
        <w:t xml:space="preserve">Program Managers </w:t>
      </w:r>
      <w:r w:rsidR="001D6DBD">
        <w:t xml:space="preserve">engage </w:t>
      </w:r>
      <w:r w:rsidR="007B436B">
        <w:t>closely with TASP advisors</w:t>
      </w:r>
      <w:r w:rsidR="00C81B42">
        <w:t xml:space="preserve"> as necessary and reported that they were starting to draw back to a </w:t>
      </w:r>
      <w:proofErr w:type="gramStart"/>
      <w:r w:rsidR="00C81B42">
        <w:t>higher level</w:t>
      </w:r>
      <w:proofErr w:type="gramEnd"/>
      <w:r w:rsidR="00C81B42">
        <w:t xml:space="preserve"> engagement where possible</w:t>
      </w:r>
      <w:r w:rsidR="0035766F">
        <w:t>.</w:t>
      </w:r>
      <w:r w:rsidR="00EA040B">
        <w:t xml:space="preserve"> </w:t>
      </w:r>
      <w:r w:rsidR="00651EE1" w:rsidRPr="00651EE1">
        <w:t xml:space="preserve">Building trust, good WoW and clear lines of reporting and mechanisms for discussion and vigorous debate were seen as fundamental to DFAT </w:t>
      </w:r>
      <w:r w:rsidR="0035766F">
        <w:t xml:space="preserve">program </w:t>
      </w:r>
      <w:r w:rsidR="00651EE1" w:rsidRPr="00651EE1">
        <w:t xml:space="preserve">managers </w:t>
      </w:r>
      <w:r w:rsidR="00F36969">
        <w:t>feeling confident to do less micro</w:t>
      </w:r>
      <w:r w:rsidR="0079760A">
        <w:t>-</w:t>
      </w:r>
      <w:r w:rsidR="00F36969">
        <w:t xml:space="preserve">management.  </w:t>
      </w:r>
      <w:r w:rsidR="004D3461">
        <w:t xml:space="preserve">For </w:t>
      </w:r>
      <w:r w:rsidR="00F36969">
        <w:t>policy engagement</w:t>
      </w:r>
      <w:r w:rsidR="004D3461">
        <w:t>,</w:t>
      </w:r>
      <w:r w:rsidR="00F36969">
        <w:t xml:space="preserve"> the involvement of </w:t>
      </w:r>
      <w:r w:rsidR="00B56472">
        <w:t xml:space="preserve">senior AHC staff was still high </w:t>
      </w:r>
      <w:r w:rsidR="009E6A87">
        <w:t xml:space="preserve">(as </w:t>
      </w:r>
      <w:r w:rsidR="0009646E">
        <w:t xml:space="preserve">is </w:t>
      </w:r>
      <w:r w:rsidR="009E6A87">
        <w:t xml:space="preserve">appropriate) </w:t>
      </w:r>
      <w:r w:rsidR="00B56472">
        <w:t>and is expected to remain high</w:t>
      </w:r>
      <w:r w:rsidR="00651EE1" w:rsidRPr="00651EE1">
        <w:t>.</w:t>
      </w:r>
    </w:p>
    <w:p w14:paraId="30657624" w14:textId="0AC623F1" w:rsidR="00A00C7D" w:rsidRPr="00651EE1" w:rsidRDefault="009A0B6E" w:rsidP="008D4921">
      <w:r w:rsidRPr="009A3AF0">
        <w:t>MEL</w:t>
      </w:r>
      <w:r w:rsidR="00B43314" w:rsidRPr="009A3AF0">
        <w:t xml:space="preserve"> advisory services and remo</w:t>
      </w:r>
      <w:r w:rsidR="0086198B" w:rsidRPr="009A3AF0">
        <w:t>t</w:t>
      </w:r>
      <w:r w:rsidR="00B43314" w:rsidRPr="009A3AF0">
        <w:t xml:space="preserve">e TA support is providing VFM </w:t>
      </w:r>
      <w:r w:rsidRPr="009A3AF0">
        <w:t>for the</w:t>
      </w:r>
      <w:r w:rsidR="00D329A5" w:rsidRPr="009A3AF0">
        <w:t xml:space="preserve"> whole of program</w:t>
      </w:r>
      <w:r w:rsidR="0009646E">
        <w:t xml:space="preserve"> and</w:t>
      </w:r>
      <w:r w:rsidR="009C163F" w:rsidRPr="009A3AF0">
        <w:t xml:space="preserve"> each </w:t>
      </w:r>
      <w:proofErr w:type="gramStart"/>
      <w:r w:rsidR="009C163F" w:rsidRPr="009A3AF0">
        <w:t>pillar</w:t>
      </w:r>
      <w:r w:rsidR="0009646E">
        <w:t>,</w:t>
      </w:r>
      <w:r w:rsidR="009C163F">
        <w:t xml:space="preserve"> and</w:t>
      </w:r>
      <w:proofErr w:type="gramEnd"/>
      <w:r w:rsidR="009C163F">
        <w:t xml:space="preserve"> </w:t>
      </w:r>
      <w:r>
        <w:t>is</w:t>
      </w:r>
      <w:r w:rsidR="00C52A25">
        <w:t xml:space="preserve"> building </w:t>
      </w:r>
      <w:proofErr w:type="spellStart"/>
      <w:r w:rsidR="00C52A25">
        <w:t>GoT</w:t>
      </w:r>
      <w:proofErr w:type="spellEnd"/>
      <w:r w:rsidR="00C52A25">
        <w:t xml:space="preserve"> and CSO </w:t>
      </w:r>
      <w:r>
        <w:t xml:space="preserve">MEL </w:t>
      </w:r>
      <w:r w:rsidR="00C52A25">
        <w:t>capacity.</w:t>
      </w:r>
      <w:r w:rsidR="008D4921" w:rsidRPr="008F629E">
        <w:t xml:space="preserve">  </w:t>
      </w:r>
      <w:r w:rsidR="00A00C7D" w:rsidRPr="008F629E">
        <w:t xml:space="preserve">The MEL program and support </w:t>
      </w:r>
      <w:r w:rsidR="002406EB">
        <w:t xml:space="preserve">(working across the whole program) </w:t>
      </w:r>
      <w:r w:rsidR="00A00C7D" w:rsidRPr="008F629E">
        <w:t xml:space="preserve">is adequately funded with remote MEL support </w:t>
      </w:r>
      <w:r w:rsidR="0086198B">
        <w:t>from</w:t>
      </w:r>
      <w:r w:rsidR="00A00C7D" w:rsidRPr="008F629E">
        <w:t xml:space="preserve"> Clear Horizon </w:t>
      </w:r>
      <w:r w:rsidR="000307E3" w:rsidRPr="008F629E">
        <w:t>STA</w:t>
      </w:r>
      <w:r>
        <w:t xml:space="preserve"> as needed</w:t>
      </w:r>
      <w:r w:rsidR="007A3D59">
        <w:t xml:space="preserve">. </w:t>
      </w:r>
      <w:r w:rsidR="00A00C7D" w:rsidRPr="008F629E">
        <w:t xml:space="preserve"> </w:t>
      </w:r>
      <w:r w:rsidR="004C4BF6">
        <w:t xml:space="preserve">The </w:t>
      </w:r>
      <w:r w:rsidR="00CE2B4F">
        <w:t xml:space="preserve">Mid-Year Progress (Updated) - 2024 Report </w:t>
      </w:r>
      <w:r w:rsidR="004C4BF6">
        <w:t>identified the</w:t>
      </w:r>
      <w:r w:rsidR="001A484C">
        <w:t xml:space="preserve"> need to reduce the resource i</w:t>
      </w:r>
      <w:r w:rsidR="004C4BF6">
        <w:t>nte</w:t>
      </w:r>
      <w:r w:rsidR="001A484C">
        <w:t>ns</w:t>
      </w:r>
      <w:r w:rsidR="004C4BF6">
        <w:t>iveness of some MEL activities</w:t>
      </w:r>
      <w:r w:rsidR="001A484C">
        <w:t>. The Evaluation found that the</w:t>
      </w:r>
      <w:r w:rsidR="001A484C" w:rsidRPr="0086198B">
        <w:t xml:space="preserve"> new MEL Advisor has </w:t>
      </w:r>
      <w:r w:rsidR="005F7056" w:rsidRPr="0086198B">
        <w:t>implem</w:t>
      </w:r>
      <w:r w:rsidR="005F7056">
        <w:t xml:space="preserve">ented </w:t>
      </w:r>
      <w:r w:rsidR="005F7056" w:rsidRPr="0086198B">
        <w:t>changes</w:t>
      </w:r>
      <w:r w:rsidR="00CE2B4F">
        <w:t xml:space="preserve"> </w:t>
      </w:r>
      <w:r w:rsidR="00EF380A" w:rsidRPr="0086198B">
        <w:t xml:space="preserve">within the MEL system </w:t>
      </w:r>
      <w:r w:rsidR="00CE2B4F">
        <w:lastRenderedPageBreak/>
        <w:t>(streamlining and reducing double reporting)</w:t>
      </w:r>
      <w:r w:rsidR="001A484C" w:rsidRPr="0086198B">
        <w:t xml:space="preserve"> to reduce the burden of reporting for TASP staff and to provide greater opportunities for real time </w:t>
      </w:r>
      <w:r w:rsidR="00CE2B4F">
        <w:t>d</w:t>
      </w:r>
      <w:r w:rsidR="001A484C" w:rsidRPr="0086198B">
        <w:t>ashboard presentation of results. A new MEL Officer will support the MEL Advisor</w:t>
      </w:r>
      <w:r w:rsidR="007741D9">
        <w:t>,</w:t>
      </w:r>
      <w:r w:rsidR="001A484C" w:rsidRPr="0086198B">
        <w:t xml:space="preserve"> and </w:t>
      </w:r>
      <w:r w:rsidR="00A00C7D" w:rsidRPr="008F629E">
        <w:t>a</w:t>
      </w:r>
      <w:r w:rsidR="001A484C">
        <w:t xml:space="preserve"> new</w:t>
      </w:r>
      <w:r w:rsidR="00A00C7D" w:rsidRPr="008F629E">
        <w:t xml:space="preserve"> </w:t>
      </w:r>
      <w:r w:rsidR="007A3D59">
        <w:t>s</w:t>
      </w:r>
      <w:r w:rsidR="00A00C7D" w:rsidRPr="008F629E">
        <w:t xml:space="preserve">trategic </w:t>
      </w:r>
      <w:r w:rsidR="007A3D59">
        <w:t>a</w:t>
      </w:r>
      <w:r w:rsidR="00A00C7D" w:rsidRPr="008F629E">
        <w:t xml:space="preserve">dvisor </w:t>
      </w:r>
      <w:r w:rsidR="007741D9">
        <w:t>will</w:t>
      </w:r>
      <w:r w:rsidR="007741D9" w:rsidRPr="008F629E">
        <w:t xml:space="preserve"> </w:t>
      </w:r>
      <w:r w:rsidR="00A00C7D" w:rsidRPr="008F629E">
        <w:t>support the Director with reporting writing and research</w:t>
      </w:r>
      <w:r w:rsidR="001F2FC0">
        <w:t xml:space="preserve">, </w:t>
      </w:r>
      <w:r w:rsidR="00F80D05">
        <w:t>working</w:t>
      </w:r>
      <w:r w:rsidR="0086198B">
        <w:t xml:space="preserve"> </w:t>
      </w:r>
      <w:r w:rsidR="00A00C7D" w:rsidRPr="008F629E">
        <w:t>close</w:t>
      </w:r>
      <w:r w:rsidR="001F2FC0">
        <w:t>ly</w:t>
      </w:r>
      <w:r w:rsidR="00A00C7D" w:rsidRPr="008F629E">
        <w:t xml:space="preserve"> with the MEL Advisor</w:t>
      </w:r>
      <w:r w:rsidR="000B1D53">
        <w:t>. This is expected to</w:t>
      </w:r>
      <w:r w:rsidR="00A00C7D" w:rsidRPr="008F629E">
        <w:t xml:space="preserve"> meet all program needs in the MEL and Reporting area.</w:t>
      </w:r>
    </w:p>
    <w:p w14:paraId="42505BEC" w14:textId="77777777" w:rsidR="000C4477" w:rsidRPr="00C14255" w:rsidRDefault="000C4477" w:rsidP="00920B6C">
      <w:pPr>
        <w:pStyle w:val="Heading2"/>
        <w:rPr>
          <w:color w:val="505050" w:themeColor="accent6" w:themeShade="80"/>
        </w:rPr>
      </w:pPr>
      <w:bookmarkStart w:id="27" w:name="_Toc183423581"/>
      <w:r w:rsidRPr="00C14255">
        <w:rPr>
          <w:color w:val="505050" w:themeColor="accent6" w:themeShade="80"/>
        </w:rPr>
        <w:t>Cross sectoral collaboration and coherence</w:t>
      </w:r>
      <w:bookmarkEnd w:id="27"/>
    </w:p>
    <w:p w14:paraId="28EE03F9" w14:textId="77777777" w:rsidR="00CA3B30" w:rsidRDefault="00CA3B30" w:rsidP="00CA3B30">
      <w:pPr>
        <w:pStyle w:val="Heading3"/>
      </w:pPr>
      <w:r>
        <w:t>Collaboration</w:t>
      </w:r>
    </w:p>
    <w:p w14:paraId="6F0E0796" w14:textId="77777777" w:rsidR="0071786E" w:rsidRDefault="007A502E" w:rsidP="00A348C7">
      <w:r>
        <w:t>TASP is starting to see achievements in cross sectoral collaboration</w:t>
      </w:r>
      <w:r w:rsidR="0071786E">
        <w:t xml:space="preserve"> in 2024.</w:t>
      </w:r>
    </w:p>
    <w:p w14:paraId="644D608E" w14:textId="57B4C2A1" w:rsidR="00CA43D6" w:rsidRDefault="0071786E" w:rsidP="0071786E">
      <w:r>
        <w:t>T</w:t>
      </w:r>
      <w:r w:rsidR="000F1258">
        <w:t>he</w:t>
      </w:r>
      <w:r w:rsidR="00B56472">
        <w:t xml:space="preserve"> </w:t>
      </w:r>
      <w:r w:rsidR="00E86674">
        <w:t xml:space="preserve">Gender Equity Pillar is starting to collaborate across pillars. </w:t>
      </w:r>
      <w:r w:rsidR="00E86674" w:rsidRPr="00543A5D">
        <w:t xml:space="preserve">TASP’s modality has enabled a more strategic and consistent approach to promoting GEDSI across pillars. TASP has developed a GEDSI Action Plan to guide this work (aligned to the DFAT Tonga Gender Country Plan, which TASP also supported). </w:t>
      </w:r>
    </w:p>
    <w:p w14:paraId="1DF12406" w14:textId="4CEDD73A" w:rsidR="00543A5D" w:rsidRPr="0071786E" w:rsidRDefault="00CA43D6" w:rsidP="0071786E">
      <w:pPr>
        <w:rPr>
          <w:noProof/>
          <w:sz w:val="18"/>
          <w:szCs w:val="18"/>
        </w:rPr>
      </w:pPr>
      <w:r>
        <w:t>W</w:t>
      </w:r>
      <w:r w:rsidR="00E86674" w:rsidRPr="00543A5D">
        <w:t xml:space="preserve">ith support from the TASP GEDSI advisor, the health pillar is working with LATA (a Tongan OPD and TASP CSO grantee) to adapt and deliver a training package on disability inclusion for frontline health workers. </w:t>
      </w:r>
    </w:p>
    <w:p w14:paraId="081C1A32" w14:textId="09C34795" w:rsidR="00CA43D6" w:rsidRDefault="00E86674" w:rsidP="005C7024">
      <w:r>
        <w:t>The skills team is investigating where skills development will support Health and Governance pillar objectives</w:t>
      </w:r>
      <w:r w:rsidR="00CA43D6">
        <w:t>.</w:t>
      </w:r>
    </w:p>
    <w:p w14:paraId="6BC095D6" w14:textId="0F012A77" w:rsidR="00194B11" w:rsidRDefault="00CA43D6" w:rsidP="00594011">
      <w:r>
        <w:t>T</w:t>
      </w:r>
      <w:r w:rsidR="00E86674">
        <w:t>he GEDSI team has been working with MoH and grantees.</w:t>
      </w:r>
      <w:r w:rsidR="00E86674" w:rsidRPr="005C7024">
        <w:rPr>
          <w:noProof/>
          <w:sz w:val="18"/>
          <w:szCs w:val="18"/>
        </w:rPr>
        <w:t xml:space="preserve"> </w:t>
      </w:r>
      <w:r w:rsidR="000F1258">
        <w:t>Advisors and CSOs are reporting that TASP is serving an effective support and facilitation function</w:t>
      </w:r>
      <w:r w:rsidR="004E35D2">
        <w:t xml:space="preserve"> although they have pointed out that </w:t>
      </w:r>
      <w:r w:rsidR="000F1258">
        <w:t xml:space="preserve">cross program collaboration is </w:t>
      </w:r>
      <w:r w:rsidR="004E35D2">
        <w:t xml:space="preserve">limited by the </w:t>
      </w:r>
      <w:proofErr w:type="spellStart"/>
      <w:r w:rsidR="000F1258">
        <w:t>GoT</w:t>
      </w:r>
      <w:proofErr w:type="spellEnd"/>
      <w:r w:rsidR="000F1258">
        <w:t xml:space="preserve"> ministries </w:t>
      </w:r>
      <w:r w:rsidR="004E35D2">
        <w:t xml:space="preserve">themselves being </w:t>
      </w:r>
      <w:r w:rsidR="000F1258">
        <w:t>very siloed.</w:t>
      </w:r>
    </w:p>
    <w:p w14:paraId="0C737B82" w14:textId="3E0DD745" w:rsidR="009B2D86" w:rsidRPr="005C7024" w:rsidRDefault="009B2D86" w:rsidP="00594011">
      <w:pPr>
        <w:rPr>
          <w:sz w:val="16"/>
          <w:szCs w:val="20"/>
        </w:rPr>
      </w:pPr>
      <w:r w:rsidRPr="00543A5D">
        <w:t>T</w:t>
      </w:r>
      <w:r w:rsidRPr="006F554C">
        <w:t>he TASP Health Pillar Team Leader brokered relationship-building between the HRM Adviser, PSC, and MoH senior managers. This resulted in agreement to focus the review on departments/ divisions organi</w:t>
      </w:r>
      <w:r>
        <w:t>s</w:t>
      </w:r>
      <w:r w:rsidRPr="006F554C">
        <w:t>ational structure and support the HR team to revise job descriptions. This also supports broader Health Pillar investments to improve health sector governance. In October 2023, PSC started work with Tonga Health Working Association (THWA) to oversee the work on the department organi</w:t>
      </w:r>
      <w:r>
        <w:t>s</w:t>
      </w:r>
      <w:r w:rsidRPr="006F554C">
        <w:t xml:space="preserve">ational structure and review of job descriptions. PSC will inform </w:t>
      </w:r>
      <w:r w:rsidR="007F480C">
        <w:t xml:space="preserve">the </w:t>
      </w:r>
      <w:r w:rsidRPr="006F554C">
        <w:t>THWA Team Leader of progress of this review</w:t>
      </w:r>
      <w:r w:rsidRPr="005C7024">
        <w:rPr>
          <w:sz w:val="16"/>
          <w:szCs w:val="20"/>
        </w:rPr>
        <w:t xml:space="preserve">. </w:t>
      </w:r>
    </w:p>
    <w:p w14:paraId="6BC095D7" w14:textId="5EB60D21" w:rsidR="00194B11" w:rsidRDefault="009B2D86" w:rsidP="00A348C7">
      <w:r w:rsidRPr="006C7565">
        <w:t>TASP has facilitated cross pillar work in health/procurement, working with the CPU and with TASP Advisors training to MoH. A MoH organisational review has been support by TASP Advisors working together.</w:t>
      </w:r>
      <w:r w:rsidR="00A805DF">
        <w:t xml:space="preserve"> </w:t>
      </w:r>
      <w:r>
        <w:t>On the other hand, n</w:t>
      </w:r>
      <w:r w:rsidR="008B614F" w:rsidRPr="008B614F">
        <w:t>ovation of the Governance and Health pillars to TASP has led to some confusion</w:t>
      </w:r>
      <w:r w:rsidR="00A070D4">
        <w:t>,</w:t>
      </w:r>
      <w:r w:rsidR="00B912B3">
        <w:t xml:space="preserve"> with government staff who were familiar with </w:t>
      </w:r>
      <w:r w:rsidR="00A070D4">
        <w:t xml:space="preserve">previous </w:t>
      </w:r>
      <w:r w:rsidR="00B912B3">
        <w:t xml:space="preserve">Australian Government support in these areas </w:t>
      </w:r>
      <w:r w:rsidR="00A7349E">
        <w:t xml:space="preserve">not </w:t>
      </w:r>
      <w:r w:rsidR="00A070D4">
        <w:t xml:space="preserve">being </w:t>
      </w:r>
      <w:r w:rsidR="00A7349E">
        <w:t xml:space="preserve">clear what the role of TASP is and what this extra layer adds to the relationship between </w:t>
      </w:r>
      <w:proofErr w:type="spellStart"/>
      <w:r w:rsidR="00A7349E">
        <w:t>GoT</w:t>
      </w:r>
      <w:proofErr w:type="spellEnd"/>
      <w:r w:rsidR="00A7349E">
        <w:t xml:space="preserve"> and </w:t>
      </w:r>
      <w:proofErr w:type="spellStart"/>
      <w:r w:rsidR="00A7349E">
        <w:t>GoA</w:t>
      </w:r>
      <w:proofErr w:type="spellEnd"/>
      <w:r w:rsidR="008B614F" w:rsidRPr="008B614F">
        <w:t xml:space="preserve">.  It is unclear at this point whether splitting </w:t>
      </w:r>
      <w:r w:rsidR="00A7349E">
        <w:t xml:space="preserve">the Economic </w:t>
      </w:r>
      <w:r w:rsidR="008B614F" w:rsidRPr="008B614F">
        <w:t>Governance</w:t>
      </w:r>
      <w:r w:rsidR="00A7349E">
        <w:t xml:space="preserve"> program</w:t>
      </w:r>
      <w:r w:rsidR="008B614F" w:rsidRPr="008B614F">
        <w:t xml:space="preserve"> from TASP will reduce o</w:t>
      </w:r>
      <w:r w:rsidR="00CC3A45">
        <w:t>r</w:t>
      </w:r>
      <w:r w:rsidR="008B614F" w:rsidRPr="008B614F">
        <w:t xml:space="preserve"> increase confusion</w:t>
      </w:r>
      <w:r w:rsidR="008B614F">
        <w:t xml:space="preserve"> and</w:t>
      </w:r>
      <w:r w:rsidR="0093311A" w:rsidRPr="008B614F">
        <w:t xml:space="preserve"> i</w:t>
      </w:r>
      <w:r w:rsidR="000F1258" w:rsidRPr="008B614F">
        <w:t>t is unclear how cross</w:t>
      </w:r>
      <w:r w:rsidR="0004243B">
        <w:t>-</w:t>
      </w:r>
      <w:r w:rsidR="005D406F">
        <w:t xml:space="preserve">pillar </w:t>
      </w:r>
      <w:r w:rsidR="000F1258" w:rsidRPr="008B614F">
        <w:t xml:space="preserve">collaboration </w:t>
      </w:r>
      <w:r w:rsidR="00F4789D">
        <w:t xml:space="preserve">that has started </w:t>
      </w:r>
      <w:r w:rsidR="000F1258" w:rsidRPr="008B614F">
        <w:t>will continue</w:t>
      </w:r>
      <w:r w:rsidR="0093311A">
        <w:t xml:space="preserve"> </w:t>
      </w:r>
      <w:r w:rsidR="00CA3B30">
        <w:t>without significant support and facilitation by DFAT</w:t>
      </w:r>
      <w:r w:rsidR="000F1258" w:rsidRPr="008E659C">
        <w:t>.</w:t>
      </w:r>
    </w:p>
    <w:p w14:paraId="54E2BDA5" w14:textId="1F48CB36" w:rsidR="001674C5" w:rsidRDefault="001674C5" w:rsidP="001674C5">
      <w:r>
        <w:t>The GEDSI pillar is starting to see some results of cross pillar linkages with CSO partners supporting pillar GEDSI focused activities (e.g. training by WCCC</w:t>
      </w:r>
      <w:r w:rsidR="00A7072E">
        <w:t>,</w:t>
      </w:r>
      <w:r>
        <w:t xml:space="preserve"> the MoH and disability audit of a health centre). (</w:t>
      </w:r>
      <w:hyperlink w:anchor="_Key_Findings:_GEDSI">
        <w:r w:rsidR="7E9E6E56" w:rsidRPr="64562396">
          <w:rPr>
            <w:rStyle w:val="Hyperlink"/>
          </w:rPr>
          <w:t>See KEQ5</w:t>
        </w:r>
      </w:hyperlink>
      <w:r w:rsidR="7E9E6E56">
        <w:t xml:space="preserve"> for more detail)</w:t>
      </w:r>
      <w:r w:rsidR="472825EC">
        <w:t>.</w:t>
      </w:r>
    </w:p>
    <w:p w14:paraId="7D898DEC" w14:textId="21168C26" w:rsidR="00661EDC" w:rsidRDefault="00661EDC" w:rsidP="001674C5">
      <w:r>
        <w:t>The Evaluation Team found no evidence that a new Skills strategy will aid more strategic pillar linkages, except where activities align with existing CSO grantees and partners.</w:t>
      </w:r>
    </w:p>
    <w:p w14:paraId="451FB798" w14:textId="77777777" w:rsidR="00D1641C" w:rsidRDefault="00D1641C" w:rsidP="00CA3B30">
      <w:pPr>
        <w:pStyle w:val="Heading3"/>
      </w:pPr>
      <w:r>
        <w:t>Coherence</w:t>
      </w:r>
    </w:p>
    <w:p w14:paraId="16ECBE78" w14:textId="3B4E60BB" w:rsidR="00741C7E" w:rsidRPr="006008FF" w:rsidRDefault="000F3A45" w:rsidP="00A348C7">
      <w:r w:rsidRPr="006008FF">
        <w:t xml:space="preserve">Reflections from some Advisors and Government Staff that TASP </w:t>
      </w:r>
      <w:r w:rsidR="001F0DBA">
        <w:t>report that they have</w:t>
      </w:r>
      <w:r w:rsidRPr="006008FF">
        <w:t xml:space="preserve"> less direct engagement with DFAT staff</w:t>
      </w:r>
      <w:r w:rsidR="007E0E42">
        <w:t xml:space="preserve"> since TASP was introduced</w:t>
      </w:r>
      <w:r w:rsidRPr="006008FF">
        <w:t xml:space="preserve">. </w:t>
      </w:r>
      <w:r w:rsidR="001F0DBA">
        <w:t xml:space="preserve">This can be seen as </w:t>
      </w:r>
      <w:r w:rsidR="007E0E42">
        <w:t xml:space="preserve">having </w:t>
      </w:r>
      <w:r w:rsidR="001F0DBA">
        <w:t xml:space="preserve">a </w:t>
      </w:r>
      <w:r w:rsidR="00A44010">
        <w:t>p</w:t>
      </w:r>
      <w:r w:rsidRPr="006008FF">
        <w:t xml:space="preserve">ositive impact </w:t>
      </w:r>
      <w:r w:rsidR="007E0E42">
        <w:t xml:space="preserve">on </w:t>
      </w:r>
      <w:r w:rsidRPr="006008FF">
        <w:t>DFAT</w:t>
      </w:r>
      <w:r w:rsidR="007E0E42">
        <w:t xml:space="preserve"> workload, although</w:t>
      </w:r>
      <w:r w:rsidR="008E4A60">
        <w:t xml:space="preserve"> </w:t>
      </w:r>
      <w:r w:rsidR="00A44010">
        <w:t>some partners see i</w:t>
      </w:r>
      <w:r w:rsidRPr="006008FF">
        <w:t xml:space="preserve">t </w:t>
      </w:r>
      <w:r w:rsidR="00A44010">
        <w:t>a</w:t>
      </w:r>
      <w:r w:rsidRPr="006008FF">
        <w:t xml:space="preserve">s a negative result.  </w:t>
      </w:r>
    </w:p>
    <w:p w14:paraId="1006CA86" w14:textId="77777777" w:rsidR="000F3A45" w:rsidRDefault="000F3A45" w:rsidP="00A348C7">
      <w:r w:rsidRPr="006008FF">
        <w:lastRenderedPageBreak/>
        <w:t>Government counterparts expressed confusion about what TASP does and how the embedded Advisors work collaboratively with TASP and effectively with DFAT.  They still want their ongoing direct contact with DFAT from time to time.</w:t>
      </w:r>
    </w:p>
    <w:p w14:paraId="6D913EEC" w14:textId="578B3FE5" w:rsidR="00981A3A" w:rsidRDefault="00981A3A" w:rsidP="00981A3A">
      <w:r>
        <w:t>From TASP’s perspective, p</w:t>
      </w:r>
      <w:r w:rsidRPr="001E54F7">
        <w:t>illar advisors located in Ministries provide the best opportunity for effective and efficient engagement and alignment with Ministry priorities.</w:t>
      </w:r>
      <w:r>
        <w:t xml:space="preserve"> See </w:t>
      </w:r>
      <w:hyperlink w:anchor="_Key_Findings:_Monitoring," w:history="1">
        <w:r w:rsidRPr="00666271">
          <w:rPr>
            <w:rStyle w:val="Hyperlink"/>
            <w:sz w:val="18"/>
            <w:szCs w:val="18"/>
          </w:rPr>
          <w:t>KEQ</w:t>
        </w:r>
        <w:r>
          <w:rPr>
            <w:rStyle w:val="Hyperlink"/>
            <w:sz w:val="18"/>
            <w:szCs w:val="18"/>
          </w:rPr>
          <w:t>4</w:t>
        </w:r>
        <w:r w:rsidRPr="00666271">
          <w:rPr>
            <w:rStyle w:val="Hyperlink"/>
            <w:sz w:val="18"/>
            <w:szCs w:val="18"/>
          </w:rPr>
          <w:t xml:space="preserve"> MEL</w:t>
        </w:r>
      </w:hyperlink>
      <w:r>
        <w:t xml:space="preserve"> for further detail regarding ownership and accountability.</w:t>
      </w:r>
    </w:p>
    <w:p w14:paraId="439AFCE8" w14:textId="657ADAFF" w:rsidR="000F3A45" w:rsidRDefault="000F3A45" w:rsidP="00A348C7">
      <w:r w:rsidRPr="00E22C24">
        <w:t>CSOs were less confused or concerned with the role of the TASP vs the role of the Australian Government.</w:t>
      </w:r>
      <w:r>
        <w:t xml:space="preserve">  </w:t>
      </w:r>
      <w:proofErr w:type="gramStart"/>
      <w:r>
        <w:t>However</w:t>
      </w:r>
      <w:proofErr w:type="gramEnd"/>
      <w:r>
        <w:t xml:space="preserve"> one CSO did state that it took them a year to realise that TASP was going to be administering grants to CSOs rather than these being shifted to </w:t>
      </w:r>
      <w:r w:rsidR="008E4A60">
        <w:t>another investment</w:t>
      </w:r>
      <w:r>
        <w:t xml:space="preserve">. CSOs have good and close relationships with </w:t>
      </w:r>
      <w:r w:rsidR="00A87BB8">
        <w:t xml:space="preserve">the </w:t>
      </w:r>
      <w:r>
        <w:t xml:space="preserve">TASP Grant Manager and GEDSI Advisor and are supporting cross pillar work and training which is an efficient mechanism </w:t>
      </w:r>
    </w:p>
    <w:p w14:paraId="2950D62E" w14:textId="77777777" w:rsidR="00E62308" w:rsidRPr="00E62308" w:rsidRDefault="00E62308" w:rsidP="00E62308">
      <w:r w:rsidRPr="00E62308">
        <w:t>Comments provided by government counterparts included:</w:t>
      </w:r>
    </w:p>
    <w:p w14:paraId="0DA56404" w14:textId="77777777" w:rsidR="006826FD" w:rsidRPr="00D26884" w:rsidRDefault="006826FD" w:rsidP="00D26884">
      <w:pPr>
        <w:pBdr>
          <w:top w:val="single" w:sz="4" w:space="1" w:color="auto"/>
          <w:left w:val="single" w:sz="4" w:space="0" w:color="auto"/>
          <w:bottom w:val="single" w:sz="4" w:space="1" w:color="auto"/>
          <w:right w:val="single" w:sz="4" w:space="4" w:color="auto"/>
        </w:pBdr>
        <w:spacing w:after="120" w:line="240" w:lineRule="auto"/>
        <w:rPr>
          <w:sz w:val="18"/>
          <w:szCs w:val="18"/>
        </w:rPr>
      </w:pPr>
      <w:r w:rsidRPr="00D26884">
        <w:rPr>
          <w:sz w:val="18"/>
          <w:szCs w:val="18"/>
        </w:rPr>
        <w:t>“[I have] no access to how TA support is monitored. It is perhaps through reports that the TA submits to TASP but [</w:t>
      </w:r>
      <w:proofErr w:type="gramStart"/>
      <w:r w:rsidRPr="00D26884">
        <w:rPr>
          <w:sz w:val="18"/>
          <w:szCs w:val="18"/>
        </w:rPr>
        <w:t>… ]</w:t>
      </w:r>
      <w:proofErr w:type="gramEnd"/>
      <w:r w:rsidRPr="00D26884">
        <w:rPr>
          <w:sz w:val="18"/>
          <w:szCs w:val="18"/>
        </w:rPr>
        <w:t xml:space="preserve"> has no information on this. If there is information, it is perhaps shared with someone else but not [us] “</w:t>
      </w:r>
      <w:r w:rsidRPr="00D26884">
        <w:rPr>
          <w:sz w:val="18"/>
          <w:szCs w:val="18"/>
        </w:rPr>
        <w:br/>
      </w:r>
      <w:r w:rsidRPr="00D26884">
        <w:rPr>
          <w:sz w:val="18"/>
          <w:szCs w:val="18"/>
        </w:rPr>
        <w:br/>
        <w:t>“Prefers the arrangement where DFAT managed the TA. They are aware of the TOR and deliverables of TA”</w:t>
      </w:r>
    </w:p>
    <w:p w14:paraId="1CFAA91A" w14:textId="77777777" w:rsidR="006826FD" w:rsidRDefault="006826FD" w:rsidP="00D26884">
      <w:pPr>
        <w:pBdr>
          <w:top w:val="single" w:sz="4" w:space="1" w:color="auto"/>
          <w:left w:val="single" w:sz="4" w:space="0" w:color="auto"/>
          <w:bottom w:val="single" w:sz="4" w:space="1" w:color="auto"/>
          <w:right w:val="single" w:sz="4" w:space="4" w:color="auto"/>
        </w:pBdr>
        <w:spacing w:after="120" w:line="240" w:lineRule="auto"/>
        <w:rPr>
          <w:sz w:val="18"/>
          <w:szCs w:val="18"/>
        </w:rPr>
      </w:pPr>
      <w:r w:rsidRPr="00D26884">
        <w:rPr>
          <w:sz w:val="18"/>
          <w:szCs w:val="18"/>
        </w:rPr>
        <w:t>"Interactions with TASP are limited. DFAT is supporting us on [...]. “</w:t>
      </w:r>
      <w:r w:rsidRPr="00D26884">
        <w:rPr>
          <w:sz w:val="18"/>
          <w:szCs w:val="18"/>
        </w:rPr>
        <w:br/>
      </w:r>
      <w:r w:rsidRPr="00D26884">
        <w:rPr>
          <w:sz w:val="18"/>
          <w:szCs w:val="18"/>
        </w:rPr>
        <w:br/>
        <w:t xml:space="preserve">“Not sure about </w:t>
      </w:r>
      <w:proofErr w:type="gramStart"/>
      <w:r w:rsidRPr="00D26884">
        <w:rPr>
          <w:sz w:val="18"/>
          <w:szCs w:val="18"/>
        </w:rPr>
        <w:t>TASP, but</w:t>
      </w:r>
      <w:proofErr w:type="gramEnd"/>
      <w:r w:rsidRPr="00D26884">
        <w:rPr>
          <w:sz w:val="18"/>
          <w:szCs w:val="18"/>
        </w:rPr>
        <w:t xml:space="preserve"> also doesn't have sight of [Advisor] job description of terms of reference. Wasn't aware of [Advisor’s] contract ending but when TASP Interim Team Leader came discussions with [DFAT] secured extended contract. “</w:t>
      </w:r>
    </w:p>
    <w:p w14:paraId="766CB309" w14:textId="5BF2D7EE" w:rsidR="00D26884" w:rsidRPr="00D26884" w:rsidRDefault="008C0761" w:rsidP="00D26884">
      <w:pPr>
        <w:pBdr>
          <w:top w:val="single" w:sz="4" w:space="1" w:color="auto"/>
          <w:left w:val="single" w:sz="4" w:space="0" w:color="auto"/>
          <w:bottom w:val="single" w:sz="4" w:space="1" w:color="auto"/>
          <w:right w:val="single" w:sz="4" w:space="4" w:color="auto"/>
        </w:pBdr>
        <w:spacing w:after="120" w:line="240" w:lineRule="auto"/>
        <w:rPr>
          <w:sz w:val="18"/>
          <w:szCs w:val="18"/>
        </w:rPr>
      </w:pPr>
      <w:r>
        <w:rPr>
          <w:sz w:val="18"/>
          <w:szCs w:val="18"/>
        </w:rPr>
        <w:pict w14:anchorId="0E52B28F">
          <v:rect id="_x0000_i1025" style="width:0;height:1.5pt" o:hralign="center" o:hrstd="t" o:hr="t" fillcolor="#a0a0a0" stroked="f"/>
        </w:pict>
      </w:r>
    </w:p>
    <w:p w14:paraId="5735F989" w14:textId="77777777" w:rsidR="006826FD" w:rsidRPr="00D26884" w:rsidRDefault="006826FD" w:rsidP="00D26884">
      <w:pPr>
        <w:pBdr>
          <w:top w:val="single" w:sz="4" w:space="1" w:color="auto"/>
          <w:left w:val="single" w:sz="4" w:space="0" w:color="auto"/>
          <w:bottom w:val="single" w:sz="4" w:space="1" w:color="auto"/>
          <w:right w:val="single" w:sz="4" w:space="4" w:color="auto"/>
        </w:pBdr>
        <w:spacing w:after="120" w:line="240" w:lineRule="auto"/>
        <w:rPr>
          <w:sz w:val="18"/>
          <w:szCs w:val="18"/>
        </w:rPr>
      </w:pPr>
      <w:r w:rsidRPr="00D26884">
        <w:rPr>
          <w:sz w:val="18"/>
          <w:szCs w:val="18"/>
        </w:rPr>
        <w:t xml:space="preserve">“I am told that TASP manages [Advisor]. Other than that, I do not know what it does, who is in TASP and where they are located “ </w:t>
      </w:r>
    </w:p>
    <w:p w14:paraId="4CB2EFF9" w14:textId="77777777" w:rsidR="006826FD" w:rsidRPr="00D26884" w:rsidRDefault="006826FD" w:rsidP="00D26884">
      <w:pPr>
        <w:pBdr>
          <w:top w:val="single" w:sz="4" w:space="1" w:color="auto"/>
          <w:left w:val="single" w:sz="4" w:space="0" w:color="auto"/>
          <w:bottom w:val="single" w:sz="4" w:space="1" w:color="auto"/>
          <w:right w:val="single" w:sz="4" w:space="4" w:color="auto"/>
        </w:pBdr>
        <w:spacing w:after="120" w:line="240" w:lineRule="auto"/>
        <w:rPr>
          <w:sz w:val="18"/>
          <w:szCs w:val="18"/>
        </w:rPr>
      </w:pPr>
      <w:r w:rsidRPr="00D26884">
        <w:rPr>
          <w:sz w:val="18"/>
          <w:szCs w:val="18"/>
        </w:rPr>
        <w:t xml:space="preserve">“How do you assess someone who does not report to you? “ </w:t>
      </w:r>
    </w:p>
    <w:p w14:paraId="07ACF489" w14:textId="77777777" w:rsidR="006826FD" w:rsidRPr="00D26884" w:rsidRDefault="006826FD" w:rsidP="00D26884">
      <w:pPr>
        <w:pBdr>
          <w:top w:val="single" w:sz="4" w:space="1" w:color="auto"/>
          <w:left w:val="single" w:sz="4" w:space="0" w:color="auto"/>
          <w:bottom w:val="single" w:sz="4" w:space="1" w:color="auto"/>
          <w:right w:val="single" w:sz="4" w:space="4" w:color="auto"/>
        </w:pBdr>
        <w:spacing w:after="120" w:line="240" w:lineRule="auto"/>
        <w:rPr>
          <w:sz w:val="18"/>
          <w:szCs w:val="18"/>
        </w:rPr>
      </w:pPr>
      <w:r w:rsidRPr="00D26884">
        <w:rPr>
          <w:sz w:val="18"/>
          <w:szCs w:val="18"/>
        </w:rPr>
        <w:t xml:space="preserve">“Prefer direct interaction with </w:t>
      </w:r>
      <w:proofErr w:type="gramStart"/>
      <w:r w:rsidRPr="00D26884">
        <w:rPr>
          <w:sz w:val="18"/>
          <w:szCs w:val="18"/>
        </w:rPr>
        <w:t>DFAT“</w:t>
      </w:r>
      <w:proofErr w:type="gramEnd"/>
    </w:p>
    <w:p w14:paraId="112DCD6A" w14:textId="77777777" w:rsidR="006826FD" w:rsidRPr="00D26884" w:rsidRDefault="006826FD" w:rsidP="00D26884">
      <w:pPr>
        <w:pBdr>
          <w:top w:val="single" w:sz="4" w:space="1" w:color="auto"/>
          <w:left w:val="single" w:sz="4" w:space="0" w:color="auto"/>
          <w:bottom w:val="single" w:sz="4" w:space="1" w:color="auto"/>
          <w:right w:val="single" w:sz="4" w:space="4" w:color="auto"/>
        </w:pBdr>
        <w:spacing w:after="120" w:line="240" w:lineRule="auto"/>
        <w:rPr>
          <w:sz w:val="18"/>
          <w:szCs w:val="18"/>
        </w:rPr>
      </w:pPr>
      <w:r w:rsidRPr="00D26884">
        <w:rPr>
          <w:sz w:val="18"/>
          <w:szCs w:val="18"/>
        </w:rPr>
        <w:t xml:space="preserve">“I am not sure about the roles of the advisers as they report to TASP. I know they do </w:t>
      </w:r>
      <w:proofErr w:type="gramStart"/>
      <w:r w:rsidRPr="00D26884">
        <w:rPr>
          <w:sz w:val="18"/>
          <w:szCs w:val="18"/>
        </w:rPr>
        <w:t>help out</w:t>
      </w:r>
      <w:proofErr w:type="gramEnd"/>
      <w:r w:rsidRPr="00D26884">
        <w:rPr>
          <w:sz w:val="18"/>
          <w:szCs w:val="18"/>
        </w:rPr>
        <w:t xml:space="preserve"> in [xx work] and the [xxx work in Government] but I am not sure how and maybe because we are removed from the management of the advisers” </w:t>
      </w:r>
    </w:p>
    <w:p w14:paraId="252E2457" w14:textId="77777777" w:rsidR="006826FD" w:rsidRPr="00D26884" w:rsidRDefault="006826FD" w:rsidP="00D26884">
      <w:pPr>
        <w:pBdr>
          <w:top w:val="single" w:sz="4" w:space="1" w:color="auto"/>
          <w:left w:val="single" w:sz="4" w:space="0" w:color="auto"/>
          <w:bottom w:val="single" w:sz="4" w:space="1" w:color="auto"/>
          <w:right w:val="single" w:sz="4" w:space="4" w:color="auto"/>
        </w:pBdr>
        <w:spacing w:after="120" w:line="240" w:lineRule="auto"/>
        <w:rPr>
          <w:sz w:val="18"/>
          <w:szCs w:val="18"/>
        </w:rPr>
      </w:pPr>
      <w:r w:rsidRPr="00D26884">
        <w:rPr>
          <w:sz w:val="18"/>
          <w:szCs w:val="18"/>
        </w:rPr>
        <w:t xml:space="preserve">“It would be good to have clarity about TASP's roles, and reporting obligations.” </w:t>
      </w:r>
    </w:p>
    <w:p w14:paraId="7634E65C" w14:textId="77777777" w:rsidR="006826FD" w:rsidRPr="00D26884" w:rsidRDefault="006826FD" w:rsidP="00D26884">
      <w:pPr>
        <w:pBdr>
          <w:top w:val="single" w:sz="4" w:space="1" w:color="auto"/>
          <w:left w:val="single" w:sz="4" w:space="0" w:color="auto"/>
          <w:bottom w:val="single" w:sz="4" w:space="1" w:color="auto"/>
          <w:right w:val="single" w:sz="4" w:space="4" w:color="auto"/>
        </w:pBdr>
        <w:spacing w:after="120" w:line="240" w:lineRule="auto"/>
        <w:rPr>
          <w:sz w:val="18"/>
          <w:szCs w:val="18"/>
        </w:rPr>
      </w:pPr>
      <w:r w:rsidRPr="00D26884">
        <w:rPr>
          <w:sz w:val="18"/>
          <w:szCs w:val="18"/>
        </w:rPr>
        <w:t xml:space="preserve">“I would prefer going directly to </w:t>
      </w:r>
      <w:proofErr w:type="gramStart"/>
      <w:r w:rsidRPr="00D26884">
        <w:rPr>
          <w:sz w:val="18"/>
          <w:szCs w:val="18"/>
        </w:rPr>
        <w:t>DFAT“</w:t>
      </w:r>
      <w:proofErr w:type="gramEnd"/>
    </w:p>
    <w:p w14:paraId="6BC095E6" w14:textId="75AEEF55" w:rsidR="00194B11" w:rsidRPr="000A0932" w:rsidRDefault="000B07ED" w:rsidP="00A348C7">
      <w:bookmarkStart w:id="28" w:name="DFATvTASPlead"/>
      <w:r w:rsidRPr="000A0932">
        <w:t xml:space="preserve">There are mechanisms available </w:t>
      </w:r>
      <w:r w:rsidR="00CF6680">
        <w:t xml:space="preserve">in this </w:t>
      </w:r>
      <w:proofErr w:type="gramStart"/>
      <w:r w:rsidR="00CF6680">
        <w:t>fairly small</w:t>
      </w:r>
      <w:proofErr w:type="gramEnd"/>
      <w:r w:rsidR="00CF6680">
        <w:t xml:space="preserve"> community context </w:t>
      </w:r>
      <w:r w:rsidR="005034BC" w:rsidRPr="000A0932">
        <w:t>for those partners who want to engage directly with DFAT</w:t>
      </w:r>
      <w:r w:rsidR="001A1783">
        <w:t xml:space="preserve"> senior staff</w:t>
      </w:r>
      <w:r w:rsidR="005034BC" w:rsidRPr="000A0932">
        <w:t xml:space="preserve"> to continue to do so and this is happening in </w:t>
      </w:r>
      <w:proofErr w:type="gramStart"/>
      <w:r w:rsidR="005034BC" w:rsidRPr="000A0932">
        <w:t>a number of</w:t>
      </w:r>
      <w:proofErr w:type="gramEnd"/>
      <w:r w:rsidR="005034BC" w:rsidRPr="000A0932">
        <w:t xml:space="preserve"> cases.  DFAT staff are able and willing to engage directly with partners </w:t>
      </w:r>
      <w:r w:rsidR="001A1783">
        <w:t>who want direct engagement</w:t>
      </w:r>
      <w:r w:rsidR="005034BC" w:rsidRPr="000A0932">
        <w:t xml:space="preserve"> and </w:t>
      </w:r>
      <w:r w:rsidR="003B07C7" w:rsidRPr="000A0932">
        <w:t xml:space="preserve">TASP is finding the right balance of working between DFAT and partners and allowing direct contact where necessary.  </w:t>
      </w:r>
      <w:r w:rsidR="00202CA8">
        <w:t>R</w:t>
      </w:r>
      <w:r w:rsidR="00EB61F4" w:rsidRPr="000A0932">
        <w:t>egular meetings of the Leadership Teams</w:t>
      </w:r>
      <w:r w:rsidR="00C00D0E">
        <w:t xml:space="preserve"> of TASP</w:t>
      </w:r>
      <w:r w:rsidR="00EB61F4" w:rsidRPr="000A0932">
        <w:t>/DFAT allow for sharing of information</w:t>
      </w:r>
      <w:r w:rsidR="007C13F3" w:rsidRPr="000A0932">
        <w:t xml:space="preserve">.  </w:t>
      </w:r>
    </w:p>
    <w:p w14:paraId="4274FAE9" w14:textId="38132F92" w:rsidR="007C13F3" w:rsidRDefault="007C13F3" w:rsidP="00A348C7">
      <w:r w:rsidRPr="000A0932">
        <w:t xml:space="preserve">Each sector/pillar has different </w:t>
      </w:r>
      <w:r w:rsidR="00CF6680">
        <w:t>ways of engaging</w:t>
      </w:r>
      <w:r w:rsidRPr="000A0932">
        <w:t xml:space="preserve"> based on historical arrangements, individual relationships and </w:t>
      </w:r>
      <w:r w:rsidR="00B37C2A" w:rsidRPr="000A0932">
        <w:t xml:space="preserve">content of issues.  This means that a good understanding of the different </w:t>
      </w:r>
      <w:r w:rsidR="001674C5">
        <w:t>relationships</w:t>
      </w:r>
      <w:r w:rsidR="00B37C2A" w:rsidRPr="000A0932">
        <w:t xml:space="preserve"> and lines of communication</w:t>
      </w:r>
      <w:r w:rsidR="001618EE" w:rsidRPr="000A0932">
        <w:t xml:space="preserve"> is essential.  For continuity </w:t>
      </w:r>
      <w:r w:rsidR="001674C5">
        <w:t xml:space="preserve">and clarity </w:t>
      </w:r>
      <w:r w:rsidR="001618EE" w:rsidRPr="000A0932">
        <w:t xml:space="preserve">(with staff turnover inevitable in the High Commission and TASP) a relationship map </w:t>
      </w:r>
      <w:r w:rsidR="00C40B20" w:rsidRPr="000A0932">
        <w:t xml:space="preserve">would assist with transparency around </w:t>
      </w:r>
      <w:r w:rsidR="009422B1" w:rsidRPr="000A0932">
        <w:t xml:space="preserve">lines of engagement, and support discussions around </w:t>
      </w:r>
      <w:r w:rsidR="00514B76" w:rsidRPr="000A0932">
        <w:t xml:space="preserve">balance between </w:t>
      </w:r>
      <w:r w:rsidR="001674C5">
        <w:t xml:space="preserve">AHC </w:t>
      </w:r>
      <w:r w:rsidR="00514B76" w:rsidRPr="000A0932">
        <w:t>staff engagement and TASP engagement with partners.</w:t>
      </w:r>
    </w:p>
    <w:p w14:paraId="37569317" w14:textId="194DC903" w:rsidR="00480A7D" w:rsidRDefault="00202CA8" w:rsidP="00A348C7">
      <w:r>
        <w:t>It should be noted for future facility</w:t>
      </w:r>
      <w:r w:rsidR="007B2BBF">
        <w:t xml:space="preserve"> mechanisms, </w:t>
      </w:r>
      <w:r w:rsidR="008F6420">
        <w:t xml:space="preserve">that </w:t>
      </w:r>
      <w:r w:rsidR="007B2BBF">
        <w:t xml:space="preserve">expectations around </w:t>
      </w:r>
      <w:r w:rsidR="007F2FFF">
        <w:t>Managing C</w:t>
      </w:r>
      <w:r w:rsidR="00390F30">
        <w:t xml:space="preserve">ontractor vs DFAT role in the </w:t>
      </w:r>
      <w:r w:rsidR="007B2BBF">
        <w:t xml:space="preserve">policy space </w:t>
      </w:r>
      <w:r w:rsidR="00390F30">
        <w:t>and in partner relationships and program management should be informed by the complex relationships</w:t>
      </w:r>
      <w:r w:rsidR="00B13A27">
        <w:t xml:space="preserve"> maintained with key stakeholders under the TA</w:t>
      </w:r>
      <w:r w:rsidR="007F2FFF">
        <w:t>S</w:t>
      </w:r>
      <w:r w:rsidR="00B13A27">
        <w:t xml:space="preserve">P program, and the fact that </w:t>
      </w:r>
      <w:r w:rsidR="00FD6D10">
        <w:t>it can take some time for trust to shift</w:t>
      </w:r>
      <w:r w:rsidR="007F2FFF">
        <w:t xml:space="preserve"> and build</w:t>
      </w:r>
      <w:r w:rsidR="00740FEA">
        <w:t xml:space="preserve"> </w:t>
      </w:r>
      <w:r w:rsidR="00FD6D10">
        <w:t xml:space="preserve"> – especially when the Australian Govern</w:t>
      </w:r>
      <w:r w:rsidR="007F2FFF">
        <w:t>m</w:t>
      </w:r>
      <w:r w:rsidR="00FD6D10">
        <w:t>ent (High Commission/</w:t>
      </w:r>
      <w:r w:rsidR="00DE76C3">
        <w:t xml:space="preserve"> </w:t>
      </w:r>
      <w:r w:rsidR="00FD6D10">
        <w:t xml:space="preserve">DFAT) is the long term partner of the </w:t>
      </w:r>
      <w:proofErr w:type="spellStart"/>
      <w:r w:rsidR="007F2FFF">
        <w:t>GoT</w:t>
      </w:r>
      <w:proofErr w:type="spellEnd"/>
      <w:r w:rsidR="00FD6D10">
        <w:t xml:space="preserve"> and CSOs, whereas managing contractors and programs of the moment have a limited life</w:t>
      </w:r>
      <w:r w:rsidR="007F2FFF">
        <w:t xml:space="preserve"> and will come and go.</w:t>
      </w:r>
      <w:r w:rsidR="00BB70D8">
        <w:t xml:space="preserve">  </w:t>
      </w:r>
      <w:r w:rsidR="00087051">
        <w:t xml:space="preserve">The evaluators note that </w:t>
      </w:r>
      <w:r w:rsidR="008F737C">
        <w:t xml:space="preserve">the </w:t>
      </w:r>
      <w:r w:rsidR="00087051">
        <w:t xml:space="preserve">TASP </w:t>
      </w:r>
      <w:r w:rsidR="00BB70D8">
        <w:t xml:space="preserve">Policy </w:t>
      </w:r>
      <w:r w:rsidR="00034495">
        <w:t>D</w:t>
      </w:r>
      <w:r w:rsidR="00087051">
        <w:t xml:space="preserve">ialogue </w:t>
      </w:r>
      <w:r w:rsidR="00034495">
        <w:lastRenderedPageBreak/>
        <w:t>S</w:t>
      </w:r>
      <w:r w:rsidR="00087051">
        <w:t>trategy</w:t>
      </w:r>
      <w:r w:rsidR="00034495">
        <w:rPr>
          <w:rStyle w:val="FootnoteReference"/>
        </w:rPr>
        <w:footnoteReference w:id="25"/>
      </w:r>
      <w:r w:rsidR="00087051">
        <w:t xml:space="preserve"> </w:t>
      </w:r>
      <w:r w:rsidR="4A531A2E" w:rsidRPr="009C3957">
        <w:t>is</w:t>
      </w:r>
      <w:r w:rsidR="00087051">
        <w:t xml:space="preserve"> still under development</w:t>
      </w:r>
      <w:r w:rsidR="008F737C">
        <w:t>, requiring further</w:t>
      </w:r>
      <w:r w:rsidR="00034495">
        <w:t xml:space="preserve"> work for it to be </w:t>
      </w:r>
      <w:r w:rsidR="00953EAE">
        <w:t xml:space="preserve">suitably </w:t>
      </w:r>
      <w:r w:rsidR="00034495">
        <w:t xml:space="preserve">strategic </w:t>
      </w:r>
      <w:r w:rsidR="00953EAE">
        <w:t xml:space="preserve">and </w:t>
      </w:r>
      <w:r w:rsidR="00034495">
        <w:t>forward-looking.  Th</w:t>
      </w:r>
      <w:r w:rsidR="00AE0577">
        <w:t>is</w:t>
      </w:r>
      <w:r w:rsidR="00034495">
        <w:t xml:space="preserve"> sort of strategy should be developed much earlier in a facility life </w:t>
      </w:r>
      <w:r w:rsidR="00AE0577">
        <w:t>and can draw on the TASP example.</w:t>
      </w:r>
    </w:p>
    <w:p w14:paraId="6BC095E7" w14:textId="77777777" w:rsidR="00194B11" w:rsidRDefault="000F1258" w:rsidP="002365EE">
      <w:pPr>
        <w:pStyle w:val="Heading1"/>
      </w:pPr>
      <w:bookmarkStart w:id="29" w:name="_Key_Findings:_Monitoring,"/>
      <w:bookmarkStart w:id="30" w:name="_Toc183423582"/>
      <w:bookmarkEnd w:id="28"/>
      <w:bookmarkEnd w:id="29"/>
      <w:r>
        <w:t>Key Findings: Monitoring, Evaluation and Learning (MEL), KEQ4</w:t>
      </w:r>
      <w:bookmarkEnd w:id="30"/>
    </w:p>
    <w:p w14:paraId="6BC095E8" w14:textId="77777777" w:rsidR="00194B11" w:rsidRDefault="000F1258" w:rsidP="00644708">
      <w:pPr>
        <w:pBdr>
          <w:top w:val="single" w:sz="4" w:space="1" w:color="auto"/>
          <w:left w:val="single" w:sz="4" w:space="4" w:color="auto"/>
          <w:bottom w:val="single" w:sz="4" w:space="1" w:color="auto"/>
          <w:right w:val="single" w:sz="4" w:space="4" w:color="auto"/>
        </w:pBdr>
      </w:pPr>
      <w:r>
        <w:t>How adequate has TASP’s monitoring and evaluation and learning processes been?</w:t>
      </w:r>
    </w:p>
    <w:p w14:paraId="40CC53EE" w14:textId="31C7AA01" w:rsidR="001E7045" w:rsidRPr="00126C96" w:rsidRDefault="006504E4" w:rsidP="00644708">
      <w:pPr>
        <w:pBdr>
          <w:top w:val="single" w:sz="4" w:space="1" w:color="auto"/>
          <w:left w:val="single" w:sz="4" w:space="4" w:color="auto"/>
          <w:bottom w:val="single" w:sz="4" w:space="1" w:color="auto"/>
          <w:right w:val="single" w:sz="4" w:space="4" w:color="auto"/>
        </w:pBdr>
        <w:rPr>
          <w:b/>
          <w:bCs/>
        </w:rPr>
      </w:pPr>
      <w:r w:rsidRPr="007826B2">
        <w:rPr>
          <w:b/>
          <w:bCs/>
        </w:rPr>
        <w:t>Partially achieved</w:t>
      </w:r>
    </w:p>
    <w:p w14:paraId="37B17512" w14:textId="70AA443E" w:rsidR="00FB747F" w:rsidRDefault="00FB747F" w:rsidP="00FB747F">
      <w:r>
        <w:t>TASP’s MEL processes have been adequate to date for supporting monitoring, evaluation and learning within pillars and across the program.  However, improvements in real time data collection and analysis (dashboard) and communications products have not be</w:t>
      </w:r>
      <w:r w:rsidR="00405013">
        <w:t>en</w:t>
      </w:r>
      <w:r>
        <w:t xml:space="preserve"> timely.  </w:t>
      </w:r>
      <w:proofErr w:type="gramStart"/>
      <w:r>
        <w:t>Both of these</w:t>
      </w:r>
      <w:proofErr w:type="gramEnd"/>
      <w:r>
        <w:t xml:space="preserve"> are priorities of the new MEL Advisor</w:t>
      </w:r>
      <w:r w:rsidR="00CC585A">
        <w:t>.</w:t>
      </w:r>
    </w:p>
    <w:p w14:paraId="093B8F02" w14:textId="50A55E22" w:rsidR="00847A02" w:rsidRDefault="00847A02" w:rsidP="00847A02">
      <w:r>
        <w:t>The first year of TASP MEL activities focused on external stocktake of MEL arrangements from previous investments and identification of improvements to ensure alignment and coherence as a facility and utilisation of local lessons and knowledge.  This phase also included recruitment of locally base</w:t>
      </w:r>
      <w:r w:rsidR="003B5FB9">
        <w:t>d</w:t>
      </w:r>
      <w:r>
        <w:t xml:space="preserve"> MEL staff to implement MEL activities in Tonga rather than doing </w:t>
      </w:r>
      <w:r w:rsidR="003B5FB9">
        <w:t xml:space="preserve">all </w:t>
      </w:r>
      <w:r>
        <w:t xml:space="preserve">the work remotely.  The TASP MEL Plan was finalised in February 2023 and approved by DFAT in May 2023.  </w:t>
      </w:r>
      <w:r w:rsidR="00560C9E">
        <w:t>During</w:t>
      </w:r>
      <w:r>
        <w:t xml:space="preserve"> the </w:t>
      </w:r>
      <w:r w:rsidR="00560C9E">
        <w:t xml:space="preserve">third </w:t>
      </w:r>
      <w:r>
        <w:t xml:space="preserve">year of the program TASP was able to collate MEL data culminating in the Mid-Year Report (March 2024) being the first comprehensive report drawing on MEL data </w:t>
      </w:r>
      <w:r w:rsidR="00A964CC">
        <w:t>to</w:t>
      </w:r>
      <w:r>
        <w:t xml:space="preserve"> address progress against EOPOs. This is now complemented by AIMR, Partner Performance Assessment (PPA) and Payment by Results reports.</w:t>
      </w:r>
    </w:p>
    <w:p w14:paraId="1C42F136" w14:textId="7C17E1BE" w:rsidR="002232F5" w:rsidRPr="00CC0E23" w:rsidRDefault="002232F5" w:rsidP="00A348C7">
      <w:r w:rsidRPr="002232F5">
        <w:t>The TASP IDD identified</w:t>
      </w:r>
      <w:r>
        <w:rPr>
          <w:sz w:val="18"/>
          <w:szCs w:val="18"/>
        </w:rPr>
        <w:t xml:space="preserve"> </w:t>
      </w:r>
      <w:r w:rsidRPr="00CC0E23">
        <w:t>TASP’s MEL arrangements</w:t>
      </w:r>
      <w:r>
        <w:t xml:space="preserve"> as having three purposes</w:t>
      </w:r>
      <w:r w:rsidRPr="00CC0E23">
        <w:t xml:space="preserve">: </w:t>
      </w:r>
    </w:p>
    <w:p w14:paraId="4F2C59BE" w14:textId="77777777" w:rsidR="002232F5" w:rsidRPr="002232F5" w:rsidRDefault="002232F5" w:rsidP="00803578">
      <w:pPr>
        <w:pStyle w:val="ListNumber"/>
        <w:numPr>
          <w:ilvl w:val="0"/>
          <w:numId w:val="19"/>
        </w:numPr>
      </w:pPr>
      <w:r w:rsidRPr="002232F5">
        <w:rPr>
          <w:i/>
          <w:iCs/>
        </w:rPr>
        <w:t>Learning and improvement</w:t>
      </w:r>
      <w:r w:rsidRPr="002232F5">
        <w:t>: To inform learning and reflection a) across the whole Facility, including the PSU and b) within each individual TASP investment (at pillar/workstream level)</w:t>
      </w:r>
    </w:p>
    <w:p w14:paraId="737B9F8B" w14:textId="77777777" w:rsidR="002232F5" w:rsidRPr="002232F5" w:rsidRDefault="002232F5" w:rsidP="00803578">
      <w:pPr>
        <w:pStyle w:val="ListNumber"/>
        <w:numPr>
          <w:ilvl w:val="0"/>
          <w:numId w:val="19"/>
        </w:numPr>
      </w:pPr>
      <w:r w:rsidRPr="002232F5">
        <w:rPr>
          <w:i/>
          <w:iCs/>
        </w:rPr>
        <w:t>Accountability</w:t>
      </w:r>
      <w:r w:rsidRPr="002232F5">
        <w:t>: To report to the Governments of Tonga and Australia on delivery progress and performance</w:t>
      </w:r>
    </w:p>
    <w:p w14:paraId="5D04CD40" w14:textId="7E8B3EB0" w:rsidR="002232F5" w:rsidRPr="002232F5" w:rsidRDefault="002232F5" w:rsidP="00803578">
      <w:pPr>
        <w:pStyle w:val="ListNumber"/>
        <w:numPr>
          <w:ilvl w:val="0"/>
          <w:numId w:val="19"/>
        </w:numPr>
      </w:pPr>
      <w:r w:rsidRPr="002232F5">
        <w:rPr>
          <w:i/>
          <w:iCs/>
        </w:rPr>
        <w:t>Communications</w:t>
      </w:r>
      <w:r w:rsidRPr="002232F5">
        <w:t xml:space="preserve">: To support DFAT to communicate TASP achievements and lessons to internal (DFAT) and external (Tongan) stakeholders </w:t>
      </w:r>
    </w:p>
    <w:p w14:paraId="7ACE1E27" w14:textId="5796FA3C" w:rsidR="00C8195B" w:rsidRDefault="00C8195B" w:rsidP="00A348C7">
      <w:pPr>
        <w:rPr>
          <w:sz w:val="18"/>
          <w:szCs w:val="18"/>
        </w:rPr>
      </w:pPr>
      <w:r w:rsidRPr="00A0087D">
        <w:t xml:space="preserve">The MEL structure was designed </w:t>
      </w:r>
      <w:r w:rsidR="00F53473" w:rsidRPr="00A0087D">
        <w:t>to provide</w:t>
      </w:r>
      <w:r w:rsidRPr="00A0087D">
        <w:t xml:space="preserve"> a</w:t>
      </w:r>
      <w:r w:rsidR="00F53473" w:rsidRPr="00A0087D">
        <w:t xml:space="preserve"> facility MEL</w:t>
      </w:r>
      <w:r w:rsidRPr="00A0087D">
        <w:t xml:space="preserve"> ‘hub’ which could manage data collection</w:t>
      </w:r>
      <w:r w:rsidRPr="00C8195B">
        <w:t xml:space="preserve"> common to pillars and gain consistency across pillars. The inten</w:t>
      </w:r>
      <w:r w:rsidR="00A46326">
        <w:t>t</w:t>
      </w:r>
      <w:r w:rsidRPr="00C8195B">
        <w:t>ion is also that “</w:t>
      </w:r>
      <w:r w:rsidRPr="00F53473">
        <w:rPr>
          <w:i/>
          <w:iCs/>
        </w:rPr>
        <w:t>The TASP MEL Hub will seek opportunities through DFAT Tonga to share TASP lessons more broadly across DFAT – for example, relating to facility effectiveness.”</w:t>
      </w:r>
      <w:r w:rsidRPr="00F53473">
        <w:rPr>
          <w:rStyle w:val="FootnoteReference"/>
          <w:i/>
          <w:iCs/>
        </w:rPr>
        <w:footnoteReference w:id="26"/>
      </w:r>
      <w:r>
        <w:t xml:space="preserve">  MEL data has been useful for this Independent Evaluation and has been used extensively during reflection workshops with DFAT. </w:t>
      </w:r>
    </w:p>
    <w:p w14:paraId="0DAE048A" w14:textId="24015017" w:rsidR="00A46326" w:rsidRDefault="00E55A18" w:rsidP="00A348C7">
      <w:r w:rsidRPr="00A0087D">
        <w:t>To support learning and improvement t</w:t>
      </w:r>
      <w:r w:rsidR="000F1258" w:rsidRPr="00A0087D">
        <w:t xml:space="preserve">here </w:t>
      </w:r>
      <w:r w:rsidRPr="00A0087D">
        <w:t>has been</w:t>
      </w:r>
      <w:r w:rsidR="000F1258" w:rsidRPr="00A0087D">
        <w:t xml:space="preserve"> steady development and refinement of systems and</w:t>
      </w:r>
      <w:r w:rsidR="000F1258">
        <w:t xml:space="preserve"> capacity </w:t>
      </w:r>
      <w:r>
        <w:t>to support MEL</w:t>
      </w:r>
      <w:r w:rsidR="00F53473">
        <w:t xml:space="preserve"> within TASP and with TASP partners</w:t>
      </w:r>
      <w:r w:rsidR="00A46326">
        <w:t xml:space="preserve">. With the creation of the new real </w:t>
      </w:r>
      <w:r w:rsidR="00F53473">
        <w:t>-t</w:t>
      </w:r>
      <w:r w:rsidR="00A46326">
        <w:t>ime MEL Dashboard</w:t>
      </w:r>
      <w:r w:rsidR="00F53473">
        <w:t xml:space="preserve"> (</w:t>
      </w:r>
      <w:r w:rsidR="006D5492">
        <w:t>E</w:t>
      </w:r>
      <w:r w:rsidR="00F53473">
        <w:t>xcel)</w:t>
      </w:r>
      <w:r w:rsidR="00A46326">
        <w:t xml:space="preserve"> the MEL system will be</w:t>
      </w:r>
      <w:r w:rsidR="000F1258">
        <w:t xml:space="preserve"> </w:t>
      </w:r>
      <w:r w:rsidR="00F53473">
        <w:t>sufficient</w:t>
      </w:r>
      <w:r w:rsidR="000F1258">
        <w:t xml:space="preserve"> for the needs of the program</w:t>
      </w:r>
      <w:r w:rsidR="00A46326">
        <w:t xml:space="preserve"> and </w:t>
      </w:r>
      <w:r w:rsidR="00F53473">
        <w:t xml:space="preserve">is expected to contribute sufficiently to achievement against </w:t>
      </w:r>
      <w:r w:rsidR="00A46326">
        <w:t xml:space="preserve">all </w:t>
      </w:r>
      <w:r w:rsidR="00F53473">
        <w:t>three Pu</w:t>
      </w:r>
      <w:r w:rsidR="00A46326">
        <w:t xml:space="preserve">rposes.  During the first year of MEL system </w:t>
      </w:r>
      <w:r w:rsidR="00F53473">
        <w:t>implementation (Year 2)</w:t>
      </w:r>
      <w:r w:rsidR="00A46326">
        <w:t xml:space="preserve"> and reporting</w:t>
      </w:r>
      <w:r w:rsidR="00F53473">
        <w:t>,</w:t>
      </w:r>
      <w:r w:rsidR="00A46326">
        <w:t xml:space="preserve"> the MEL</w:t>
      </w:r>
      <w:r w:rsidR="00487626">
        <w:t xml:space="preserve"> </w:t>
      </w:r>
      <w:r w:rsidR="00A46326">
        <w:t xml:space="preserve">STA (Clear Horizon) and MEL Advisor </w:t>
      </w:r>
      <w:proofErr w:type="gramStart"/>
      <w:r w:rsidR="00F53473">
        <w:t xml:space="preserve">made </w:t>
      </w:r>
      <w:r w:rsidR="000F1258">
        <w:t>adjust</w:t>
      </w:r>
      <w:r w:rsidR="00A46326">
        <w:t>ments</w:t>
      </w:r>
      <w:proofErr w:type="gramEnd"/>
      <w:r w:rsidR="00A46326">
        <w:t xml:space="preserve"> and </w:t>
      </w:r>
      <w:r w:rsidR="000F1258">
        <w:t>adapt</w:t>
      </w:r>
      <w:r w:rsidR="00A46326">
        <w:t>ations to the ambition</w:t>
      </w:r>
      <w:r w:rsidR="00F53473">
        <w:t xml:space="preserve"> of TASP MEL</w:t>
      </w:r>
      <w:r w:rsidR="00A46326">
        <w:t xml:space="preserve"> and tools to align with TASP staff skills and needs.  In addition, they design</w:t>
      </w:r>
      <w:r>
        <w:t>ed</w:t>
      </w:r>
      <w:r w:rsidR="00A46326">
        <w:t xml:space="preserve"> processes</w:t>
      </w:r>
      <w:r w:rsidR="00F53473">
        <w:t xml:space="preserve"> (such as reporting via verbal presentation with </w:t>
      </w:r>
      <w:r w:rsidR="006D5492">
        <w:t xml:space="preserve">PowerPoint </w:t>
      </w:r>
      <w:r w:rsidR="00F53473">
        <w:t>accompaniment)</w:t>
      </w:r>
      <w:r w:rsidR="00A46326">
        <w:t xml:space="preserve"> to facilitate local staff representation and reflection on progress and lessons.  This has </w:t>
      </w:r>
      <w:r w:rsidR="006D5492">
        <w:lastRenderedPageBreak/>
        <w:t xml:space="preserve">meant </w:t>
      </w:r>
      <w:r w:rsidR="00A46326">
        <w:t xml:space="preserve">less </w:t>
      </w:r>
      <w:r w:rsidR="00F53473">
        <w:t xml:space="preserve">English language </w:t>
      </w:r>
      <w:r w:rsidR="00A46326">
        <w:t>report</w:t>
      </w:r>
      <w:r w:rsidR="00F53473">
        <w:t>-</w:t>
      </w:r>
      <w:r w:rsidR="00A46326">
        <w:t>writing.  While this can mean slightly more time</w:t>
      </w:r>
      <w:r>
        <w:t>-</w:t>
      </w:r>
      <w:r w:rsidR="00A46326">
        <w:t>consuming presentations, it facili</w:t>
      </w:r>
      <w:r w:rsidR="006D5492">
        <w:t>tat</w:t>
      </w:r>
      <w:r w:rsidR="00A46326">
        <w:t xml:space="preserve">es local ownership and presentation </w:t>
      </w:r>
      <w:r>
        <w:t xml:space="preserve">by Tongan staff </w:t>
      </w:r>
      <w:r w:rsidR="00A46326">
        <w:t>in their own voice</w:t>
      </w:r>
      <w:r w:rsidR="000F1258">
        <w:t xml:space="preserve">. </w:t>
      </w:r>
    </w:p>
    <w:p w14:paraId="731ECF95" w14:textId="608492C6" w:rsidR="00A46326" w:rsidRDefault="000F1258" w:rsidP="00A348C7">
      <w:r>
        <w:t xml:space="preserve">Australian based </w:t>
      </w:r>
      <w:r w:rsidR="00F53473">
        <w:t xml:space="preserve">STA </w:t>
      </w:r>
      <w:r>
        <w:t>advisory support</w:t>
      </w:r>
      <w:r w:rsidR="00A46326">
        <w:t xml:space="preserve"> (via Clear Horizon) has been</w:t>
      </w:r>
      <w:r>
        <w:t xml:space="preserve"> efficient </w:t>
      </w:r>
      <w:r w:rsidR="00A46326">
        <w:t>and provided well regarded support to the Tongan and now regional International A</w:t>
      </w:r>
      <w:r>
        <w:t>dvisor</w:t>
      </w:r>
      <w:r w:rsidR="00A46326">
        <w:t xml:space="preserve"> and new Tongan MEL staff</w:t>
      </w:r>
      <w:r>
        <w:t xml:space="preserve">.  </w:t>
      </w:r>
    </w:p>
    <w:p w14:paraId="481B294F" w14:textId="4A792C8A" w:rsidR="00A46326" w:rsidRDefault="000F1258" w:rsidP="00A348C7">
      <w:r>
        <w:t xml:space="preserve">Annual and </w:t>
      </w:r>
      <w:r w:rsidR="00E55A18">
        <w:t>s</w:t>
      </w:r>
      <w:r>
        <w:t>ix-monthly reports show good enough data to support decision making</w:t>
      </w:r>
      <w:r w:rsidR="00A46326">
        <w:t xml:space="preserve"> between TASP and DFAT.  </w:t>
      </w:r>
      <w:r w:rsidR="00AE44B2">
        <w:t xml:space="preserve">The </w:t>
      </w:r>
      <w:proofErr w:type="spellStart"/>
      <w:r w:rsidR="00A46326">
        <w:t>GoT</w:t>
      </w:r>
      <w:proofErr w:type="spellEnd"/>
      <w:r w:rsidR="00A46326">
        <w:t xml:space="preserve"> </w:t>
      </w:r>
      <w:r w:rsidR="00E403B5">
        <w:t>stakeholders participated in reflections workshops which informed the reporting</w:t>
      </w:r>
      <w:r w:rsidR="00664208">
        <w:t xml:space="preserve"> and have responded to the </w:t>
      </w:r>
      <w:r w:rsidR="00A46326">
        <w:t>Stakeholder Survey</w:t>
      </w:r>
      <w:r w:rsidR="000A6FEB">
        <w:t>s</w:t>
      </w:r>
      <w:r>
        <w:t xml:space="preserve">. </w:t>
      </w:r>
    </w:p>
    <w:p w14:paraId="1F298907" w14:textId="56F823EB" w:rsidR="00074BA0" w:rsidRPr="00F53473" w:rsidRDefault="00E55A18" w:rsidP="00A348C7">
      <w:r w:rsidRPr="00A0087D">
        <w:t xml:space="preserve">Accountability to DFAT is high and the </w:t>
      </w:r>
      <w:r w:rsidR="00253651" w:rsidRPr="00A0087D">
        <w:t>WoW</w:t>
      </w:r>
      <w:r w:rsidRPr="00A0087D">
        <w:t xml:space="preserve"> document agreement and various reporting requirements</w:t>
      </w:r>
      <w:r w:rsidRPr="00074BA0">
        <w:t xml:space="preserve"> ensure that TASP is meeting its obligations.  DFAT has measured TASP as performing well </w:t>
      </w:r>
      <w:r w:rsidR="00074BA0" w:rsidRPr="00074BA0">
        <w:t>with budget processes, risk management and shared decision making</w:t>
      </w:r>
      <w:r w:rsidR="00F53473">
        <w:t>:</w:t>
      </w:r>
      <w:r w:rsidR="00074BA0" w:rsidRPr="00074BA0">
        <w:t xml:space="preserve"> “</w:t>
      </w:r>
      <w:r w:rsidR="00074BA0" w:rsidRPr="00074BA0">
        <w:rPr>
          <w:i/>
          <w:iCs/>
        </w:rPr>
        <w:t xml:space="preserve">Budget management processes </w:t>
      </w:r>
      <w:proofErr w:type="gramStart"/>
      <w:r w:rsidR="00074BA0" w:rsidRPr="00074BA0">
        <w:rPr>
          <w:i/>
          <w:iCs/>
        </w:rPr>
        <w:t>remains</w:t>
      </w:r>
      <w:proofErr w:type="gramEnd"/>
      <w:r w:rsidR="00074BA0" w:rsidRPr="00074BA0">
        <w:rPr>
          <w:i/>
          <w:iCs/>
        </w:rPr>
        <w:t xml:space="preserve"> a strength, with financial records demonstrating that accurate forecasts are provided on time… The TASP Management Group meets weekly to review risk management and agree problem solving plus review activity pipelines and workplans; discuss and agree on Tasking Notes for flexible mechanisms; review the TASP budget at key points in time; determine key evaluations and M&amp;E outputs; and facilitate learning across the whole-of-TASP. Meetings were held as intended, save for mutually agreed exceptions. TASP recorded minutes and key decisions</w:t>
      </w:r>
      <w:r w:rsidR="00074BA0">
        <w:rPr>
          <w:i/>
          <w:iCs/>
        </w:rPr>
        <w:t xml:space="preserve">” </w:t>
      </w:r>
      <w:r w:rsidR="00074BA0" w:rsidRPr="00074BA0">
        <w:t>(AIMR Report</w:t>
      </w:r>
      <w:r w:rsidR="00074BA0">
        <w:rPr>
          <w:rStyle w:val="FootnoteReference"/>
        </w:rPr>
        <w:footnoteReference w:id="27"/>
      </w:r>
      <w:r w:rsidR="00074BA0" w:rsidRPr="00074BA0">
        <w:t>)</w:t>
      </w:r>
      <w:r w:rsidR="00074BA0" w:rsidRPr="00074BA0">
        <w:rPr>
          <w:i/>
          <w:iCs/>
        </w:rPr>
        <w:t xml:space="preserve">. </w:t>
      </w:r>
      <w:r w:rsidR="00074BA0">
        <w:t>All these processes are supported with good MEL systems to be able to manage and share data in a timely manner.</w:t>
      </w:r>
      <w:r w:rsidR="00074BA0" w:rsidRPr="00074BA0">
        <w:rPr>
          <w:i/>
          <w:iCs/>
        </w:rPr>
        <w:t xml:space="preserve"> </w:t>
      </w:r>
    </w:p>
    <w:p w14:paraId="5E8B8CED" w14:textId="77777777" w:rsidR="008341AE" w:rsidRPr="00DC59B3" w:rsidRDefault="00161D21" w:rsidP="008341AE">
      <w:r w:rsidRPr="00A0087D">
        <w:t xml:space="preserve">Accountability to </w:t>
      </w:r>
      <w:proofErr w:type="spellStart"/>
      <w:r w:rsidRPr="00A0087D">
        <w:t>GoT</w:t>
      </w:r>
      <w:proofErr w:type="spellEnd"/>
      <w:r w:rsidRPr="00A0087D">
        <w:t xml:space="preserve"> could be improved. </w:t>
      </w:r>
      <w:r w:rsidR="00074BA0" w:rsidRPr="00A0087D">
        <w:t xml:space="preserve">While </w:t>
      </w:r>
      <w:r w:rsidR="00F53473" w:rsidRPr="00A0087D">
        <w:t>TASP</w:t>
      </w:r>
      <w:r w:rsidR="00074BA0" w:rsidRPr="00A0087D">
        <w:t xml:space="preserve"> is meeting these requirements and producing</w:t>
      </w:r>
      <w:r w:rsidR="00074BA0" w:rsidRPr="00DC59B3">
        <w:t xml:space="preserve"> information, data and reports to meet requirements, </w:t>
      </w:r>
      <w:r w:rsidR="00DC59B3" w:rsidRPr="00DC59B3">
        <w:t>f</w:t>
      </w:r>
      <w:r w:rsidR="00074BA0" w:rsidRPr="00DC59B3">
        <w:t xml:space="preserve">rom a </w:t>
      </w:r>
      <w:proofErr w:type="spellStart"/>
      <w:r w:rsidR="00074BA0" w:rsidRPr="00DC59B3">
        <w:t>GoT</w:t>
      </w:r>
      <w:proofErr w:type="spellEnd"/>
      <w:r w:rsidR="00074BA0" w:rsidRPr="00DC59B3">
        <w:t xml:space="preserve"> perspective the TASP MEL system is only partially meeting their needs by providing minimal reporting without </w:t>
      </w:r>
      <w:r w:rsidR="00DC59B3" w:rsidRPr="00DC59B3">
        <w:t xml:space="preserve">giving </w:t>
      </w:r>
      <w:r w:rsidR="00F53473">
        <w:t>government partners/counterparts</w:t>
      </w:r>
      <w:r w:rsidR="00DC59B3" w:rsidRPr="00DC59B3">
        <w:t xml:space="preserve"> deeper</w:t>
      </w:r>
      <w:r w:rsidR="00074BA0" w:rsidRPr="00DC59B3">
        <w:t xml:space="preserve"> </w:t>
      </w:r>
      <w:r w:rsidR="00DC59B3" w:rsidRPr="00DC59B3">
        <w:t xml:space="preserve">learning and strategic engagement </w:t>
      </w:r>
      <w:r w:rsidR="00F53473">
        <w:t xml:space="preserve">in TASP planning and measurement </w:t>
      </w:r>
      <w:r w:rsidR="00074BA0" w:rsidRPr="00DC59B3">
        <w:t xml:space="preserve">that can come from focused engagement in MEL processes and reflections.  </w:t>
      </w:r>
      <w:r w:rsidR="008341AE" w:rsidRPr="00DC59B3">
        <w:t>According to the MEL Learning Plan (Volume 1), key partners/counterparts are optional participants in pillar and platform reflection workshops.  Given some TASP Advisors reflected that while interesting</w:t>
      </w:r>
      <w:r w:rsidR="008341AE">
        <w:t>,</w:t>
      </w:r>
      <w:r w:rsidR="008341AE" w:rsidRPr="00DC59B3">
        <w:t xml:space="preserve"> these workshops are excessively time consuming, it is not unreasonable to expect that they would also be too time consuming and less relevant to government counterparts.  However, there needs to be systematic and regular documented opportunities for key counterparts to </w:t>
      </w:r>
      <w:r w:rsidR="008341AE">
        <w:t>gain</w:t>
      </w:r>
      <w:r w:rsidR="008341AE" w:rsidRPr="00DC59B3">
        <w:t xml:space="preserve"> an adequate understanding of TASP and its program of work if TASP is to</w:t>
      </w:r>
      <w:r w:rsidR="008341AE">
        <w:t>:</w:t>
      </w:r>
      <w:r w:rsidR="008341AE" w:rsidRPr="00DC59B3">
        <w:t xml:space="preserve"> provide deep and wide accountability to the </w:t>
      </w:r>
      <w:proofErr w:type="spellStart"/>
      <w:r w:rsidR="008341AE" w:rsidRPr="00DC59B3">
        <w:t>GoT</w:t>
      </w:r>
      <w:proofErr w:type="spellEnd"/>
      <w:r w:rsidR="008341AE">
        <w:t xml:space="preserve">; </w:t>
      </w:r>
      <w:r w:rsidR="008341AE" w:rsidRPr="00DC59B3">
        <w:t>gain their insights into the ongoing workplan of TASP</w:t>
      </w:r>
      <w:r w:rsidR="008341AE">
        <w:t>;</w:t>
      </w:r>
      <w:r w:rsidR="008341AE" w:rsidRPr="00DC59B3">
        <w:t xml:space="preserve"> and gain better buy-in and broader </w:t>
      </w:r>
      <w:proofErr w:type="spellStart"/>
      <w:r w:rsidR="008341AE" w:rsidRPr="00DC59B3">
        <w:t>GoT</w:t>
      </w:r>
      <w:proofErr w:type="spellEnd"/>
      <w:r w:rsidR="008341AE" w:rsidRPr="00DC59B3">
        <w:t xml:space="preserve"> ownership of outcomes.</w:t>
      </w:r>
    </w:p>
    <w:p w14:paraId="255C7C0D" w14:textId="6E7064C5" w:rsidR="00E55A18" w:rsidRPr="00DC59B3" w:rsidRDefault="00E55A18" w:rsidP="00A348C7">
      <w:r w:rsidRPr="00DC59B3">
        <w:t xml:space="preserve">Government counterparts </w:t>
      </w:r>
      <w:r w:rsidR="00DC59B3" w:rsidRPr="00DC59B3">
        <w:t xml:space="preserve">reported that they </w:t>
      </w:r>
      <w:r w:rsidRPr="00DC59B3">
        <w:t>are uncertain about how LTA performance is measured, on what criteria and outcome, although they report satisfaction with what the Advisors are doing. </w:t>
      </w:r>
      <w:r w:rsidR="004E056D" w:rsidRPr="00DC59B3" w:rsidDel="004E056D">
        <w:t xml:space="preserve"> </w:t>
      </w:r>
    </w:p>
    <w:p w14:paraId="57923B4B" w14:textId="77777777" w:rsidR="00A46326" w:rsidRDefault="00A46326" w:rsidP="00A348C7">
      <w:r>
        <w:t xml:space="preserve">Via the conversations with Pillar Advisors the MEL team have identified strategic MEL support and training that they have been able to provide to </w:t>
      </w:r>
      <w:proofErr w:type="spellStart"/>
      <w:r>
        <w:t>GoT</w:t>
      </w:r>
      <w:proofErr w:type="spellEnd"/>
      <w:r>
        <w:t xml:space="preserve"> units.  </w:t>
      </w:r>
    </w:p>
    <w:p w14:paraId="6BC095E9" w14:textId="7176FABA" w:rsidR="00194B11" w:rsidRDefault="00A46326" w:rsidP="00A348C7">
      <w:r w:rsidRPr="00A0087D">
        <w:t>To further progress against the third purpose of TASP MEL (Communication) the</w:t>
      </w:r>
      <w:r w:rsidR="000F1258" w:rsidRPr="00A0087D">
        <w:t xml:space="preserve"> MEL </w:t>
      </w:r>
      <w:r w:rsidR="00F53473" w:rsidRPr="00A0087D">
        <w:t>A</w:t>
      </w:r>
      <w:r w:rsidR="000F1258" w:rsidRPr="00A0087D">
        <w:t>dvisor and</w:t>
      </w:r>
      <w:r w:rsidR="000F1258">
        <w:t xml:space="preserve"> </w:t>
      </w:r>
      <w:r w:rsidR="00F53473">
        <w:t xml:space="preserve">Strategic </w:t>
      </w:r>
      <w:r w:rsidR="000F1258">
        <w:t>Comm</w:t>
      </w:r>
      <w:r w:rsidR="006D5492">
        <w:t>unication</w:t>
      </w:r>
      <w:r w:rsidR="000F1258">
        <w:t xml:space="preserve">s </w:t>
      </w:r>
      <w:r w:rsidR="00F53473">
        <w:t>Coordinator</w:t>
      </w:r>
      <w:r w:rsidR="000F1258">
        <w:t xml:space="preserve"> are working together to increase output of stories</w:t>
      </w:r>
      <w:r w:rsidR="007E76D9">
        <w:t xml:space="preserve"> of change</w:t>
      </w:r>
      <w:r w:rsidR="000F1258">
        <w:t xml:space="preserve"> and visibilit</w:t>
      </w:r>
      <w:r w:rsidR="007E76D9">
        <w:t>y of Australian Government investments via TASP</w:t>
      </w:r>
      <w:r w:rsidR="000F1258">
        <w:t>.</w:t>
      </w:r>
    </w:p>
    <w:p w14:paraId="6BC095EC" w14:textId="77777777" w:rsidR="00194B11" w:rsidRDefault="000F1258" w:rsidP="002365EE">
      <w:pPr>
        <w:pStyle w:val="Heading1"/>
      </w:pPr>
      <w:bookmarkStart w:id="31" w:name="_Key_Findings:_GEDSI"/>
      <w:bookmarkStart w:id="32" w:name="_Toc183423583"/>
      <w:bookmarkEnd w:id="31"/>
      <w:r>
        <w:t xml:space="preserve">Key Findings: GEDSI &amp; Climate Change, </w:t>
      </w:r>
      <w:sdt>
        <w:sdtPr>
          <w:tag w:val="goog_rdk_0"/>
          <w:id w:val="-1033496282"/>
        </w:sdtPr>
        <w:sdtEndPr/>
        <w:sdtContent/>
      </w:sdt>
      <w:r>
        <w:t>KEQ5</w:t>
      </w:r>
      <w:bookmarkEnd w:id="32"/>
    </w:p>
    <w:p w14:paraId="6BC095ED" w14:textId="77777777" w:rsidR="00194B11" w:rsidRDefault="000F1258" w:rsidP="00644708">
      <w:pPr>
        <w:pBdr>
          <w:top w:val="single" w:sz="4" w:space="1" w:color="auto"/>
          <w:left w:val="single" w:sz="4" w:space="4" w:color="auto"/>
          <w:bottom w:val="single" w:sz="4" w:space="1" w:color="auto"/>
          <w:right w:val="single" w:sz="4" w:space="4" w:color="auto"/>
        </w:pBdr>
      </w:pPr>
      <w:r>
        <w:t xml:space="preserve">To what extent has TASP implementation integrated gender equality, disability, and social inclusion and what progress has been made towards GEDSI related outcomes? </w:t>
      </w:r>
    </w:p>
    <w:p w14:paraId="598B6E18" w14:textId="4C909074" w:rsidR="00D035CD" w:rsidRPr="00D035CD" w:rsidRDefault="00D035CD" w:rsidP="00644708">
      <w:pPr>
        <w:pBdr>
          <w:top w:val="single" w:sz="4" w:space="1" w:color="auto"/>
          <w:left w:val="single" w:sz="4" w:space="4" w:color="auto"/>
          <w:bottom w:val="single" w:sz="4" w:space="1" w:color="auto"/>
          <w:right w:val="single" w:sz="4" w:space="4" w:color="auto"/>
        </w:pBdr>
        <w:rPr>
          <w:b/>
          <w:bCs/>
        </w:rPr>
      </w:pPr>
      <w:r w:rsidRPr="007826B2">
        <w:rPr>
          <w:b/>
          <w:bCs/>
        </w:rPr>
        <w:t>Partial, more work to be done</w:t>
      </w:r>
    </w:p>
    <w:p w14:paraId="40913D9D" w14:textId="77777777" w:rsidR="007826B2" w:rsidRDefault="007826B2" w:rsidP="00644708">
      <w:pPr>
        <w:pBdr>
          <w:top w:val="single" w:sz="4" w:space="1" w:color="auto"/>
          <w:left w:val="single" w:sz="4" w:space="4" w:color="auto"/>
          <w:bottom w:val="single" w:sz="4" w:space="1" w:color="auto"/>
          <w:right w:val="single" w:sz="4" w:space="4" w:color="auto"/>
        </w:pBdr>
      </w:pPr>
    </w:p>
    <w:p w14:paraId="6BC095EE" w14:textId="3C2DB54E" w:rsidR="00194B11" w:rsidRDefault="000F1258" w:rsidP="00644708">
      <w:pPr>
        <w:pBdr>
          <w:top w:val="single" w:sz="4" w:space="1" w:color="auto"/>
          <w:left w:val="single" w:sz="4" w:space="4" w:color="auto"/>
          <w:bottom w:val="single" w:sz="4" w:space="1" w:color="auto"/>
          <w:right w:val="single" w:sz="4" w:space="4" w:color="auto"/>
        </w:pBdr>
      </w:pPr>
      <w:r>
        <w:t>What progress has been made on climate change action as envisaged in the TASP design?</w:t>
      </w:r>
    </w:p>
    <w:p w14:paraId="3995CFCC" w14:textId="4CFFCC0F" w:rsidR="00D035CD" w:rsidRPr="00D035CD" w:rsidRDefault="00D035CD" w:rsidP="00644708">
      <w:pPr>
        <w:pBdr>
          <w:top w:val="single" w:sz="4" w:space="1" w:color="auto"/>
          <w:left w:val="single" w:sz="4" w:space="4" w:color="auto"/>
          <w:bottom w:val="single" w:sz="4" w:space="1" w:color="auto"/>
          <w:right w:val="single" w:sz="4" w:space="4" w:color="auto"/>
        </w:pBdr>
        <w:rPr>
          <w:b/>
          <w:bCs/>
        </w:rPr>
      </w:pPr>
      <w:r w:rsidRPr="007826B2">
        <w:rPr>
          <w:b/>
          <w:bCs/>
        </w:rPr>
        <w:t>Off track</w:t>
      </w:r>
    </w:p>
    <w:p w14:paraId="72DC6974" w14:textId="48D4AE8E" w:rsidR="00071E86" w:rsidRPr="00740FEA" w:rsidRDefault="00071E86" w:rsidP="00071E86">
      <w:r w:rsidRPr="00A0087D">
        <w:t xml:space="preserve">Overall, gender equality </w:t>
      </w:r>
      <w:r w:rsidR="0044089D" w:rsidRPr="00A0087D">
        <w:t xml:space="preserve">is starting to </w:t>
      </w:r>
      <w:r w:rsidRPr="00A0087D">
        <w:t>be integrated well across TASP</w:t>
      </w:r>
      <w:r w:rsidR="0044089D" w:rsidRPr="00A0087D">
        <w:t xml:space="preserve"> with a clear strategy</w:t>
      </w:r>
      <w:r w:rsidR="00DA6B57" w:rsidRPr="00A0087D">
        <w:t>.</w:t>
      </w:r>
      <w:r w:rsidR="00DA6B57">
        <w:rPr>
          <w:b/>
          <w:bCs/>
        </w:rPr>
        <w:t xml:space="preserve">  </w:t>
      </w:r>
      <w:r w:rsidR="00DA6B57">
        <w:t>I</w:t>
      </w:r>
      <w:r w:rsidRPr="00740FEA">
        <w:t xml:space="preserve">ntegration of disability is </w:t>
      </w:r>
      <w:r>
        <w:t xml:space="preserve">only </w:t>
      </w:r>
      <w:r w:rsidRPr="00740FEA">
        <w:t xml:space="preserve">now beginning. GEDSI-specific outcomes have been achieved primarily through grants to CSOs. It has been difficult to gain traction on GEDSI with </w:t>
      </w:r>
      <w:proofErr w:type="spellStart"/>
      <w:r w:rsidRPr="00740FEA">
        <w:t>GoT</w:t>
      </w:r>
      <w:proofErr w:type="spellEnd"/>
      <w:r w:rsidRPr="00740FEA">
        <w:t>.</w:t>
      </w:r>
    </w:p>
    <w:p w14:paraId="64FDD0B1" w14:textId="4DDC2A51" w:rsidR="00A44FBA" w:rsidRPr="00C14255" w:rsidRDefault="00DD7DBF" w:rsidP="002365EE">
      <w:pPr>
        <w:pStyle w:val="Heading2"/>
        <w:rPr>
          <w:color w:val="505050" w:themeColor="accent6" w:themeShade="80"/>
        </w:rPr>
      </w:pPr>
      <w:bookmarkStart w:id="33" w:name="_Toc183423584"/>
      <w:r w:rsidRPr="00C14255">
        <w:rPr>
          <w:color w:val="505050" w:themeColor="accent6" w:themeShade="80"/>
        </w:rPr>
        <w:t xml:space="preserve">GEDSI </w:t>
      </w:r>
      <w:r w:rsidR="006D5492" w:rsidRPr="00C14255">
        <w:rPr>
          <w:color w:val="505050" w:themeColor="accent6" w:themeShade="80"/>
        </w:rPr>
        <w:t>integrat</w:t>
      </w:r>
      <w:r w:rsidRPr="00C14255">
        <w:rPr>
          <w:color w:val="505050" w:themeColor="accent6" w:themeShade="80"/>
        </w:rPr>
        <w:t>ion</w:t>
      </w:r>
      <w:r w:rsidR="006D5492" w:rsidRPr="00C14255">
        <w:rPr>
          <w:color w:val="505050" w:themeColor="accent6" w:themeShade="80"/>
        </w:rPr>
        <w:t xml:space="preserve"> and progress towards GEDSI outcomes</w:t>
      </w:r>
      <w:bookmarkEnd w:id="33"/>
      <w:r w:rsidR="006D5492" w:rsidRPr="00C14255">
        <w:rPr>
          <w:color w:val="505050" w:themeColor="accent6" w:themeShade="80"/>
        </w:rPr>
        <w:t xml:space="preserve"> </w:t>
      </w:r>
    </w:p>
    <w:p w14:paraId="783C0EA2" w14:textId="68DBBC22" w:rsidR="00A44FBA" w:rsidRPr="00A32AFC" w:rsidRDefault="00A44FBA" w:rsidP="00A348C7">
      <w:pPr>
        <w:rPr>
          <w:color w:val="auto"/>
        </w:rPr>
      </w:pPr>
      <w:r w:rsidRPr="007C3CFA">
        <w:t>TASP has a twin-track approach to GEDSI, with a dedicated program pillar as well as commitment to</w:t>
      </w:r>
      <w:r w:rsidRPr="00A32AFC">
        <w:t xml:space="preserve"> mainstreaming </w:t>
      </w:r>
      <w:r w:rsidRPr="00A32AFC">
        <w:rPr>
          <w:color w:val="auto"/>
        </w:rPr>
        <w:t xml:space="preserve">equality and inclusion </w:t>
      </w:r>
      <w:r w:rsidRPr="00A32AFC">
        <w:t xml:space="preserve">across all pillars and operations. An initial GEDSI and Climate Change strategy was annexed to the TASP IDD, but (in line with TASP’s design-implement approach) specific GEDSI pillar outcomes were not identified in the Platform design. Mainstreaming is captured at intermediate outcome level:  IO1.2 is that </w:t>
      </w:r>
      <w:r w:rsidRPr="00A32AFC">
        <w:rPr>
          <w:color w:val="auto"/>
        </w:rPr>
        <w:t xml:space="preserve">TASP effectively mainstreams cross-cutting priorities (disability inclusion, gender equality, climate change action) into investments. </w:t>
      </w:r>
    </w:p>
    <w:p w14:paraId="2DFD06B7" w14:textId="77777777" w:rsidR="00A44FBA" w:rsidRPr="00A32AFC" w:rsidRDefault="00A44FBA" w:rsidP="00A348C7">
      <w:r w:rsidRPr="007C3CFA">
        <w:rPr>
          <w:color w:val="auto"/>
          <w:lang w:val="en-US"/>
        </w:rPr>
        <w:t xml:space="preserve">Initial plans to develop a gender pillar design were </w:t>
      </w:r>
      <w:r w:rsidRPr="007C3CFA">
        <w:rPr>
          <w:color w:val="auto"/>
        </w:rPr>
        <w:t>superseded</w:t>
      </w:r>
      <w:r w:rsidRPr="007C3CFA">
        <w:rPr>
          <w:color w:val="auto"/>
          <w:lang w:val="en-US"/>
        </w:rPr>
        <w:t xml:space="preserve"> by the decision to develop a DFAT</w:t>
      </w:r>
      <w:r w:rsidRPr="00A32AFC">
        <w:rPr>
          <w:color w:val="auto"/>
          <w:lang w:val="en-US"/>
        </w:rPr>
        <w:t xml:space="preserve"> Gender Country Plan (GCP</w:t>
      </w:r>
      <w:r w:rsidRPr="00A32AFC">
        <w:t>). Consequently, TASP priorities for 2023-24 were listed as (a) ‘</w:t>
      </w:r>
      <w:r w:rsidRPr="00A32AFC">
        <w:rPr>
          <w:lang w:val="en-US"/>
        </w:rPr>
        <w:t xml:space="preserve">development of clear, evidence-based programmatic architecture’ and (b) ‘program start-up activities (pending strategy approval)’. During 2023-24 </w:t>
      </w:r>
      <w:r w:rsidRPr="00A32AFC">
        <w:t>TASP led preparation of the GCP (released May 2024) and GEDSI High Level Brief, while also drafting the TASP GEDSI Action Plan (GAP), submitted for DFAT approval in April 2024. The GCP provides strategic framing for TASP’s (and other Australian-funded) GEDSI work, while the GAP sets out operational principles and proposed actions. EOPOs for the Gender pillar now cover (a) gender mainstreaming (</w:t>
      </w:r>
      <w:proofErr w:type="spellStart"/>
      <w:r w:rsidRPr="00A32AFC">
        <w:t>GoT</w:t>
      </w:r>
      <w:proofErr w:type="spellEnd"/>
      <w:r w:rsidRPr="00A32AFC">
        <w:t>), (2) domestic violence response and prevention, (3) sexual and reproductive health and rights, (4) economic opportunities, and (5) leadership and decision-making. Outputs are also articulated across other TASP pillars.</w:t>
      </w:r>
    </w:p>
    <w:p w14:paraId="5EF76EB3" w14:textId="4EF0C7B2" w:rsidR="00A44FBA" w:rsidRPr="00A32AFC" w:rsidRDefault="00A44FBA" w:rsidP="00A348C7">
      <w:pPr>
        <w:rPr>
          <w:lang w:val="en-US"/>
        </w:rPr>
      </w:pPr>
      <w:r w:rsidRPr="007C3CFA">
        <w:t xml:space="preserve">Difficulties in sourcing expertise have exacerbated the slow start for the GEDSI pillar. The </w:t>
      </w:r>
      <w:r w:rsidR="00B87EF5" w:rsidRPr="007C3CFA">
        <w:t xml:space="preserve">current </w:t>
      </w:r>
      <w:r w:rsidRPr="007C3CFA">
        <w:rPr>
          <w:lang w:val="en-US"/>
        </w:rPr>
        <w:t>TASP</w:t>
      </w:r>
      <w:r w:rsidRPr="00A32AFC">
        <w:rPr>
          <w:lang w:val="en-US"/>
        </w:rPr>
        <w:t xml:space="preserve"> GEDSI adviser (Tongan national) was recruited in</w:t>
      </w:r>
      <w:r w:rsidR="00922F47">
        <w:rPr>
          <w:lang w:val="en-US"/>
        </w:rPr>
        <w:t xml:space="preserve"> only</w:t>
      </w:r>
      <w:r w:rsidRPr="00A32AFC">
        <w:rPr>
          <w:lang w:val="en-US"/>
        </w:rPr>
        <w:t xml:space="preserve"> August 2023</w:t>
      </w:r>
      <w:r w:rsidR="00CF27BF">
        <w:rPr>
          <w:lang w:val="en-US"/>
        </w:rPr>
        <w:t xml:space="preserve"> following an extensi</w:t>
      </w:r>
      <w:r w:rsidR="00BF2A48">
        <w:rPr>
          <w:lang w:val="en-US"/>
        </w:rPr>
        <w:t>ve</w:t>
      </w:r>
      <w:r w:rsidR="00CF27BF">
        <w:rPr>
          <w:lang w:val="en-US"/>
        </w:rPr>
        <w:t xml:space="preserve"> search for </w:t>
      </w:r>
      <w:r w:rsidR="00922F47">
        <w:rPr>
          <w:lang w:val="en-US"/>
        </w:rPr>
        <w:t xml:space="preserve">an </w:t>
      </w:r>
      <w:r w:rsidR="00CF27BF">
        <w:rPr>
          <w:lang w:val="en-US"/>
        </w:rPr>
        <w:t xml:space="preserve">appropriately skilled and experienced GEDSI Advisor.  </w:t>
      </w:r>
      <w:r w:rsidR="00A31C6F">
        <w:rPr>
          <w:lang w:val="en-US"/>
        </w:rPr>
        <w:t xml:space="preserve">Creative management with </w:t>
      </w:r>
      <w:proofErr w:type="gramStart"/>
      <w:r w:rsidR="00A31C6F">
        <w:rPr>
          <w:lang w:val="en-US"/>
        </w:rPr>
        <w:t>thought</w:t>
      </w:r>
      <w:proofErr w:type="gramEnd"/>
      <w:r w:rsidR="00A31C6F">
        <w:rPr>
          <w:lang w:val="en-US"/>
        </w:rPr>
        <w:t xml:space="preserve"> to </w:t>
      </w:r>
      <w:proofErr w:type="gramStart"/>
      <w:r w:rsidR="00A31C6F">
        <w:rPr>
          <w:lang w:val="en-US"/>
        </w:rPr>
        <w:t>building</w:t>
      </w:r>
      <w:proofErr w:type="gramEnd"/>
      <w:r w:rsidR="00A31C6F">
        <w:rPr>
          <w:lang w:val="en-US"/>
        </w:rPr>
        <w:t xml:space="preserve"> </w:t>
      </w:r>
      <w:proofErr w:type="gramStart"/>
      <w:r w:rsidR="00A31C6F">
        <w:rPr>
          <w:lang w:val="en-US"/>
        </w:rPr>
        <w:t>capacity</w:t>
      </w:r>
      <w:proofErr w:type="gramEnd"/>
      <w:r w:rsidR="00A31C6F">
        <w:rPr>
          <w:lang w:val="en-US"/>
        </w:rPr>
        <w:t xml:space="preserve"> of local staff led to</w:t>
      </w:r>
      <w:r w:rsidR="00922F47">
        <w:rPr>
          <w:lang w:val="en-US"/>
        </w:rPr>
        <w:t xml:space="preserve"> </w:t>
      </w:r>
      <w:r w:rsidR="00F97FA1">
        <w:rPr>
          <w:lang w:val="en-US"/>
        </w:rPr>
        <w:t xml:space="preserve">the current </w:t>
      </w:r>
      <w:proofErr w:type="gramStart"/>
      <w:r w:rsidR="00F97FA1">
        <w:rPr>
          <w:lang w:val="en-US"/>
        </w:rPr>
        <w:t>arrangement</w:t>
      </w:r>
      <w:proofErr w:type="gramEnd"/>
      <w:r w:rsidR="00F97FA1">
        <w:rPr>
          <w:lang w:val="en-US"/>
        </w:rPr>
        <w:t xml:space="preserve"> whereby the new Advisor’s capacity is being built and supported by</w:t>
      </w:r>
      <w:r w:rsidRPr="00A32AFC">
        <w:rPr>
          <w:lang w:val="en-US"/>
        </w:rPr>
        <w:t xml:space="preserve"> an international STA. A disability STA is providing remote high level technical </w:t>
      </w:r>
      <w:proofErr w:type="gramStart"/>
      <w:r w:rsidRPr="00A32AFC">
        <w:rPr>
          <w:lang w:val="en-US"/>
        </w:rPr>
        <w:t>support</w:t>
      </w:r>
      <w:proofErr w:type="gramEnd"/>
      <w:r w:rsidRPr="00A32AFC">
        <w:rPr>
          <w:lang w:val="en-US"/>
        </w:rPr>
        <w:t xml:space="preserve"> and a disability coordinator was added to the TASP staff in April 2024. </w:t>
      </w:r>
      <w:r w:rsidR="00F97FA1">
        <w:rPr>
          <w:lang w:val="en-US"/>
        </w:rPr>
        <w:t xml:space="preserve"> The Managing Contractor an</w:t>
      </w:r>
      <w:r w:rsidR="00DF6B4C">
        <w:rPr>
          <w:lang w:val="en-US"/>
        </w:rPr>
        <w:t xml:space="preserve">d </w:t>
      </w:r>
      <w:r w:rsidR="00F97FA1">
        <w:rPr>
          <w:lang w:val="en-US"/>
        </w:rPr>
        <w:t>DFAT can learn lessons from this process when considering application of DFAT’s new Guidance on Locally Led Development.</w:t>
      </w:r>
      <w:r w:rsidR="00DF6B4C">
        <w:rPr>
          <w:lang w:val="en-US"/>
        </w:rPr>
        <w:t xml:space="preserve">  There are </w:t>
      </w:r>
      <w:proofErr w:type="gramStart"/>
      <w:r w:rsidR="00F865F1">
        <w:rPr>
          <w:lang w:val="en-US"/>
        </w:rPr>
        <w:t>short term</w:t>
      </w:r>
      <w:proofErr w:type="gramEnd"/>
      <w:r w:rsidR="00F865F1">
        <w:rPr>
          <w:lang w:val="en-US"/>
        </w:rPr>
        <w:t xml:space="preserve"> </w:t>
      </w:r>
      <w:r w:rsidR="00DF6B4C">
        <w:rPr>
          <w:lang w:val="en-US"/>
        </w:rPr>
        <w:t>tradeoffs</w:t>
      </w:r>
      <w:r w:rsidR="00CB4EE0">
        <w:rPr>
          <w:lang w:val="en-US"/>
        </w:rPr>
        <w:t xml:space="preserve"> and </w:t>
      </w:r>
      <w:r w:rsidR="00B463AF">
        <w:rPr>
          <w:lang w:val="en-US"/>
        </w:rPr>
        <w:t>longer-term</w:t>
      </w:r>
      <w:r w:rsidR="00CB4EE0">
        <w:rPr>
          <w:lang w:val="en-US"/>
        </w:rPr>
        <w:t xml:space="preserve"> positive impact</w:t>
      </w:r>
      <w:r w:rsidR="00F865F1">
        <w:rPr>
          <w:lang w:val="en-US"/>
        </w:rPr>
        <w:t>s</w:t>
      </w:r>
      <w:r w:rsidR="00CB4EE0">
        <w:rPr>
          <w:lang w:val="en-US"/>
        </w:rPr>
        <w:t xml:space="preserve"> of</w:t>
      </w:r>
      <w:r w:rsidR="008A0910">
        <w:rPr>
          <w:lang w:val="en-US"/>
        </w:rPr>
        <w:t xml:space="preserve"> recruiting lower skilled local staff </w:t>
      </w:r>
      <w:r w:rsidR="00F865F1">
        <w:rPr>
          <w:lang w:val="en-US"/>
        </w:rPr>
        <w:t xml:space="preserve">(with excellent local knowledge, contacts and contextual nuance), </w:t>
      </w:r>
      <w:r w:rsidR="008A0910">
        <w:rPr>
          <w:lang w:val="en-US"/>
        </w:rPr>
        <w:t xml:space="preserve">with STA support and mentoring (including mentoring </w:t>
      </w:r>
      <w:r w:rsidR="002A4889">
        <w:rPr>
          <w:lang w:val="en-US"/>
        </w:rPr>
        <w:t>from TASP management).</w:t>
      </w:r>
      <w:r w:rsidR="00F865F1">
        <w:rPr>
          <w:lang w:val="en-US"/>
        </w:rPr>
        <w:t xml:space="preserve">  A locally led development strategy</w:t>
      </w:r>
      <w:r w:rsidR="005C773C">
        <w:rPr>
          <w:lang w:val="en-US"/>
        </w:rPr>
        <w:t xml:space="preserve"> and analysis would provide further justification and understanding of </w:t>
      </w:r>
      <w:r w:rsidR="00FF3F92">
        <w:rPr>
          <w:lang w:val="en-US"/>
        </w:rPr>
        <w:t xml:space="preserve">the implications (time, resources, outcomes) of </w:t>
      </w:r>
      <w:proofErr w:type="spellStart"/>
      <w:r w:rsidR="00FF3F92">
        <w:rPr>
          <w:lang w:val="en-US"/>
        </w:rPr>
        <w:t>favo</w:t>
      </w:r>
      <w:r w:rsidR="001468B8">
        <w:rPr>
          <w:lang w:val="en-US"/>
        </w:rPr>
        <w:t>u</w:t>
      </w:r>
      <w:r w:rsidR="00FF3F92">
        <w:rPr>
          <w:lang w:val="en-US"/>
        </w:rPr>
        <w:t>ring</w:t>
      </w:r>
      <w:proofErr w:type="spellEnd"/>
      <w:r w:rsidR="00FF3F92">
        <w:rPr>
          <w:lang w:val="en-US"/>
        </w:rPr>
        <w:t xml:space="preserve"> local staff.</w:t>
      </w:r>
    </w:p>
    <w:p w14:paraId="555EA929" w14:textId="0629C691" w:rsidR="00A44FBA" w:rsidRPr="00A32AFC" w:rsidRDefault="00A44FBA" w:rsidP="00A348C7">
      <w:r w:rsidRPr="007C3CFA">
        <w:t>Despite the strategy hiatus and slow recruitment, there is evidence that both GEDSI mainstreaming and some GEDSI-specific interventions have been advanced. TASP self-rated progress under the Gender</w:t>
      </w:r>
      <w:r w:rsidRPr="00A32AFC">
        <w:t xml:space="preserve"> pillar as ‘adequate’ in its 2022-23 Annual Report and March 2024 Mid-Year Progress update. DFAT’s </w:t>
      </w:r>
      <w:r w:rsidR="00BF2A48">
        <w:t>AIMRs</w:t>
      </w:r>
      <w:r w:rsidRPr="00A32AFC">
        <w:t xml:space="preserve"> for TASP and its embedded health pillar (THHSP) for 2023 both rated the gender equality criterion as ‘adequate’.</w:t>
      </w:r>
    </w:p>
    <w:p w14:paraId="2B8C6575" w14:textId="23B8F089" w:rsidR="00A44FBA" w:rsidRPr="00A32AFC" w:rsidRDefault="00A44FBA" w:rsidP="00A348C7">
      <w:r w:rsidRPr="00A32AFC">
        <w:t xml:space="preserve">TASP reporting indicates that initial work has been undertaken to identify and address potential GEDSI-related barriers to participation in TASP-funded activities, pursue opportunities to engage in policy dialogue </w:t>
      </w:r>
      <w:r w:rsidRPr="00A32AFC">
        <w:lastRenderedPageBreak/>
        <w:t>to promote GEDSI, and establish new CSO partnerships supporting institutional strengthening or specific projects or activities.</w:t>
      </w:r>
      <w:r w:rsidRPr="64562396">
        <w:rPr>
          <w:rStyle w:val="FootnoteReference"/>
          <w:rFonts w:ascii="Arial" w:hAnsi="Arial" w:cs="Arial"/>
          <w:color w:val="auto"/>
        </w:rPr>
        <w:footnoteReference w:id="28"/>
      </w:r>
      <w:r w:rsidRPr="00A32AFC">
        <w:t xml:space="preserve"> </w:t>
      </w:r>
    </w:p>
    <w:p w14:paraId="441D11FF" w14:textId="746B4283" w:rsidR="00A44FBA" w:rsidRPr="00A32AFC" w:rsidRDefault="00A44FBA" w:rsidP="00A348C7">
      <w:pPr>
        <w:rPr>
          <w:color w:val="auto"/>
          <w:lang w:val="en-US"/>
        </w:rPr>
      </w:pPr>
      <w:r w:rsidRPr="007C3CFA">
        <w:t>Two active grant agreements from an earlier program – with the Women and Children’s Crisis Centre</w:t>
      </w:r>
      <w:r w:rsidRPr="00A32AFC">
        <w:t xml:space="preserve"> (WCCC) and the Tonga National Centre for Women and Children (TNCWC) – were novated to TASP and then extended.</w:t>
      </w:r>
      <w:r w:rsidRPr="00A32AFC">
        <w:rPr>
          <w:color w:val="auto"/>
          <w:lang w:val="en-US"/>
        </w:rPr>
        <w:t xml:space="preserve"> While the TNCWC agreement ended in March 2023, additional core funding agreements have since been signed with the Tonga Family Health Association (TFHA), </w:t>
      </w:r>
      <w:proofErr w:type="spellStart"/>
      <w:r w:rsidR="00B87EF5" w:rsidRPr="00B87EF5">
        <w:rPr>
          <w:color w:val="auto"/>
        </w:rPr>
        <w:t>Lavame’a</w:t>
      </w:r>
      <w:proofErr w:type="spellEnd"/>
      <w:r w:rsidR="00B87EF5" w:rsidRPr="00B87EF5">
        <w:rPr>
          <w:color w:val="auto"/>
        </w:rPr>
        <w:t xml:space="preserve"> </w:t>
      </w:r>
      <w:proofErr w:type="spellStart"/>
      <w:r w:rsidR="00B87EF5" w:rsidRPr="00B87EF5">
        <w:rPr>
          <w:color w:val="auto"/>
        </w:rPr>
        <w:t>Ta’e’iloa</w:t>
      </w:r>
      <w:proofErr w:type="spellEnd"/>
      <w:r w:rsidR="00B87EF5" w:rsidRPr="00B87EF5">
        <w:rPr>
          <w:color w:val="auto"/>
        </w:rPr>
        <w:t xml:space="preserve"> Disabled People Association Incorporation </w:t>
      </w:r>
      <w:r w:rsidRPr="00A32AFC">
        <w:rPr>
          <w:color w:val="auto"/>
          <w:lang w:val="en-US"/>
        </w:rPr>
        <w:t xml:space="preserve">(LATA), </w:t>
      </w:r>
      <w:proofErr w:type="spellStart"/>
      <w:r w:rsidRPr="00A32AFC">
        <w:t>Ma’a</w:t>
      </w:r>
      <w:proofErr w:type="spellEnd"/>
      <w:r w:rsidRPr="00A32AFC">
        <w:t xml:space="preserve"> </w:t>
      </w:r>
      <w:proofErr w:type="spellStart"/>
      <w:r w:rsidRPr="00A32AFC">
        <w:t>Fafine</w:t>
      </w:r>
      <w:proofErr w:type="spellEnd"/>
      <w:r w:rsidRPr="00A32AFC">
        <w:t xml:space="preserve"> </w:t>
      </w:r>
      <w:proofErr w:type="spellStart"/>
      <w:r w:rsidRPr="00A32AFC">
        <w:t>Mo’e</w:t>
      </w:r>
      <w:proofErr w:type="spellEnd"/>
      <w:r w:rsidRPr="00A32AFC">
        <w:t xml:space="preserve"> </w:t>
      </w:r>
      <w:proofErr w:type="spellStart"/>
      <w:r w:rsidRPr="00A32AFC">
        <w:t>Famili</w:t>
      </w:r>
      <w:proofErr w:type="spellEnd"/>
      <w:r w:rsidRPr="00A32AFC">
        <w:t xml:space="preserve"> Inc. (MFF),</w:t>
      </w:r>
      <w:r w:rsidRPr="00A32AFC">
        <w:rPr>
          <w:color w:val="auto"/>
          <w:lang w:val="en-US"/>
        </w:rPr>
        <w:t xml:space="preserve"> Tonga Women in ICT (</w:t>
      </w:r>
      <w:r w:rsidRPr="00A32AFC">
        <w:t>TWICT) and Tonga Leitis Association (TLA).</w:t>
      </w:r>
      <w:r w:rsidRPr="00A32AFC">
        <w:rPr>
          <w:color w:val="auto"/>
          <w:lang w:val="en-US"/>
        </w:rPr>
        <w:t xml:space="preserve"> </w:t>
      </w:r>
      <w:r w:rsidRPr="00A32AFC">
        <w:t>C</w:t>
      </w:r>
      <w:r w:rsidRPr="00A30182">
        <w:t xml:space="preserve">apacity constraints and demands placed on local </w:t>
      </w:r>
      <w:r w:rsidRPr="00A32AFC">
        <w:t>CSOs, particularly in the disability sector,</w:t>
      </w:r>
      <w:r w:rsidRPr="00A30182">
        <w:t xml:space="preserve"> </w:t>
      </w:r>
      <w:r w:rsidRPr="00A32AFC">
        <w:t>were</w:t>
      </w:r>
      <w:r w:rsidRPr="00A30182">
        <w:t xml:space="preserve"> </w:t>
      </w:r>
      <w:r w:rsidRPr="00A32AFC">
        <w:t>identified</w:t>
      </w:r>
      <w:r w:rsidRPr="00A30182">
        <w:t xml:space="preserve"> </w:t>
      </w:r>
      <w:r w:rsidRPr="00A32AFC">
        <w:t xml:space="preserve">as </w:t>
      </w:r>
      <w:r w:rsidRPr="00A30182">
        <w:t xml:space="preserve">a </w:t>
      </w:r>
      <w:r w:rsidRPr="00A32AFC">
        <w:t xml:space="preserve">significant </w:t>
      </w:r>
      <w:r w:rsidRPr="00A30182">
        <w:t>barrier</w:t>
      </w:r>
      <w:r w:rsidRPr="00A32AFC">
        <w:t>, and so TASP’s</w:t>
      </w:r>
      <w:r w:rsidRPr="00A30182">
        <w:t xml:space="preserve"> planned competitive grantee selection process evolved to a more</w:t>
      </w:r>
      <w:r w:rsidRPr="00A32AFC">
        <w:t xml:space="preserve"> </w:t>
      </w:r>
      <w:r w:rsidRPr="00A30182">
        <w:t>proactive</w:t>
      </w:r>
      <w:r w:rsidRPr="00A32AFC">
        <w:t xml:space="preserve">, </w:t>
      </w:r>
      <w:r w:rsidRPr="00A30182">
        <w:t>partnership-based approach</w:t>
      </w:r>
      <w:r w:rsidR="1DE53A31">
        <w:t xml:space="preserve"> at the direction of DFAT</w:t>
      </w:r>
      <w:r w:rsidR="190A1005">
        <w:t>.</w:t>
      </w:r>
      <w:r w:rsidRPr="00A32AFC">
        <w:t xml:space="preserve"> S</w:t>
      </w:r>
      <w:r w:rsidRPr="00A30182">
        <w:t xml:space="preserve">upport </w:t>
      </w:r>
      <w:r w:rsidRPr="00A32AFC">
        <w:t xml:space="preserve">was provided in the first instance </w:t>
      </w:r>
      <w:r w:rsidRPr="00A30182">
        <w:t>to improve internal policies to meet donor due diligence and safeguarding</w:t>
      </w:r>
      <w:r w:rsidRPr="00A32AFC">
        <w:t xml:space="preserve"> </w:t>
      </w:r>
      <w:r w:rsidRPr="00A30182">
        <w:t>requirements</w:t>
      </w:r>
      <w:r w:rsidRPr="00A32AFC">
        <w:t>, and grant funding then followed. The grants</w:t>
      </w:r>
      <w:r w:rsidRPr="00A32AFC">
        <w:rPr>
          <w:color w:val="auto"/>
          <w:lang w:val="en-US"/>
        </w:rPr>
        <w:t xml:space="preserve"> have reportedly strengthened CSO capacity to absorb and manage donor funds, for instance through additional staffing (LATA</w:t>
      </w:r>
      <w:r w:rsidR="00B87EF5">
        <w:rPr>
          <w:color w:val="auto"/>
          <w:lang w:val="en-US"/>
        </w:rPr>
        <w:t>, MFF</w:t>
      </w:r>
      <w:r w:rsidRPr="00A32AFC">
        <w:rPr>
          <w:color w:val="auto"/>
          <w:lang w:val="en-US"/>
        </w:rPr>
        <w:t xml:space="preserve">). Grants have also enabled GBV and child abuse prevention and response activities such as awareness raising, training and support services, including in outer islands (WCCC). WCCC was reportedly on </w:t>
      </w:r>
      <w:r w:rsidRPr="00BE417D">
        <w:t>track to</w:t>
      </w:r>
      <w:r w:rsidRPr="00A32AFC">
        <w:t xml:space="preserve"> </w:t>
      </w:r>
      <w:r w:rsidRPr="00BE417D">
        <w:t>reach more than 3500 people in 2023/24</w:t>
      </w:r>
      <w:r w:rsidRPr="00A32AFC">
        <w:rPr>
          <w:color w:val="auto"/>
          <w:lang w:val="en-US"/>
        </w:rPr>
        <w:t xml:space="preserve">. However, reporting on beneficiary-level outcomes remains weak in WCCC and other CSOs (a planned focus for future </w:t>
      </w:r>
      <w:r w:rsidR="00082275">
        <w:rPr>
          <w:color w:val="auto"/>
          <w:lang w:val="en-US"/>
        </w:rPr>
        <w:t xml:space="preserve">TASP </w:t>
      </w:r>
      <w:r w:rsidRPr="00A32AFC">
        <w:rPr>
          <w:color w:val="auto"/>
          <w:lang w:val="en-US"/>
        </w:rPr>
        <w:t xml:space="preserve">MEL support).  </w:t>
      </w:r>
    </w:p>
    <w:p w14:paraId="2A482AF8" w14:textId="77777777" w:rsidR="00A44FBA" w:rsidRPr="007C3CFA" w:rsidRDefault="00A44FBA" w:rsidP="00A348C7">
      <w:r w:rsidRPr="007C3CFA">
        <w:t xml:space="preserve">Aside from its CSO grants, most TASP GEDSI activities are (or are planned to be) implemented through the other core TASP pillars. Results reported to date include: </w:t>
      </w:r>
    </w:p>
    <w:p w14:paraId="2DA542F0" w14:textId="0D60C689" w:rsidR="00A44FBA" w:rsidRPr="00BF2A48" w:rsidRDefault="00A44FBA" w:rsidP="00CB4702">
      <w:pPr>
        <w:pStyle w:val="ListBullet"/>
        <w:spacing w:after="160" w:line="280" w:lineRule="atLeast"/>
        <w:ind w:left="284" w:hanging="284"/>
      </w:pPr>
      <w:r w:rsidRPr="00BF2A48">
        <w:t xml:space="preserve">(Governance) Gender mainstreaming under the PFM Reform Roadmap, with inclusion of 14 actions to promote gender equality in the draft PFM Action Plan matrix for 2024-29 (subject to Cabinet approval). These </w:t>
      </w:r>
      <w:r w:rsidR="00A209C8" w:rsidRPr="00BF2A48">
        <w:t>include improved</w:t>
      </w:r>
      <w:r w:rsidRPr="00BF2A48">
        <w:t xml:space="preserve"> tracking of expenditure on gender equality (and climate change action) by restructuring the Chart of Accounts; compulsory reporting on gender equality progress in public ministry annual reports; and strengthened gender impact assessment for new policies. </w:t>
      </w:r>
    </w:p>
    <w:p w14:paraId="3805B8AB" w14:textId="01B4BA6E" w:rsidR="00A44FBA" w:rsidRPr="00BF2A48" w:rsidRDefault="00A44FBA" w:rsidP="00CB4702">
      <w:pPr>
        <w:pStyle w:val="ListBullet"/>
        <w:spacing w:after="160" w:line="280" w:lineRule="atLeast"/>
        <w:ind w:left="284" w:hanging="284"/>
      </w:pPr>
      <w:r w:rsidRPr="00BF2A48">
        <w:t>(Health) Good gender and disability coverage of outreach services and MoH training; and TASP drafting of MoH Gender Strategic Action Plan.</w:t>
      </w:r>
    </w:p>
    <w:p w14:paraId="4E8A5CE6" w14:textId="77777777" w:rsidR="00A44FBA" w:rsidRPr="00A32AFC" w:rsidRDefault="00A44FBA" w:rsidP="00A348C7">
      <w:r w:rsidRPr="007C3CFA">
        <w:t>However, GEDSI strategies are still pending for both the Governance and Health pillars, and efforts to</w:t>
      </w:r>
      <w:r w:rsidRPr="00A32AFC">
        <w:t xml:space="preserve"> date (aside from the PFM reform roadmap) have been opportunistic rather than strategic. Challenges have also arisen with limited senior counterpart interest, longer than expected planning timeframes for GEDSI training, and limited disaggregation of </w:t>
      </w:r>
      <w:proofErr w:type="spellStart"/>
      <w:r w:rsidRPr="00A32AFC">
        <w:t>GoT</w:t>
      </w:r>
      <w:proofErr w:type="spellEnd"/>
      <w:r w:rsidRPr="00A32AFC">
        <w:t xml:space="preserve"> human resource data. At policy level, despite a range of policy dialogue and influencing efforts through DFAT, TASP and Pacific Women Lead, progress on </w:t>
      </w:r>
      <w:r w:rsidRPr="00A32AFC">
        <w:rPr>
          <w:color w:val="auto"/>
          <w:lang w:val="en-US"/>
        </w:rPr>
        <w:t xml:space="preserve">gender-related reforms remains slow. </w:t>
      </w:r>
      <w:proofErr w:type="spellStart"/>
      <w:r w:rsidRPr="00A32AFC">
        <w:rPr>
          <w:color w:val="auto"/>
          <w:lang w:val="en-US"/>
        </w:rPr>
        <w:t>GoT</w:t>
      </w:r>
      <w:proofErr w:type="spellEnd"/>
      <w:r w:rsidRPr="00A32AFC">
        <w:rPr>
          <w:color w:val="auto"/>
          <w:lang w:val="en-US"/>
        </w:rPr>
        <w:t xml:space="preserve"> is also reportedly unenthusiastic about policy collaboration with CSOs. WCCC’s contributions and advocacy on issues such as the rape law and a National Child Protection Policy have not yet yielded tangible results.</w:t>
      </w:r>
      <w:r w:rsidRPr="00A32AFC">
        <w:t xml:space="preserve"> The new GCP commits TASP to support progress towards Tonga’s National WEGET Policy and Strategic Plan of Action 2019-2025, and opportunities may arise in the future for further TASP support for strengthened policy dialogue and advocacy. </w:t>
      </w:r>
    </w:p>
    <w:p w14:paraId="2D1AC929" w14:textId="7390AE23" w:rsidR="00A44FBA" w:rsidRPr="007C3CFA" w:rsidRDefault="00A44FBA" w:rsidP="00A348C7">
      <w:r w:rsidRPr="007C3CFA">
        <w:t>TASP action on disability has been even further behind than on gender, but with a Coordinator now in-country and the GEDSI action plan</w:t>
      </w:r>
      <w:r w:rsidR="009B6339">
        <w:t xml:space="preserve"> almost</w:t>
      </w:r>
      <w:r w:rsidRPr="007C3CFA">
        <w:t xml:space="preserve"> finalised, activity can be expected to ramp up rapidly.</w:t>
      </w:r>
      <w:r w:rsidRPr="007C3CFA">
        <w:rPr>
          <w:rStyle w:val="FootnoteReference"/>
          <w:rFonts w:ascii="Arial" w:hAnsi="Arial" w:cs="Arial"/>
          <w:szCs w:val="20"/>
        </w:rPr>
        <w:footnoteReference w:id="29"/>
      </w:r>
      <w:r w:rsidRPr="007C3CFA">
        <w:t xml:space="preserve"> O</w:t>
      </w:r>
      <w:r w:rsidRPr="007C3CFA">
        <w:rPr>
          <w:color w:val="auto"/>
        </w:rPr>
        <w:t xml:space="preserve">pportunities are being identified across TASP pillars and in its </w:t>
      </w:r>
      <w:proofErr w:type="gramStart"/>
      <w:r w:rsidRPr="007C3CFA">
        <w:rPr>
          <w:color w:val="auto"/>
        </w:rPr>
        <w:t>Support</w:t>
      </w:r>
      <w:proofErr w:type="gramEnd"/>
      <w:r w:rsidRPr="007C3CFA">
        <w:rPr>
          <w:color w:val="auto"/>
        </w:rPr>
        <w:t xml:space="preserve"> Unit services, and two new CSO partnerships were recently proposed. Activities under the Health pillar include training for MoH and an equity grant round through Tonga Health. </w:t>
      </w:r>
      <w:r w:rsidRPr="007C3CFA">
        <w:t xml:space="preserve">However, challenges encountered on gender are expected to be even greater in the disability sphere, including a weak CSO sector, high levels of discrimination and stigma, and </w:t>
      </w:r>
      <w:r w:rsidRPr="007C3CFA">
        <w:lastRenderedPageBreak/>
        <w:t xml:space="preserve">low priority in </w:t>
      </w:r>
      <w:proofErr w:type="spellStart"/>
      <w:r w:rsidRPr="007C3CFA">
        <w:t>GoT</w:t>
      </w:r>
      <w:proofErr w:type="spellEnd"/>
      <w:r w:rsidRPr="007C3CFA">
        <w:t>. There is no allocated government budget or policy framework, and the UN Convention on the Rights of Persons with Disabilities (CRPD) has not been ratified.</w:t>
      </w:r>
    </w:p>
    <w:p w14:paraId="77A3E90E" w14:textId="65168B48" w:rsidR="00A44FBA" w:rsidRPr="00A32AFC" w:rsidRDefault="00A44FBA" w:rsidP="00A348C7">
      <w:r w:rsidRPr="007C3CFA">
        <w:t>The GAP commits TASP to build a GEDSI focus, indicators and evaluative questions into designs, plans, budgets and MEL frameworks, and ensure collection of GEDSI-disaggregated quantitative and qualitative data. These steps will be important to ensure GEDSI remains an explicit focus throughout TASP</w:t>
      </w:r>
      <w:r w:rsidRPr="00A32AFC">
        <w:t xml:space="preserve"> and that results are adequately captured. DFAT’s 2023 TASP IMR noted that </w:t>
      </w:r>
      <w:r w:rsidRPr="00077B85">
        <w:t xml:space="preserve">insufficient gender-disaggregated data </w:t>
      </w:r>
      <w:r w:rsidRPr="00A32AFC">
        <w:t>had been collected to that point</w:t>
      </w:r>
      <w:r w:rsidR="00F633D5">
        <w:t>.</w:t>
      </w:r>
      <w:r w:rsidRPr="00A32AFC">
        <w:t xml:space="preserve"> </w:t>
      </w:r>
    </w:p>
    <w:p w14:paraId="6630C302" w14:textId="77777777" w:rsidR="00A44FBA" w:rsidRPr="00A32AFC" w:rsidRDefault="00A44FBA" w:rsidP="00A348C7">
      <w:r w:rsidRPr="00A32AFC">
        <w:t xml:space="preserve">While strategic clarity on GEDSI has improved with finalisation of the GCP and GAP, some hesitancy was </w:t>
      </w:r>
      <w:r w:rsidRPr="007C3CFA">
        <w:t>expressed during consultations about the feasibility of implementation, given the range of contextual</w:t>
      </w:r>
      <w:r w:rsidRPr="00A32AFC">
        <w:t xml:space="preserve"> challenges including deeply embedded social norms, lukewarm </w:t>
      </w:r>
      <w:proofErr w:type="spellStart"/>
      <w:r w:rsidRPr="00A32AFC">
        <w:t>GoT</w:t>
      </w:r>
      <w:proofErr w:type="spellEnd"/>
      <w:r w:rsidRPr="00A32AFC">
        <w:t xml:space="preserve"> interest and CSO limitations. Future progress should be judged in that light.</w:t>
      </w:r>
    </w:p>
    <w:p w14:paraId="1D2665D5" w14:textId="1ADAF686" w:rsidR="00A44FBA" w:rsidRPr="00C14255" w:rsidRDefault="00D232A9" w:rsidP="00696EA5">
      <w:pPr>
        <w:pStyle w:val="Heading2"/>
        <w:rPr>
          <w:color w:val="505050" w:themeColor="accent6" w:themeShade="80"/>
        </w:rPr>
      </w:pPr>
      <w:bookmarkStart w:id="34" w:name="_Toc183423585"/>
      <w:r w:rsidRPr="00C14255">
        <w:rPr>
          <w:color w:val="505050" w:themeColor="accent6" w:themeShade="80"/>
        </w:rPr>
        <w:t>P</w:t>
      </w:r>
      <w:r w:rsidR="00BF2A48" w:rsidRPr="00C14255">
        <w:rPr>
          <w:color w:val="505050" w:themeColor="accent6" w:themeShade="80"/>
        </w:rPr>
        <w:t>rogress on climate change action</w:t>
      </w:r>
      <w:bookmarkEnd w:id="34"/>
      <w:r w:rsidR="00BF2A48" w:rsidRPr="00C14255">
        <w:rPr>
          <w:color w:val="505050" w:themeColor="accent6" w:themeShade="80"/>
        </w:rPr>
        <w:t xml:space="preserve"> </w:t>
      </w:r>
    </w:p>
    <w:p w14:paraId="1EA22946" w14:textId="7A53A531" w:rsidR="00BF2A48" w:rsidRPr="007C3CFA" w:rsidRDefault="00BF2A48" w:rsidP="00696EA5">
      <w:r w:rsidRPr="007C3CFA">
        <w:t xml:space="preserve">Minimal progress has been made to date on climate change action, resulting in a rating of ‘poor’ in DFAT’s 2023 AIMR. </w:t>
      </w:r>
      <w:r w:rsidR="00693927" w:rsidRPr="007C3CFA">
        <w:t>The Evaluation concurs with this assessment.</w:t>
      </w:r>
    </w:p>
    <w:p w14:paraId="3F743A01" w14:textId="50CF82C1" w:rsidR="00BF2A48" w:rsidRPr="007C3CFA" w:rsidRDefault="00A44FBA" w:rsidP="003D0AF6">
      <w:r w:rsidRPr="007C3CFA">
        <w:t xml:space="preserve">The TASP Design approached climate change in similar vein to GEDSI, with a commitment to ‘integrate strategies to address climate change across the four platform pillars as well as directly funding grassroots activities’ (i.e. a twin-track approach). However, TASP has not had any </w:t>
      </w:r>
      <w:r w:rsidRPr="007C3CFA">
        <w:rPr>
          <w:rFonts w:eastAsia="Arial"/>
          <w:color w:val="000000"/>
        </w:rPr>
        <w:t>dedicated climate staffing.</w:t>
      </w:r>
    </w:p>
    <w:p w14:paraId="3122CF82" w14:textId="06993ADF" w:rsidR="00A44FBA" w:rsidRPr="00A32AFC" w:rsidRDefault="00A44FBA" w:rsidP="00A348C7">
      <w:pPr>
        <w:rPr>
          <w:rFonts w:eastAsiaTheme="minorHAnsi"/>
          <w:lang w:eastAsia="en-US"/>
          <w14:ligatures w14:val="standardContextual"/>
        </w:rPr>
      </w:pPr>
      <w:r w:rsidRPr="00A32AFC">
        <w:t>The Australia-Pacific Climate Partnership (APCP) prepared a Country Integration Plan during 2022-23 which identified opportunities across a range of DFAT investments, including the Governance and Health programs (TASP pillars). Key informants recollected decisions to defer climate change actions and strategy preparation while other TASP priorities were addressed. TASP’s 2022-23 Annual Report noted that climate would also be considered as part of planned</w:t>
      </w:r>
      <w:r w:rsidRPr="00AD74F1">
        <w:rPr>
          <w:rFonts w:eastAsiaTheme="minorHAnsi"/>
          <w:lang w:eastAsia="en-US"/>
          <w14:ligatures w14:val="standardContextual"/>
        </w:rPr>
        <w:t xml:space="preserve"> governance and SLM pillar designs</w:t>
      </w:r>
      <w:r w:rsidRPr="00A32AFC">
        <w:rPr>
          <w:rFonts w:eastAsiaTheme="minorHAnsi"/>
          <w:lang w:eastAsia="en-US"/>
          <w14:ligatures w14:val="standardContextual"/>
        </w:rPr>
        <w:t>.</w:t>
      </w:r>
      <w:r w:rsidRPr="00AD74F1">
        <w:rPr>
          <w:rFonts w:eastAsiaTheme="minorHAnsi"/>
          <w:lang w:eastAsia="en-US"/>
          <w14:ligatures w14:val="standardContextual"/>
        </w:rPr>
        <w:t xml:space="preserve"> </w:t>
      </w:r>
      <w:r w:rsidRPr="00A32AFC">
        <w:rPr>
          <w:rFonts w:eastAsiaTheme="minorHAnsi"/>
          <w:lang w:eastAsia="en-US"/>
          <w14:ligatures w14:val="standardContextual"/>
        </w:rPr>
        <w:t>S</w:t>
      </w:r>
      <w:r w:rsidRPr="00A32AFC">
        <w:t>lower than anticipated progress on finalising these designs has delayed activities as well as MEL-related data collection on climate. There was little reference to climate change action in the TASP mid-year progress presentation (March 2024) beyond noting there had been ‘limited bandwidth’ to focus on it.</w:t>
      </w:r>
    </w:p>
    <w:p w14:paraId="1F7F7124" w14:textId="77777777" w:rsidR="00A44FBA" w:rsidRPr="00A32AFC" w:rsidRDefault="00A44FBA" w:rsidP="00A348C7">
      <w:r w:rsidRPr="00A32AFC">
        <w:t xml:space="preserve">Despite regular coordination with APCP, TASP has struggled to identify </w:t>
      </w:r>
      <w:r w:rsidRPr="00AD74F1">
        <w:rPr>
          <w:rFonts w:eastAsiaTheme="minorHAnsi"/>
          <w:lang w:eastAsia="en-US"/>
          <w14:ligatures w14:val="standardContextual"/>
        </w:rPr>
        <w:t>practical entry points</w:t>
      </w:r>
      <w:r w:rsidRPr="00A32AFC">
        <w:rPr>
          <w:rFonts w:eastAsiaTheme="minorHAnsi"/>
          <w:lang w:eastAsia="en-US"/>
          <w14:ligatures w14:val="standardContextual"/>
        </w:rPr>
        <w:t xml:space="preserve"> and</w:t>
      </w:r>
      <w:r w:rsidRPr="00A32AFC">
        <w:t xml:space="preserve"> define its appropriate niche and value-add in a crowded donor space and with no clarity on government priorities or needs.</w:t>
      </w:r>
      <w:r w:rsidRPr="00A32AFC">
        <w:rPr>
          <w:rStyle w:val="FootnoteReference"/>
          <w:rFonts w:ascii="Arial" w:eastAsia="Arial" w:hAnsi="Arial" w:cs="Arial"/>
          <w:color w:val="000000"/>
          <w:szCs w:val="20"/>
        </w:rPr>
        <w:footnoteReference w:id="30"/>
      </w:r>
      <w:r w:rsidRPr="00A32AFC">
        <w:t xml:space="preserve"> For example, PFM reforms relating to climate change budgeting are expected to be addressed by UN agencies. There was little on climate in the health program (THSSP) design. A WHO assessment of health system climate resilience identified a need to renovate health centres and support WASH activities, but these are more the purview of others such as UNICEF. Further opportunities may arise through the WHO-led </w:t>
      </w:r>
      <w:r w:rsidRPr="00411F59">
        <w:rPr>
          <w:color w:val="auto"/>
        </w:rPr>
        <w:t>Joint External Evaluation of the health</w:t>
      </w:r>
      <w:r w:rsidRPr="00A32AFC">
        <w:rPr>
          <w:color w:val="auto"/>
        </w:rPr>
        <w:t xml:space="preserve"> </w:t>
      </w:r>
      <w:r w:rsidRPr="00411F59">
        <w:rPr>
          <w:color w:val="auto"/>
        </w:rPr>
        <w:t xml:space="preserve">sector in </w:t>
      </w:r>
      <w:proofErr w:type="spellStart"/>
      <w:r w:rsidRPr="00411F59">
        <w:rPr>
          <w:color w:val="auto"/>
        </w:rPr>
        <w:t>mid 2024</w:t>
      </w:r>
      <w:proofErr w:type="spellEnd"/>
      <w:r w:rsidRPr="00A32AFC">
        <w:rPr>
          <w:color w:val="auto"/>
        </w:rPr>
        <w:t xml:space="preserve">, and TASP will need to be alert to these and ensure close liaison with WHO. </w:t>
      </w:r>
    </w:p>
    <w:p w14:paraId="77242D6B" w14:textId="6EF9E094" w:rsidR="00A44FBA" w:rsidRPr="00A32AFC" w:rsidRDefault="00A44FBA" w:rsidP="00A348C7">
      <w:pPr>
        <w:rPr>
          <w:rFonts w:eastAsia="Arial"/>
          <w:color w:val="000000"/>
        </w:rPr>
      </w:pPr>
      <w:r w:rsidRPr="00A32AFC">
        <w:t xml:space="preserve">TASP did endeavour to attract CSO applications for climate activities through its initial competitive round of GEDSI/climate grants. However, </w:t>
      </w:r>
      <w:r w:rsidRPr="00411F59">
        <w:rPr>
          <w:color w:val="auto"/>
        </w:rPr>
        <w:t xml:space="preserve">only one application </w:t>
      </w:r>
      <w:r w:rsidRPr="00A32AFC">
        <w:rPr>
          <w:color w:val="auto"/>
        </w:rPr>
        <w:t xml:space="preserve">was received under the </w:t>
      </w:r>
      <w:r w:rsidRPr="00411F59">
        <w:rPr>
          <w:color w:val="auto"/>
        </w:rPr>
        <w:t xml:space="preserve">climate change </w:t>
      </w:r>
      <w:r w:rsidRPr="00A32AFC">
        <w:rPr>
          <w:color w:val="auto"/>
        </w:rPr>
        <w:t xml:space="preserve">stream, and that </w:t>
      </w:r>
      <w:r w:rsidRPr="00411F59">
        <w:rPr>
          <w:color w:val="auto"/>
        </w:rPr>
        <w:t>did not meet quality requirements</w:t>
      </w:r>
      <w:r w:rsidRPr="00A32AFC">
        <w:t>. No targeted follow-up has taken place (as was done for GEDSI CSOs)</w:t>
      </w:r>
      <w:r w:rsidR="00427DD8">
        <w:rPr>
          <w:rStyle w:val="FootnoteReference"/>
        </w:rPr>
        <w:footnoteReference w:id="31"/>
      </w:r>
      <w:r w:rsidRPr="00A32AFC">
        <w:t>.</w:t>
      </w:r>
      <w:r w:rsidRPr="64562396">
        <w:rPr>
          <w:rFonts w:eastAsia="Arial"/>
        </w:rPr>
        <w:t xml:space="preserve"> In this context, informants interviewed said that climate is primarily seen as a mainstreaming issue rather than an activity focus. </w:t>
      </w:r>
    </w:p>
    <w:p w14:paraId="41EF5CAE" w14:textId="7B137EC9" w:rsidR="00A44FBA" w:rsidRPr="00A32AFC" w:rsidRDefault="00A44FBA" w:rsidP="00A348C7">
      <w:r w:rsidRPr="00A32AFC">
        <w:t>Given Australia’s increased prioritisation of climate action and reporting, and the</w:t>
      </w:r>
      <w:r w:rsidRPr="00411F59">
        <w:t xml:space="preserve"> well</w:t>
      </w:r>
      <w:r w:rsidRPr="00A32AFC">
        <w:t>-</w:t>
      </w:r>
      <w:r w:rsidRPr="00411F59">
        <w:t>understood climate and disaster risk context in Tonga</w:t>
      </w:r>
      <w:r w:rsidRPr="00A32AFC">
        <w:t xml:space="preserve"> (affecting all sectors), there should be opportunities for TASP to expand its focus. </w:t>
      </w:r>
      <w:r w:rsidRPr="00A32AFC">
        <w:rPr>
          <w:rFonts w:eastAsia="Arial"/>
          <w:color w:val="000000"/>
        </w:rPr>
        <w:t xml:space="preserve">TASP is aware this area is lagging and has identified climate mainstreaming as a priority for 2024-25. </w:t>
      </w:r>
      <w:r w:rsidRPr="00A32AFC">
        <w:rPr>
          <w:rFonts w:eastAsia="Arial"/>
          <w:color w:val="000000"/>
        </w:rPr>
        <w:lastRenderedPageBreak/>
        <w:t xml:space="preserve">Further effort should also be made to identify and partner with promising CSOs, as is being done in the disability sector. </w:t>
      </w:r>
      <w:r w:rsidRPr="00A32AFC">
        <w:t xml:space="preserve">The grants manager has recently been given the </w:t>
      </w:r>
      <w:r w:rsidRPr="00A32AFC">
        <w:rPr>
          <w:rFonts w:eastAsia="Arial"/>
          <w:color w:val="000000"/>
        </w:rPr>
        <w:t xml:space="preserve">role of coordinating future climate change activities, </w:t>
      </w:r>
      <w:r w:rsidRPr="00A32AFC">
        <w:t xml:space="preserve">and TASP intends also to source expert </w:t>
      </w:r>
      <w:r w:rsidR="00933A11">
        <w:t>S</w:t>
      </w:r>
      <w:r w:rsidRPr="00A32AFC">
        <w:t xml:space="preserve">TA. DFAT has committed to working with </w:t>
      </w:r>
      <w:r w:rsidRPr="00411F59">
        <w:t>TASP to find suitable avenues</w:t>
      </w:r>
      <w:r w:rsidRPr="00A32AFC">
        <w:t xml:space="preserve"> </w:t>
      </w:r>
      <w:r w:rsidRPr="00411F59">
        <w:t>to engage.</w:t>
      </w:r>
      <w:r w:rsidR="00B52231">
        <w:rPr>
          <w:rStyle w:val="FootnoteReference"/>
        </w:rPr>
        <w:footnoteReference w:id="32"/>
      </w:r>
    </w:p>
    <w:p w14:paraId="6BC095F6" w14:textId="77777777" w:rsidR="00194B11" w:rsidRPr="001F24C8" w:rsidRDefault="000F1258" w:rsidP="00347ECA">
      <w:pPr>
        <w:pStyle w:val="Heading1"/>
      </w:pPr>
      <w:bookmarkStart w:id="35" w:name="_Key_Findings:_Agility"/>
      <w:bookmarkStart w:id="36" w:name="_Toc183423586"/>
      <w:bookmarkEnd w:id="35"/>
      <w:r w:rsidRPr="001F24C8">
        <w:t>Key Findings: Agility &amp; Adaptation: KEQ6</w:t>
      </w:r>
      <w:bookmarkEnd w:id="36"/>
    </w:p>
    <w:p w14:paraId="6BC095F7" w14:textId="77777777" w:rsidR="00194B11" w:rsidRDefault="000F1258" w:rsidP="00644708">
      <w:pPr>
        <w:pBdr>
          <w:top w:val="single" w:sz="4" w:space="1" w:color="auto"/>
          <w:left w:val="single" w:sz="4" w:space="4" w:color="auto"/>
          <w:bottom w:val="single" w:sz="4" w:space="1" w:color="auto"/>
          <w:right w:val="single" w:sz="4" w:space="4" w:color="auto"/>
        </w:pBdr>
      </w:pPr>
      <w:r>
        <w:t xml:space="preserve">To what extent has the facility’s flexibility and responsiveness allowed DFAT to focus on emerging needs and opportunities? </w:t>
      </w:r>
    </w:p>
    <w:p w14:paraId="4A363E63" w14:textId="21EB22E2" w:rsidR="00A243BB" w:rsidRPr="007826B2" w:rsidRDefault="00A243BB" w:rsidP="00644708">
      <w:pPr>
        <w:pBdr>
          <w:top w:val="single" w:sz="4" w:space="1" w:color="auto"/>
          <w:left w:val="single" w:sz="4" w:space="4" w:color="auto"/>
          <w:bottom w:val="single" w:sz="4" w:space="1" w:color="auto"/>
          <w:right w:val="single" w:sz="4" w:space="4" w:color="auto"/>
        </w:pBdr>
        <w:rPr>
          <w:b/>
          <w:bCs/>
        </w:rPr>
      </w:pPr>
      <w:r w:rsidRPr="007826B2">
        <w:rPr>
          <w:b/>
          <w:bCs/>
        </w:rPr>
        <w:t>Partially achieved</w:t>
      </w:r>
    </w:p>
    <w:p w14:paraId="6CCBA5F6" w14:textId="59CDBC09" w:rsidR="00387F2B" w:rsidRPr="007826B2" w:rsidRDefault="00387F2B" w:rsidP="00644708">
      <w:pPr>
        <w:pBdr>
          <w:top w:val="single" w:sz="4" w:space="1" w:color="auto"/>
          <w:left w:val="single" w:sz="4" w:space="4" w:color="auto"/>
          <w:bottom w:val="single" w:sz="4" w:space="1" w:color="auto"/>
          <w:right w:val="single" w:sz="4" w:space="4" w:color="auto"/>
        </w:pBdr>
      </w:pPr>
      <w:r w:rsidRPr="007826B2">
        <w:t>How and how well did TASP pivot to respond to the HTHH disaster?</w:t>
      </w:r>
    </w:p>
    <w:p w14:paraId="0279AE1A" w14:textId="348B8649" w:rsidR="00A243BB" w:rsidRPr="00022C54" w:rsidRDefault="00022C54" w:rsidP="00644708">
      <w:pPr>
        <w:pBdr>
          <w:top w:val="single" w:sz="4" w:space="1" w:color="auto"/>
          <w:left w:val="single" w:sz="4" w:space="4" w:color="auto"/>
          <w:bottom w:val="single" w:sz="4" w:space="1" w:color="auto"/>
          <w:right w:val="single" w:sz="4" w:space="4" w:color="auto"/>
        </w:pBdr>
        <w:rPr>
          <w:rFonts w:ascii="Calibri" w:eastAsia="Calibri" w:hAnsi="Calibri"/>
          <w:b/>
          <w:bCs/>
        </w:rPr>
      </w:pPr>
      <w:r w:rsidRPr="007826B2">
        <w:rPr>
          <w:b/>
          <w:bCs/>
        </w:rPr>
        <w:t>Reasonably well</w:t>
      </w:r>
      <w:r w:rsidR="004D3289" w:rsidRPr="007826B2">
        <w:rPr>
          <w:b/>
          <w:bCs/>
        </w:rPr>
        <w:t xml:space="preserve">, but the strategic opportunities mechanism </w:t>
      </w:r>
      <w:r w:rsidR="00955C1D" w:rsidRPr="007826B2">
        <w:rPr>
          <w:b/>
          <w:bCs/>
        </w:rPr>
        <w:t xml:space="preserve">could </w:t>
      </w:r>
      <w:r w:rsidR="008A6DE0" w:rsidRPr="007826B2">
        <w:rPr>
          <w:b/>
          <w:bCs/>
        </w:rPr>
        <w:t xml:space="preserve">be </w:t>
      </w:r>
      <w:r w:rsidR="00955C1D" w:rsidRPr="007826B2">
        <w:rPr>
          <w:b/>
          <w:bCs/>
        </w:rPr>
        <w:t>better integrated</w:t>
      </w:r>
    </w:p>
    <w:p w14:paraId="2EDF7366" w14:textId="499D94FC" w:rsidR="00387F2B" w:rsidRPr="00C14255" w:rsidRDefault="00DD7DBF" w:rsidP="003A227C">
      <w:pPr>
        <w:pStyle w:val="Heading2"/>
        <w:rPr>
          <w:color w:val="505050" w:themeColor="accent6" w:themeShade="80"/>
        </w:rPr>
      </w:pPr>
      <w:bookmarkStart w:id="37" w:name="_Toc183423587"/>
      <w:r w:rsidRPr="00C14255">
        <w:rPr>
          <w:color w:val="505050" w:themeColor="accent6" w:themeShade="80"/>
        </w:rPr>
        <w:t>TASP’s f</w:t>
      </w:r>
      <w:r w:rsidR="00387F2B" w:rsidRPr="00C14255">
        <w:rPr>
          <w:color w:val="505050" w:themeColor="accent6" w:themeShade="80"/>
        </w:rPr>
        <w:t>lexibility and responsiveness</w:t>
      </w:r>
      <w:bookmarkEnd w:id="37"/>
      <w:r w:rsidR="00387F2B" w:rsidRPr="00C14255">
        <w:rPr>
          <w:color w:val="505050" w:themeColor="accent6" w:themeShade="80"/>
        </w:rPr>
        <w:t xml:space="preserve"> </w:t>
      </w:r>
    </w:p>
    <w:p w14:paraId="34599451" w14:textId="282063A1" w:rsidR="00B23DAD" w:rsidRPr="007C3CFA" w:rsidRDefault="00F36655" w:rsidP="00A348C7">
      <w:r w:rsidRPr="007C3CFA">
        <w:t xml:space="preserve">TASP was designed to allow for flexibility and responsiveness both within each pillar and through its </w:t>
      </w:r>
      <w:r w:rsidR="00387F2B" w:rsidRPr="007C3CFA">
        <w:t>SOM</w:t>
      </w:r>
      <w:r w:rsidRPr="007C3CFA">
        <w:t xml:space="preserve">. </w:t>
      </w:r>
    </w:p>
    <w:p w14:paraId="6F7FEDD3" w14:textId="77777777" w:rsidR="00B23DAD" w:rsidRDefault="00B23DAD" w:rsidP="00B23DAD">
      <w:r w:rsidRPr="007C3CFA">
        <w:t>Within the pillars, the Advisers have had leeway to respond to pressing needs and priorities of their host</w:t>
      </w:r>
      <w:r w:rsidRPr="007D71FB">
        <w:t xml:space="preserve"> organisation and senior counterparts. This, in turn, has enabled DFAT to be aware of new challenges, needs and opportunities arising. </w:t>
      </w:r>
      <w:r>
        <w:t>An</w:t>
      </w:r>
      <w:r w:rsidRPr="007D71FB">
        <w:t xml:space="preserve"> example</w:t>
      </w:r>
      <w:r>
        <w:t xml:space="preserve"> is</w:t>
      </w:r>
      <w:r w:rsidRPr="007D71FB">
        <w:t xml:space="preserve"> </w:t>
      </w:r>
      <w:r>
        <w:t>supporting the rehabilitation of the Vaiola Hospital Sewerage treatment (</w:t>
      </w:r>
      <w:r w:rsidRPr="007D71FB">
        <w:t>MoH</w:t>
      </w:r>
      <w:r>
        <w:t>)</w:t>
      </w:r>
      <w:r w:rsidRPr="007D71FB">
        <w:t xml:space="preserve">. </w:t>
      </w:r>
    </w:p>
    <w:p w14:paraId="241E255A" w14:textId="77777777" w:rsidR="00B23DAD" w:rsidRDefault="00B23DAD" w:rsidP="00B23DAD">
      <w:r w:rsidRPr="007C3CFA">
        <w:t xml:space="preserve">The SOM </w:t>
      </w:r>
      <w:r w:rsidRPr="007C3CFA">
        <w:rPr>
          <w:iCs/>
        </w:rPr>
        <w:t>is described in the design as a mechanism within the Facility “</w:t>
      </w:r>
      <w:r w:rsidRPr="007C3CFA">
        <w:rPr>
          <w:i/>
          <w:iCs/>
        </w:rPr>
        <w:t>to enable responses to development</w:t>
      </w:r>
      <w:r w:rsidRPr="00E20193">
        <w:rPr>
          <w:i/>
          <w:iCs/>
        </w:rPr>
        <w:t xml:space="preserve"> opportunities that emerge in Tonga’s rapidly changing political-economy context and in the event of natural disasters</w:t>
      </w:r>
      <w:r>
        <w:t>.”</w:t>
      </w:r>
      <w:r w:rsidRPr="00E85839">
        <w:t xml:space="preserve"> </w:t>
      </w:r>
      <w:r w:rsidRPr="00770397">
        <w:rPr>
          <w:iCs/>
        </w:rPr>
        <w:t>Examples of possible uses included</w:t>
      </w:r>
      <w:r w:rsidRPr="00E85839">
        <w:t xml:space="preserve">: </w:t>
      </w:r>
      <w:r>
        <w:t>“</w:t>
      </w:r>
      <w:r w:rsidRPr="00E20193">
        <w:rPr>
          <w:i/>
          <w:iCs/>
        </w:rPr>
        <w:t>emergency relief activities, scoping new multi-year pillar investments, policy research and analysis</w:t>
      </w:r>
      <w:r>
        <w:t>.</w:t>
      </w:r>
      <w:r w:rsidRPr="00E85839">
        <w:t>”</w:t>
      </w:r>
      <w:r>
        <w:rPr>
          <w:iCs/>
        </w:rPr>
        <w:t xml:space="preserve"> Activities to scope and test new areas of engagement were expected to wind down: “</w:t>
      </w:r>
      <w:r w:rsidRPr="00E20193">
        <w:rPr>
          <w:i/>
        </w:rPr>
        <w:t>over time the ambition is for TASP support to become more programmatic</w:t>
      </w:r>
      <w:r>
        <w:rPr>
          <w:iCs/>
        </w:rPr>
        <w:t>.</w:t>
      </w:r>
      <w:r>
        <w:t>”</w:t>
      </w:r>
      <w:r>
        <w:rPr>
          <w:rStyle w:val="FootnoteReference"/>
        </w:rPr>
        <w:footnoteReference w:id="33"/>
      </w:r>
      <w:r w:rsidRPr="007D71FB">
        <w:t xml:space="preserve"> </w:t>
      </w:r>
    </w:p>
    <w:p w14:paraId="33A63208" w14:textId="0F424644" w:rsidR="0024590D" w:rsidRDefault="00FC5F25" w:rsidP="00A348C7">
      <w:r w:rsidRPr="00387F2B">
        <w:t>Flexibility</w:t>
      </w:r>
      <w:r>
        <w:t xml:space="preserve"> and the existence of the </w:t>
      </w:r>
      <w:r w:rsidR="00387F2B">
        <w:t>SOM</w:t>
      </w:r>
      <w:r>
        <w:t xml:space="preserve"> meant that even before producing a design (as a design-implement facility), or having </w:t>
      </w:r>
      <w:r w:rsidR="0024590D">
        <w:t xml:space="preserve">new </w:t>
      </w:r>
      <w:r>
        <w:t xml:space="preserve">staff </w:t>
      </w:r>
      <w:r w:rsidR="0024590D">
        <w:t>hired in Tonga (excluding novated staff)</w:t>
      </w:r>
      <w:r>
        <w:t>, DT Global was able to use the TASP agreement with DFAT to support hiring</w:t>
      </w:r>
      <w:r w:rsidR="004C5469">
        <w:t xml:space="preserve"> and activities/purchases</w:t>
      </w:r>
      <w:r>
        <w:t xml:space="preserve"> related to the HTHH disaster and the response to COVID</w:t>
      </w:r>
      <w:r w:rsidR="00B83F61">
        <w:t xml:space="preserve"> (see below for more detail of HTHH pivot)</w:t>
      </w:r>
      <w:r>
        <w:t xml:space="preserve">.  </w:t>
      </w:r>
      <w:r w:rsidR="00A7086A">
        <w:t>TASP recruited a</w:t>
      </w:r>
      <w:r w:rsidR="0024590D" w:rsidRPr="0024590D">
        <w:t xml:space="preserve"> COVID</w:t>
      </w:r>
      <w:r w:rsidR="00A7086A">
        <w:t>-</w:t>
      </w:r>
      <w:r w:rsidR="0024590D" w:rsidRPr="0024590D">
        <w:t xml:space="preserve">19 Health Security and Crisis Response Program Manager In response to the COVID-19 outbreak </w:t>
      </w:r>
      <w:r w:rsidR="00A7086A">
        <w:t>who worked directly with and reported to the Australian High Commission.</w:t>
      </w:r>
    </w:p>
    <w:p w14:paraId="59E09CAB" w14:textId="12B405F6" w:rsidR="00A7086A" w:rsidRPr="003A227C" w:rsidRDefault="00A7086A" w:rsidP="00A348C7">
      <w:pPr>
        <w:rPr>
          <w:i/>
          <w:iCs/>
        </w:rPr>
      </w:pPr>
      <w:r>
        <w:t xml:space="preserve">In addition, and unrelated to emergencies, </w:t>
      </w:r>
      <w:r w:rsidRPr="00A7086A">
        <w:t>“</w:t>
      </w:r>
      <w:r w:rsidRPr="003A227C">
        <w:rPr>
          <w:i/>
          <w:iCs/>
        </w:rPr>
        <w:t xml:space="preserve">TASP has provided support to discrete, ad hoc activities that do </w:t>
      </w:r>
      <w:r w:rsidRPr="00347ECA">
        <w:rPr>
          <w:i/>
          <w:iCs/>
        </w:rPr>
        <w:t xml:space="preserve">not align under the other TASP pillars. In practice, this became a significant component of TASP’s work </w:t>
      </w:r>
      <w:r w:rsidRPr="003A227C">
        <w:rPr>
          <w:i/>
          <w:iCs/>
        </w:rPr>
        <w:t xml:space="preserve">during the reporting period, reflecting capacity constraints at Post, and the varied and often urgent nature of requests for assistance that came to, and from within, DFAT. Feedback from DFAT and other stakeholders highlights the important role of this highly responsive and flexible support mechanism in addressing capacity gaps at Post and among </w:t>
      </w:r>
      <w:proofErr w:type="spellStart"/>
      <w:r w:rsidRPr="003A227C">
        <w:rPr>
          <w:i/>
          <w:iCs/>
        </w:rPr>
        <w:t>GoT</w:t>
      </w:r>
      <w:proofErr w:type="spellEnd"/>
      <w:r w:rsidRPr="003A227C">
        <w:rPr>
          <w:i/>
          <w:iCs/>
        </w:rPr>
        <w:t xml:space="preserve"> and civil society partners. </w:t>
      </w:r>
    </w:p>
    <w:p w14:paraId="761B40EA" w14:textId="1E53F8B3" w:rsidR="00A7086A" w:rsidRDefault="00A7086A" w:rsidP="00A348C7">
      <w:r w:rsidRPr="003A227C">
        <w:rPr>
          <w:i/>
          <w:iCs/>
        </w:rPr>
        <w:t>During the</w:t>
      </w:r>
      <w:r w:rsidR="00DD79B8" w:rsidRPr="003A227C">
        <w:rPr>
          <w:i/>
          <w:iCs/>
        </w:rPr>
        <w:t xml:space="preserve"> </w:t>
      </w:r>
      <w:r w:rsidR="00FA3D43" w:rsidRPr="003A227C">
        <w:rPr>
          <w:i/>
          <w:iCs/>
        </w:rPr>
        <w:t>[</w:t>
      </w:r>
      <w:r w:rsidRPr="003A227C">
        <w:rPr>
          <w:i/>
          <w:iCs/>
        </w:rPr>
        <w:t>Inception and first 6 Month</w:t>
      </w:r>
      <w:r w:rsidR="00FA3D43" w:rsidRPr="003A227C">
        <w:rPr>
          <w:i/>
          <w:iCs/>
        </w:rPr>
        <w:t>]</w:t>
      </w:r>
      <w:r w:rsidRPr="003A227C">
        <w:rPr>
          <w:i/>
          <w:iCs/>
        </w:rPr>
        <w:t xml:space="preserve"> reporting period, a total of twenty-one </w:t>
      </w:r>
      <w:r w:rsidR="006F1154" w:rsidRPr="003A227C">
        <w:rPr>
          <w:i/>
          <w:iCs/>
        </w:rPr>
        <w:t>t</w:t>
      </w:r>
      <w:r w:rsidRPr="003A227C">
        <w:rPr>
          <w:i/>
          <w:iCs/>
        </w:rPr>
        <w:t xml:space="preserve">asking </w:t>
      </w:r>
      <w:r w:rsidR="006F1154" w:rsidRPr="003A227C">
        <w:rPr>
          <w:i/>
          <w:iCs/>
        </w:rPr>
        <w:t>n</w:t>
      </w:r>
      <w:r w:rsidRPr="003A227C">
        <w:rPr>
          <w:i/>
          <w:iCs/>
        </w:rPr>
        <w:t>otes were initiated, of which four did not go ahead (due to withdrawal of the request or alternate arrangements confirmed)</w:t>
      </w:r>
      <w:r w:rsidRPr="00A7086A">
        <w:t>.”</w:t>
      </w:r>
      <w:r>
        <w:rPr>
          <w:rStyle w:val="FootnoteReference"/>
        </w:rPr>
        <w:footnoteReference w:id="34"/>
      </w:r>
      <w:r>
        <w:t xml:space="preserve">  </w:t>
      </w:r>
    </w:p>
    <w:p w14:paraId="5308D32D" w14:textId="5B8BD675" w:rsidR="002046F9" w:rsidRDefault="00FA3D43" w:rsidP="00A348C7">
      <w:r>
        <w:t xml:space="preserve">The early high level of ad hoc tasking notes from the </w:t>
      </w:r>
      <w:r w:rsidR="00387F2B">
        <w:t>AHC</w:t>
      </w:r>
      <w:r>
        <w:t xml:space="preserve"> in the first year delayed the transition</w:t>
      </w:r>
      <w:r w:rsidR="00DD79B8">
        <w:t xml:space="preserve"> to design and pillar work,</w:t>
      </w:r>
      <w:r>
        <w:t xml:space="preserve"> away from emergency/short term/ad-hoc /expensive</w:t>
      </w:r>
      <w:r w:rsidR="00DD79B8">
        <w:t xml:space="preserve"> tasking notes</w:t>
      </w:r>
      <w:r>
        <w:t xml:space="preserve">. </w:t>
      </w:r>
      <w:r w:rsidR="00273422">
        <w:t>T</w:t>
      </w:r>
      <w:r>
        <w:t xml:space="preserve">he new DFAT </w:t>
      </w:r>
      <w:r>
        <w:lastRenderedPageBreak/>
        <w:t>leadership team has scaled back the tasking notes</w:t>
      </w:r>
      <w:r w:rsidR="00DD79B8">
        <w:t xml:space="preserve">, ensuring a greater </w:t>
      </w:r>
      <w:r>
        <w:t>space for TASP Pillar work</w:t>
      </w:r>
      <w:r w:rsidR="00273422">
        <w:t>.</w:t>
      </w:r>
      <w:r>
        <w:t xml:space="preserve"> </w:t>
      </w:r>
      <w:r w:rsidR="00A7086A">
        <w:t xml:space="preserve">TASP still </w:t>
      </w:r>
      <w:r w:rsidR="00273422">
        <w:t xml:space="preserve">identified </w:t>
      </w:r>
      <w:r w:rsidR="00A7086A">
        <w:t xml:space="preserve">the </w:t>
      </w:r>
      <w:r w:rsidR="00DD79B8">
        <w:t>s</w:t>
      </w:r>
      <w:r w:rsidR="00A7086A">
        <w:t xml:space="preserve">trategic </w:t>
      </w:r>
      <w:r w:rsidR="00DD79B8">
        <w:t>o</w:t>
      </w:r>
      <w:r w:rsidR="00A7086A">
        <w:t>pportunities as a distraction from achievement of the goals of TASP</w:t>
      </w:r>
      <w:r w:rsidR="00387F2B">
        <w:t>.</w:t>
      </w:r>
      <w:r>
        <w:t xml:space="preserve"> </w:t>
      </w:r>
      <w:r w:rsidR="00387F2B">
        <w:t>Th</w:t>
      </w:r>
      <w:r>
        <w:t>e firs</w:t>
      </w:r>
      <w:r w:rsidR="00DD79B8">
        <w:t>t</w:t>
      </w:r>
      <w:r w:rsidR="002046F9">
        <w:t>-</w:t>
      </w:r>
      <w:r>
        <w:t>year</w:t>
      </w:r>
      <w:r w:rsidR="00DD79B8">
        <w:t xml:space="preserve"> experience</w:t>
      </w:r>
      <w:r>
        <w:t xml:space="preserve"> of the TASP program has left a defensive approach</w:t>
      </w:r>
      <w:r w:rsidR="00DD79B8">
        <w:t xml:space="preserve"> from TASP</w:t>
      </w:r>
      <w:r>
        <w:t xml:space="preserve"> to the </w:t>
      </w:r>
      <w:r w:rsidR="00387F2B">
        <w:t>SOM</w:t>
      </w:r>
      <w:r w:rsidR="00A7086A">
        <w:t xml:space="preserve">.  </w:t>
      </w:r>
      <w:r w:rsidR="0037067D">
        <w:t xml:space="preserve">An articulation of this feeling is a comment from </w:t>
      </w:r>
      <w:r w:rsidR="002046F9">
        <w:t xml:space="preserve">one interviewee </w:t>
      </w:r>
      <w:r w:rsidR="0037067D">
        <w:t xml:space="preserve">who </w:t>
      </w:r>
      <w:r w:rsidR="002046F9">
        <w:t>noted that there has been higher spending and effort on aviation (under Strategic Opportunities) than on the delayed Skills pillar.</w:t>
      </w:r>
    </w:p>
    <w:p w14:paraId="0ADB4B85" w14:textId="3B3037D6" w:rsidR="00B23DAD" w:rsidRDefault="00B23DAD" w:rsidP="00B23DAD">
      <w:r w:rsidRPr="006374F0">
        <w:t>Lack</w:t>
      </w:r>
      <w:r w:rsidRPr="007D71FB">
        <w:t xml:space="preserve"> of clarity around desired roles, responsibilities, and </w:t>
      </w:r>
      <w:r w:rsidR="00253651">
        <w:t>WoW</w:t>
      </w:r>
      <w:r w:rsidRPr="007D71FB">
        <w:t xml:space="preserve"> underpinned </w:t>
      </w:r>
      <w:r>
        <w:t>a first</w:t>
      </w:r>
      <w:r w:rsidRPr="007D71FB">
        <w:t xml:space="preserve"> DFAT-TASP </w:t>
      </w:r>
      <w:r w:rsidR="00253651">
        <w:t>WoW</w:t>
      </w:r>
      <w:r w:rsidRPr="007D71FB">
        <w:t xml:space="preserve"> workshop</w:t>
      </w:r>
      <w:r>
        <w:t xml:space="preserve"> in June 2023</w:t>
      </w:r>
      <w:r w:rsidRPr="007D71FB">
        <w:t xml:space="preserve">. </w:t>
      </w:r>
      <w:r>
        <w:t xml:space="preserve">The workshop report </w:t>
      </w:r>
      <w:r w:rsidRPr="007D71FB">
        <w:t xml:space="preserve">acknowledged that </w:t>
      </w:r>
      <w:r>
        <w:t>“</w:t>
      </w:r>
      <w:r w:rsidRPr="00E20193">
        <w:rPr>
          <w:i/>
          <w:iCs/>
        </w:rPr>
        <w:t>in the first eighteen months these [ad hoc] requests have taken up a lot of TASP’s time, and processes for agreeing and managing the requests have not been ideal</w:t>
      </w:r>
      <w:r>
        <w:t>”</w:t>
      </w:r>
      <w:r w:rsidRPr="007D71FB">
        <w:t>. A process was agreed to manage ad hoc tasks more collaboratively and reduce the volume, especially of short-turnaround tasks</w:t>
      </w:r>
      <w:r>
        <w:t>.</w:t>
      </w:r>
      <w:r w:rsidRPr="007D71FB">
        <w:t xml:space="preserve"> </w:t>
      </w:r>
      <w:r w:rsidR="000F280C">
        <w:rPr>
          <w:color w:val="auto"/>
        </w:rPr>
        <w:t>Key informant interviews</w:t>
      </w:r>
      <w:r w:rsidR="000F280C" w:rsidRPr="00107610">
        <w:rPr>
          <w:color w:val="auto"/>
        </w:rPr>
        <w:t xml:space="preserve"> </w:t>
      </w:r>
      <w:r w:rsidRPr="00107610">
        <w:rPr>
          <w:color w:val="auto"/>
        </w:rPr>
        <w:t xml:space="preserve">and </w:t>
      </w:r>
      <w:r w:rsidRPr="007D71FB">
        <w:t xml:space="preserve">the record of the second WoW workshop in </w:t>
      </w:r>
      <w:r>
        <w:t>May 2024</w:t>
      </w:r>
      <w:r w:rsidRPr="007D71FB">
        <w:t xml:space="preserve"> confirmed that ad hoc requests are less of a sore point now.</w:t>
      </w:r>
      <w:r>
        <w:rPr>
          <w:rStyle w:val="FootnoteReference"/>
          <w:rFonts w:ascii="Arial" w:hAnsi="Arial" w:cs="Arial"/>
          <w:szCs w:val="20"/>
        </w:rPr>
        <w:footnoteReference w:id="35"/>
      </w:r>
      <w:r>
        <w:t xml:space="preserve"> </w:t>
      </w:r>
    </w:p>
    <w:p w14:paraId="30ED6EC8" w14:textId="3CA27D7E" w:rsidR="00F36655" w:rsidRPr="007C3CFA" w:rsidRDefault="00F36655" w:rsidP="00A348C7">
      <w:r w:rsidRPr="007C3CFA">
        <w:t>A fundamental flaw in the design of TASP is the failure to reflect the Strategic Opportunities mechanism in the program logic or the MEL framework</w:t>
      </w:r>
      <w:r w:rsidR="002D716C" w:rsidRPr="007C3CFA">
        <w:t>.</w:t>
      </w:r>
      <w:r w:rsidR="000F280C" w:rsidRPr="007C3CFA">
        <w:t xml:space="preserve"> </w:t>
      </w:r>
      <w:r w:rsidR="008F059F" w:rsidRPr="007C3CFA">
        <w:t>It is specified</w:t>
      </w:r>
      <w:r w:rsidR="008D7222" w:rsidRPr="007C3CFA">
        <w:t>, however,</w:t>
      </w:r>
      <w:r w:rsidR="008F059F" w:rsidRPr="007C3CFA">
        <w:t xml:space="preserve"> in the Design Document (Table 1 – Overview of TASP </w:t>
      </w:r>
      <w:r w:rsidR="008F059F" w:rsidRPr="007C3CFA">
        <w:rPr>
          <w:rStyle w:val="FootnoteReference"/>
        </w:rPr>
        <w:footnoteReference w:id="36"/>
      </w:r>
      <w:r w:rsidR="008F059F" w:rsidRPr="007C3CFA">
        <w:t xml:space="preserve">) above the Logical Framework as an area of focus. </w:t>
      </w:r>
      <w:r w:rsidR="002D716C" w:rsidRPr="007C3CFA">
        <w:t>TASP success is assessed against achievements against the Logical Framework, which means its pillar achievements and cross-cutting investments</w:t>
      </w:r>
      <w:r w:rsidR="002D716C" w:rsidRPr="007C3CFA">
        <w:rPr>
          <w:rFonts w:eastAsia="Times New Roman"/>
          <w:color w:val="585858" w:themeColor="text2"/>
        </w:rPr>
        <w:t>. T</w:t>
      </w:r>
      <w:r w:rsidR="002D716C" w:rsidRPr="007C3CFA">
        <w:t>he SOM has only first appeared in the organisational chart version dated 27 June 2024, which has meant it has been largely hidden operationally and any response request involved diverting a staff member from their primary responsibilities</w:t>
      </w:r>
      <w:r w:rsidRPr="007C3CFA">
        <w:t xml:space="preserve">. </w:t>
      </w:r>
      <w:r w:rsidR="00DD79B8" w:rsidRPr="007C3CFA">
        <w:t>This is a lesson for future Facilities with flexible funding</w:t>
      </w:r>
      <w:r w:rsidR="008B55B0" w:rsidRPr="007C3CFA">
        <w:t xml:space="preserve"> to ensure that </w:t>
      </w:r>
      <w:r w:rsidR="00FD03B8" w:rsidRPr="007C3CFA">
        <w:t>the flexible funding (SOM) is identified as having equal value to DFAT and to the contract as other programmatic/thematic</w:t>
      </w:r>
      <w:r w:rsidR="00E67FEA" w:rsidRPr="007C3CFA">
        <w:t xml:space="preserve"> focus activities/pillars</w:t>
      </w:r>
      <w:r w:rsidR="00DD79B8" w:rsidRPr="007C3CFA">
        <w:t>.</w:t>
      </w:r>
      <w:r w:rsidR="003C33EE" w:rsidRPr="007C3CFA">
        <w:t xml:space="preserve"> </w:t>
      </w:r>
    </w:p>
    <w:p w14:paraId="4916052C" w14:textId="2A870E5B" w:rsidR="00F36655" w:rsidRPr="00594011" w:rsidRDefault="000E52C0" w:rsidP="009C7B4D">
      <w:pPr>
        <w:keepNext/>
        <w:keepLines/>
      </w:pPr>
      <w:r w:rsidRPr="00594011">
        <w:t>Ex</w:t>
      </w:r>
      <w:r w:rsidR="00D404CF" w:rsidRPr="00594011">
        <w:t>perience to</w:t>
      </w:r>
      <w:r w:rsidR="00F36655" w:rsidRPr="00594011">
        <w:t xml:space="preserve"> date with the </w:t>
      </w:r>
      <w:r w:rsidR="00F713A8" w:rsidRPr="00594011">
        <w:t>SOM</w:t>
      </w:r>
      <w:r w:rsidR="00F36655" w:rsidRPr="00594011">
        <w:t xml:space="preserve">, reflected in documentation and evaluation consultations, highlights the importance of fostering a shared understanding of the appropriate balance between the use of the facility for quick-response and flexible funding, and the focus on </w:t>
      </w:r>
      <w:r w:rsidR="00B834E8" w:rsidRPr="00594011">
        <w:t xml:space="preserve">thematic </w:t>
      </w:r>
      <w:r w:rsidR="00F36655" w:rsidRPr="00594011">
        <w:t xml:space="preserve">program delivery. Strategic </w:t>
      </w:r>
      <w:r w:rsidR="008F6E69" w:rsidRPr="00594011">
        <w:t>o</w:t>
      </w:r>
      <w:r w:rsidR="00F36655" w:rsidRPr="00594011">
        <w:t xml:space="preserve">pportunities should be explicitly embedded into planning, reporting and staffing, and clear parameters should be set around the types of activities the program might be called on to undertake. </w:t>
      </w:r>
    </w:p>
    <w:p w14:paraId="04B1C7C4" w14:textId="408CF7EA" w:rsidR="00B23DAD" w:rsidRDefault="00F36655" w:rsidP="00B23DAD">
      <w:r w:rsidRPr="00594011">
        <w:t xml:space="preserve">Greater clarity around roles and responsibilities and the expected scope of </w:t>
      </w:r>
      <w:r w:rsidR="008F6E69" w:rsidRPr="00594011">
        <w:t>s</w:t>
      </w:r>
      <w:r w:rsidRPr="00594011">
        <w:t xml:space="preserve">trategic </w:t>
      </w:r>
      <w:r w:rsidR="008F6E69" w:rsidRPr="00594011">
        <w:t>o</w:t>
      </w:r>
      <w:r w:rsidRPr="00594011">
        <w:t xml:space="preserve">pportunities tasking would reduce inconsistencies and confusion. </w:t>
      </w:r>
      <w:r w:rsidR="00B23DAD" w:rsidRPr="00594011">
        <w:t xml:space="preserve">DFAT </w:t>
      </w:r>
      <w:r w:rsidR="00D006CF" w:rsidRPr="00594011">
        <w:t>has stated clearly to the Evaluation team that</w:t>
      </w:r>
      <w:r w:rsidR="00B23DAD" w:rsidRPr="00594011">
        <w:t xml:space="preserve"> where TASP identifies a </w:t>
      </w:r>
      <w:r w:rsidR="00321277" w:rsidRPr="00594011">
        <w:t>risk that</w:t>
      </w:r>
      <w:r w:rsidR="00B23DAD" w:rsidRPr="00594011">
        <w:t xml:space="preserve"> tasking notes </w:t>
      </w:r>
      <w:r w:rsidR="00321277" w:rsidRPr="00594011">
        <w:t>could</w:t>
      </w:r>
      <w:r w:rsidR="00B23DAD" w:rsidRPr="00594011">
        <w:t xml:space="preserve"> divert funding or resourcing from pillar activities then this should be discussed with DFAT so they can make strategic decisions about program priorities and budget.  With a fully resourced TASP program and progress on pillar work kicking in, TASP should now accept DFAT’s offer of negotiating on </w:t>
      </w:r>
      <w:r w:rsidR="00F713A8" w:rsidRPr="00594011">
        <w:t>s</w:t>
      </w:r>
      <w:r w:rsidR="00B23DAD" w:rsidRPr="00594011">
        <w:t xml:space="preserve">trategic </w:t>
      </w:r>
      <w:r w:rsidR="00F713A8" w:rsidRPr="00594011">
        <w:t>o</w:t>
      </w:r>
      <w:r w:rsidR="00B23DAD" w:rsidRPr="00594011">
        <w:t>pportunities where issues arise.</w:t>
      </w:r>
    </w:p>
    <w:p w14:paraId="618715E7" w14:textId="1F7D5CE6" w:rsidR="004517DE" w:rsidRPr="00C14255" w:rsidRDefault="004517DE" w:rsidP="009C7B4D">
      <w:pPr>
        <w:pStyle w:val="Heading2"/>
        <w:rPr>
          <w:color w:val="505050" w:themeColor="accent6" w:themeShade="80"/>
        </w:rPr>
      </w:pPr>
      <w:bookmarkStart w:id="38" w:name="_Toc183423588"/>
      <w:r w:rsidRPr="00C14255">
        <w:rPr>
          <w:color w:val="505050" w:themeColor="accent6" w:themeShade="80"/>
        </w:rPr>
        <w:t>TASP</w:t>
      </w:r>
      <w:r w:rsidR="00DD7DBF" w:rsidRPr="00C14255">
        <w:rPr>
          <w:color w:val="505050" w:themeColor="accent6" w:themeShade="80"/>
        </w:rPr>
        <w:t>’s</w:t>
      </w:r>
      <w:r w:rsidRPr="00C14255">
        <w:rPr>
          <w:color w:val="505050" w:themeColor="accent6" w:themeShade="80"/>
        </w:rPr>
        <w:t xml:space="preserve"> pivot to HTHH disaster</w:t>
      </w:r>
      <w:bookmarkEnd w:id="38"/>
    </w:p>
    <w:p w14:paraId="11681703" w14:textId="7B8A4EF9" w:rsidR="00713B8A" w:rsidRDefault="00CB5929" w:rsidP="00713B8A">
      <w:r>
        <w:t xml:space="preserve">As noted in the TASP Inception report </w:t>
      </w:r>
      <w:r w:rsidR="00713B8A">
        <w:t>“</w:t>
      </w:r>
      <w:r w:rsidR="00713B8A" w:rsidRPr="00E20193">
        <w:rPr>
          <w:i/>
          <w:iCs/>
        </w:rPr>
        <w:t xml:space="preserve">The Hunga Tonga Hunga </w:t>
      </w:r>
      <w:proofErr w:type="spellStart"/>
      <w:r w:rsidR="00713B8A" w:rsidRPr="00E20193">
        <w:rPr>
          <w:i/>
          <w:iCs/>
        </w:rPr>
        <w:t>Ha’apai</w:t>
      </w:r>
      <w:proofErr w:type="spellEnd"/>
      <w:r w:rsidR="00713B8A" w:rsidRPr="00E20193">
        <w:rPr>
          <w:i/>
          <w:iCs/>
        </w:rPr>
        <w:t xml:space="preserve"> (HTHH) volcanic eruptions and subsequent tsunami [15 January 2022] delayed the mobilisation of TASP and reshaped the developmental needs of Tonga. DFAT support was rapidly and successfully pivoted to address immediate needs</w:t>
      </w:r>
      <w:r w:rsidR="00713B8A">
        <w:t>.”</w:t>
      </w:r>
      <w:r w:rsidR="00713B8A">
        <w:rPr>
          <w:rStyle w:val="FootnoteReference"/>
          <w:rFonts w:ascii="Arial" w:hAnsi="Arial" w:cs="Arial"/>
          <w:szCs w:val="20"/>
        </w:rPr>
        <w:footnoteReference w:id="37"/>
      </w:r>
    </w:p>
    <w:p w14:paraId="26FFDEA6" w14:textId="54563FE1" w:rsidR="008B0E56" w:rsidRDefault="00B83F61" w:rsidP="00A348C7">
      <w:r w:rsidRPr="007C3CFA">
        <w:t xml:space="preserve">TASP responded to ad hoc requests for support from </w:t>
      </w:r>
      <w:proofErr w:type="gramStart"/>
      <w:r w:rsidRPr="007C3CFA">
        <w:t>DFAT</w:t>
      </w:r>
      <w:proofErr w:type="gramEnd"/>
      <w:r w:rsidRPr="007C3CFA">
        <w:t xml:space="preserve"> but reporting does not reflect </w:t>
      </w:r>
      <w:proofErr w:type="gramStart"/>
      <w:r w:rsidRPr="007C3CFA">
        <w:t>all of</w:t>
      </w:r>
      <w:proofErr w:type="gramEnd"/>
      <w:r w:rsidRPr="007C3CFA">
        <w:t xml:space="preserve"> the activities undertaken by DT Global/TASP at the time: “</w:t>
      </w:r>
      <w:r w:rsidR="00871FA8" w:rsidRPr="007C3CFA">
        <w:rPr>
          <w:i/>
          <w:iCs/>
        </w:rPr>
        <w:t>I</w:t>
      </w:r>
      <w:r w:rsidRPr="007C3CFA">
        <w:rPr>
          <w:i/>
          <w:iCs/>
        </w:rPr>
        <w:t>t happened at the very start of the program so everything was to do with both COVID and the volcano/tsunami. We recruited and sole sourced a bunch of</w:t>
      </w:r>
      <w:r w:rsidRPr="00C84C94">
        <w:rPr>
          <w:i/>
          <w:iCs/>
        </w:rPr>
        <w:t xml:space="preserve"> people</w:t>
      </w:r>
      <w:r w:rsidR="002F4BB4">
        <w:rPr>
          <w:rStyle w:val="FootnoteReference"/>
          <w:i/>
          <w:iCs/>
        </w:rPr>
        <w:footnoteReference w:id="38"/>
      </w:r>
      <w:r w:rsidRPr="00C84C94">
        <w:rPr>
          <w:i/>
          <w:iCs/>
        </w:rPr>
        <w:t xml:space="preserve"> to support DFAT and procured things like emergency satellite devices, satellite phones etc. Things that DFAT couldn’t get for themselves, we took over when we could get on planes.</w:t>
      </w:r>
      <w:r w:rsidRPr="0024590D">
        <w:rPr>
          <w:i/>
          <w:iCs/>
        </w:rPr>
        <w:t xml:space="preserve"> </w:t>
      </w:r>
      <w:r>
        <w:rPr>
          <w:i/>
          <w:iCs/>
        </w:rPr>
        <w:t xml:space="preserve"> </w:t>
      </w:r>
      <w:r w:rsidRPr="00C84C94">
        <w:rPr>
          <w:i/>
          <w:iCs/>
        </w:rPr>
        <w:t xml:space="preserve">Because of the urgent and </w:t>
      </w:r>
      <w:r w:rsidRPr="00C84C94">
        <w:rPr>
          <w:i/>
          <w:iCs/>
        </w:rPr>
        <w:lastRenderedPageBreak/>
        <w:t>immediate response that the TASP team provided for DFAT and the Government of Tonga, there was not much formal documentation of efforts at the time.”</w:t>
      </w:r>
      <w:r w:rsidRPr="64562396">
        <w:rPr>
          <w:rStyle w:val="FootnoteReference"/>
          <w:rFonts w:ascii="Arial" w:hAnsi="Arial" w:cs="Arial"/>
          <w:i/>
        </w:rPr>
        <w:footnoteReference w:id="39"/>
      </w:r>
      <w:r>
        <w:t xml:space="preserve">  </w:t>
      </w:r>
    </w:p>
    <w:p w14:paraId="3E29889C" w14:textId="1AF06667" w:rsidR="00B83F61" w:rsidRDefault="00B83F61" w:rsidP="00A348C7">
      <w:r>
        <w:t>Interviews with staff engaged at the time noted that these rapid response activities included providing access to warehouses for unspecified emergency supplies.  DT Global took on a large risk by receiving unspecified goods on DFAT’s behalf.</w:t>
      </w:r>
      <w:r w:rsidR="008B0E56">
        <w:t xml:space="preserve"> </w:t>
      </w:r>
    </w:p>
    <w:p w14:paraId="0367B3F9" w14:textId="13952AE7" w:rsidR="00B83F61" w:rsidRDefault="00B83F61" w:rsidP="00A348C7">
      <w:r>
        <w:t>During the immediate aftermath of the HTHH and increase in COVID-19 cases, TASP was able to engage the following positions that worked directly with and reported to the Australian High Commission</w:t>
      </w:r>
      <w:r w:rsidR="00713B8A">
        <w:t>:</w:t>
      </w:r>
    </w:p>
    <w:p w14:paraId="3C700B88" w14:textId="77777777" w:rsidR="00B83F61" w:rsidRPr="00B83F61" w:rsidRDefault="00B83F61" w:rsidP="008E01F2">
      <w:pPr>
        <w:pStyle w:val="ListBullet"/>
        <w:spacing w:line="280" w:lineRule="atLeast"/>
        <w:ind w:left="284" w:hanging="284"/>
      </w:pPr>
      <w:proofErr w:type="gramStart"/>
      <w:r w:rsidRPr="00B83F61">
        <w:t>a Humanitarian</w:t>
      </w:r>
      <w:proofErr w:type="gramEnd"/>
      <w:r w:rsidRPr="00B83F61">
        <w:t xml:space="preserve"> Response Lead, Humanitarian Response Logistics and Coordinator, and a Humanitarian Response Administrator in relation to the volcanic eruption and </w:t>
      </w:r>
      <w:proofErr w:type="gramStart"/>
      <w:r w:rsidRPr="00B83F61">
        <w:t>tsunami;</w:t>
      </w:r>
      <w:proofErr w:type="gramEnd"/>
      <w:r w:rsidRPr="00B83F61">
        <w:t xml:space="preserve"> </w:t>
      </w:r>
    </w:p>
    <w:p w14:paraId="31774376" w14:textId="77777777" w:rsidR="00B83F61" w:rsidRPr="00B83F61" w:rsidRDefault="00B83F61" w:rsidP="008E01F2">
      <w:pPr>
        <w:pStyle w:val="ListBullet"/>
        <w:spacing w:line="280" w:lineRule="atLeast"/>
        <w:ind w:left="284" w:hanging="284"/>
      </w:pPr>
      <w:r w:rsidRPr="00B83F61">
        <w:t xml:space="preserve">a COVID 19 Health Security and Crisis Response Program Manager In response to the COVID-19 outbreak; and </w:t>
      </w:r>
    </w:p>
    <w:p w14:paraId="4763E4A7" w14:textId="33EA88E5" w:rsidR="00B83F61" w:rsidRDefault="00B83F61" w:rsidP="008E01F2">
      <w:pPr>
        <w:pStyle w:val="ListBullet"/>
        <w:spacing w:line="280" w:lineRule="atLeast"/>
        <w:ind w:left="284" w:hanging="284"/>
      </w:pPr>
      <w:r w:rsidRPr="00B83F61">
        <w:t>an Aviation, Trade and Education Program Manager</w:t>
      </w:r>
      <w:r w:rsidR="00E67166">
        <w:rPr>
          <w:rStyle w:val="FootnoteReference"/>
        </w:rPr>
        <w:footnoteReference w:id="40"/>
      </w:r>
      <w:r w:rsidRPr="00B83F61">
        <w:t xml:space="preserve">. </w:t>
      </w:r>
    </w:p>
    <w:p w14:paraId="28FCD2F4" w14:textId="4F137C7E" w:rsidR="00B83F61" w:rsidRPr="00644708" w:rsidRDefault="00871FA8" w:rsidP="008E01F2">
      <w:pPr>
        <w:rPr>
          <w:b/>
          <w:bCs/>
        </w:rPr>
      </w:pPr>
      <w:r>
        <w:t>In addition, t</w:t>
      </w:r>
      <w:r w:rsidR="008B0E56" w:rsidRPr="008B0E56">
        <w:t>wo short-term health advisers were recruited</w:t>
      </w:r>
      <w:r>
        <w:t>,</w:t>
      </w:r>
      <w:r w:rsidR="008B0E56" w:rsidRPr="008B0E56">
        <w:t xml:space="preserve"> one </w:t>
      </w:r>
      <w:r w:rsidR="008B0E56">
        <w:t xml:space="preserve">of </w:t>
      </w:r>
      <w:r>
        <w:t>whom</w:t>
      </w:r>
      <w:r w:rsidR="008B0E56" w:rsidRPr="008B0E56">
        <w:t xml:space="preserve"> provide</w:t>
      </w:r>
      <w:r w:rsidR="008B0E56">
        <w:t>d</w:t>
      </w:r>
      <w:r w:rsidR="008B0E56" w:rsidRPr="008B0E56">
        <w:t xml:space="preserve"> COVID-19 intelligence reports for the Ministry of Health (MoH) and ad hoc mentoring to the Chief Medical Superintendent at Vaiola Hospital</w:t>
      </w:r>
      <w:r w:rsidR="00713B8A">
        <w:t>.</w:t>
      </w:r>
    </w:p>
    <w:p w14:paraId="0E0D09F8" w14:textId="0306470E" w:rsidR="00871FA8" w:rsidDel="00713B8A" w:rsidRDefault="00871FA8" w:rsidP="00A348C7">
      <w:r>
        <w:t>Beyond recruiting and deploying staff to support DFAT humanitarian response, the Evaluation has been unable to find records of other expenditure related to the humanitarian response.  During the Inception 6 Month reporting period none of the Tasking Notes that proceeded were related to humanitarian response or recovery.</w:t>
      </w:r>
      <w:r w:rsidDel="00713B8A">
        <w:t xml:space="preserve"> </w:t>
      </w:r>
    </w:p>
    <w:p w14:paraId="291F6941" w14:textId="345CCA7D" w:rsidR="0000691E" w:rsidRPr="00C84C94" w:rsidRDefault="00871FA8" w:rsidP="00A348C7">
      <w:r w:rsidRPr="007C3CFA">
        <w:t xml:space="preserve">However, </w:t>
      </w:r>
      <w:proofErr w:type="gramStart"/>
      <w:r w:rsidRPr="007C3CFA">
        <w:t xml:space="preserve">it is clear that </w:t>
      </w:r>
      <w:r w:rsidR="00B83F61" w:rsidRPr="007C3CFA">
        <w:t>significant</w:t>
      </w:r>
      <w:proofErr w:type="gramEnd"/>
      <w:r w:rsidR="00B83F61" w:rsidRPr="007C3CFA">
        <w:t xml:space="preserve"> challenges associated with COVID-19 and HTHH compounded the difficulties during the </w:t>
      </w:r>
      <w:r w:rsidRPr="007C3CFA">
        <w:t xml:space="preserve">TASP </w:t>
      </w:r>
      <w:r w:rsidR="00B83F61" w:rsidRPr="007C3CFA">
        <w:t xml:space="preserve">inception phase. </w:t>
      </w:r>
      <w:r w:rsidR="0046396F" w:rsidRPr="007C3CFA">
        <w:t>The TASP head contract was signed on 22 November 2021</w:t>
      </w:r>
      <w:r w:rsidR="0046396F">
        <w:t xml:space="preserve"> following the first 7</w:t>
      </w:r>
      <w:r w:rsidR="00C52CBF">
        <w:t>-</w:t>
      </w:r>
      <w:r w:rsidR="0046396F">
        <w:t xml:space="preserve">day </w:t>
      </w:r>
      <w:r w:rsidR="00015E31">
        <w:t xml:space="preserve">COVID </w:t>
      </w:r>
      <w:r w:rsidR="0046396F">
        <w:t xml:space="preserve">lockdown in Tonga. Cases stayed low until the HTHH disaster </w:t>
      </w:r>
      <w:r>
        <w:t xml:space="preserve">on </w:t>
      </w:r>
      <w:r w:rsidR="001B46A5">
        <w:t>22 January 2022</w:t>
      </w:r>
      <w:r>
        <w:t xml:space="preserve">. </w:t>
      </w:r>
      <w:r w:rsidR="002B1D75">
        <w:t>COVID</w:t>
      </w:r>
      <w:r w:rsidR="005701BE">
        <w:t>-19</w:t>
      </w:r>
      <w:r w:rsidR="002B1D75">
        <w:t xml:space="preserve"> case</w:t>
      </w:r>
      <w:r w:rsidR="0046396F">
        <w:t xml:space="preserve"> numbers increased rapidly from 2 on 1 February 2022 to </w:t>
      </w:r>
      <w:r w:rsidR="00015E31">
        <w:t xml:space="preserve">7665 cases by 8 April 2022. </w:t>
      </w:r>
      <w:r w:rsidR="006F34C8">
        <w:t xml:space="preserve"> </w:t>
      </w:r>
      <w:r w:rsidR="00015E31">
        <w:t xml:space="preserve">The </w:t>
      </w:r>
      <w:proofErr w:type="spellStart"/>
      <w:r w:rsidR="00015E31">
        <w:t>GoT</w:t>
      </w:r>
      <w:proofErr w:type="spellEnd"/>
      <w:r w:rsidR="00015E31">
        <w:t xml:space="preserve"> implemented a full lockdown from 20 March to 9 April </w:t>
      </w:r>
      <w:r w:rsidR="00713B8A">
        <w:t>followed by</w:t>
      </w:r>
      <w:r w:rsidR="00015E31">
        <w:t xml:space="preserve"> significant movement restrictions</w:t>
      </w:r>
      <w:r w:rsidR="0000691E">
        <w:t>.</w:t>
      </w:r>
    </w:p>
    <w:p w14:paraId="3487649A" w14:textId="7A415007" w:rsidR="0024590D" w:rsidRDefault="0024590D" w:rsidP="00A348C7">
      <w:r>
        <w:t>The Inception</w:t>
      </w:r>
      <w:r w:rsidR="00015E31">
        <w:t xml:space="preserve"> and </w:t>
      </w:r>
      <w:r>
        <w:t>6-month report highlight the impact of the natural disaster and the COVID-19 pandemic on recruitment: “</w:t>
      </w:r>
      <w:r w:rsidRPr="008E01F2">
        <w:rPr>
          <w:i/>
          <w:iCs/>
        </w:rPr>
        <w:t xml:space="preserve">The recruitment environment has deteriorated because of the COVID-19 pandemic, exacerbated by the recent natural disasters and a rapid increase in donor activities in Tonga. Risks associated with sudden and prolonged international border closures has reduced the pool of experienced development practitioners willing to work internationally, and the HTHH volcanic eruption and tsunami may have compounded this issue for Tonga. An expanding development partner footprint in Tonga has reduced the availability of highly skilled, locally engaged </w:t>
      </w:r>
      <w:r w:rsidR="001B46A5" w:rsidRPr="008E01F2">
        <w:rPr>
          <w:i/>
          <w:iCs/>
        </w:rPr>
        <w:t>personnel.</w:t>
      </w:r>
      <w:r w:rsidR="001B46A5" w:rsidRPr="0024590D">
        <w:t xml:space="preserve"> “</w:t>
      </w:r>
    </w:p>
    <w:p w14:paraId="76CB9540" w14:textId="7995E512" w:rsidR="008B0E56" w:rsidRDefault="00015E31" w:rsidP="00A348C7">
      <w:r w:rsidRPr="00015E31">
        <w:t>DT Global (Cardno at the time)</w:t>
      </w:r>
      <w:r>
        <w:t xml:space="preserve"> mobilised the Contractor Representative at the time to work as interim Platform (TASP)</w:t>
      </w:r>
      <w:r w:rsidR="008B0E56">
        <w:t xml:space="preserve"> D</w:t>
      </w:r>
      <w:r>
        <w:t>irector.  The</w:t>
      </w:r>
      <w:r w:rsidR="00C52CBF">
        <w:t xml:space="preserve">y </w:t>
      </w:r>
      <w:r>
        <w:t xml:space="preserve">arrived on the second flight to Tonga (8 March 2022), going straight into quarantine. </w:t>
      </w:r>
    </w:p>
    <w:p w14:paraId="12AFEC1A" w14:textId="77777777" w:rsidR="00F951A5" w:rsidRDefault="00F951A5" w:rsidP="004243F2">
      <w:pPr>
        <w:pStyle w:val="Heading1"/>
      </w:pPr>
      <w:bookmarkStart w:id="39" w:name="_Key_Findings_and"/>
      <w:bookmarkEnd w:id="39"/>
      <w:r>
        <w:br w:type="page"/>
      </w:r>
    </w:p>
    <w:p w14:paraId="6BC095FC" w14:textId="4C87D980" w:rsidR="00194B11" w:rsidRDefault="000F1258" w:rsidP="004243F2">
      <w:pPr>
        <w:pStyle w:val="Heading1"/>
      </w:pPr>
      <w:bookmarkStart w:id="40" w:name="_Toc183423589"/>
      <w:r>
        <w:lastRenderedPageBreak/>
        <w:t>Key Findings</w:t>
      </w:r>
      <w:r w:rsidR="00A72F8A">
        <w:t xml:space="preserve"> and</w:t>
      </w:r>
      <w:r>
        <w:t xml:space="preserve"> Lessons Learned: KEQ7</w:t>
      </w:r>
      <w:bookmarkEnd w:id="40"/>
    </w:p>
    <w:p w14:paraId="6BC095FD" w14:textId="77777777" w:rsidR="00194B11" w:rsidRDefault="000F1258" w:rsidP="00644708">
      <w:pPr>
        <w:pBdr>
          <w:top w:val="single" w:sz="4" w:space="1" w:color="auto"/>
          <w:left w:val="single" w:sz="4" w:space="4" w:color="auto"/>
          <w:bottom w:val="single" w:sz="4" w:space="1" w:color="auto"/>
          <w:right w:val="single" w:sz="4" w:space="4" w:color="auto"/>
        </w:pBdr>
      </w:pPr>
      <w:r>
        <w:t>What are the recommendations for policy, practice, and implementation for future facility support to DFAT in Tonga?</w:t>
      </w:r>
    </w:p>
    <w:p w14:paraId="200D842C" w14:textId="57C9862C" w:rsidR="00A72F8A" w:rsidRPr="00C14255" w:rsidRDefault="00A72F8A" w:rsidP="004243F2">
      <w:pPr>
        <w:pStyle w:val="Heading2"/>
        <w:rPr>
          <w:color w:val="505050" w:themeColor="accent6" w:themeShade="80"/>
        </w:rPr>
      </w:pPr>
      <w:bookmarkStart w:id="41" w:name="_Toc183423590"/>
      <w:r w:rsidRPr="00C14255">
        <w:rPr>
          <w:color w:val="505050" w:themeColor="accent6" w:themeShade="80"/>
        </w:rPr>
        <w:t>Findings</w:t>
      </w:r>
      <w:bookmarkEnd w:id="41"/>
    </w:p>
    <w:p w14:paraId="793877D2" w14:textId="54F3A81C" w:rsidR="0034701C" w:rsidRPr="0034701C" w:rsidRDefault="0034701C" w:rsidP="00C95B04">
      <w:pPr>
        <w:pStyle w:val="Heading3"/>
      </w:pPr>
      <w:r>
        <w:t>Positive</w:t>
      </w:r>
      <w:r w:rsidR="00C95B04">
        <w:t xml:space="preserve"> findings</w:t>
      </w:r>
    </w:p>
    <w:p w14:paraId="01ACDC03" w14:textId="3FA73678" w:rsidR="008413F5" w:rsidRPr="00545044" w:rsidRDefault="008413F5" w:rsidP="00803578">
      <w:pPr>
        <w:pStyle w:val="ListNumber"/>
        <w:numPr>
          <w:ilvl w:val="0"/>
          <w:numId w:val="29"/>
        </w:numPr>
        <w:rPr>
          <w:rStyle w:val="ListNumberChar"/>
        </w:rPr>
      </w:pPr>
      <w:r w:rsidRPr="00545044">
        <w:rPr>
          <w:rStyle w:val="ListNumberChar"/>
        </w:rPr>
        <w:t xml:space="preserve">The multi-sector TASP facility provides efficient use of </w:t>
      </w:r>
      <w:proofErr w:type="spellStart"/>
      <w:r w:rsidRPr="00545044">
        <w:rPr>
          <w:rStyle w:val="ListNumberChar"/>
        </w:rPr>
        <w:t>GoA</w:t>
      </w:r>
      <w:proofErr w:type="spellEnd"/>
      <w:r w:rsidRPr="00545044">
        <w:rPr>
          <w:rStyle w:val="ListNumberChar"/>
        </w:rPr>
        <w:t xml:space="preserve"> management resources (MEL reporting, procurement, and potential GEDSI integration), and one point of reference for DFAT for key policy and programmatic decisions in the Health and Governance areas. TASP has been able to continue to deliver high quality advisory and service delivery support against the Health and Governance programs to </w:t>
      </w:r>
      <w:proofErr w:type="spellStart"/>
      <w:r w:rsidRPr="00545044">
        <w:rPr>
          <w:rStyle w:val="ListNumberChar"/>
        </w:rPr>
        <w:t>GoT</w:t>
      </w:r>
      <w:proofErr w:type="spellEnd"/>
      <w:r w:rsidRPr="00545044">
        <w:rPr>
          <w:rStyle w:val="ListNumberChar"/>
        </w:rPr>
        <w:t xml:space="preserve"> and </w:t>
      </w:r>
      <w:proofErr w:type="spellStart"/>
      <w:r w:rsidRPr="00545044">
        <w:rPr>
          <w:rStyle w:val="ListNumberChar"/>
        </w:rPr>
        <w:t>GoA</w:t>
      </w:r>
      <w:proofErr w:type="spellEnd"/>
      <w:r w:rsidRPr="00545044">
        <w:rPr>
          <w:rStyle w:val="ListNumberChar"/>
        </w:rPr>
        <w:t xml:space="preserve"> satisfaction.</w:t>
      </w:r>
    </w:p>
    <w:p w14:paraId="5F810E25" w14:textId="5BDAF99D" w:rsidR="008413F5" w:rsidRDefault="008413F5" w:rsidP="00803578">
      <w:pPr>
        <w:pStyle w:val="ListNumber"/>
        <w:numPr>
          <w:ilvl w:val="0"/>
          <w:numId w:val="29"/>
        </w:numPr>
      </w:pPr>
      <w:r w:rsidRPr="000579FA">
        <w:t xml:space="preserve">TASP has delivered the </w:t>
      </w:r>
      <w:r>
        <w:t>SOM</w:t>
      </w:r>
      <w:r w:rsidRPr="000579FA">
        <w:t xml:space="preserve">/tasking notes efficiently with processes and procedures meeting expected timeframes and good budget management.  This has significantly reduced workload on DFAT staff in the </w:t>
      </w:r>
      <w:r w:rsidRPr="00DE79FE">
        <w:rPr>
          <w:lang w:val="en-US"/>
        </w:rPr>
        <w:t xml:space="preserve">AHC </w:t>
      </w:r>
      <w:r w:rsidRPr="000579FA">
        <w:t>and provides an option for flexibility in the case of emergency/surge response.</w:t>
      </w:r>
      <w:r w:rsidRPr="00305E6B">
        <w:t xml:space="preserve"> </w:t>
      </w:r>
    </w:p>
    <w:p w14:paraId="75087DFA" w14:textId="1FAC33AA" w:rsidR="008413F5" w:rsidRPr="00305E6B" w:rsidRDefault="008413F5" w:rsidP="00803578">
      <w:pPr>
        <w:pStyle w:val="ListNumber"/>
        <w:numPr>
          <w:ilvl w:val="0"/>
          <w:numId w:val="29"/>
        </w:numPr>
        <w:rPr>
          <w:rStyle w:val="ListNumberChar"/>
        </w:rPr>
      </w:pPr>
      <w:r w:rsidRPr="00DE79FE">
        <w:rPr>
          <w:lang w:val="en-US"/>
        </w:rPr>
        <w:t>Support and some cross cutting functions are operating well</w:t>
      </w:r>
      <w:r w:rsidR="0013450F">
        <w:rPr>
          <w:lang w:val="en-US"/>
        </w:rPr>
        <w:t>,</w:t>
      </w:r>
      <w:r w:rsidRPr="00DE79FE">
        <w:rPr>
          <w:b/>
          <w:bCs/>
          <w:lang w:val="en-US"/>
        </w:rPr>
        <w:t xml:space="preserve"> </w:t>
      </w:r>
      <w:r w:rsidRPr="00DE79FE">
        <w:rPr>
          <w:lang w:val="en-US"/>
        </w:rPr>
        <w:t xml:space="preserve">such as: gender mainstreaming and some targeted </w:t>
      </w:r>
      <w:r w:rsidRPr="0095095C">
        <w:t>support</w:t>
      </w:r>
      <w:r w:rsidRPr="00DE79FE">
        <w:rPr>
          <w:lang w:val="en-US"/>
        </w:rPr>
        <w:t xml:space="preserve">; procurement of </w:t>
      </w:r>
      <w:proofErr w:type="spellStart"/>
      <w:r w:rsidRPr="00DE79FE">
        <w:rPr>
          <w:lang w:val="en-US"/>
        </w:rPr>
        <w:t>GoA</w:t>
      </w:r>
      <w:proofErr w:type="spellEnd"/>
      <w:r w:rsidRPr="00DE79FE">
        <w:rPr>
          <w:lang w:val="en-US"/>
        </w:rPr>
        <w:t xml:space="preserve"> investments; MEL (is sufficient and MEL team now supporting all areas of the facility); better reporting to and shared policy discussions with the AHC (following two</w:t>
      </w:r>
      <w:r w:rsidR="009D5CEC">
        <w:rPr>
          <w:lang w:val="en-US"/>
        </w:rPr>
        <w:t xml:space="preserve"> </w:t>
      </w:r>
      <w:r w:rsidRPr="00DE79FE">
        <w:rPr>
          <w:lang w:val="en-US"/>
        </w:rPr>
        <w:t>WoW workshops and regular policy meetings); and provision of operational costs for CSOs (freeing them up to deliver more with fewer restrictions and drawing on support unit capacity building).</w:t>
      </w:r>
    </w:p>
    <w:p w14:paraId="61D5DD2C" w14:textId="77777777" w:rsidR="008413F5" w:rsidRPr="00305E6B" w:rsidRDefault="008413F5" w:rsidP="00803578">
      <w:pPr>
        <w:pStyle w:val="ListNumber"/>
        <w:numPr>
          <w:ilvl w:val="0"/>
          <w:numId w:val="29"/>
        </w:numPr>
        <w:rPr>
          <w:rStyle w:val="ListNumberChar"/>
        </w:rPr>
      </w:pPr>
      <w:r w:rsidRPr="00305E6B">
        <w:rPr>
          <w:rStyle w:val="ListNumberChar"/>
        </w:rPr>
        <w:t>Strategic and deep engagements with</w:t>
      </w:r>
      <w:r w:rsidRPr="00D060F8">
        <w:rPr>
          <w:rStyle w:val="ListNumberChar"/>
        </w:rPr>
        <w:t xml:space="preserve"> </w:t>
      </w:r>
      <w:r w:rsidRPr="00305E6B">
        <w:rPr>
          <w:rStyle w:val="ListNumberChar"/>
        </w:rPr>
        <w:t>CSOs</w:t>
      </w:r>
      <w:r>
        <w:rPr>
          <w:rStyle w:val="ListNumberChar"/>
        </w:rPr>
        <w:t>,</w:t>
      </w:r>
      <w:r w:rsidRPr="00305E6B">
        <w:rPr>
          <w:rStyle w:val="ListNumberChar"/>
        </w:rPr>
        <w:t xml:space="preserve"> and funding particularly supporting their operational costs</w:t>
      </w:r>
      <w:r>
        <w:rPr>
          <w:rStyle w:val="ListNumberChar"/>
        </w:rPr>
        <w:t xml:space="preserve">, </w:t>
      </w:r>
      <w:r w:rsidRPr="00305E6B">
        <w:rPr>
          <w:rStyle w:val="ListNumberChar"/>
        </w:rPr>
        <w:t>have built good will</w:t>
      </w:r>
      <w:r>
        <w:rPr>
          <w:rStyle w:val="ListNumberChar"/>
        </w:rPr>
        <w:t xml:space="preserve"> and</w:t>
      </w:r>
      <w:r w:rsidRPr="00305E6B">
        <w:rPr>
          <w:rStyle w:val="ListNumberChar"/>
        </w:rPr>
        <w:t xml:space="preserve"> capacity and provided a base for ongoing medium to long term strategic partnerships (particularly with </w:t>
      </w:r>
      <w:r>
        <w:rPr>
          <w:rStyle w:val="ListNumberChar"/>
        </w:rPr>
        <w:t>gender a</w:t>
      </w:r>
      <w:r w:rsidRPr="00305E6B">
        <w:rPr>
          <w:rStyle w:val="ListNumberChar"/>
        </w:rPr>
        <w:t xml:space="preserve">nd </w:t>
      </w:r>
      <w:r>
        <w:rPr>
          <w:rStyle w:val="ListNumberChar"/>
        </w:rPr>
        <w:t>t</w:t>
      </w:r>
      <w:r w:rsidRPr="00305E6B">
        <w:rPr>
          <w:rStyle w:val="ListNumberChar"/>
        </w:rPr>
        <w:t>raining focused CSOs).  The evaluation found</w:t>
      </w:r>
      <w:r w:rsidRPr="00305E6B">
        <w:t xml:space="preserve"> evidence that both GEDSI mainstreaming and some GEDSI-specific interventions have been advanced</w:t>
      </w:r>
      <w:r>
        <w:t>.</w:t>
      </w:r>
    </w:p>
    <w:p w14:paraId="6492DCD7" w14:textId="77777777" w:rsidR="008413F5" w:rsidRDefault="008413F5" w:rsidP="00803578">
      <w:pPr>
        <w:pStyle w:val="ListNumber"/>
        <w:numPr>
          <w:ilvl w:val="0"/>
          <w:numId w:val="29"/>
        </w:numPr>
      </w:pPr>
      <w:r>
        <w:t xml:space="preserve">TASP has responded to emerging </w:t>
      </w:r>
      <w:proofErr w:type="spellStart"/>
      <w:r>
        <w:t>GoT</w:t>
      </w:r>
      <w:proofErr w:type="spellEnd"/>
      <w:r>
        <w:t xml:space="preserve"> issues and needs with advisers able to follow and support </w:t>
      </w:r>
      <w:proofErr w:type="spellStart"/>
      <w:r>
        <w:t>GoT</w:t>
      </w:r>
      <w:proofErr w:type="spellEnd"/>
      <w:r>
        <w:t xml:space="preserve"> priorities.  The Governance and Health pillars of TASP are very attuned to </w:t>
      </w:r>
      <w:proofErr w:type="spellStart"/>
      <w:r>
        <w:t>GoT</w:t>
      </w:r>
      <w:proofErr w:type="spellEnd"/>
      <w:r>
        <w:t xml:space="preserve"> needs with strong DFAT Post engagement and good connection into multi-donor processes.  </w:t>
      </w:r>
    </w:p>
    <w:p w14:paraId="3444FE9E" w14:textId="623B7D43" w:rsidR="00C95B04" w:rsidRPr="00305E6B" w:rsidRDefault="00C95B04" w:rsidP="00C95B04">
      <w:pPr>
        <w:pStyle w:val="Heading3"/>
        <w:rPr>
          <w:rStyle w:val="ListNumberChar"/>
        </w:rPr>
      </w:pPr>
      <w:r>
        <w:t>Negative findings</w:t>
      </w:r>
    </w:p>
    <w:p w14:paraId="712F079C" w14:textId="3C1635CC" w:rsidR="008413F5" w:rsidRDefault="008413F5" w:rsidP="00803578">
      <w:pPr>
        <w:pStyle w:val="ListNumber"/>
        <w:numPr>
          <w:ilvl w:val="0"/>
          <w:numId w:val="29"/>
        </w:numPr>
      </w:pPr>
      <w:r>
        <w:t>Practical challenges of progressing the</w:t>
      </w:r>
      <w:r w:rsidRPr="000579FA">
        <w:t xml:space="preserve"> design</w:t>
      </w:r>
      <w:r>
        <w:t>-</w:t>
      </w:r>
      <w:r w:rsidRPr="000579FA">
        <w:t xml:space="preserve">implement model during the </w:t>
      </w:r>
      <w:r w:rsidRPr="00545044">
        <w:t>HHTH</w:t>
      </w:r>
      <w:r w:rsidRPr="000579FA">
        <w:t xml:space="preserve"> Volcano and COVID (with most international staff leaving or being unable to travel) and </w:t>
      </w:r>
      <w:r>
        <w:t>the use of</w:t>
      </w:r>
      <w:r w:rsidRPr="000579FA">
        <w:t xml:space="preserve"> TASP primarily for </w:t>
      </w:r>
      <w:r>
        <w:t xml:space="preserve">urgent response-related </w:t>
      </w:r>
      <w:r w:rsidRPr="000579FA">
        <w:t xml:space="preserve">service order implementation in the early phases of the contract </w:t>
      </w:r>
      <w:r>
        <w:t>have resulted in</w:t>
      </w:r>
      <w:r w:rsidRPr="000579FA">
        <w:t xml:space="preserve"> the facility </w:t>
      </w:r>
      <w:r>
        <w:t>being</w:t>
      </w:r>
      <w:r w:rsidRPr="000579FA">
        <w:t xml:space="preserve"> about </w:t>
      </w:r>
      <w:r>
        <w:t>one</w:t>
      </w:r>
      <w:r w:rsidRPr="000579FA">
        <w:t xml:space="preserve"> year behind in implementation.</w:t>
      </w:r>
    </w:p>
    <w:p w14:paraId="3443CDE7" w14:textId="17BA5F26" w:rsidR="008413F5" w:rsidRDefault="008413F5" w:rsidP="00803578">
      <w:pPr>
        <w:pStyle w:val="ListNumber"/>
        <w:numPr>
          <w:ilvl w:val="0"/>
          <w:numId w:val="29"/>
        </w:numPr>
      </w:pPr>
      <w:r w:rsidRPr="00DE79FE">
        <w:rPr>
          <w:lang w:val="en-US"/>
        </w:rPr>
        <w:t>The AHC has a clear desire for high level and strategic targeted policy advice from the</w:t>
      </w:r>
      <w:r w:rsidR="003E097F">
        <w:rPr>
          <w:lang w:val="en-US"/>
        </w:rPr>
        <w:t xml:space="preserve"> </w:t>
      </w:r>
      <w:r w:rsidRPr="00DE79FE">
        <w:rPr>
          <w:lang w:val="en-US"/>
        </w:rPr>
        <w:t xml:space="preserve">MC, drawing on TASP’s close relationships in </w:t>
      </w:r>
      <w:proofErr w:type="spellStart"/>
      <w:r w:rsidRPr="00DE79FE">
        <w:rPr>
          <w:lang w:val="en-US"/>
        </w:rPr>
        <w:t>GoT</w:t>
      </w:r>
      <w:proofErr w:type="spellEnd"/>
      <w:r w:rsidRPr="00DE79FE">
        <w:rPr>
          <w:lang w:val="en-US"/>
        </w:rPr>
        <w:t xml:space="preserve"> and civil society.  </w:t>
      </w:r>
      <w:r w:rsidR="00403A3D" w:rsidRPr="00DE79FE">
        <w:rPr>
          <w:lang w:val="en-US"/>
        </w:rPr>
        <w:t>T</w:t>
      </w:r>
      <w:r w:rsidRPr="00DE79FE">
        <w:rPr>
          <w:lang w:val="en-US"/>
        </w:rPr>
        <w:t xml:space="preserve">he MC is keen to meet the AHC needs </w:t>
      </w:r>
      <w:r w:rsidR="00D36D53">
        <w:rPr>
          <w:lang w:val="en-US"/>
        </w:rPr>
        <w:t xml:space="preserve">but </w:t>
      </w:r>
      <w:r w:rsidR="00C26614" w:rsidRPr="00DE79FE">
        <w:rPr>
          <w:lang w:val="en-US"/>
        </w:rPr>
        <w:t>need</w:t>
      </w:r>
      <w:r w:rsidR="0014487B" w:rsidRPr="00DE79FE">
        <w:rPr>
          <w:lang w:val="en-US"/>
        </w:rPr>
        <w:t>s</w:t>
      </w:r>
      <w:r w:rsidR="00C26614" w:rsidRPr="00DE79FE">
        <w:rPr>
          <w:lang w:val="en-US"/>
        </w:rPr>
        <w:t xml:space="preserve"> to be more proactive in </w:t>
      </w:r>
      <w:r w:rsidR="0039587F" w:rsidRPr="00DE79FE">
        <w:rPr>
          <w:lang w:val="en-US"/>
        </w:rPr>
        <w:t xml:space="preserve">providing </w:t>
      </w:r>
      <w:r w:rsidR="0014487B" w:rsidRPr="00DE79FE">
        <w:rPr>
          <w:lang w:val="en-US"/>
        </w:rPr>
        <w:t xml:space="preserve">high level nuanced </w:t>
      </w:r>
      <w:r w:rsidR="0039587F" w:rsidRPr="00DE79FE">
        <w:rPr>
          <w:lang w:val="en-US"/>
        </w:rPr>
        <w:t xml:space="preserve">policy </w:t>
      </w:r>
      <w:r w:rsidR="0014487B" w:rsidRPr="00DE79FE">
        <w:rPr>
          <w:lang w:val="en-US"/>
        </w:rPr>
        <w:t xml:space="preserve">and strategic </w:t>
      </w:r>
      <w:r w:rsidR="0039587F" w:rsidRPr="00DE79FE">
        <w:rPr>
          <w:lang w:val="en-US"/>
        </w:rPr>
        <w:t>advice and insights</w:t>
      </w:r>
      <w:r w:rsidR="0014487B" w:rsidRPr="00DE79FE">
        <w:rPr>
          <w:lang w:val="en-US"/>
        </w:rPr>
        <w:t xml:space="preserve"> </w:t>
      </w:r>
      <w:proofErr w:type="gramStart"/>
      <w:r w:rsidR="0014487B" w:rsidRPr="00DE79FE">
        <w:rPr>
          <w:lang w:val="en-US"/>
        </w:rPr>
        <w:t>to</w:t>
      </w:r>
      <w:proofErr w:type="gramEnd"/>
      <w:r w:rsidR="0014487B" w:rsidRPr="00DE79FE">
        <w:rPr>
          <w:lang w:val="en-US"/>
        </w:rPr>
        <w:t xml:space="preserve"> AHC on a regular and timely basis.</w:t>
      </w:r>
      <w:r w:rsidR="0014487B" w:rsidRPr="00DE79FE" w:rsidDel="0014487B">
        <w:rPr>
          <w:lang w:val="en-US"/>
        </w:rPr>
        <w:t xml:space="preserve"> </w:t>
      </w:r>
    </w:p>
    <w:p w14:paraId="283EF5DB" w14:textId="59256642" w:rsidR="008413F5" w:rsidRDefault="000964FC" w:rsidP="00803578">
      <w:pPr>
        <w:pStyle w:val="ListNumber"/>
        <w:numPr>
          <w:ilvl w:val="0"/>
          <w:numId w:val="29"/>
        </w:numPr>
        <w:rPr>
          <w:rStyle w:val="ListNumberChar"/>
        </w:rPr>
      </w:pPr>
      <w:r w:rsidRPr="00305E6B">
        <w:rPr>
          <w:rStyle w:val="ListNumberChar"/>
        </w:rPr>
        <w:t>TASP has not been able to deliver equally on both the two ongoing (novated) pillar programs (</w:t>
      </w:r>
      <w:r>
        <w:rPr>
          <w:rStyle w:val="ListNumberChar"/>
        </w:rPr>
        <w:t>H</w:t>
      </w:r>
      <w:r w:rsidRPr="00305E6B">
        <w:rPr>
          <w:rStyle w:val="ListNumberChar"/>
        </w:rPr>
        <w:t xml:space="preserve">ealth and </w:t>
      </w:r>
      <w:r>
        <w:rPr>
          <w:rStyle w:val="ListNumberChar"/>
        </w:rPr>
        <w:t>G</w:t>
      </w:r>
      <w:r w:rsidRPr="00305E6B">
        <w:rPr>
          <w:rStyle w:val="ListNumberChar"/>
        </w:rPr>
        <w:t>overnance) and the two new pillar</w:t>
      </w:r>
      <w:r>
        <w:rPr>
          <w:rStyle w:val="ListNumberChar"/>
        </w:rPr>
        <w:t>s</w:t>
      </w:r>
      <w:r w:rsidRPr="00305E6B">
        <w:rPr>
          <w:rStyle w:val="ListNumberChar"/>
        </w:rPr>
        <w:t xml:space="preserve"> (Gender </w:t>
      </w:r>
      <w:r>
        <w:rPr>
          <w:rStyle w:val="ListNumberChar"/>
        </w:rPr>
        <w:t>E</w:t>
      </w:r>
      <w:r w:rsidRPr="00305E6B">
        <w:rPr>
          <w:rStyle w:val="ListNumberChar"/>
        </w:rPr>
        <w:t>quality</w:t>
      </w:r>
      <w:r>
        <w:rPr>
          <w:rStyle w:val="ListNumberChar"/>
        </w:rPr>
        <w:t xml:space="preserve"> (GE)</w:t>
      </w:r>
      <w:r w:rsidRPr="00305E6B">
        <w:rPr>
          <w:rStyle w:val="ListNumberChar"/>
        </w:rPr>
        <w:t xml:space="preserve"> and SLM).  Progress is very skewed to the novated </w:t>
      </w:r>
      <w:proofErr w:type="gramStart"/>
      <w:r w:rsidRPr="00305E6B">
        <w:rPr>
          <w:rStyle w:val="ListNumberChar"/>
        </w:rPr>
        <w:t>programs</w:t>
      </w:r>
      <w:proofErr w:type="gramEnd"/>
      <w:r w:rsidRPr="00305E6B">
        <w:rPr>
          <w:rStyle w:val="ListNumberChar"/>
        </w:rPr>
        <w:t xml:space="preserve"> and we are yet to see expected added outcomes </w:t>
      </w:r>
      <w:r>
        <w:rPr>
          <w:rStyle w:val="ListNumberChar"/>
        </w:rPr>
        <w:t>from</w:t>
      </w:r>
      <w:r w:rsidRPr="00305E6B">
        <w:rPr>
          <w:rStyle w:val="ListNumberChar"/>
        </w:rPr>
        <w:t xml:space="preserve"> SLM </w:t>
      </w:r>
      <w:r>
        <w:rPr>
          <w:rStyle w:val="ListNumberChar"/>
        </w:rPr>
        <w:t xml:space="preserve">(now Skills pillar) </w:t>
      </w:r>
      <w:r w:rsidRPr="00305E6B">
        <w:rPr>
          <w:rStyle w:val="ListNumberChar"/>
        </w:rPr>
        <w:t>and GE</w:t>
      </w:r>
      <w:r w:rsidR="008413F5" w:rsidRPr="00305E6B">
        <w:rPr>
          <w:rStyle w:val="ListNumberChar"/>
        </w:rPr>
        <w:t>.</w:t>
      </w:r>
    </w:p>
    <w:p w14:paraId="126A8B5B" w14:textId="77777777" w:rsidR="008413F5" w:rsidRPr="00305E6B" w:rsidRDefault="008413F5" w:rsidP="00803578">
      <w:pPr>
        <w:pStyle w:val="ListNumber"/>
        <w:numPr>
          <w:ilvl w:val="0"/>
          <w:numId w:val="29"/>
        </w:numPr>
        <w:rPr>
          <w:rStyle w:val="ListNumberChar"/>
        </w:rPr>
      </w:pPr>
      <w:r w:rsidRPr="00305E6B">
        <w:rPr>
          <w:rStyle w:val="ListNumberChar"/>
        </w:rPr>
        <w:t xml:space="preserve">The Evaluation has not </w:t>
      </w:r>
      <w:r>
        <w:rPr>
          <w:rStyle w:val="ListNumberChar"/>
        </w:rPr>
        <w:t>seen a</w:t>
      </w:r>
      <w:r w:rsidRPr="00305E6B">
        <w:rPr>
          <w:rStyle w:val="ListNumberChar"/>
        </w:rPr>
        <w:t xml:space="preserve"> substantial added value </w:t>
      </w:r>
      <w:r>
        <w:rPr>
          <w:rStyle w:val="ListNumberChar"/>
        </w:rPr>
        <w:t xml:space="preserve">yet </w:t>
      </w:r>
      <w:r w:rsidRPr="00305E6B">
        <w:rPr>
          <w:rStyle w:val="ListNumberChar"/>
        </w:rPr>
        <w:t xml:space="preserve">of the cross-cutting priority investment areas (disability, gender, climate change action). </w:t>
      </w:r>
    </w:p>
    <w:p w14:paraId="1C70EFC3" w14:textId="77777777" w:rsidR="008413F5" w:rsidRDefault="008413F5" w:rsidP="00803578">
      <w:pPr>
        <w:pStyle w:val="ListNumber"/>
        <w:numPr>
          <w:ilvl w:val="0"/>
          <w:numId w:val="29"/>
        </w:numPr>
        <w:rPr>
          <w:rStyle w:val="ListNumberChar"/>
        </w:rPr>
      </w:pPr>
      <w:r w:rsidRPr="00305E6B">
        <w:rPr>
          <w:rStyle w:val="ListNumberChar"/>
        </w:rPr>
        <w:t>There is little evidence</w:t>
      </w:r>
      <w:r w:rsidRPr="00D60F3A">
        <w:rPr>
          <w:rStyle w:val="ListNumberChar"/>
        </w:rPr>
        <w:t xml:space="preserve"> </w:t>
      </w:r>
      <w:r>
        <w:rPr>
          <w:rStyle w:val="ListNumberChar"/>
        </w:rPr>
        <w:t>of</w:t>
      </w:r>
      <w:r w:rsidRPr="00D60F3A">
        <w:rPr>
          <w:rStyle w:val="ListNumberChar"/>
        </w:rPr>
        <w:t xml:space="preserve"> i</w:t>
      </w:r>
      <w:r>
        <w:rPr>
          <w:rStyle w:val="ListNumberChar"/>
        </w:rPr>
        <w:t>mproved results for DFAT in having TASP</w:t>
      </w:r>
      <w:r w:rsidRPr="00D60F3A">
        <w:rPr>
          <w:rStyle w:val="ListNumberChar"/>
        </w:rPr>
        <w:t xml:space="preserve"> conduct the design of each pillar via the one facility</w:t>
      </w:r>
      <w:r>
        <w:rPr>
          <w:rStyle w:val="ListNumberChar"/>
        </w:rPr>
        <w:t>. The value for DFAT was only in terms of time and effort to tender for these separately.</w:t>
      </w:r>
    </w:p>
    <w:p w14:paraId="33AACD2E" w14:textId="4D387D3E" w:rsidR="008413F5" w:rsidRPr="006A0809" w:rsidRDefault="001D5012" w:rsidP="00803578">
      <w:pPr>
        <w:pStyle w:val="ListNumber"/>
        <w:numPr>
          <w:ilvl w:val="0"/>
          <w:numId w:val="29"/>
        </w:numPr>
      </w:pPr>
      <w:r w:rsidRPr="001D5012">
        <w:rPr>
          <w:lang w:val="en-US"/>
        </w:rPr>
        <w:lastRenderedPageBreak/>
        <w:t>While some processes are a disincentive to locally led development</w:t>
      </w:r>
      <w:r w:rsidRPr="001D5012">
        <w:rPr>
          <w:b/>
          <w:bCs/>
          <w:lang w:val="en-US"/>
        </w:rPr>
        <w:t xml:space="preserve"> </w:t>
      </w:r>
      <w:r w:rsidRPr="001D5012">
        <w:rPr>
          <w:lang w:val="en-US"/>
        </w:rPr>
        <w:t>(for example, the high bar for approving grants for local CSOs delayed these contracts</w:t>
      </w:r>
      <w:r>
        <w:rPr>
          <w:rStyle w:val="FootnoteReference"/>
          <w:lang w:val="en-US"/>
        </w:rPr>
        <w:footnoteReference w:id="41"/>
      </w:r>
      <w:r w:rsidRPr="001D5012">
        <w:rPr>
          <w:lang w:val="en-US"/>
        </w:rPr>
        <w:t xml:space="preserve">) CSOs appreciate the </w:t>
      </w:r>
      <w:proofErr w:type="spellStart"/>
      <w:r w:rsidRPr="001D5012">
        <w:rPr>
          <w:lang w:val="en-US"/>
        </w:rPr>
        <w:t>GoA</w:t>
      </w:r>
      <w:proofErr w:type="spellEnd"/>
      <w:r w:rsidRPr="001D5012">
        <w:rPr>
          <w:lang w:val="en-US"/>
        </w:rPr>
        <w:t xml:space="preserve"> funding for operational costs as a game changer for many of them.</w:t>
      </w:r>
    </w:p>
    <w:p w14:paraId="71C98D41" w14:textId="77777777" w:rsidR="00A72F8A" w:rsidRPr="00C14255" w:rsidRDefault="00A72F8A" w:rsidP="0083303C">
      <w:pPr>
        <w:pStyle w:val="Heading2"/>
        <w:rPr>
          <w:color w:val="505050" w:themeColor="accent6" w:themeShade="80"/>
          <w:lang w:val="en-US"/>
        </w:rPr>
      </w:pPr>
      <w:bookmarkStart w:id="42" w:name="_Toc183423591"/>
      <w:r w:rsidRPr="00C14255">
        <w:rPr>
          <w:color w:val="505050" w:themeColor="accent6" w:themeShade="80"/>
        </w:rPr>
        <w:t>Lessons</w:t>
      </w:r>
      <w:bookmarkEnd w:id="42"/>
      <w:r w:rsidRPr="00C14255">
        <w:rPr>
          <w:color w:val="505050" w:themeColor="accent6" w:themeShade="80"/>
          <w:lang w:val="en-US"/>
        </w:rPr>
        <w:t xml:space="preserve"> </w:t>
      </w:r>
    </w:p>
    <w:p w14:paraId="5C3CF3E4" w14:textId="77777777" w:rsidR="00A72F8A" w:rsidRPr="006A0809" w:rsidRDefault="00A72F8A" w:rsidP="00A72F8A">
      <w:pPr>
        <w:pStyle w:val="ListNumber"/>
        <w:numPr>
          <w:ilvl w:val="0"/>
          <w:numId w:val="0"/>
        </w:numPr>
      </w:pPr>
      <w:r>
        <w:rPr>
          <w:lang w:val="en-US"/>
        </w:rPr>
        <w:t xml:space="preserve">The following lessons are applicable to </w:t>
      </w:r>
      <w:proofErr w:type="gramStart"/>
      <w:r w:rsidRPr="006A0809">
        <w:rPr>
          <w:lang w:val="en-US"/>
        </w:rPr>
        <w:t>inform</w:t>
      </w:r>
      <w:proofErr w:type="gramEnd"/>
      <w:r w:rsidRPr="006A0809">
        <w:rPr>
          <w:lang w:val="en-US"/>
        </w:rPr>
        <w:t xml:space="preserve"> future directions</w:t>
      </w:r>
      <w:r>
        <w:rPr>
          <w:lang w:val="en-US"/>
        </w:rPr>
        <w:t xml:space="preserve"> and facilities</w:t>
      </w:r>
      <w:r w:rsidRPr="006A0809">
        <w:rPr>
          <w:lang w:val="en-US"/>
        </w:rPr>
        <w:t>:</w:t>
      </w:r>
    </w:p>
    <w:p w14:paraId="321F823D" w14:textId="0A53878E" w:rsidR="00A72F8A" w:rsidRPr="006A0809" w:rsidRDefault="00A72F8A" w:rsidP="00A72F8A">
      <w:r w:rsidRPr="006A0809">
        <w:rPr>
          <w:b/>
          <w:bCs/>
        </w:rPr>
        <w:t>Health</w:t>
      </w:r>
      <w:r w:rsidRPr="006A0809">
        <w:t xml:space="preserve">: </w:t>
      </w:r>
      <w:r>
        <w:t>C</w:t>
      </w:r>
      <w:r w:rsidRPr="006A0809">
        <w:t>onsider reorienting TASP support away from questionable</w:t>
      </w:r>
      <w:r w:rsidR="008413F5">
        <w:t xml:space="preserve"> </w:t>
      </w:r>
      <w:r w:rsidRPr="006A0809">
        <w:t xml:space="preserve">impact </w:t>
      </w:r>
      <w:r>
        <w:t xml:space="preserve">of </w:t>
      </w:r>
      <w:r w:rsidRPr="006A0809">
        <w:t xml:space="preserve">Tonga Health </w:t>
      </w:r>
      <w:r>
        <w:t xml:space="preserve">Advisory role </w:t>
      </w:r>
      <w:r w:rsidRPr="006A0809">
        <w:t xml:space="preserve">to other </w:t>
      </w:r>
      <w:r>
        <w:t xml:space="preserve">priority elements or mechanisms for </w:t>
      </w:r>
      <w:r w:rsidRPr="006A0809">
        <w:t>NCD strategy implementation</w:t>
      </w:r>
      <w:r>
        <w:t>.</w:t>
      </w:r>
    </w:p>
    <w:p w14:paraId="7DD41DC5" w14:textId="6D089EFF" w:rsidR="00A72F8A" w:rsidRPr="006A0809" w:rsidRDefault="00A72F8A" w:rsidP="00A72F8A">
      <w:pPr>
        <w:rPr>
          <w:lang w:val="en-US"/>
        </w:rPr>
      </w:pPr>
      <w:r>
        <w:rPr>
          <w:b/>
          <w:bCs/>
        </w:rPr>
        <w:t xml:space="preserve">Design/implement: </w:t>
      </w:r>
      <w:r w:rsidRPr="006A0809">
        <w:rPr>
          <w:lang w:val="en-US"/>
        </w:rPr>
        <w:t>Note that it takes time to establish a facility with a high level of local staffing especially with staffing and capacity limitations</w:t>
      </w:r>
      <w:r>
        <w:rPr>
          <w:lang w:val="en-US"/>
        </w:rPr>
        <w:t xml:space="preserve"> such as those</w:t>
      </w:r>
      <w:r w:rsidRPr="006A0809">
        <w:rPr>
          <w:lang w:val="en-US"/>
        </w:rPr>
        <w:t xml:space="preserve"> in Tonga.  Starting up a new </w:t>
      </w:r>
      <w:r w:rsidR="00960372">
        <w:rPr>
          <w:lang w:val="en-US"/>
        </w:rPr>
        <w:t>(Governance) program</w:t>
      </w:r>
      <w:r w:rsidR="00960372" w:rsidRPr="006A0809">
        <w:rPr>
          <w:lang w:val="en-US"/>
        </w:rPr>
        <w:t xml:space="preserve"> </w:t>
      </w:r>
      <w:r w:rsidRPr="006A0809">
        <w:rPr>
          <w:lang w:val="en-US"/>
        </w:rPr>
        <w:t xml:space="preserve">with </w:t>
      </w:r>
      <w:r w:rsidR="00960372">
        <w:rPr>
          <w:lang w:val="en-US"/>
        </w:rPr>
        <w:t xml:space="preserve">(potentially) </w:t>
      </w:r>
      <w:r w:rsidRPr="006A0809">
        <w:rPr>
          <w:lang w:val="en-US"/>
        </w:rPr>
        <w:t>a new MC should expect similar delays.</w:t>
      </w:r>
    </w:p>
    <w:p w14:paraId="4D8716EF" w14:textId="7EC89784" w:rsidR="00A72F8A" w:rsidRPr="006A0809" w:rsidRDefault="00A72F8A" w:rsidP="00A72F8A">
      <w:r w:rsidRPr="006A0809">
        <w:rPr>
          <w:b/>
          <w:bCs/>
        </w:rPr>
        <w:t>Climate Change</w:t>
      </w:r>
      <w:r w:rsidRPr="006A0809">
        <w:t xml:space="preserve">: </w:t>
      </w:r>
      <w:r>
        <w:t>TASP has not had any dedicated staffing for climate action a</w:t>
      </w:r>
      <w:r w:rsidR="00960372">
        <w:t>nd</w:t>
      </w:r>
      <w:r>
        <w:t xml:space="preserve"> so </w:t>
      </w:r>
      <w:proofErr w:type="gramStart"/>
      <w:r>
        <w:t>far</w:t>
      </w:r>
      <w:proofErr w:type="gramEnd"/>
      <w:r>
        <w:t xml:space="preserve"> has advanced some mainstreaming activities in the Health and Governance pillars in alignment with APCP’s recommendations.  Climate change action has been strategically deprioritised over the last 2 years but given Tonga’s vulnerability to climate change and </w:t>
      </w:r>
      <w:proofErr w:type="spellStart"/>
      <w:r>
        <w:t>GoA</w:t>
      </w:r>
      <w:proofErr w:type="spellEnd"/>
      <w:r>
        <w:t xml:space="preserve"> priority in this area, this has been a missing stream of work to date.  At a minimum TASP should be including climate analysis, action and reporting within all areas of work (mainstreaming). </w:t>
      </w:r>
    </w:p>
    <w:p w14:paraId="4A2BD395" w14:textId="1EB0D78A" w:rsidR="00615E3C" w:rsidRDefault="00A72F8A" w:rsidP="00A72F8A">
      <w:pPr>
        <w:rPr>
          <w:lang w:val="en-US"/>
        </w:rPr>
      </w:pPr>
      <w:r w:rsidRPr="00E2411D">
        <w:rPr>
          <w:b/>
          <w:bCs/>
        </w:rPr>
        <w:t>L</w:t>
      </w:r>
      <w:proofErr w:type="spellStart"/>
      <w:r w:rsidRPr="00E2411D">
        <w:rPr>
          <w:b/>
          <w:bCs/>
          <w:lang w:val="en-US"/>
        </w:rPr>
        <w:t>ocalisation</w:t>
      </w:r>
      <w:proofErr w:type="spellEnd"/>
      <w:r>
        <w:rPr>
          <w:lang w:val="en-US"/>
        </w:rPr>
        <w:t>: There are short term trade</w:t>
      </w:r>
      <w:r w:rsidR="00615E3C">
        <w:rPr>
          <w:lang w:val="en-US"/>
        </w:rPr>
        <w:t>-</w:t>
      </w:r>
      <w:r>
        <w:rPr>
          <w:lang w:val="en-US"/>
        </w:rPr>
        <w:t>offs and longer-term positive impacts of recruiting lower skilled local staff</w:t>
      </w:r>
      <w:r w:rsidR="00D56718">
        <w:rPr>
          <w:lang w:val="en-US"/>
        </w:rPr>
        <w:t xml:space="preserve"> than trying to recruit international consultants in all Advisor positions</w:t>
      </w:r>
      <w:r w:rsidR="005F52A4">
        <w:rPr>
          <w:lang w:val="en-US"/>
        </w:rPr>
        <w:t xml:space="preserve">. The benefits are hiring staff </w:t>
      </w:r>
      <w:r>
        <w:rPr>
          <w:lang w:val="en-US"/>
        </w:rPr>
        <w:t>with excellent local knowledge, contacts and contextual nuance</w:t>
      </w:r>
      <w:r w:rsidR="005F52A4">
        <w:rPr>
          <w:lang w:val="en-US"/>
        </w:rPr>
        <w:t xml:space="preserve"> and longevity</w:t>
      </w:r>
      <w:r w:rsidR="009C4A37">
        <w:rPr>
          <w:lang w:val="en-US"/>
        </w:rPr>
        <w:t xml:space="preserve">.  The </w:t>
      </w:r>
      <w:r w:rsidR="001A583C">
        <w:rPr>
          <w:lang w:val="en-US"/>
        </w:rPr>
        <w:t xml:space="preserve">costs </w:t>
      </w:r>
      <w:proofErr w:type="gramStart"/>
      <w:r w:rsidR="001A583C">
        <w:rPr>
          <w:lang w:val="en-US"/>
        </w:rPr>
        <w:t>include:</w:t>
      </w:r>
      <w:proofErr w:type="gramEnd"/>
      <w:r w:rsidR="001A583C">
        <w:rPr>
          <w:lang w:val="en-US"/>
        </w:rPr>
        <w:t xml:space="preserve"> additional</w:t>
      </w:r>
      <w:r w:rsidR="009C4A37">
        <w:rPr>
          <w:lang w:val="en-US"/>
        </w:rPr>
        <w:t xml:space="preserve"> resourcing required </w:t>
      </w:r>
      <w:r w:rsidR="001A583C">
        <w:rPr>
          <w:lang w:val="en-US"/>
        </w:rPr>
        <w:t>such as</w:t>
      </w:r>
      <w:r w:rsidR="009C4A37">
        <w:rPr>
          <w:lang w:val="en-US"/>
        </w:rPr>
        <w:t xml:space="preserve"> </w:t>
      </w:r>
      <w:r>
        <w:rPr>
          <w:lang w:val="en-US"/>
        </w:rPr>
        <w:t>STA support and mentoring (including mentoring from TASP management)</w:t>
      </w:r>
      <w:r w:rsidR="009C4A37">
        <w:rPr>
          <w:lang w:val="en-US"/>
        </w:rPr>
        <w:t>, and possible additional staff to support on report writing</w:t>
      </w:r>
      <w:r>
        <w:rPr>
          <w:lang w:val="en-US"/>
        </w:rPr>
        <w:t xml:space="preserve">.  </w:t>
      </w:r>
      <w:r w:rsidR="00114719">
        <w:rPr>
          <w:lang w:val="en-US"/>
        </w:rPr>
        <w:t xml:space="preserve">TASP has hired at least one staff member </w:t>
      </w:r>
      <w:r w:rsidR="56C10A28" w:rsidRPr="64562396">
        <w:rPr>
          <w:lang w:val="en-US"/>
        </w:rPr>
        <w:t>who</w:t>
      </w:r>
      <w:r w:rsidR="209F3164" w:rsidRPr="64562396">
        <w:rPr>
          <w:lang w:val="en-US"/>
        </w:rPr>
        <w:t>se</w:t>
      </w:r>
      <w:r w:rsidR="00114719">
        <w:rPr>
          <w:lang w:val="en-US"/>
        </w:rPr>
        <w:t xml:space="preserve"> capacity was lower than an international advisor hire</w:t>
      </w:r>
      <w:r w:rsidR="002A721A">
        <w:rPr>
          <w:lang w:val="en-US"/>
        </w:rPr>
        <w:t>, however their local knowledge and contextual</w:t>
      </w:r>
      <w:r w:rsidR="006160EA">
        <w:rPr>
          <w:lang w:val="en-US"/>
        </w:rPr>
        <w:t xml:space="preserve"> awareness outweighed any requirement for international experience in </w:t>
      </w:r>
      <w:proofErr w:type="gramStart"/>
      <w:r w:rsidR="006160EA">
        <w:rPr>
          <w:lang w:val="en-US"/>
        </w:rPr>
        <w:t>the space</w:t>
      </w:r>
      <w:proofErr w:type="gramEnd"/>
      <w:r w:rsidR="006160EA">
        <w:rPr>
          <w:lang w:val="en-US"/>
        </w:rPr>
        <w:t xml:space="preserve"> and the team was able to create other </w:t>
      </w:r>
      <w:r w:rsidR="005A5269">
        <w:rPr>
          <w:lang w:val="en-US"/>
        </w:rPr>
        <w:t>supports (mentoring, STA) to ensure good outcomes.</w:t>
      </w:r>
      <w:r w:rsidR="00822E67">
        <w:rPr>
          <w:lang w:val="en-US"/>
        </w:rPr>
        <w:t xml:space="preserve"> </w:t>
      </w:r>
    </w:p>
    <w:p w14:paraId="3CBCACA2" w14:textId="79390CCF" w:rsidR="00A72F8A" w:rsidRDefault="00813F3D" w:rsidP="00A72F8A">
      <w:pPr>
        <w:rPr>
          <w:lang w:val="en-US"/>
        </w:rPr>
      </w:pPr>
      <w:r>
        <w:rPr>
          <w:lang w:val="en-US"/>
        </w:rPr>
        <w:t>The revised program approach to CSO granting (strategic partnership rather than competitive granting) and the funding of CSO operational/core costs</w:t>
      </w:r>
      <w:r w:rsidR="00E70710">
        <w:rPr>
          <w:lang w:val="en-US"/>
        </w:rPr>
        <w:t xml:space="preserve"> have shifted the focus of CSO engagement from financial support only to capacity building and potential policy engagement and </w:t>
      </w:r>
      <w:r w:rsidR="006777B7">
        <w:rPr>
          <w:lang w:val="en-US"/>
        </w:rPr>
        <w:t xml:space="preserve">training support. TASP could conduct a </w:t>
      </w:r>
      <w:r w:rsidR="00853445">
        <w:rPr>
          <w:lang w:val="en-US"/>
        </w:rPr>
        <w:t>Locally Led Development (</w:t>
      </w:r>
      <w:r w:rsidR="006777B7">
        <w:rPr>
          <w:lang w:val="en-US"/>
        </w:rPr>
        <w:t>LLD</w:t>
      </w:r>
      <w:r w:rsidR="00853445">
        <w:rPr>
          <w:lang w:val="en-US"/>
        </w:rPr>
        <w:t>)</w:t>
      </w:r>
      <w:r w:rsidR="006777B7">
        <w:rPr>
          <w:lang w:val="en-US"/>
        </w:rPr>
        <w:t xml:space="preserve"> assessment agains</w:t>
      </w:r>
      <w:r w:rsidR="00375E46">
        <w:rPr>
          <w:lang w:val="en-US"/>
        </w:rPr>
        <w:t>t the LLD Development Continuum</w:t>
      </w:r>
      <w:r w:rsidR="00375E46">
        <w:rPr>
          <w:rStyle w:val="FootnoteReference"/>
          <w:lang w:val="en-US"/>
        </w:rPr>
        <w:footnoteReference w:id="42"/>
      </w:r>
      <w:r w:rsidR="00375E46">
        <w:rPr>
          <w:lang w:val="en-US"/>
        </w:rPr>
        <w:t xml:space="preserve"> to identify achievements and further progress that could be planned (such as r</w:t>
      </w:r>
      <w:r w:rsidR="00356D11">
        <w:rPr>
          <w:lang w:val="en-US"/>
        </w:rPr>
        <w:t>esource distribution; partnership approach; staff profile and procurement; technical advisors; MEL approach</w:t>
      </w:r>
      <w:r w:rsidR="00546AB0">
        <w:rPr>
          <w:lang w:val="en-US"/>
        </w:rPr>
        <w:t>; role of intermediaries).</w:t>
      </w:r>
      <w:r w:rsidR="00947AE4">
        <w:rPr>
          <w:lang w:val="en-US"/>
        </w:rPr>
        <w:t xml:space="preserve">  </w:t>
      </w:r>
      <w:r w:rsidR="0025418D">
        <w:rPr>
          <w:lang w:val="en-US"/>
        </w:rPr>
        <w:t xml:space="preserve">2025 MEL </w:t>
      </w:r>
      <w:r w:rsidR="00947AE4">
        <w:rPr>
          <w:lang w:val="en-US"/>
        </w:rPr>
        <w:t>c</w:t>
      </w:r>
      <w:r w:rsidR="001C73A7">
        <w:rPr>
          <w:lang w:val="en-US"/>
        </w:rPr>
        <w:t xml:space="preserve">ould also include </w:t>
      </w:r>
      <w:proofErr w:type="gramStart"/>
      <w:r w:rsidR="001C73A7">
        <w:rPr>
          <w:lang w:val="en-US"/>
        </w:rPr>
        <w:t>a LLD</w:t>
      </w:r>
      <w:proofErr w:type="gramEnd"/>
      <w:r w:rsidR="001C73A7">
        <w:rPr>
          <w:lang w:val="en-US"/>
        </w:rPr>
        <w:t xml:space="preserve"> case study. </w:t>
      </w:r>
    </w:p>
    <w:p w14:paraId="21CEB7F2" w14:textId="60DA52E6" w:rsidR="009A324B" w:rsidRDefault="00877F43" w:rsidP="00A72F8A">
      <w:pPr>
        <w:rPr>
          <w:lang w:val="en-US"/>
        </w:rPr>
      </w:pPr>
      <w:r>
        <w:rPr>
          <w:lang w:val="en-US"/>
        </w:rPr>
        <w:t xml:space="preserve">If these lessons are </w:t>
      </w:r>
      <w:proofErr w:type="gramStart"/>
      <w:r>
        <w:rPr>
          <w:lang w:val="en-US"/>
        </w:rPr>
        <w:t>learned</w:t>
      </w:r>
      <w:proofErr w:type="gramEnd"/>
      <w:r>
        <w:rPr>
          <w:lang w:val="en-US"/>
        </w:rPr>
        <w:t xml:space="preserve"> then any new (Governance) program with (potentially) </w:t>
      </w:r>
      <w:r w:rsidRPr="006A0809">
        <w:rPr>
          <w:lang w:val="en-US"/>
        </w:rPr>
        <w:t>a new MC should expect similar delays</w:t>
      </w:r>
      <w:r>
        <w:rPr>
          <w:lang w:val="en-US"/>
        </w:rPr>
        <w:t xml:space="preserve"> and think creatively about recruitment and capacity building.</w:t>
      </w:r>
    </w:p>
    <w:p w14:paraId="6E7F3F8F" w14:textId="3D4B7E67" w:rsidR="00FC7381" w:rsidRPr="006A0809" w:rsidRDefault="00A72F8A" w:rsidP="00A72F8A">
      <w:r w:rsidRPr="0056436D">
        <w:rPr>
          <w:b/>
          <w:bCs/>
        </w:rPr>
        <w:t>Ways of Working</w:t>
      </w:r>
      <w:r>
        <w:rPr>
          <w:b/>
          <w:bCs/>
          <w:lang w:val="en-US"/>
        </w:rPr>
        <w:t xml:space="preserve">: </w:t>
      </w:r>
      <w:r w:rsidRPr="008F2381">
        <w:t>For a facility of this size in a small DFAT Post setting, where DFAT’s goal is to gain efficiency and effectiveness through outsourcing of program management, implementation and policy advice, early reflection on previous experiences and development of WoW at the outset (not once problems arise) would be time well spent for DFAT for future facilities.</w:t>
      </w:r>
      <w:r>
        <w:t xml:space="preserve"> The </w:t>
      </w:r>
      <w:r w:rsidRPr="006A0809">
        <w:t>ways-of-working agreement</w:t>
      </w:r>
      <w:r>
        <w:t xml:space="preserve"> </w:t>
      </w:r>
      <w:r w:rsidR="002D5C33">
        <w:t xml:space="preserve">via hiring of a Partnership Broker, </w:t>
      </w:r>
      <w:r>
        <w:t>was instituted</w:t>
      </w:r>
      <w:r w:rsidR="002D5C33">
        <w:t xml:space="preserve"> by the AHC</w:t>
      </w:r>
      <w:r w:rsidR="001556F3">
        <w:t xml:space="preserve"> as soon as</w:t>
      </w:r>
      <w:r>
        <w:t xml:space="preserve"> </w:t>
      </w:r>
      <w:r w:rsidR="002D5C33">
        <w:t xml:space="preserve">possible to resolve tensions and lack of clarity between </w:t>
      </w:r>
      <w:r>
        <w:t>TASP and DFAT and has had a big positive impact on that relationship and work</w:t>
      </w:r>
      <w:r w:rsidRPr="006A0809">
        <w:t>.</w:t>
      </w:r>
    </w:p>
    <w:p w14:paraId="6BC09602" w14:textId="5C4E6EEA" w:rsidR="00194B11" w:rsidRDefault="000F1258" w:rsidP="00962C50">
      <w:pPr>
        <w:pStyle w:val="Heading1"/>
      </w:pPr>
      <w:bookmarkStart w:id="43" w:name="_Toc183423592"/>
      <w:r>
        <w:lastRenderedPageBreak/>
        <w:t>Recommendations</w:t>
      </w:r>
      <w:r w:rsidR="00771EC0">
        <w:t xml:space="preserve"> (In Priority Order)</w:t>
      </w:r>
      <w:bookmarkEnd w:id="43"/>
    </w:p>
    <w:p w14:paraId="7DB7F0EE" w14:textId="77777777" w:rsidR="00FC701A" w:rsidRDefault="00FC701A" w:rsidP="00803578">
      <w:pPr>
        <w:pStyle w:val="ListNumber"/>
        <w:numPr>
          <w:ilvl w:val="0"/>
          <w:numId w:val="30"/>
        </w:numPr>
      </w:pPr>
      <w:r w:rsidRPr="00FC701A">
        <w:rPr>
          <w:b/>
          <w:bCs/>
        </w:rPr>
        <w:t>Extension</w:t>
      </w:r>
      <w:r>
        <w:t xml:space="preserve"> - Given the slow start to TASP implementation and two of the four designs, extending the life of the program by at least one year will provide an opportunity to understand fully whether there is good value in having the GE and Skills programs co-located with the Health and the Governance Pillars.</w:t>
      </w:r>
    </w:p>
    <w:p w14:paraId="14A2D007" w14:textId="42CE6C02" w:rsidR="00FC701A" w:rsidRDefault="00FC701A" w:rsidP="00FC701A">
      <w:pPr>
        <w:pStyle w:val="ListNumber"/>
      </w:pPr>
      <w:r w:rsidRPr="598A3FBA">
        <w:rPr>
          <w:b/>
          <w:bCs/>
        </w:rPr>
        <w:t>Health</w:t>
      </w:r>
      <w:r>
        <w:t xml:space="preserve"> - Embedded advisory support provided to Tonga Health can potentially be redirected or refocused on more effective health promotion activities and/or different partners. DFAT Post should work closely with TASP management to identify a quick realignment of funding to a more impactful solution.</w:t>
      </w:r>
    </w:p>
    <w:p w14:paraId="45134FDE" w14:textId="77777777" w:rsidR="00FC701A" w:rsidRDefault="00FC701A" w:rsidP="00FC701A">
      <w:pPr>
        <w:pStyle w:val="ListNumber"/>
      </w:pPr>
      <w:r w:rsidRPr="009B1882">
        <w:rPr>
          <w:b/>
          <w:bCs/>
        </w:rPr>
        <w:t>Governance continuity</w:t>
      </w:r>
      <w:r>
        <w:t xml:space="preserve"> - </w:t>
      </w:r>
      <w:r w:rsidRPr="001A7FBC">
        <w:t xml:space="preserve">With a new Governance </w:t>
      </w:r>
      <w:r>
        <w:t>d</w:t>
      </w:r>
      <w:r w:rsidRPr="001A7FBC">
        <w:t xml:space="preserve">esign in progress (though delayed) there are building concerns and risks relating to future Governance program scenarios. DFAT needs to finalise the design quickly and facilitate an orderly and well communicated transition plan, as uncertainty can lead to a slowing down of activities. DFAT senior management will also need to ensure the upcoming change in DFAT’s </w:t>
      </w:r>
      <w:r>
        <w:t>Senior Program Manager (</w:t>
      </w:r>
      <w:r w:rsidRPr="001A7FBC">
        <w:t>SPM</w:t>
      </w:r>
      <w:r>
        <w:t>)</w:t>
      </w:r>
      <w:r w:rsidRPr="001A7FBC">
        <w:t xml:space="preserve"> for Governance does not have a destabilising effect, given the uncertain context. </w:t>
      </w:r>
    </w:p>
    <w:p w14:paraId="10EBE1C0" w14:textId="40E13AE1" w:rsidR="00FC701A" w:rsidRDefault="00FC701A" w:rsidP="00FC701A">
      <w:pPr>
        <w:pStyle w:val="ListNumber"/>
      </w:pPr>
      <w:r w:rsidRPr="598A3FBA">
        <w:rPr>
          <w:b/>
          <w:bCs/>
        </w:rPr>
        <w:t>Strategic Opportunities</w:t>
      </w:r>
      <w:r>
        <w:t xml:space="preserve"> - To raise visibility and reiterate their importance to DFAT, TASP and DFAT should agree on a strategic objective, outcome and measures of success for the SOM (and for each tasking note within it), and report on these as a separate stream of work for TASP in regular six month and yearly reports. In </w:t>
      </w:r>
      <w:proofErr w:type="gramStart"/>
      <w:r>
        <w:t>addition</w:t>
      </w:r>
      <w:proofErr w:type="gramEnd"/>
      <w:r>
        <w:t xml:space="preserve"> future facilities with flexible funding should ensure that it is included in the Program Logic for the investment.</w:t>
      </w:r>
    </w:p>
    <w:p w14:paraId="44403E05" w14:textId="77777777" w:rsidR="00FC701A" w:rsidRDefault="00FC701A" w:rsidP="00FC701A">
      <w:pPr>
        <w:pStyle w:val="ListNumber"/>
      </w:pPr>
      <w:r w:rsidRPr="009B1882">
        <w:rPr>
          <w:b/>
          <w:bCs/>
        </w:rPr>
        <w:t>Climate</w:t>
      </w:r>
      <w:r>
        <w:t xml:space="preserve"> - </w:t>
      </w:r>
      <w:r w:rsidRPr="006A0809">
        <w:t xml:space="preserve">DFAT should </w:t>
      </w:r>
      <w:r>
        <w:t>reconsider the most strategic and cost-effective targeting of climate and related resourcing.  With no expertise in TASP and only one year left of the program, meaningful results on climate action may not be possible to achieve.</w:t>
      </w:r>
    </w:p>
    <w:p w14:paraId="6F98134A" w14:textId="77777777" w:rsidR="00FC701A" w:rsidRDefault="00FC701A" w:rsidP="00FC701A">
      <w:pPr>
        <w:pStyle w:val="ListNumber"/>
      </w:pPr>
      <w:r w:rsidRPr="009B1882">
        <w:rPr>
          <w:b/>
          <w:bCs/>
        </w:rPr>
        <w:t>Accountability</w:t>
      </w:r>
      <w:r>
        <w:t xml:space="preserve"> - T</w:t>
      </w:r>
      <w:r w:rsidRPr="00DC59B3">
        <w:t xml:space="preserve">here needs to be systematic and regular documented opportunities for key counterparts to </w:t>
      </w:r>
      <w:r>
        <w:t>gain</w:t>
      </w:r>
      <w:r w:rsidRPr="00DC59B3">
        <w:t xml:space="preserve"> an adequate understanding of TASP and its program of work</w:t>
      </w:r>
      <w:r>
        <w:t xml:space="preserve"> and participate in priority setting </w:t>
      </w:r>
      <w:r w:rsidRPr="00DC59B3">
        <w:t>if TASP is to</w:t>
      </w:r>
      <w:r>
        <w:t>:</w:t>
      </w:r>
      <w:r w:rsidRPr="00DC59B3">
        <w:t xml:space="preserve"> provide deep and wide accountability to the </w:t>
      </w:r>
      <w:proofErr w:type="spellStart"/>
      <w:r w:rsidRPr="00DC59B3">
        <w:t>GoT</w:t>
      </w:r>
      <w:proofErr w:type="spellEnd"/>
      <w:r>
        <w:t xml:space="preserve">; </w:t>
      </w:r>
      <w:r w:rsidRPr="00DC59B3">
        <w:t>gain their insights into the ongoing workplan of TASP</w:t>
      </w:r>
      <w:r>
        <w:t>;</w:t>
      </w:r>
      <w:r w:rsidRPr="00DC59B3">
        <w:t xml:space="preserve"> and </w:t>
      </w:r>
      <w:r>
        <w:t>achieve</w:t>
      </w:r>
      <w:r w:rsidRPr="00DC59B3">
        <w:t xml:space="preserve"> better buy-in and broader </w:t>
      </w:r>
      <w:proofErr w:type="spellStart"/>
      <w:r w:rsidRPr="00DC59B3">
        <w:t>GoT</w:t>
      </w:r>
      <w:proofErr w:type="spellEnd"/>
      <w:r w:rsidRPr="00DC59B3">
        <w:t xml:space="preserve"> ownership of outcomes.</w:t>
      </w:r>
    </w:p>
    <w:p w14:paraId="5571BDAB" w14:textId="77777777" w:rsidR="00FC701A" w:rsidRDefault="00FC701A" w:rsidP="00FC701A">
      <w:pPr>
        <w:pStyle w:val="ListNumber"/>
      </w:pPr>
      <w:r w:rsidRPr="009B1882">
        <w:rPr>
          <w:b/>
          <w:bCs/>
        </w:rPr>
        <w:t>Working with CSOs</w:t>
      </w:r>
      <w:r>
        <w:t xml:space="preserve"> - W</w:t>
      </w:r>
      <w:r w:rsidRPr="00305E6B">
        <w:t xml:space="preserve">ith the new GEDSI Action Plan and GEDSI adviser in place, work in this area is expected to increase and build on the strong CSO relationships.  </w:t>
      </w:r>
      <w:r>
        <w:t xml:space="preserve">TASP should continue to support partner CSOs with capacity building and system strengthening. DFAT should work closely with the TASP GEDSI Advisor and Disability Coordinator to maximise opportunities for </w:t>
      </w:r>
      <w:proofErr w:type="spellStart"/>
      <w:r>
        <w:t>GoA</w:t>
      </w:r>
      <w:proofErr w:type="spellEnd"/>
      <w:r>
        <w:t xml:space="preserve"> to be a strategic advocacy partner for greater equity and inclusion in Tonga.</w:t>
      </w:r>
    </w:p>
    <w:p w14:paraId="64B21233" w14:textId="35C104AA" w:rsidR="00E04385" w:rsidRPr="00FC701A" w:rsidRDefault="00FC701A" w:rsidP="00FC701A">
      <w:pPr>
        <w:pStyle w:val="ListNumber"/>
        <w:sectPr w:rsidR="00E04385" w:rsidRPr="00FC701A" w:rsidSect="00D4117A">
          <w:footerReference w:type="default" r:id="rId22"/>
          <w:pgSz w:w="11906" w:h="16838"/>
          <w:pgMar w:top="1418" w:right="1134" w:bottom="1134" w:left="1134" w:header="851" w:footer="454" w:gutter="0"/>
          <w:pgNumType w:start="1"/>
          <w:cols w:space="720"/>
        </w:sectPr>
      </w:pPr>
      <w:r w:rsidRPr="00FC701A">
        <w:rPr>
          <w:b/>
          <w:bCs/>
        </w:rPr>
        <w:t>Ways of Working</w:t>
      </w:r>
      <w:r w:rsidRPr="00EE21D7">
        <w:t xml:space="preserve"> - TASP should develop a relationship map to attach to the WoW agreement that outlines the different pathways of communication on different issues and with different partners that include </w:t>
      </w:r>
      <w:proofErr w:type="spellStart"/>
      <w:r w:rsidRPr="00EE21D7">
        <w:t>GoT</w:t>
      </w:r>
      <w:proofErr w:type="spellEnd"/>
      <w:r w:rsidRPr="00EE21D7">
        <w:t xml:space="preserve">, </w:t>
      </w:r>
      <w:proofErr w:type="spellStart"/>
      <w:r w:rsidRPr="00EE21D7">
        <w:t>GoA</w:t>
      </w:r>
      <w:proofErr w:type="spellEnd"/>
      <w:r w:rsidRPr="00EE21D7">
        <w:t xml:space="preserve">, TASP </w:t>
      </w:r>
      <w:r>
        <w:t xml:space="preserve">and </w:t>
      </w:r>
      <w:r w:rsidRPr="00EE21D7">
        <w:t xml:space="preserve">CSOs on policy and programmatic work. </w:t>
      </w:r>
    </w:p>
    <w:p w14:paraId="6BC0960D" w14:textId="374761F5" w:rsidR="00194B11" w:rsidRPr="009071AA" w:rsidRDefault="000F1258" w:rsidP="009E04B1">
      <w:pPr>
        <w:pStyle w:val="ChapterHeading"/>
        <w:tabs>
          <w:tab w:val="left" w:pos="1134"/>
        </w:tabs>
        <w:ind w:left="1134"/>
        <w:rPr>
          <w:highlight w:val="yellow"/>
        </w:rPr>
      </w:pPr>
      <w:bookmarkStart w:id="44" w:name="_Toc183423593"/>
      <w:r w:rsidRPr="009071AA">
        <w:lastRenderedPageBreak/>
        <w:t>Annexes</w:t>
      </w:r>
      <w:bookmarkEnd w:id="44"/>
      <w:r w:rsidRPr="009071AA">
        <w:t xml:space="preserve"> </w:t>
      </w:r>
    </w:p>
    <w:p w14:paraId="6BC0960E" w14:textId="07E64495" w:rsidR="00194B11" w:rsidRDefault="000F1258" w:rsidP="001266AC">
      <w:pPr>
        <w:pStyle w:val="Heading1"/>
        <w:ind w:left="993"/>
      </w:pPr>
      <w:bookmarkStart w:id="45" w:name="_Toc183423594"/>
      <w:r>
        <w:t>Annex 1: Terms of Reference (extract)</w:t>
      </w:r>
      <w:bookmarkEnd w:id="45"/>
    </w:p>
    <w:p w14:paraId="3DF679AC" w14:textId="77777777" w:rsidR="00B505BA" w:rsidRPr="00B505BA" w:rsidRDefault="00B505BA" w:rsidP="00B505BA"/>
    <w:p w14:paraId="533AF624" w14:textId="2C2EA008" w:rsidR="00B505BA" w:rsidRDefault="00B505BA" w:rsidP="00B505BA">
      <w:pPr>
        <w:ind w:left="720" w:firstLine="720"/>
        <w:rPr>
          <w:szCs w:val="22"/>
        </w:rPr>
      </w:pPr>
      <w:r w:rsidRPr="00B505BA">
        <w:rPr>
          <w:b/>
          <w:bCs/>
          <w:szCs w:val="22"/>
        </w:rPr>
        <w:t>Title</w:t>
      </w:r>
      <w:r>
        <w:rPr>
          <w:szCs w:val="22"/>
        </w:rPr>
        <w:t xml:space="preserve">: </w:t>
      </w:r>
      <w:r w:rsidRPr="0069626B">
        <w:rPr>
          <w:szCs w:val="22"/>
        </w:rPr>
        <w:t>Independent Evaluation of the Tonga Australia Support Platform (TASP)</w:t>
      </w:r>
    </w:p>
    <w:p w14:paraId="000FA0DA" w14:textId="00039EF9" w:rsidR="00B505BA" w:rsidRDefault="00B505BA" w:rsidP="00B505BA">
      <w:pPr>
        <w:ind w:left="720" w:firstLine="720"/>
        <w:rPr>
          <w:szCs w:val="22"/>
        </w:rPr>
      </w:pPr>
      <w:r w:rsidRPr="00B505BA">
        <w:rPr>
          <w:b/>
          <w:bCs/>
          <w:szCs w:val="22"/>
        </w:rPr>
        <w:t>Reporting to</w:t>
      </w:r>
      <w:r>
        <w:rPr>
          <w:szCs w:val="22"/>
        </w:rPr>
        <w:t xml:space="preserve">: </w:t>
      </w:r>
      <w:r w:rsidRPr="0069626B">
        <w:rPr>
          <w:szCs w:val="22"/>
        </w:rPr>
        <w:t>DFAT Nuku’alofa Post</w:t>
      </w:r>
    </w:p>
    <w:p w14:paraId="7AE17054" w14:textId="77777777" w:rsidR="00B505BA" w:rsidRPr="0069626B" w:rsidRDefault="00B505BA" w:rsidP="00B505BA">
      <w:pPr>
        <w:ind w:left="1440"/>
        <w:rPr>
          <w:b/>
          <w:szCs w:val="22"/>
        </w:rPr>
      </w:pPr>
      <w:r w:rsidRPr="00B505BA">
        <w:rPr>
          <w:b/>
          <w:bCs/>
          <w:szCs w:val="22"/>
        </w:rPr>
        <w:t>Purpose</w:t>
      </w:r>
      <w:r w:rsidRPr="0069626B">
        <w:rPr>
          <w:szCs w:val="22"/>
        </w:rPr>
        <w:t xml:space="preserve">: To advise DFAT of the efficiency, effectiveness and impact of TASP to date and to make recommendations to strengthen performance and/or identify future options to optimise Australia’s development assistance to Tonga. </w:t>
      </w:r>
    </w:p>
    <w:p w14:paraId="359F376F" w14:textId="77777777" w:rsidR="00B505BA" w:rsidRPr="0069626B" w:rsidRDefault="00B505BA" w:rsidP="00B505BA">
      <w:pPr>
        <w:ind w:left="1440"/>
        <w:rPr>
          <w:b/>
          <w:szCs w:val="22"/>
        </w:rPr>
      </w:pPr>
      <w:r w:rsidRPr="00B505BA">
        <w:rPr>
          <w:b/>
          <w:bCs/>
          <w:szCs w:val="22"/>
        </w:rPr>
        <w:t>Location</w:t>
      </w:r>
      <w:r w:rsidRPr="0069626B">
        <w:rPr>
          <w:szCs w:val="22"/>
        </w:rPr>
        <w:t xml:space="preserve">: Desk based with travel to Tonga </w:t>
      </w:r>
    </w:p>
    <w:p w14:paraId="381E6CF9" w14:textId="77777777" w:rsidR="00B505BA" w:rsidRPr="0069626B" w:rsidRDefault="00B505BA" w:rsidP="00B505BA">
      <w:pPr>
        <w:ind w:left="1440"/>
        <w:rPr>
          <w:b/>
          <w:szCs w:val="22"/>
        </w:rPr>
      </w:pPr>
      <w:r w:rsidRPr="00B505BA">
        <w:rPr>
          <w:b/>
          <w:bCs/>
          <w:szCs w:val="22"/>
        </w:rPr>
        <w:t>Commence</w:t>
      </w:r>
      <w:r w:rsidRPr="0069626B">
        <w:rPr>
          <w:szCs w:val="22"/>
        </w:rPr>
        <w:t xml:space="preserve">: May 2024 Completion: August/September 2024 </w:t>
      </w:r>
    </w:p>
    <w:p w14:paraId="02476986" w14:textId="4122FC84" w:rsidR="00B505BA" w:rsidRPr="00B505BA" w:rsidRDefault="00B505BA" w:rsidP="00B505BA">
      <w:pPr>
        <w:ind w:left="993"/>
        <w:rPr>
          <w:szCs w:val="22"/>
        </w:rPr>
      </w:pPr>
      <w:r>
        <w:rPr>
          <w:b/>
          <w:bCs/>
          <w:szCs w:val="22"/>
        </w:rPr>
        <w:br/>
      </w:r>
      <w:r w:rsidRPr="00B505BA">
        <w:rPr>
          <w:szCs w:val="22"/>
        </w:rPr>
        <w:t xml:space="preserve">BACKGROUND AND CONTEXT </w:t>
      </w:r>
    </w:p>
    <w:p w14:paraId="08A7DDB9" w14:textId="77777777" w:rsidR="00B505BA" w:rsidRPr="0069626B" w:rsidRDefault="00B505BA" w:rsidP="00B505BA">
      <w:pPr>
        <w:ind w:left="993"/>
        <w:rPr>
          <w:b/>
          <w:szCs w:val="22"/>
        </w:rPr>
      </w:pPr>
      <w:r w:rsidRPr="0069626B">
        <w:rPr>
          <w:szCs w:val="22"/>
        </w:rPr>
        <w:t xml:space="preserve">The Tonga Australia Support Platform (TASP) is a multi-sectoral facility managed by DT-Global (formally Cardno Emerging Markets (Australia)) to support the Department of Foreign Affairs and Trade (DFAT) to achieve the Australian Government’s development objectives in the Kingdom of Tonga. Established in November 2021, TASP primarily focuses on the delivery of four longstanding areas of cooperation to addressing Tonga’s human development and economic challenges: health, skills and labour mobility; governance and gender. The program was also designed to provide enabling support (advisers, monitoring and evaluation, activity funding and training) to the delivery of Australia’s broader bilateral development assistance priorities and funding (including budget support). The overall budget for TASP is AUD25 million over an initial four-year phase (with a four-year extension option) with the current contract in place until 31 October 2025. Although improving, implementation has been slow. Challenges in recruitment, COVID-19 recovery programs and the natural disaster resulting from the Hunga Tonga-Hunga </w:t>
      </w:r>
      <w:proofErr w:type="spellStart"/>
      <w:r w:rsidRPr="0069626B">
        <w:rPr>
          <w:szCs w:val="22"/>
        </w:rPr>
        <w:t>Ha'apai</w:t>
      </w:r>
      <w:proofErr w:type="spellEnd"/>
      <w:r w:rsidRPr="0069626B">
        <w:rPr>
          <w:szCs w:val="22"/>
        </w:rPr>
        <w:t xml:space="preserve"> volcanic eruption were significant challenges to early delivery. </w:t>
      </w:r>
    </w:p>
    <w:p w14:paraId="2AF1C3D9" w14:textId="77777777" w:rsidR="00B505BA" w:rsidRPr="0069626B" w:rsidRDefault="00B505BA" w:rsidP="00B505BA">
      <w:pPr>
        <w:ind w:left="993"/>
        <w:rPr>
          <w:szCs w:val="22"/>
        </w:rPr>
      </w:pPr>
      <w:r w:rsidRPr="0069626B">
        <w:rPr>
          <w:szCs w:val="22"/>
        </w:rPr>
        <w:t xml:space="preserve">PURPOSE AND OBJECTIVE </w:t>
      </w:r>
    </w:p>
    <w:p w14:paraId="17F32ACD" w14:textId="77777777" w:rsidR="00B505BA" w:rsidRPr="0069626B" w:rsidRDefault="00B505BA" w:rsidP="00B505BA">
      <w:pPr>
        <w:ind w:left="993"/>
        <w:rPr>
          <w:b/>
          <w:szCs w:val="22"/>
        </w:rPr>
      </w:pPr>
      <w:r w:rsidRPr="0069626B">
        <w:rPr>
          <w:szCs w:val="22"/>
        </w:rPr>
        <w:t xml:space="preserve">As part of good and effective practice, DFAT commissions independent evaluations to support delivery of high-quality development assistance programs. The outcomes of this evaluation will support management (evidence and analysis to inform decision making), accountability (demonstrate effectiveness) and learning (understand what does or does not work and why). The purpose of this evaluation is to advise DFAT on the impact and effectiveness of the Tonga Australia Support Platform (TASP) to date and to provide options and recommendations moving forward. Specifically, the Independent Evaluation has three main objectives: </w:t>
      </w:r>
    </w:p>
    <w:p w14:paraId="66BDAFEF" w14:textId="77777777" w:rsidR="00B505BA" w:rsidRPr="0069626B" w:rsidRDefault="00B505BA" w:rsidP="00B505BA">
      <w:pPr>
        <w:ind w:left="993"/>
        <w:rPr>
          <w:b/>
          <w:szCs w:val="22"/>
        </w:rPr>
      </w:pPr>
      <w:r w:rsidRPr="0069626B">
        <w:rPr>
          <w:szCs w:val="22"/>
        </w:rPr>
        <w:t xml:space="preserve">1. To assess the efficiency (value for money), performance and impact of TASP to </w:t>
      </w:r>
      <w:proofErr w:type="gramStart"/>
      <w:r w:rsidRPr="0069626B">
        <w:rPr>
          <w:szCs w:val="22"/>
        </w:rPr>
        <w:t>date;</w:t>
      </w:r>
      <w:proofErr w:type="gramEnd"/>
      <w:r w:rsidRPr="0069626B">
        <w:rPr>
          <w:szCs w:val="22"/>
        </w:rPr>
        <w:t xml:space="preserve"> </w:t>
      </w:r>
    </w:p>
    <w:p w14:paraId="16134186" w14:textId="77777777" w:rsidR="00B505BA" w:rsidRPr="0069626B" w:rsidRDefault="00B505BA" w:rsidP="00B505BA">
      <w:pPr>
        <w:ind w:left="993"/>
        <w:rPr>
          <w:b/>
          <w:szCs w:val="22"/>
        </w:rPr>
      </w:pPr>
      <w:r w:rsidRPr="0069626B">
        <w:rPr>
          <w:szCs w:val="22"/>
        </w:rPr>
        <w:t xml:space="preserve">2. To make recommendations to strengthen performance in the remaining period of the program; and </w:t>
      </w:r>
    </w:p>
    <w:p w14:paraId="7BC57DCE" w14:textId="77777777" w:rsidR="00B505BA" w:rsidRPr="0069626B" w:rsidRDefault="00B505BA" w:rsidP="00B505BA">
      <w:pPr>
        <w:ind w:left="993"/>
        <w:rPr>
          <w:b/>
          <w:szCs w:val="22"/>
        </w:rPr>
      </w:pPr>
      <w:r w:rsidRPr="0069626B">
        <w:rPr>
          <w:szCs w:val="22"/>
        </w:rPr>
        <w:t xml:space="preserve">3. To provide clear recommendations on how to take forward the next phase of enabling support for DFAT’s development program in Tonga (including scope and mechanisms). </w:t>
      </w:r>
    </w:p>
    <w:p w14:paraId="627836A7" w14:textId="77777777" w:rsidR="00B505BA" w:rsidRPr="0069626B" w:rsidRDefault="00B505BA" w:rsidP="00B505BA">
      <w:pPr>
        <w:ind w:left="993"/>
        <w:rPr>
          <w:b/>
          <w:szCs w:val="22"/>
        </w:rPr>
      </w:pPr>
      <w:r w:rsidRPr="0069626B">
        <w:rPr>
          <w:szCs w:val="22"/>
        </w:rPr>
        <w:t xml:space="preserve">TASP has 18 months remaining on the current contract, which allows sufficient time for thorough evaluation to inform recommendations to decision makers, and subsequently to execute or implement recommendations as appropriate. </w:t>
      </w:r>
    </w:p>
    <w:p w14:paraId="38D59762" w14:textId="77777777" w:rsidR="00B505BA" w:rsidRPr="0069626B" w:rsidRDefault="00B505BA" w:rsidP="00B505BA">
      <w:pPr>
        <w:ind w:left="993"/>
        <w:rPr>
          <w:szCs w:val="22"/>
        </w:rPr>
      </w:pPr>
      <w:r w:rsidRPr="0069626B">
        <w:rPr>
          <w:szCs w:val="22"/>
        </w:rPr>
        <w:lastRenderedPageBreak/>
        <w:t xml:space="preserve">APPROACH AND METHODOLOGY </w:t>
      </w:r>
    </w:p>
    <w:p w14:paraId="751D67F6" w14:textId="77777777" w:rsidR="00B505BA" w:rsidRPr="0069626B" w:rsidRDefault="00B505BA" w:rsidP="00B505BA">
      <w:pPr>
        <w:ind w:left="993"/>
        <w:rPr>
          <w:b/>
          <w:szCs w:val="22"/>
        </w:rPr>
      </w:pPr>
      <w:r w:rsidRPr="0069626B">
        <w:rPr>
          <w:szCs w:val="22"/>
        </w:rPr>
        <w:t xml:space="preserve">Underpinning the above objectives, the following evaluation questions will guide the structure and methodology of the evaluation. DFAT’s Monitoring and Evaluation Standards will be used to guide the design and implementation of the evaluation. The approach should consider the approach and findings of DFAT’s 2018 Facilities Review and the DFAT Facilities PAF. </w:t>
      </w:r>
    </w:p>
    <w:p w14:paraId="042A2EA6" w14:textId="77777777" w:rsidR="00B505BA" w:rsidRPr="0069626B" w:rsidRDefault="00B505BA" w:rsidP="00B505BA">
      <w:pPr>
        <w:ind w:left="993"/>
        <w:rPr>
          <w:b/>
          <w:szCs w:val="22"/>
        </w:rPr>
      </w:pPr>
      <w:r w:rsidRPr="0069626B">
        <w:rPr>
          <w:szCs w:val="22"/>
        </w:rPr>
        <w:t xml:space="preserve">Overall key guiding questions include: </w:t>
      </w:r>
    </w:p>
    <w:p w14:paraId="614C4788" w14:textId="77777777" w:rsidR="00B505BA" w:rsidRPr="0069626B" w:rsidRDefault="00B505BA" w:rsidP="00803578">
      <w:pPr>
        <w:pStyle w:val="ListParagraph"/>
        <w:numPr>
          <w:ilvl w:val="0"/>
          <w:numId w:val="21"/>
        </w:numPr>
        <w:ind w:left="993"/>
        <w:rPr>
          <w:b/>
          <w:szCs w:val="22"/>
        </w:rPr>
      </w:pPr>
      <w:r w:rsidRPr="0069626B">
        <w:rPr>
          <w:szCs w:val="22"/>
        </w:rPr>
        <w:t xml:space="preserve">Is TASP contextually appropriate as a model for efficient and effective delivery of bilateral development assistance in Tonga? </w:t>
      </w:r>
    </w:p>
    <w:p w14:paraId="46611335" w14:textId="77777777" w:rsidR="00B505BA" w:rsidRPr="0069626B" w:rsidRDefault="00B505BA" w:rsidP="00803578">
      <w:pPr>
        <w:pStyle w:val="ListParagraph"/>
        <w:numPr>
          <w:ilvl w:val="0"/>
          <w:numId w:val="21"/>
        </w:numPr>
        <w:ind w:left="993"/>
        <w:rPr>
          <w:b/>
          <w:szCs w:val="22"/>
        </w:rPr>
      </w:pPr>
      <w:r w:rsidRPr="0069626B">
        <w:rPr>
          <w:szCs w:val="22"/>
        </w:rPr>
        <w:t>Does TASP remain the best model to support delivery of Australia’s ODA to Tonga and what lessons can be applied from the existing model to inform future directions?</w:t>
      </w:r>
    </w:p>
    <w:p w14:paraId="152ABA30" w14:textId="77777777" w:rsidR="00B505BA" w:rsidRPr="0069626B" w:rsidRDefault="00B505BA" w:rsidP="00B505BA">
      <w:pPr>
        <w:ind w:left="993"/>
        <w:rPr>
          <w:b/>
          <w:szCs w:val="22"/>
        </w:rPr>
      </w:pPr>
      <w:r w:rsidRPr="0069626B">
        <w:rPr>
          <w:szCs w:val="22"/>
        </w:rPr>
        <w:t xml:space="preserve">In addition, the evaluation should answer the following key evaluation questions. </w:t>
      </w:r>
    </w:p>
    <w:p w14:paraId="2335866D" w14:textId="77777777" w:rsidR="00B505BA" w:rsidRPr="0069626B" w:rsidRDefault="00B505BA" w:rsidP="00B505BA">
      <w:pPr>
        <w:pStyle w:val="TableBullets"/>
        <w:ind w:left="993"/>
        <w:rPr>
          <w:b/>
          <w:szCs w:val="22"/>
        </w:rPr>
      </w:pPr>
      <w:r w:rsidRPr="0069626B">
        <w:rPr>
          <w:b/>
          <w:bCs/>
          <w:szCs w:val="22"/>
        </w:rPr>
        <w:t>Relevance</w:t>
      </w:r>
      <w:r w:rsidRPr="0069626B">
        <w:rPr>
          <w:szCs w:val="22"/>
        </w:rPr>
        <w:t xml:space="preserve">: How well has TASP adapted to changing strategic context? </w:t>
      </w:r>
    </w:p>
    <w:p w14:paraId="5772C5E8" w14:textId="77777777" w:rsidR="00B505BA" w:rsidRPr="0069626B" w:rsidRDefault="00B505BA" w:rsidP="00803578">
      <w:pPr>
        <w:pStyle w:val="ListParagraph"/>
        <w:numPr>
          <w:ilvl w:val="0"/>
          <w:numId w:val="10"/>
        </w:numPr>
        <w:ind w:left="993"/>
        <w:rPr>
          <w:b/>
          <w:szCs w:val="22"/>
        </w:rPr>
      </w:pPr>
      <w:r w:rsidRPr="0069626B">
        <w:rPr>
          <w:b/>
          <w:bCs/>
          <w:szCs w:val="22"/>
        </w:rPr>
        <w:t>Effectiveness</w:t>
      </w:r>
      <w:r w:rsidRPr="0069626B">
        <w:rPr>
          <w:szCs w:val="22"/>
        </w:rPr>
        <w:t>: To what extent has TASP progressed towards achieving its End of Program Outcomes (EOPOs)? What has enhanced or constrained effectiveness? To what extent has TASP supported stronger policy relationships with partner government and NGOs?</w:t>
      </w:r>
    </w:p>
    <w:p w14:paraId="691F4BF7" w14:textId="77777777" w:rsidR="00B505BA" w:rsidRPr="0069626B" w:rsidRDefault="00B505BA" w:rsidP="00803578">
      <w:pPr>
        <w:pStyle w:val="ListParagraph"/>
        <w:numPr>
          <w:ilvl w:val="0"/>
          <w:numId w:val="10"/>
        </w:numPr>
        <w:ind w:left="993"/>
        <w:rPr>
          <w:b/>
          <w:szCs w:val="22"/>
        </w:rPr>
      </w:pPr>
      <w:r w:rsidRPr="0069626B">
        <w:rPr>
          <w:b/>
          <w:bCs/>
          <w:szCs w:val="22"/>
        </w:rPr>
        <w:t>Efficiency</w:t>
      </w:r>
      <w:r w:rsidRPr="0069626B">
        <w:rPr>
          <w:szCs w:val="22"/>
        </w:rPr>
        <w:t>: How adequate are TASP’s governance, management, delivery approach and resourcing arrangements? Has the facility’s management of multi-sector activities and technical advisory services provided value for money? What evidence is there of cross</w:t>
      </w:r>
      <w:r>
        <w:rPr>
          <w:szCs w:val="22"/>
        </w:rPr>
        <w:t xml:space="preserve"> </w:t>
      </w:r>
      <w:r w:rsidRPr="0069626B">
        <w:rPr>
          <w:szCs w:val="22"/>
        </w:rPr>
        <w:t>sectoral collaboration and coherence?</w:t>
      </w:r>
    </w:p>
    <w:p w14:paraId="70B23824" w14:textId="77777777" w:rsidR="00B505BA" w:rsidRPr="0069626B" w:rsidRDefault="00B505BA" w:rsidP="00B505BA">
      <w:pPr>
        <w:pStyle w:val="TableBullets"/>
        <w:ind w:left="993"/>
        <w:rPr>
          <w:b/>
          <w:szCs w:val="22"/>
        </w:rPr>
      </w:pPr>
      <w:r w:rsidRPr="0069626B">
        <w:rPr>
          <w:b/>
          <w:bCs/>
          <w:szCs w:val="22"/>
        </w:rPr>
        <w:t>MEL</w:t>
      </w:r>
      <w:r w:rsidRPr="0069626B">
        <w:rPr>
          <w:szCs w:val="22"/>
        </w:rPr>
        <w:t xml:space="preserve">: How adequate has TASPs monitoring and evaluation and learning processes been? </w:t>
      </w:r>
    </w:p>
    <w:p w14:paraId="0020AF20" w14:textId="77777777" w:rsidR="00B505BA" w:rsidRPr="0069626B" w:rsidRDefault="00B505BA" w:rsidP="00B505BA">
      <w:pPr>
        <w:pStyle w:val="TableBullets"/>
        <w:ind w:left="993"/>
        <w:rPr>
          <w:b/>
          <w:szCs w:val="22"/>
        </w:rPr>
      </w:pPr>
      <w:r w:rsidRPr="0069626B">
        <w:rPr>
          <w:b/>
          <w:bCs/>
          <w:szCs w:val="22"/>
        </w:rPr>
        <w:t>GEDSI</w:t>
      </w:r>
      <w:r w:rsidRPr="0069626B">
        <w:rPr>
          <w:szCs w:val="22"/>
        </w:rPr>
        <w:t xml:space="preserve"> and </w:t>
      </w:r>
      <w:r w:rsidRPr="0069626B">
        <w:rPr>
          <w:b/>
          <w:bCs/>
          <w:szCs w:val="22"/>
        </w:rPr>
        <w:t>Climate Change</w:t>
      </w:r>
      <w:r w:rsidRPr="0069626B">
        <w:rPr>
          <w:szCs w:val="22"/>
        </w:rPr>
        <w:t xml:space="preserve">: To what extent has TASP implementation integrated gender equality, disability, and social inclusion and what progress has been made towards GEDSI related outcomes? What progress has been made on climate change action as envisaged in the TASP design? </w:t>
      </w:r>
    </w:p>
    <w:p w14:paraId="00EAFD6D" w14:textId="77777777" w:rsidR="00B505BA" w:rsidRPr="0069626B" w:rsidRDefault="00B505BA" w:rsidP="00B505BA">
      <w:pPr>
        <w:pStyle w:val="TableBullets"/>
        <w:ind w:left="993"/>
        <w:rPr>
          <w:b/>
          <w:szCs w:val="22"/>
        </w:rPr>
      </w:pPr>
      <w:r w:rsidRPr="0069626B">
        <w:rPr>
          <w:b/>
          <w:bCs/>
          <w:szCs w:val="22"/>
        </w:rPr>
        <w:t>Agility and adaptation</w:t>
      </w:r>
      <w:r w:rsidRPr="0069626B">
        <w:rPr>
          <w:szCs w:val="22"/>
        </w:rPr>
        <w:t xml:space="preserve">: To what extent has the facility’s flexibility and responsiveness allowed DFAT to focus on emerging needs and opportunities? How and how well did TASP pivot to respond to the HTHH disaster? </w:t>
      </w:r>
    </w:p>
    <w:p w14:paraId="5208E4D0" w14:textId="77777777" w:rsidR="00B505BA" w:rsidRPr="0069626B" w:rsidRDefault="00B505BA" w:rsidP="00B505BA">
      <w:pPr>
        <w:pStyle w:val="TableBullets"/>
        <w:ind w:left="993"/>
        <w:rPr>
          <w:szCs w:val="22"/>
        </w:rPr>
      </w:pPr>
      <w:r w:rsidRPr="0069626B">
        <w:rPr>
          <w:szCs w:val="22"/>
        </w:rPr>
        <w:t xml:space="preserve">Lessons Learned: </w:t>
      </w:r>
    </w:p>
    <w:p w14:paraId="3A3ED9D7" w14:textId="77777777" w:rsidR="00B505BA" w:rsidRPr="0069626B" w:rsidRDefault="00B505BA" w:rsidP="00B505BA">
      <w:pPr>
        <w:pStyle w:val="TableBullets"/>
        <w:ind w:left="993"/>
        <w:rPr>
          <w:b/>
          <w:szCs w:val="22"/>
        </w:rPr>
      </w:pPr>
      <w:r w:rsidRPr="0069626B">
        <w:rPr>
          <w:szCs w:val="22"/>
        </w:rPr>
        <w:t xml:space="preserve">What are the recommendations for policy, practice, and implementation for future facility support to DFAT in Tonga? Based on an initial briefing with Nuku’alofa Post and key document review, the Evaluation Team will discuss, clarify and agree the above questions then develop a detailed methodology to inform the Evaluation Plan. </w:t>
      </w:r>
    </w:p>
    <w:p w14:paraId="1837D6D6" w14:textId="77777777" w:rsidR="00B505BA" w:rsidRPr="0069626B" w:rsidRDefault="00B505BA" w:rsidP="00B505BA">
      <w:pPr>
        <w:ind w:left="993"/>
        <w:rPr>
          <w:b/>
          <w:szCs w:val="22"/>
        </w:rPr>
      </w:pPr>
      <w:r w:rsidRPr="0069626B">
        <w:rPr>
          <w:szCs w:val="22"/>
        </w:rPr>
        <w:t xml:space="preserve">This methodology will include the following activities: </w:t>
      </w:r>
    </w:p>
    <w:p w14:paraId="31399F64" w14:textId="77777777" w:rsidR="00B505BA" w:rsidRPr="0069626B" w:rsidRDefault="00B505BA" w:rsidP="00803578">
      <w:pPr>
        <w:pStyle w:val="ListParagraph"/>
        <w:numPr>
          <w:ilvl w:val="0"/>
          <w:numId w:val="15"/>
        </w:numPr>
        <w:ind w:left="993"/>
        <w:rPr>
          <w:szCs w:val="22"/>
        </w:rPr>
      </w:pPr>
      <w:r w:rsidRPr="0069626B">
        <w:rPr>
          <w:szCs w:val="22"/>
        </w:rPr>
        <w:t>Desk review preparation</w:t>
      </w:r>
    </w:p>
    <w:p w14:paraId="0AA49C65" w14:textId="77777777" w:rsidR="00B505BA" w:rsidRPr="0069626B" w:rsidRDefault="00B505BA" w:rsidP="00803578">
      <w:pPr>
        <w:pStyle w:val="ListParagraph"/>
        <w:numPr>
          <w:ilvl w:val="0"/>
          <w:numId w:val="15"/>
        </w:numPr>
        <w:ind w:left="993"/>
        <w:rPr>
          <w:szCs w:val="22"/>
        </w:rPr>
      </w:pPr>
      <w:r w:rsidRPr="0069626B">
        <w:rPr>
          <w:szCs w:val="22"/>
        </w:rPr>
        <w:t>Evaluation Plan</w:t>
      </w:r>
    </w:p>
    <w:p w14:paraId="681072BB" w14:textId="77777777" w:rsidR="00B505BA" w:rsidRPr="0069626B" w:rsidRDefault="00B505BA" w:rsidP="00803578">
      <w:pPr>
        <w:pStyle w:val="ListParagraph"/>
        <w:numPr>
          <w:ilvl w:val="0"/>
          <w:numId w:val="15"/>
        </w:numPr>
        <w:ind w:left="993"/>
        <w:rPr>
          <w:szCs w:val="22"/>
        </w:rPr>
      </w:pPr>
      <w:r w:rsidRPr="0069626B">
        <w:rPr>
          <w:szCs w:val="22"/>
        </w:rPr>
        <w:t>Data collection and analysis</w:t>
      </w:r>
    </w:p>
    <w:p w14:paraId="5A0E57EF" w14:textId="77777777" w:rsidR="00B505BA" w:rsidRPr="0069626B" w:rsidRDefault="00B505BA" w:rsidP="00803578">
      <w:pPr>
        <w:pStyle w:val="ListParagraph"/>
        <w:numPr>
          <w:ilvl w:val="0"/>
          <w:numId w:val="15"/>
        </w:numPr>
        <w:ind w:left="993"/>
        <w:rPr>
          <w:szCs w:val="22"/>
        </w:rPr>
      </w:pPr>
      <w:r w:rsidRPr="0069626B">
        <w:rPr>
          <w:szCs w:val="22"/>
        </w:rPr>
        <w:t>Preparation and presentation of aide memoire and/or a briefing presentation to DFAT</w:t>
      </w:r>
    </w:p>
    <w:p w14:paraId="73504A28" w14:textId="77777777" w:rsidR="00B505BA" w:rsidRPr="0069626B" w:rsidRDefault="00B505BA" w:rsidP="00803578">
      <w:pPr>
        <w:pStyle w:val="ListParagraph"/>
        <w:numPr>
          <w:ilvl w:val="0"/>
          <w:numId w:val="15"/>
        </w:numPr>
        <w:ind w:left="993"/>
        <w:rPr>
          <w:szCs w:val="22"/>
        </w:rPr>
      </w:pPr>
      <w:r w:rsidRPr="0069626B">
        <w:rPr>
          <w:szCs w:val="22"/>
        </w:rPr>
        <w:t xml:space="preserve">Report drafting </w:t>
      </w:r>
    </w:p>
    <w:p w14:paraId="6A39D4AB" w14:textId="77777777" w:rsidR="00B505BA" w:rsidRPr="0069626B" w:rsidRDefault="00B505BA" w:rsidP="00B505BA">
      <w:pPr>
        <w:ind w:left="993"/>
        <w:rPr>
          <w:b/>
          <w:szCs w:val="22"/>
        </w:rPr>
      </w:pPr>
      <w:r w:rsidRPr="0069626B">
        <w:rPr>
          <w:szCs w:val="22"/>
        </w:rPr>
        <w:t>As part of the data collection and analysis phase, it is expected the following sources of information be</w:t>
      </w:r>
    </w:p>
    <w:p w14:paraId="47A092F1" w14:textId="77777777" w:rsidR="00B505BA" w:rsidRPr="0069626B" w:rsidRDefault="00B505BA" w:rsidP="00B505BA">
      <w:pPr>
        <w:ind w:left="993"/>
        <w:rPr>
          <w:szCs w:val="22"/>
        </w:rPr>
      </w:pPr>
      <w:r w:rsidRPr="0069626B">
        <w:rPr>
          <w:szCs w:val="22"/>
        </w:rPr>
        <w:t>DELIVERABLES</w:t>
      </w:r>
    </w:p>
    <w:p w14:paraId="7631F3D3" w14:textId="77777777" w:rsidR="00B505BA" w:rsidRPr="0069626B" w:rsidRDefault="00B505BA" w:rsidP="00803578">
      <w:pPr>
        <w:pStyle w:val="ListParagraph"/>
        <w:numPr>
          <w:ilvl w:val="0"/>
          <w:numId w:val="20"/>
        </w:numPr>
        <w:ind w:left="993"/>
        <w:rPr>
          <w:szCs w:val="22"/>
        </w:rPr>
      </w:pPr>
      <w:r w:rsidRPr="0069626B">
        <w:rPr>
          <w:szCs w:val="22"/>
        </w:rPr>
        <w:t xml:space="preserve">An Evaluation Plan: Before the consultations start, no longer than four weeks after evaluation commencement. </w:t>
      </w:r>
    </w:p>
    <w:p w14:paraId="7563E268" w14:textId="77777777" w:rsidR="00B505BA" w:rsidRPr="0069626B" w:rsidRDefault="00B505BA" w:rsidP="00803578">
      <w:pPr>
        <w:pStyle w:val="ListParagraph"/>
        <w:numPr>
          <w:ilvl w:val="0"/>
          <w:numId w:val="20"/>
        </w:numPr>
        <w:ind w:left="993"/>
        <w:rPr>
          <w:szCs w:val="22"/>
        </w:rPr>
      </w:pPr>
      <w:r w:rsidRPr="0069626B">
        <w:rPr>
          <w:szCs w:val="22"/>
        </w:rPr>
        <w:t xml:space="preserve">An Aide Memoire (max five pages) with preliminary findings at the end of in-country consultations, to be presented to Post (and key stakeholders as identified by Post). </w:t>
      </w:r>
    </w:p>
    <w:p w14:paraId="13F19A42" w14:textId="77777777" w:rsidR="00B505BA" w:rsidRPr="0069626B" w:rsidRDefault="00B505BA" w:rsidP="00803578">
      <w:pPr>
        <w:pStyle w:val="ListParagraph"/>
        <w:numPr>
          <w:ilvl w:val="0"/>
          <w:numId w:val="20"/>
        </w:numPr>
        <w:ind w:left="993"/>
        <w:rPr>
          <w:szCs w:val="22"/>
        </w:rPr>
      </w:pPr>
      <w:r w:rsidRPr="0069626B">
        <w:rPr>
          <w:szCs w:val="22"/>
        </w:rPr>
        <w:t>A draft evaluation report: Within three weeks of the presentation of the Aide Memoire.</w:t>
      </w:r>
    </w:p>
    <w:p w14:paraId="36B78DCD" w14:textId="77777777" w:rsidR="00B505BA" w:rsidRPr="0069626B" w:rsidRDefault="00B505BA" w:rsidP="00803578">
      <w:pPr>
        <w:pStyle w:val="ListParagraph"/>
        <w:numPr>
          <w:ilvl w:val="0"/>
          <w:numId w:val="20"/>
        </w:numPr>
        <w:ind w:left="993"/>
        <w:rPr>
          <w:b/>
          <w:szCs w:val="22"/>
        </w:rPr>
      </w:pPr>
      <w:r w:rsidRPr="0069626B">
        <w:rPr>
          <w:szCs w:val="22"/>
        </w:rPr>
        <w:t xml:space="preserve">A final evaluation report (max 20 pages excl. annexes): Within 15 working days of receipt of DFAT comments on the draft report. </w:t>
      </w:r>
    </w:p>
    <w:p w14:paraId="3AC7B150" w14:textId="77777777" w:rsidR="00B505BA" w:rsidRPr="0069626B" w:rsidRDefault="00B505BA" w:rsidP="00B505BA">
      <w:pPr>
        <w:ind w:left="993"/>
        <w:rPr>
          <w:szCs w:val="22"/>
        </w:rPr>
      </w:pPr>
      <w:r w:rsidRPr="0069626B">
        <w:rPr>
          <w:szCs w:val="22"/>
        </w:rPr>
        <w:lastRenderedPageBreak/>
        <w:t xml:space="preserve">TEAM COMPOSITION AND GOVERNANCE </w:t>
      </w:r>
    </w:p>
    <w:p w14:paraId="19EA1A9D" w14:textId="77777777" w:rsidR="00B505BA" w:rsidRPr="0069626B" w:rsidRDefault="00B505BA" w:rsidP="00B505BA">
      <w:pPr>
        <w:ind w:left="993"/>
        <w:rPr>
          <w:b/>
          <w:szCs w:val="22"/>
        </w:rPr>
      </w:pPr>
      <w:r w:rsidRPr="0069626B">
        <w:rPr>
          <w:szCs w:val="22"/>
        </w:rPr>
        <w:t xml:space="preserve">The Evaluation Team will be led by a Team Leader, with the support of up to two consultants (ideally at least one local national) to support the evaluation process and participate in interviews and overall analysis. Final team composition to be determined throughout the tender and negotiation process. </w:t>
      </w:r>
    </w:p>
    <w:p w14:paraId="450BB6A0" w14:textId="77777777" w:rsidR="00B505BA" w:rsidRPr="0069626B" w:rsidRDefault="00B505BA" w:rsidP="00B505BA">
      <w:pPr>
        <w:ind w:left="993"/>
        <w:rPr>
          <w:b/>
          <w:szCs w:val="22"/>
        </w:rPr>
      </w:pPr>
      <w:r w:rsidRPr="0069626B">
        <w:rPr>
          <w:szCs w:val="22"/>
        </w:rPr>
        <w:t xml:space="preserve">To ensure independence and transparency, a DFAT-nominated representative will be appointed to support the evaluation process and provide oversight. The Evaluation Team will be responsible for the technical quality of the evaluation and the preparation and writing of all deliverables including the Evaluation Plan and Draft and Final Reports. </w:t>
      </w:r>
    </w:p>
    <w:p w14:paraId="6D69FDCD" w14:textId="77777777" w:rsidR="00B505BA" w:rsidRPr="0069626B" w:rsidRDefault="00B505BA" w:rsidP="00B505BA">
      <w:pPr>
        <w:ind w:left="993"/>
        <w:rPr>
          <w:b/>
          <w:szCs w:val="22"/>
        </w:rPr>
      </w:pPr>
      <w:r w:rsidRPr="0069626B">
        <w:rPr>
          <w:szCs w:val="22"/>
        </w:rPr>
        <w:t xml:space="preserve">The key responsibilities for each position are: </w:t>
      </w:r>
    </w:p>
    <w:p w14:paraId="163A8DF9" w14:textId="77777777" w:rsidR="00B505BA" w:rsidRPr="0069626B" w:rsidRDefault="00B505BA" w:rsidP="00B505BA">
      <w:pPr>
        <w:ind w:left="993"/>
        <w:rPr>
          <w:b/>
          <w:szCs w:val="22"/>
        </w:rPr>
      </w:pPr>
      <w:r w:rsidRPr="0069626B">
        <w:rPr>
          <w:szCs w:val="22"/>
        </w:rPr>
        <w:t xml:space="preserve">Evaluation Team Leader: </w:t>
      </w:r>
    </w:p>
    <w:p w14:paraId="5F653D88" w14:textId="77777777" w:rsidR="00B505BA" w:rsidRPr="0069626B" w:rsidRDefault="00B505BA" w:rsidP="00803578">
      <w:pPr>
        <w:pStyle w:val="ListParagraph"/>
        <w:numPr>
          <w:ilvl w:val="0"/>
          <w:numId w:val="20"/>
        </w:numPr>
        <w:ind w:left="993"/>
        <w:rPr>
          <w:b/>
          <w:szCs w:val="22"/>
        </w:rPr>
      </w:pPr>
      <w:r w:rsidRPr="0069626B">
        <w:rPr>
          <w:szCs w:val="22"/>
        </w:rPr>
        <w:t xml:space="preserve">Lead and manage the evaluation team, including overseeing the inputs of the rest of the </w:t>
      </w:r>
      <w:proofErr w:type="gramStart"/>
      <w:r w:rsidRPr="0069626B">
        <w:rPr>
          <w:szCs w:val="22"/>
        </w:rPr>
        <w:t>team;</w:t>
      </w:r>
      <w:proofErr w:type="gramEnd"/>
      <w:r w:rsidRPr="0069626B">
        <w:rPr>
          <w:szCs w:val="22"/>
        </w:rPr>
        <w:t xml:space="preserve"> </w:t>
      </w:r>
    </w:p>
    <w:p w14:paraId="49F66D76" w14:textId="77777777" w:rsidR="00B505BA" w:rsidRPr="0069626B" w:rsidRDefault="00B505BA" w:rsidP="00803578">
      <w:pPr>
        <w:pStyle w:val="ListParagraph"/>
        <w:numPr>
          <w:ilvl w:val="0"/>
          <w:numId w:val="20"/>
        </w:numPr>
        <w:ind w:left="993"/>
        <w:rPr>
          <w:b/>
          <w:szCs w:val="22"/>
        </w:rPr>
      </w:pPr>
      <w:r w:rsidRPr="0069626B">
        <w:rPr>
          <w:szCs w:val="22"/>
        </w:rPr>
        <w:t xml:space="preserve">develop the Evaluation Plan including the overall approach and evaluation </w:t>
      </w:r>
      <w:proofErr w:type="gramStart"/>
      <w:r w:rsidRPr="0069626B">
        <w:rPr>
          <w:szCs w:val="22"/>
        </w:rPr>
        <w:t>methodology;</w:t>
      </w:r>
      <w:proofErr w:type="gramEnd"/>
      <w:r w:rsidRPr="0069626B">
        <w:rPr>
          <w:szCs w:val="22"/>
        </w:rPr>
        <w:t xml:space="preserve"> </w:t>
      </w:r>
    </w:p>
    <w:p w14:paraId="0DD226A8" w14:textId="77777777" w:rsidR="00B505BA" w:rsidRPr="0069626B" w:rsidRDefault="00B505BA" w:rsidP="00803578">
      <w:pPr>
        <w:pStyle w:val="ListParagraph"/>
        <w:numPr>
          <w:ilvl w:val="0"/>
          <w:numId w:val="20"/>
        </w:numPr>
        <w:ind w:left="993"/>
        <w:rPr>
          <w:b/>
          <w:szCs w:val="22"/>
        </w:rPr>
      </w:pPr>
      <w:r w:rsidRPr="0069626B">
        <w:rPr>
          <w:szCs w:val="22"/>
        </w:rPr>
        <w:t xml:space="preserve">lead and attend meetings with key </w:t>
      </w:r>
      <w:proofErr w:type="gramStart"/>
      <w:r w:rsidRPr="0069626B">
        <w:rPr>
          <w:szCs w:val="22"/>
        </w:rPr>
        <w:t>stakeholders;</w:t>
      </w:r>
      <w:proofErr w:type="gramEnd"/>
    </w:p>
    <w:p w14:paraId="5221A5E4" w14:textId="77777777" w:rsidR="00B505BA" w:rsidRPr="0069626B" w:rsidRDefault="00B505BA" w:rsidP="00803578">
      <w:pPr>
        <w:pStyle w:val="ListParagraph"/>
        <w:numPr>
          <w:ilvl w:val="0"/>
          <w:numId w:val="20"/>
        </w:numPr>
        <w:ind w:left="993"/>
        <w:rPr>
          <w:b/>
          <w:szCs w:val="22"/>
        </w:rPr>
      </w:pPr>
      <w:r w:rsidRPr="0069626B">
        <w:rPr>
          <w:szCs w:val="22"/>
        </w:rPr>
        <w:t xml:space="preserve">develop and present an aide-memoire, with input and assistance from team </w:t>
      </w:r>
      <w:proofErr w:type="gramStart"/>
      <w:r w:rsidRPr="0069626B">
        <w:rPr>
          <w:szCs w:val="22"/>
        </w:rPr>
        <w:t>members;</w:t>
      </w:r>
      <w:proofErr w:type="gramEnd"/>
      <w:r w:rsidRPr="0069626B">
        <w:rPr>
          <w:szCs w:val="22"/>
        </w:rPr>
        <w:t xml:space="preserve"> </w:t>
      </w:r>
    </w:p>
    <w:p w14:paraId="6FE5F1C5" w14:textId="77777777" w:rsidR="00B505BA" w:rsidRPr="0069626B" w:rsidRDefault="00B505BA" w:rsidP="00803578">
      <w:pPr>
        <w:pStyle w:val="ListParagraph"/>
        <w:numPr>
          <w:ilvl w:val="0"/>
          <w:numId w:val="20"/>
        </w:numPr>
        <w:ind w:left="993"/>
        <w:rPr>
          <w:b/>
          <w:szCs w:val="22"/>
        </w:rPr>
      </w:pPr>
      <w:r w:rsidRPr="0069626B">
        <w:rPr>
          <w:szCs w:val="22"/>
        </w:rPr>
        <w:t xml:space="preserve">produce a draft and Final Report in accordance with the agreed Evaluation Plan; and </w:t>
      </w:r>
    </w:p>
    <w:p w14:paraId="6378F984" w14:textId="77777777" w:rsidR="00B505BA" w:rsidRPr="0069626B" w:rsidRDefault="00B505BA" w:rsidP="00803578">
      <w:pPr>
        <w:pStyle w:val="ListParagraph"/>
        <w:numPr>
          <w:ilvl w:val="0"/>
          <w:numId w:val="20"/>
        </w:numPr>
        <w:ind w:left="993"/>
        <w:rPr>
          <w:b/>
          <w:szCs w:val="22"/>
        </w:rPr>
      </w:pPr>
      <w:r w:rsidRPr="0069626B">
        <w:rPr>
          <w:szCs w:val="22"/>
        </w:rPr>
        <w:t xml:space="preserve">ensure overall quality of deliverables and appropriate communication with DFAT. </w:t>
      </w:r>
    </w:p>
    <w:p w14:paraId="33092CF9" w14:textId="77777777" w:rsidR="00B505BA" w:rsidRPr="0069626B" w:rsidRDefault="00B505BA" w:rsidP="00B505BA">
      <w:pPr>
        <w:ind w:left="993"/>
        <w:rPr>
          <w:b/>
          <w:szCs w:val="22"/>
        </w:rPr>
      </w:pPr>
      <w:r w:rsidRPr="0069626B">
        <w:rPr>
          <w:szCs w:val="22"/>
        </w:rPr>
        <w:t xml:space="preserve">Team member/National Consultant(s): </w:t>
      </w:r>
    </w:p>
    <w:p w14:paraId="020F1524" w14:textId="77777777" w:rsidR="00B505BA" w:rsidRPr="0069626B" w:rsidRDefault="00B505BA" w:rsidP="00803578">
      <w:pPr>
        <w:pStyle w:val="ListParagraph"/>
        <w:numPr>
          <w:ilvl w:val="0"/>
          <w:numId w:val="20"/>
        </w:numPr>
        <w:ind w:left="993"/>
        <w:rPr>
          <w:szCs w:val="22"/>
        </w:rPr>
      </w:pPr>
      <w:r w:rsidRPr="0069626B">
        <w:rPr>
          <w:szCs w:val="22"/>
        </w:rPr>
        <w:t xml:space="preserve">Provide inputs into the development of the Evaluation Plan, including the overall approach and review </w:t>
      </w:r>
      <w:proofErr w:type="gramStart"/>
      <w:r w:rsidRPr="0069626B">
        <w:rPr>
          <w:szCs w:val="22"/>
        </w:rPr>
        <w:t>methodology;</w:t>
      </w:r>
      <w:proofErr w:type="gramEnd"/>
    </w:p>
    <w:p w14:paraId="17AAC0E6" w14:textId="77777777" w:rsidR="00B505BA" w:rsidRPr="0069626B" w:rsidRDefault="00B505BA" w:rsidP="00803578">
      <w:pPr>
        <w:pStyle w:val="ListParagraph"/>
        <w:numPr>
          <w:ilvl w:val="0"/>
          <w:numId w:val="20"/>
        </w:numPr>
        <w:ind w:left="993"/>
        <w:rPr>
          <w:szCs w:val="22"/>
        </w:rPr>
      </w:pPr>
      <w:r w:rsidRPr="0069626B">
        <w:rPr>
          <w:szCs w:val="22"/>
        </w:rPr>
        <w:t xml:space="preserve">attend key meetings and/or lead consultations with implementing partners and ensure cultural protocols and practices are </w:t>
      </w:r>
      <w:proofErr w:type="gramStart"/>
      <w:r w:rsidRPr="0069626B">
        <w:rPr>
          <w:szCs w:val="22"/>
        </w:rPr>
        <w:t>observed;</w:t>
      </w:r>
      <w:proofErr w:type="gramEnd"/>
      <w:r w:rsidRPr="0069626B">
        <w:rPr>
          <w:szCs w:val="22"/>
        </w:rPr>
        <w:t xml:space="preserve"> </w:t>
      </w:r>
    </w:p>
    <w:p w14:paraId="0CB70197" w14:textId="77777777" w:rsidR="00B505BA" w:rsidRPr="0069626B" w:rsidRDefault="00B505BA" w:rsidP="00803578">
      <w:pPr>
        <w:pStyle w:val="ListParagraph"/>
        <w:numPr>
          <w:ilvl w:val="0"/>
          <w:numId w:val="20"/>
        </w:numPr>
        <w:ind w:left="993"/>
        <w:rPr>
          <w:szCs w:val="22"/>
        </w:rPr>
      </w:pPr>
      <w:r w:rsidRPr="0069626B">
        <w:rPr>
          <w:szCs w:val="22"/>
        </w:rPr>
        <w:t>contribute to the analytical workshop and the development and presentation of the aide memoire to DFAT; and</w:t>
      </w:r>
    </w:p>
    <w:p w14:paraId="5DA08508" w14:textId="63C4B3A7" w:rsidR="00B505BA" w:rsidRDefault="00B505BA" w:rsidP="00B505BA">
      <w:pPr>
        <w:ind w:left="993" w:firstLine="720"/>
        <w:rPr>
          <w:szCs w:val="22"/>
        </w:rPr>
      </w:pPr>
      <w:r w:rsidRPr="0069626B">
        <w:rPr>
          <w:rFonts w:ascii="Arial" w:eastAsia="Arial" w:hAnsi="Arial" w:cs="Arial"/>
          <w:color w:val="000000"/>
          <w:szCs w:val="22"/>
        </w:rPr>
        <w:t>contribute</w:t>
      </w:r>
      <w:r w:rsidRPr="0069626B">
        <w:rPr>
          <w:szCs w:val="22"/>
        </w:rPr>
        <w:t xml:space="preserve"> to producing a draft and Final Report in accordance with the agreed Evaluation Plan.</w:t>
      </w:r>
    </w:p>
    <w:p w14:paraId="469B4AAB" w14:textId="77777777" w:rsidR="00B505BA" w:rsidRPr="00B505BA" w:rsidRDefault="00B505BA" w:rsidP="00B505BA">
      <w:pPr>
        <w:ind w:left="273" w:firstLine="720"/>
      </w:pPr>
    </w:p>
    <w:p w14:paraId="6BC09651" w14:textId="77777777" w:rsidR="00194B11" w:rsidRDefault="00194B11" w:rsidP="00A348C7"/>
    <w:p w14:paraId="6BC09652" w14:textId="77777777" w:rsidR="00194B11" w:rsidRDefault="00194B11" w:rsidP="00A348C7"/>
    <w:p w14:paraId="6BC0965E" w14:textId="77777777" w:rsidR="00194B11" w:rsidRDefault="00194B11" w:rsidP="00A348C7">
      <w:pPr>
        <w:pStyle w:val="Heading1"/>
        <w:sectPr w:rsidR="00194B11" w:rsidSect="00A6774F">
          <w:footerReference w:type="default" r:id="rId23"/>
          <w:pgSz w:w="11906" w:h="16838"/>
          <w:pgMar w:top="1814" w:right="1134" w:bottom="1134" w:left="0" w:header="851" w:footer="454" w:gutter="0"/>
          <w:pgNumType w:fmt="lowerRoman" w:start="1"/>
          <w:cols w:space="720"/>
        </w:sectPr>
      </w:pPr>
      <w:bookmarkStart w:id="46" w:name="_heading=h.cmfqtc9sdm3m" w:colFirst="0" w:colLast="0"/>
      <w:bookmarkEnd w:id="46"/>
    </w:p>
    <w:p w14:paraId="6BC0965F" w14:textId="0792ECE4" w:rsidR="00194B11" w:rsidRDefault="000F1258" w:rsidP="00D10529">
      <w:pPr>
        <w:pStyle w:val="Heading1"/>
        <w:ind w:left="993"/>
      </w:pPr>
      <w:bookmarkStart w:id="47" w:name="_Annex_2:_References"/>
      <w:bookmarkStart w:id="48" w:name="_Toc183423595"/>
      <w:bookmarkEnd w:id="47"/>
      <w:r w:rsidRPr="0083236F">
        <w:lastRenderedPageBreak/>
        <w:t>Annex</w:t>
      </w:r>
      <w:r>
        <w:t xml:space="preserve"> 2: References</w:t>
      </w:r>
      <w:r w:rsidR="00D232A9">
        <w:t xml:space="preserve"> and documents consulted</w:t>
      </w:r>
      <w:bookmarkEnd w:id="48"/>
    </w:p>
    <w:p w14:paraId="7EA735DF" w14:textId="77777777" w:rsidR="00B505BA" w:rsidRDefault="00B505BA" w:rsidP="00B505BA"/>
    <w:p w14:paraId="0A80A17B" w14:textId="77777777" w:rsidR="00B505BA" w:rsidRDefault="00B505BA" w:rsidP="00B505BA">
      <w:pPr>
        <w:ind w:left="993"/>
      </w:pPr>
      <w:r w:rsidRPr="00F90B47">
        <w:t>Pieper, L, 2018. Independent Facilities review, May 2018.</w:t>
      </w:r>
    </w:p>
    <w:p w14:paraId="03BF9DBD" w14:textId="77777777" w:rsidR="00B505BA" w:rsidRPr="00F90B47" w:rsidRDefault="00B505BA" w:rsidP="00B505BA">
      <w:pPr>
        <w:ind w:left="993"/>
      </w:pPr>
      <w:r w:rsidRPr="00F90B47">
        <w:t>DFAT</w:t>
      </w:r>
      <w:r>
        <w:t>,</w:t>
      </w:r>
      <w:r w:rsidRPr="00F90B47">
        <w:t xml:space="preserve"> Management response to Facilities review</w:t>
      </w:r>
      <w:r>
        <w:t>, 2018.</w:t>
      </w:r>
    </w:p>
    <w:p w14:paraId="69131C05" w14:textId="77777777" w:rsidR="00B505BA" w:rsidRPr="00F90B47" w:rsidRDefault="00B505BA" w:rsidP="00B505BA">
      <w:pPr>
        <w:ind w:left="993"/>
      </w:pPr>
      <w:r w:rsidRPr="00F90B47">
        <w:t>DFAT, 2021.  Facilities guidance note updated post ANAO clea</w:t>
      </w:r>
      <w:r>
        <w:t>n</w:t>
      </w:r>
      <w:r w:rsidRPr="00F90B47">
        <w:t>.</w:t>
      </w:r>
    </w:p>
    <w:p w14:paraId="1D26ED25" w14:textId="77777777" w:rsidR="00B505BA" w:rsidRDefault="00B505BA" w:rsidP="00B505BA">
      <w:pPr>
        <w:ind w:left="993"/>
      </w:pPr>
      <w:r>
        <w:t>DFAT, 2023. Design and Monitoring, Evaluation and Learning Standards.</w:t>
      </w:r>
    </w:p>
    <w:p w14:paraId="79646B8C" w14:textId="77777777" w:rsidR="00B505BA" w:rsidRPr="00F90B47" w:rsidRDefault="00B505BA" w:rsidP="00B505BA">
      <w:pPr>
        <w:ind w:left="993"/>
      </w:pPr>
      <w:r w:rsidRPr="00F90B47">
        <w:t>DFAT, 2023. Facilities PAF Guidance Annex 2 PAF template.</w:t>
      </w:r>
    </w:p>
    <w:p w14:paraId="1C7EC229" w14:textId="77777777" w:rsidR="00B505BA" w:rsidRPr="00F90B47" w:rsidRDefault="00B505BA" w:rsidP="00B505BA">
      <w:pPr>
        <w:ind w:left="993"/>
      </w:pPr>
      <w:r w:rsidRPr="00F90B47">
        <w:t>DFAT, 2024. TASP Investment Monitoring Report</w:t>
      </w:r>
      <w:r>
        <w:t>s</w:t>
      </w:r>
      <w:r w:rsidRPr="00F90B47">
        <w:t xml:space="preserve"> (2023, 2024).</w:t>
      </w:r>
    </w:p>
    <w:p w14:paraId="45EB72BD" w14:textId="77777777" w:rsidR="00B505BA" w:rsidRPr="00F90B47" w:rsidRDefault="00B505BA" w:rsidP="00B505BA">
      <w:pPr>
        <w:ind w:left="993"/>
      </w:pPr>
      <w:r w:rsidRPr="00F90B47">
        <w:t xml:space="preserve">DFAT, 2024. TASP </w:t>
      </w:r>
      <w:r>
        <w:t>Partner Performance Assessment (</w:t>
      </w:r>
      <w:r w:rsidRPr="00F90B47">
        <w:t>PPA</w:t>
      </w:r>
      <w:r>
        <w:t>)</w:t>
      </w:r>
      <w:r w:rsidRPr="00F90B47">
        <w:t xml:space="preserve"> 2023,</w:t>
      </w:r>
      <w:r>
        <w:t xml:space="preserve"> </w:t>
      </w:r>
      <w:r w:rsidRPr="00F90B47">
        <w:t>2024.</w:t>
      </w:r>
    </w:p>
    <w:p w14:paraId="749DA050" w14:textId="77777777" w:rsidR="00B505BA" w:rsidRDefault="00B505BA" w:rsidP="00B505BA">
      <w:pPr>
        <w:ind w:left="993"/>
      </w:pPr>
      <w:r w:rsidRPr="00F90B47">
        <w:t>DFAT</w:t>
      </w:r>
      <w:r>
        <w:t>,</w:t>
      </w:r>
      <w:r w:rsidRPr="00F90B47">
        <w:t xml:space="preserve"> Internal DFAT - Discussion Paper: Delivery Models for International Development Cooperation.</w:t>
      </w:r>
    </w:p>
    <w:p w14:paraId="4E432008" w14:textId="5E1C0D3B" w:rsidR="00B505BA" w:rsidRDefault="00B505BA" w:rsidP="00B505BA">
      <w:pPr>
        <w:ind w:left="993"/>
      </w:pPr>
      <w:r>
        <w:t>DFAT, 20024, Locally Led Development Guidance Note</w:t>
      </w:r>
    </w:p>
    <w:p w14:paraId="31FC0FF1" w14:textId="77777777" w:rsidR="00B505BA" w:rsidRPr="00F90B47" w:rsidRDefault="00B505BA" w:rsidP="00B505BA">
      <w:pPr>
        <w:ind w:left="993"/>
      </w:pPr>
      <w:r w:rsidRPr="00F90B47">
        <w:t>Cordeiro, M, 2023. FIMR Gender Equality Learning paper Final.</w:t>
      </w:r>
    </w:p>
    <w:p w14:paraId="2DFC60BA" w14:textId="77777777" w:rsidR="00B505BA" w:rsidRPr="00F90B47" w:rsidRDefault="00B505BA" w:rsidP="00B505BA">
      <w:pPr>
        <w:ind w:left="993"/>
      </w:pPr>
      <w:r>
        <w:t>DFAT,</w:t>
      </w:r>
      <w:r w:rsidRPr="00F90B47">
        <w:t xml:space="preserve"> 2024. Tonga Gender Country Plan 2024-2028 clean version.</w:t>
      </w:r>
    </w:p>
    <w:p w14:paraId="461780AF" w14:textId="77777777" w:rsidR="00B505BA" w:rsidRPr="00F90B47" w:rsidRDefault="00B505BA" w:rsidP="00B505BA">
      <w:pPr>
        <w:ind w:left="993"/>
      </w:pPr>
      <w:proofErr w:type="spellStart"/>
      <w:proofErr w:type="gramStart"/>
      <w:r w:rsidRPr="00F90B47">
        <w:t>Elsey,D</w:t>
      </w:r>
      <w:proofErr w:type="spellEnd"/>
      <w:proofErr w:type="gramEnd"/>
      <w:r w:rsidRPr="00F90B47">
        <w:t>, 2023. Pacific Women FIMR Learning Paper FINAL.</w:t>
      </w:r>
    </w:p>
    <w:p w14:paraId="0EB08D7F" w14:textId="77777777" w:rsidR="00B505BA" w:rsidRPr="00F90B47" w:rsidRDefault="00B505BA" w:rsidP="00B505BA">
      <w:pPr>
        <w:ind w:left="993"/>
      </w:pPr>
      <w:r w:rsidRPr="00F90B47">
        <w:t>Ministry of Internal Affairs &amp; the South Pacific Community, 2019.  Gender Equality Where Do We Stand.</w:t>
      </w:r>
    </w:p>
    <w:p w14:paraId="26310566" w14:textId="77777777" w:rsidR="00B505BA" w:rsidRPr="00F90B47" w:rsidRDefault="00B505BA" w:rsidP="00B505BA">
      <w:pPr>
        <w:ind w:left="993"/>
      </w:pPr>
      <w:r w:rsidRPr="00F90B47">
        <w:t>Pacific Women Lead (PWL), 2023. Pacific Women Lead Tonga Country Brief Final.</w:t>
      </w:r>
    </w:p>
    <w:p w14:paraId="41A8DFBD" w14:textId="77777777" w:rsidR="00B505BA" w:rsidRPr="00F90B47" w:rsidRDefault="00B505BA" w:rsidP="00B505BA">
      <w:pPr>
        <w:ind w:left="993"/>
      </w:pPr>
      <w:r w:rsidRPr="00F90B47">
        <w:t xml:space="preserve">TASP, 2024. GEDSI </w:t>
      </w:r>
      <w:r>
        <w:t>A</w:t>
      </w:r>
      <w:r w:rsidRPr="00F90B47">
        <w:t xml:space="preserve">ction </w:t>
      </w:r>
      <w:r>
        <w:t>P</w:t>
      </w:r>
      <w:r w:rsidRPr="00F90B47">
        <w:t>la</w:t>
      </w:r>
      <w:r>
        <w:t>n</w:t>
      </w:r>
      <w:r w:rsidRPr="00F90B47">
        <w:t>.</w:t>
      </w:r>
    </w:p>
    <w:p w14:paraId="30366637" w14:textId="069C2CA8" w:rsidR="00B505BA" w:rsidRDefault="00B505BA" w:rsidP="00B505BA">
      <w:pPr>
        <w:ind w:left="993"/>
      </w:pPr>
      <w:r w:rsidRPr="00F90B47">
        <w:t>TASP</w:t>
      </w:r>
      <w:r>
        <w:t>,</w:t>
      </w:r>
      <w:r w:rsidRPr="00F90B47">
        <w:t xml:space="preserve"> Disability Inclusion Activities: Presentation to DFAT Disability focal points.</w:t>
      </w:r>
    </w:p>
    <w:p w14:paraId="201725E1" w14:textId="3314E7D4" w:rsidR="00B505BA" w:rsidRDefault="00B505BA" w:rsidP="00B505BA">
      <w:pPr>
        <w:ind w:left="993"/>
      </w:pPr>
      <w:r w:rsidRPr="00F90B47">
        <w:t>DFAT, Tonga Governance Support Program - Design Plan</w:t>
      </w:r>
    </w:p>
    <w:p w14:paraId="4D6CFE04" w14:textId="357858FB" w:rsidR="00B505BA" w:rsidRPr="00F90B47" w:rsidRDefault="00B505BA" w:rsidP="00B505BA">
      <w:pPr>
        <w:ind w:left="993"/>
      </w:pPr>
      <w:r w:rsidRPr="00F90B47">
        <w:t>DFAT</w:t>
      </w:r>
      <w:r>
        <w:t>,</w:t>
      </w:r>
      <w:r w:rsidRPr="00F90B47">
        <w:t xml:space="preserve"> DFAT Grant Concept.</w:t>
      </w:r>
    </w:p>
    <w:p w14:paraId="6959C6B4" w14:textId="77777777" w:rsidR="00B505BA" w:rsidRPr="00F90B47" w:rsidRDefault="00B505BA" w:rsidP="00B505BA">
      <w:pPr>
        <w:ind w:left="993"/>
      </w:pPr>
      <w:r w:rsidRPr="00F90B47">
        <w:t>DFAT</w:t>
      </w:r>
      <w:r>
        <w:t>,</w:t>
      </w:r>
      <w:r w:rsidRPr="00F90B47">
        <w:t xml:space="preserve"> Revised Grantees Workplan 2023-24</w:t>
      </w:r>
    </w:p>
    <w:p w14:paraId="3428CCC5" w14:textId="77777777" w:rsidR="00B505BA" w:rsidRPr="00F90B47" w:rsidRDefault="00B505BA" w:rsidP="00B505BA">
      <w:pPr>
        <w:ind w:left="993"/>
      </w:pPr>
      <w:r w:rsidRPr="00F90B47">
        <w:t>DFAT</w:t>
      </w:r>
      <w:r>
        <w:t>,</w:t>
      </w:r>
      <w:r w:rsidRPr="00F90B47">
        <w:t xml:space="preserve"> Revised Grants </w:t>
      </w:r>
      <w:r>
        <w:t>P</w:t>
      </w:r>
      <w:r w:rsidRPr="00F90B47">
        <w:t>rofile.</w:t>
      </w:r>
    </w:p>
    <w:p w14:paraId="1C447231" w14:textId="77777777" w:rsidR="00B505BA" w:rsidRDefault="00B505BA" w:rsidP="00B505BA">
      <w:pPr>
        <w:ind w:left="993"/>
      </w:pPr>
      <w:r w:rsidRPr="00F90B47">
        <w:t>DFAT</w:t>
      </w:r>
      <w:r>
        <w:t>,</w:t>
      </w:r>
      <w:r w:rsidRPr="00F90B47">
        <w:t xml:space="preserve"> Revised Grants Update</w:t>
      </w:r>
    </w:p>
    <w:p w14:paraId="26F984EB" w14:textId="08DD865D" w:rsidR="00B505BA" w:rsidRDefault="00B505BA" w:rsidP="00B505BA">
      <w:pPr>
        <w:ind w:left="993"/>
      </w:pPr>
      <w:r>
        <w:t xml:space="preserve">TTI, 2023. Tonga </w:t>
      </w:r>
      <w:proofErr w:type="spellStart"/>
      <w:r>
        <w:t>Poll_Understanding</w:t>
      </w:r>
      <w:proofErr w:type="spellEnd"/>
      <w:r>
        <w:t xml:space="preserve"> Tongan Attitudes to the World</w:t>
      </w:r>
    </w:p>
    <w:p w14:paraId="7CB06F56" w14:textId="77777777" w:rsidR="00B505BA" w:rsidRPr="00F90B47" w:rsidRDefault="00B505BA" w:rsidP="00B505BA">
      <w:pPr>
        <w:ind w:left="993"/>
      </w:pPr>
      <w:r w:rsidRPr="00F90B47">
        <w:t>DFAT, 2023. Tonga Health Systems Support Program Phase 3 IDD.</w:t>
      </w:r>
    </w:p>
    <w:p w14:paraId="17AC33C0" w14:textId="77777777" w:rsidR="00B505BA" w:rsidRDefault="00B505BA" w:rsidP="00B505BA">
      <w:pPr>
        <w:ind w:left="993"/>
      </w:pPr>
      <w:r>
        <w:t xml:space="preserve">DFAT, </w:t>
      </w:r>
      <w:r w:rsidRPr="00F143E3">
        <w:t>2023,</w:t>
      </w:r>
      <w:r>
        <w:t xml:space="preserve"> Tonga Health Systems Support Program Phase 3 – Design Document</w:t>
      </w:r>
      <w:r w:rsidRPr="00F90B47">
        <w:t xml:space="preserve"> </w:t>
      </w:r>
    </w:p>
    <w:p w14:paraId="444A09D1" w14:textId="77777777" w:rsidR="00B505BA" w:rsidRPr="00F90B47" w:rsidRDefault="00B505BA" w:rsidP="00B505BA">
      <w:pPr>
        <w:ind w:left="993"/>
      </w:pPr>
      <w:r w:rsidRPr="00F90B47">
        <w:t>DFAT, 2024. Tonga Health System Support Program 3: Investment Monitoring Report.</w:t>
      </w:r>
    </w:p>
    <w:p w14:paraId="67677230" w14:textId="77777777" w:rsidR="00B505BA" w:rsidRPr="00F90B47" w:rsidRDefault="00B505BA" w:rsidP="00B505BA">
      <w:pPr>
        <w:ind w:left="993"/>
      </w:pPr>
      <w:r w:rsidRPr="00F90B47">
        <w:t>Marlow. C, 2023.  Assessment of Vaiola Hospital Sewerage System</w:t>
      </w:r>
      <w:r>
        <w:t>.</w:t>
      </w:r>
    </w:p>
    <w:p w14:paraId="06947E6C" w14:textId="77777777" w:rsidR="00B505BA" w:rsidRPr="00F90B47" w:rsidRDefault="00B505BA" w:rsidP="00B505BA">
      <w:pPr>
        <w:ind w:left="993"/>
      </w:pPr>
      <w:r w:rsidRPr="00F90B47">
        <w:t>TASP, 2024. Tonga Health Review Report</w:t>
      </w:r>
      <w:r>
        <w:t>: Tonga Health Promotion Foundation</w:t>
      </w:r>
      <w:r w:rsidRPr="00F90B47">
        <w:t>.</w:t>
      </w:r>
    </w:p>
    <w:p w14:paraId="72E956B6" w14:textId="09C2A6B1" w:rsidR="00B505BA" w:rsidRDefault="00B505BA" w:rsidP="00B505BA">
      <w:pPr>
        <w:ind w:left="993"/>
      </w:pPr>
      <w:r w:rsidRPr="00F90B47">
        <w:t>TASP</w:t>
      </w:r>
      <w:r>
        <w:t>,</w:t>
      </w:r>
      <w:r w:rsidRPr="00F90B47">
        <w:t xml:space="preserve"> Sample of THSSP3 workplans and reports. </w:t>
      </w:r>
    </w:p>
    <w:p w14:paraId="7F5C7AFC" w14:textId="77777777" w:rsidR="00B505BA" w:rsidRPr="00F90B47" w:rsidRDefault="00B505BA" w:rsidP="00B505BA">
      <w:pPr>
        <w:ind w:left="993"/>
      </w:pPr>
      <w:r w:rsidRPr="00F90B47">
        <w:t>DFAT</w:t>
      </w:r>
      <w:r>
        <w:t xml:space="preserve">, 2023, </w:t>
      </w:r>
      <w:r w:rsidRPr="00F90B47">
        <w:t>PALM country level GEDSI analysis Tonga</w:t>
      </w:r>
    </w:p>
    <w:p w14:paraId="19E71899" w14:textId="77777777" w:rsidR="00B505BA" w:rsidRPr="00F90B47" w:rsidRDefault="00B505BA" w:rsidP="00B505BA">
      <w:pPr>
        <w:ind w:left="993"/>
      </w:pPr>
      <w:r w:rsidRPr="00F90B47">
        <w:lastRenderedPageBreak/>
        <w:t>DFAT, Labour mobility context country profile Tonga</w:t>
      </w:r>
    </w:p>
    <w:p w14:paraId="51A77395" w14:textId="77777777" w:rsidR="00B505BA" w:rsidRDefault="00B505BA" w:rsidP="00B505BA">
      <w:pPr>
        <w:ind w:left="993"/>
      </w:pPr>
      <w:r w:rsidRPr="00F90B47">
        <w:t>DFAT</w:t>
      </w:r>
      <w:r>
        <w:t>,</w:t>
      </w:r>
      <w:r w:rsidRPr="00F90B47">
        <w:t xml:space="preserve"> PSSP Stakeholder Consultation Tonga</w:t>
      </w:r>
    </w:p>
    <w:p w14:paraId="2009F858" w14:textId="77777777" w:rsidR="00B505BA" w:rsidRDefault="00B505BA" w:rsidP="00B505BA">
      <w:pPr>
        <w:ind w:left="993"/>
      </w:pPr>
      <w:r>
        <w:t xml:space="preserve">TASP, 2024, Response – Consultation </w:t>
      </w:r>
      <w:proofErr w:type="spellStart"/>
      <w:r>
        <w:t>Report_RB</w:t>
      </w:r>
      <w:proofErr w:type="spellEnd"/>
    </w:p>
    <w:p w14:paraId="63CE6097" w14:textId="3988F9F2" w:rsidR="00B505BA" w:rsidRDefault="00B505BA" w:rsidP="00B505BA">
      <w:pPr>
        <w:ind w:left="993"/>
      </w:pPr>
      <w:r>
        <w:t>TASP, 2024, Response – Interventions (summary table)</w:t>
      </w:r>
    </w:p>
    <w:p w14:paraId="59945010" w14:textId="77777777" w:rsidR="00B505BA" w:rsidRDefault="00B505BA" w:rsidP="00B505BA">
      <w:pPr>
        <w:ind w:left="993"/>
      </w:pPr>
      <w:r>
        <w:t>TASP, 2024, Policy dialogue strategy for TASP_v5 (internal)</w:t>
      </w:r>
    </w:p>
    <w:p w14:paraId="29D04EFB" w14:textId="77777777" w:rsidR="00B505BA" w:rsidRDefault="00B505BA" w:rsidP="00B505BA">
      <w:pPr>
        <w:ind w:left="993"/>
      </w:pPr>
      <w:r>
        <w:t>TASP, Accelerated expenditure plan_v5_FY24 (internal)</w:t>
      </w:r>
    </w:p>
    <w:p w14:paraId="3772AC81" w14:textId="77777777" w:rsidR="00B505BA" w:rsidRPr="00F90B47" w:rsidRDefault="00B505BA" w:rsidP="00B505BA">
      <w:pPr>
        <w:ind w:left="993"/>
      </w:pPr>
      <w:r w:rsidRPr="00F90B47">
        <w:t>DFAT, 2023. TASP IDD - Vol 2 - Annexes only.</w:t>
      </w:r>
    </w:p>
    <w:p w14:paraId="4550A8FB" w14:textId="77777777" w:rsidR="00B505BA" w:rsidRDefault="00B505BA" w:rsidP="00B505BA">
      <w:pPr>
        <w:ind w:left="993"/>
      </w:pPr>
      <w:r w:rsidRPr="00F90B47">
        <w:t>TASP</w:t>
      </w:r>
      <w:r>
        <w:t>,</w:t>
      </w:r>
      <w:r w:rsidRPr="00F90B47">
        <w:t xml:space="preserve"> TASP Org chart V5 Final.</w:t>
      </w:r>
    </w:p>
    <w:p w14:paraId="426F700A" w14:textId="77777777" w:rsidR="00B505BA" w:rsidRPr="00F90B47" w:rsidRDefault="00B505BA" w:rsidP="00B505BA">
      <w:pPr>
        <w:ind w:left="993"/>
      </w:pPr>
      <w:r>
        <w:t>TASP, TASP org chart_V6.3_TH 27062024</w:t>
      </w:r>
    </w:p>
    <w:p w14:paraId="4829F4B7" w14:textId="77777777" w:rsidR="00B505BA" w:rsidRPr="00F90B47" w:rsidRDefault="00B505BA" w:rsidP="00B505BA">
      <w:pPr>
        <w:ind w:left="993"/>
      </w:pPr>
      <w:r w:rsidRPr="00F90B47">
        <w:t>TASP, 2023. TASP ways of working agreement edited by DFAT as of 14082023 Final</w:t>
      </w:r>
    </w:p>
    <w:p w14:paraId="0C9DFC75" w14:textId="77777777" w:rsidR="00B505BA" w:rsidRPr="00F90B47" w:rsidRDefault="00B505BA" w:rsidP="00B505BA">
      <w:pPr>
        <w:ind w:left="993"/>
      </w:pPr>
      <w:r w:rsidRPr="00F90B47">
        <w:t>TASP, 2024. TASP ways of working agreement May 2024 (currently being drafted) May 2024.</w:t>
      </w:r>
    </w:p>
    <w:p w14:paraId="23EABE2B" w14:textId="77777777" w:rsidR="00B505BA" w:rsidRPr="00F90B47" w:rsidRDefault="00B505BA" w:rsidP="00B505BA">
      <w:pPr>
        <w:ind w:left="993"/>
      </w:pPr>
      <w:r w:rsidRPr="00F90B47">
        <w:t>TASP</w:t>
      </w:r>
      <w:r>
        <w:t>,</w:t>
      </w:r>
      <w:r w:rsidRPr="00F90B47">
        <w:t xml:space="preserve"> 2023. TASP Annual Report FY 22-23 FINAL.</w:t>
      </w:r>
    </w:p>
    <w:p w14:paraId="7F8E2ACB" w14:textId="77777777" w:rsidR="00B505BA" w:rsidRPr="00F90B47" w:rsidRDefault="00B505BA" w:rsidP="00B505BA">
      <w:pPr>
        <w:ind w:left="993"/>
      </w:pPr>
      <w:r w:rsidRPr="00F90B47">
        <w:t>TASP</w:t>
      </w:r>
      <w:r>
        <w:t>,</w:t>
      </w:r>
      <w:r w:rsidRPr="00F90B47">
        <w:t xml:space="preserve"> TASP AR Annex 3 Measurement Framework.</w:t>
      </w:r>
    </w:p>
    <w:p w14:paraId="0C0CB046" w14:textId="77777777" w:rsidR="00B505BA" w:rsidRPr="00F90B47" w:rsidRDefault="00B505BA" w:rsidP="00B505BA">
      <w:pPr>
        <w:ind w:left="993"/>
      </w:pPr>
      <w:r w:rsidRPr="00F90B47">
        <w:t>TASP, 2023. TASP inception and 6 monthly report final.</w:t>
      </w:r>
    </w:p>
    <w:p w14:paraId="5DD33117" w14:textId="77777777" w:rsidR="00B505BA" w:rsidRPr="00F90B47" w:rsidRDefault="00B505BA" w:rsidP="00B505BA">
      <w:pPr>
        <w:ind w:left="993"/>
      </w:pPr>
      <w:r w:rsidRPr="00F90B47">
        <w:t>TASP</w:t>
      </w:r>
      <w:r>
        <w:t>,</w:t>
      </w:r>
      <w:r w:rsidRPr="00F90B47">
        <w:t xml:space="preserve"> TASP AR22-23 MR Jul - Dec 2023.</w:t>
      </w:r>
    </w:p>
    <w:p w14:paraId="0A0F1A06" w14:textId="77777777" w:rsidR="00B505BA" w:rsidRDefault="00B505BA" w:rsidP="00B505BA">
      <w:pPr>
        <w:ind w:left="993"/>
      </w:pPr>
      <w:r w:rsidRPr="00F90B47">
        <w:t>TASP, 2023. TASP 6 monthly report</w:t>
      </w:r>
      <w:r>
        <w:t>, May 2023</w:t>
      </w:r>
      <w:r w:rsidRPr="00F90B47">
        <w:t>.</w:t>
      </w:r>
    </w:p>
    <w:p w14:paraId="0066036B" w14:textId="77777777" w:rsidR="00B505BA" w:rsidRPr="00F90B47" w:rsidRDefault="00B505BA" w:rsidP="00B505BA">
      <w:pPr>
        <w:ind w:left="993"/>
      </w:pPr>
      <w:r w:rsidRPr="00F90B47">
        <w:t>TASP</w:t>
      </w:r>
      <w:r>
        <w:t>,</w:t>
      </w:r>
      <w:r w:rsidRPr="00F90B47">
        <w:t xml:space="preserve"> </w:t>
      </w:r>
      <w:r>
        <w:t xml:space="preserve">March 2024. </w:t>
      </w:r>
      <w:r w:rsidRPr="00F90B47">
        <w:t>TASP Mid FY Progress Presentation (FINAL).</w:t>
      </w:r>
    </w:p>
    <w:p w14:paraId="682E76E6" w14:textId="77777777" w:rsidR="00B505BA" w:rsidRDefault="00B505BA" w:rsidP="00B505BA">
      <w:pPr>
        <w:ind w:left="273" w:firstLine="720"/>
      </w:pPr>
    </w:p>
    <w:p w14:paraId="6BC0975B" w14:textId="77777777" w:rsidR="00194B11" w:rsidRDefault="00194B11" w:rsidP="00A348C7"/>
    <w:p w14:paraId="6BC0975C" w14:textId="77777777" w:rsidR="00194B11" w:rsidRDefault="00194B11" w:rsidP="00A348C7"/>
    <w:p w14:paraId="6BC0975D" w14:textId="77777777" w:rsidR="00194B11" w:rsidRDefault="00194B11" w:rsidP="00A348C7"/>
    <w:p w14:paraId="6BC0975E" w14:textId="77777777" w:rsidR="00194B11" w:rsidRDefault="00194B11" w:rsidP="00A348C7">
      <w:pPr>
        <w:sectPr w:rsidR="00194B11" w:rsidSect="00A6774F">
          <w:pgSz w:w="11906" w:h="16838"/>
          <w:pgMar w:top="1814" w:right="1134" w:bottom="1134" w:left="0" w:header="851" w:footer="454" w:gutter="0"/>
          <w:pgNumType w:fmt="lowerRoman"/>
          <w:cols w:space="720"/>
        </w:sectPr>
      </w:pPr>
    </w:p>
    <w:p w14:paraId="6BC0975F" w14:textId="39089C68" w:rsidR="00194B11" w:rsidRDefault="000F1258" w:rsidP="00A348C7">
      <w:pPr>
        <w:pStyle w:val="Heading1"/>
      </w:pPr>
      <w:bookmarkStart w:id="49" w:name="_Annex_3:_List"/>
      <w:bookmarkStart w:id="50" w:name="_Toc183423596"/>
      <w:bookmarkEnd w:id="49"/>
      <w:r>
        <w:lastRenderedPageBreak/>
        <w:t>Annex 3: List of People Consulted</w:t>
      </w:r>
      <w:bookmarkEnd w:id="50"/>
    </w:p>
    <w:p w14:paraId="072424B5" w14:textId="77777777" w:rsidR="00A2025F" w:rsidRDefault="00B505BA" w:rsidP="00A2025F">
      <w:r>
        <w:t>DFAT</w:t>
      </w:r>
    </w:p>
    <w:p w14:paraId="07B5B89F" w14:textId="4E2BF35D" w:rsidR="00B505BA" w:rsidRDefault="00B505BA" w:rsidP="00A2025F">
      <w:pPr>
        <w:ind w:left="720"/>
        <w:rPr>
          <w:rFonts w:cstheme="minorHAnsi"/>
          <w:szCs w:val="20"/>
        </w:rPr>
      </w:pPr>
      <w:r w:rsidRPr="00CF1C5F">
        <w:rPr>
          <w:rFonts w:cstheme="minorHAnsi"/>
          <w:szCs w:val="20"/>
        </w:rPr>
        <w:t>Kirsten Hawke</w:t>
      </w:r>
      <w:r>
        <w:rPr>
          <w:rFonts w:cstheme="minorHAnsi"/>
          <w:szCs w:val="20"/>
        </w:rPr>
        <w:t xml:space="preserve">, </w:t>
      </w:r>
      <w:r w:rsidRPr="00CF1C5F">
        <w:rPr>
          <w:rFonts w:cstheme="minorHAnsi"/>
          <w:szCs w:val="20"/>
        </w:rPr>
        <w:t>Director Design and Locally Led Development, Design &amp; Program Advisory Section, DFAT Canberra</w:t>
      </w:r>
    </w:p>
    <w:p w14:paraId="0EBCC735" w14:textId="26D7D155" w:rsidR="00B505BA" w:rsidRDefault="00B505BA" w:rsidP="00B505BA">
      <w:pPr>
        <w:ind w:left="720"/>
        <w:rPr>
          <w:rFonts w:cstheme="minorHAnsi"/>
          <w:szCs w:val="20"/>
        </w:rPr>
      </w:pPr>
      <w:r w:rsidRPr="00CF1C5F">
        <w:rPr>
          <w:rFonts w:cstheme="minorHAnsi"/>
          <w:szCs w:val="20"/>
        </w:rPr>
        <w:t>Nick Murphy</w:t>
      </w:r>
      <w:r>
        <w:rPr>
          <w:rFonts w:cstheme="minorHAnsi"/>
          <w:szCs w:val="20"/>
        </w:rPr>
        <w:t xml:space="preserve">, </w:t>
      </w:r>
      <w:r w:rsidRPr="00CF1C5F">
        <w:rPr>
          <w:rFonts w:cstheme="minorHAnsi"/>
          <w:szCs w:val="20"/>
        </w:rPr>
        <w:t>Former Deputy High Commissioner, Tonga</w:t>
      </w:r>
    </w:p>
    <w:p w14:paraId="29187052" w14:textId="048D2A6A" w:rsidR="00B505BA" w:rsidRDefault="00B505BA" w:rsidP="00B505BA">
      <w:pPr>
        <w:ind w:left="720"/>
        <w:rPr>
          <w:rFonts w:cstheme="minorHAnsi"/>
          <w:szCs w:val="20"/>
        </w:rPr>
      </w:pPr>
      <w:r w:rsidRPr="00CF1C5F">
        <w:rPr>
          <w:rFonts w:cstheme="minorHAnsi"/>
          <w:szCs w:val="20"/>
        </w:rPr>
        <w:t>Erin Gleeson</w:t>
      </w:r>
      <w:r>
        <w:rPr>
          <w:rFonts w:cstheme="minorHAnsi"/>
          <w:szCs w:val="20"/>
        </w:rPr>
        <w:t xml:space="preserve">, </w:t>
      </w:r>
      <w:r w:rsidRPr="00CF1C5F">
        <w:rPr>
          <w:rFonts w:cstheme="minorHAnsi"/>
          <w:szCs w:val="20"/>
        </w:rPr>
        <w:t>Deputy High Commissioner/Counsellor Development, AHC</w:t>
      </w:r>
    </w:p>
    <w:p w14:paraId="6E860B2C" w14:textId="1D8172C2" w:rsidR="00B505BA" w:rsidRDefault="00B505BA" w:rsidP="00B505BA">
      <w:pPr>
        <w:ind w:left="720"/>
        <w:rPr>
          <w:rFonts w:cstheme="minorHAnsi"/>
          <w:szCs w:val="20"/>
        </w:rPr>
      </w:pPr>
      <w:r w:rsidRPr="00CF1C5F">
        <w:rPr>
          <w:rFonts w:cstheme="minorHAnsi"/>
          <w:szCs w:val="20"/>
        </w:rPr>
        <w:t>Alison Gow</w:t>
      </w:r>
      <w:r>
        <w:rPr>
          <w:rFonts w:cstheme="minorHAnsi"/>
          <w:szCs w:val="20"/>
        </w:rPr>
        <w:t xml:space="preserve">, </w:t>
      </w:r>
      <w:r w:rsidRPr="00CF1C5F">
        <w:rPr>
          <w:rFonts w:cstheme="minorHAnsi"/>
          <w:szCs w:val="20"/>
        </w:rPr>
        <w:t>First Secretary, AHC</w:t>
      </w:r>
    </w:p>
    <w:p w14:paraId="06889673" w14:textId="6BC26B7F" w:rsidR="00B505BA" w:rsidRDefault="00B505BA" w:rsidP="00B505BA">
      <w:pPr>
        <w:ind w:left="720"/>
        <w:rPr>
          <w:rFonts w:cstheme="minorHAnsi"/>
          <w:szCs w:val="20"/>
        </w:rPr>
      </w:pPr>
      <w:r w:rsidRPr="00CF1C5F">
        <w:rPr>
          <w:rFonts w:cstheme="minorHAnsi"/>
          <w:szCs w:val="20"/>
        </w:rPr>
        <w:t>Latu Fusimalohi</w:t>
      </w:r>
      <w:r>
        <w:rPr>
          <w:rFonts w:cstheme="minorHAnsi"/>
          <w:szCs w:val="20"/>
        </w:rPr>
        <w:t xml:space="preserve">, </w:t>
      </w:r>
      <w:r w:rsidRPr="00CF1C5F">
        <w:rPr>
          <w:rFonts w:cstheme="minorHAnsi"/>
          <w:szCs w:val="20"/>
        </w:rPr>
        <w:t>Program Manager, Health, AHC</w:t>
      </w:r>
    </w:p>
    <w:p w14:paraId="35ECFAD3" w14:textId="52481800" w:rsidR="00B505BA" w:rsidRDefault="00B505BA" w:rsidP="00B505BA">
      <w:pPr>
        <w:ind w:left="720"/>
        <w:rPr>
          <w:rFonts w:cstheme="minorHAnsi"/>
          <w:szCs w:val="20"/>
        </w:rPr>
      </w:pPr>
      <w:r w:rsidRPr="00CF1C5F">
        <w:rPr>
          <w:rFonts w:cstheme="minorHAnsi"/>
          <w:szCs w:val="20"/>
        </w:rPr>
        <w:t>‘Aulola ‘Ake</w:t>
      </w:r>
      <w:r>
        <w:rPr>
          <w:rFonts w:cstheme="minorHAnsi"/>
          <w:szCs w:val="20"/>
        </w:rPr>
        <w:t xml:space="preserve">, </w:t>
      </w:r>
      <w:r w:rsidRPr="00CF1C5F">
        <w:rPr>
          <w:rFonts w:cstheme="minorHAnsi"/>
          <w:szCs w:val="20"/>
        </w:rPr>
        <w:t>Senior Program Manager, Gender and Governance, AHC</w:t>
      </w:r>
    </w:p>
    <w:p w14:paraId="7600089B" w14:textId="34B9C581" w:rsidR="00B505BA" w:rsidRDefault="00B505BA" w:rsidP="00B505BA">
      <w:pPr>
        <w:ind w:left="720"/>
        <w:rPr>
          <w:rFonts w:cstheme="minorHAnsi"/>
          <w:szCs w:val="20"/>
        </w:rPr>
      </w:pPr>
      <w:r w:rsidRPr="00CF1C5F">
        <w:rPr>
          <w:rFonts w:cstheme="minorHAnsi"/>
          <w:szCs w:val="20"/>
        </w:rPr>
        <w:t>Edwina Tangitau</w:t>
      </w:r>
      <w:r>
        <w:rPr>
          <w:rFonts w:cstheme="minorHAnsi"/>
          <w:szCs w:val="20"/>
        </w:rPr>
        <w:t xml:space="preserve">, </w:t>
      </w:r>
      <w:r w:rsidRPr="00CF1C5F">
        <w:rPr>
          <w:rFonts w:cstheme="minorHAnsi"/>
          <w:szCs w:val="20"/>
        </w:rPr>
        <w:t>Program Manager (former Grants Program Manager), AHC</w:t>
      </w:r>
    </w:p>
    <w:p w14:paraId="44A5A64E" w14:textId="56DB27A9" w:rsidR="00B505BA" w:rsidRDefault="00B505BA" w:rsidP="00B505BA">
      <w:pPr>
        <w:ind w:left="720"/>
        <w:rPr>
          <w:rFonts w:cstheme="minorHAnsi"/>
          <w:szCs w:val="20"/>
        </w:rPr>
      </w:pPr>
      <w:r w:rsidRPr="00CF1C5F">
        <w:rPr>
          <w:rFonts w:cstheme="minorHAnsi"/>
          <w:szCs w:val="20"/>
        </w:rPr>
        <w:t>Elisapeta Fa’aui</w:t>
      </w:r>
      <w:r>
        <w:rPr>
          <w:rFonts w:cstheme="minorHAnsi"/>
          <w:szCs w:val="20"/>
        </w:rPr>
        <w:t xml:space="preserve">, </w:t>
      </w:r>
      <w:r w:rsidRPr="00CF1C5F">
        <w:rPr>
          <w:rFonts w:cstheme="minorHAnsi"/>
          <w:szCs w:val="20"/>
        </w:rPr>
        <w:t>Senior Program Manager, Skills, AHC</w:t>
      </w:r>
    </w:p>
    <w:p w14:paraId="3773F829" w14:textId="032E51EB" w:rsidR="00B505BA" w:rsidRDefault="00B505BA" w:rsidP="00B505BA">
      <w:pPr>
        <w:rPr>
          <w:rFonts w:cstheme="minorHAnsi"/>
          <w:szCs w:val="20"/>
        </w:rPr>
      </w:pPr>
      <w:r>
        <w:rPr>
          <w:rFonts w:cstheme="minorHAnsi"/>
          <w:szCs w:val="20"/>
        </w:rPr>
        <w:t>DT Global/TASP</w:t>
      </w:r>
    </w:p>
    <w:p w14:paraId="627EA11C" w14:textId="1555C0EA" w:rsidR="00B505BA" w:rsidRDefault="00B505BA" w:rsidP="00B505BA">
      <w:pPr>
        <w:ind w:left="720"/>
        <w:rPr>
          <w:rFonts w:cstheme="minorHAnsi"/>
          <w:szCs w:val="20"/>
        </w:rPr>
      </w:pPr>
      <w:r w:rsidRPr="00CF1C5F">
        <w:rPr>
          <w:rFonts w:cstheme="minorHAnsi"/>
          <w:szCs w:val="20"/>
        </w:rPr>
        <w:t>Dave Green</w:t>
      </w:r>
      <w:r>
        <w:rPr>
          <w:rFonts w:cstheme="minorHAnsi"/>
          <w:szCs w:val="20"/>
        </w:rPr>
        <w:t xml:space="preserve">, </w:t>
      </w:r>
      <w:r w:rsidRPr="00CF1C5F">
        <w:rPr>
          <w:rFonts w:cstheme="minorHAnsi"/>
          <w:szCs w:val="20"/>
        </w:rPr>
        <w:t>Monitoring and Evaluation Adviser, Clear Horizon</w:t>
      </w:r>
    </w:p>
    <w:p w14:paraId="61325FE4" w14:textId="6D1694E2" w:rsidR="00B505BA" w:rsidRDefault="00B505BA" w:rsidP="00B505BA">
      <w:pPr>
        <w:ind w:left="720"/>
        <w:rPr>
          <w:rFonts w:cstheme="minorHAnsi"/>
          <w:szCs w:val="20"/>
        </w:rPr>
      </w:pPr>
      <w:r w:rsidRPr="00CF1C5F">
        <w:rPr>
          <w:rFonts w:cstheme="minorHAnsi"/>
          <w:szCs w:val="20"/>
        </w:rPr>
        <w:t>Benjamin Mayes</w:t>
      </w:r>
      <w:r>
        <w:rPr>
          <w:rFonts w:cstheme="minorHAnsi"/>
          <w:szCs w:val="20"/>
        </w:rPr>
        <w:t xml:space="preserve">, </w:t>
      </w:r>
      <w:r w:rsidRPr="00CF1C5F">
        <w:rPr>
          <w:rFonts w:cstheme="minorHAnsi"/>
          <w:szCs w:val="20"/>
        </w:rPr>
        <w:t>Former Team Leader</w:t>
      </w:r>
    </w:p>
    <w:p w14:paraId="2D1FE6F3" w14:textId="24214E23" w:rsidR="00B505BA" w:rsidRDefault="00B505BA" w:rsidP="00B505BA">
      <w:pPr>
        <w:ind w:left="720"/>
        <w:rPr>
          <w:rFonts w:cstheme="minorHAnsi"/>
          <w:szCs w:val="20"/>
        </w:rPr>
      </w:pPr>
      <w:r w:rsidRPr="00CF1C5F">
        <w:rPr>
          <w:rFonts w:cstheme="minorHAnsi"/>
          <w:szCs w:val="20"/>
        </w:rPr>
        <w:t>Keith Twyford</w:t>
      </w:r>
      <w:r>
        <w:rPr>
          <w:rFonts w:cstheme="minorHAnsi"/>
          <w:szCs w:val="20"/>
        </w:rPr>
        <w:t xml:space="preserve">, </w:t>
      </w:r>
      <w:r w:rsidRPr="00CF1C5F">
        <w:rPr>
          <w:rFonts w:cstheme="minorHAnsi"/>
          <w:szCs w:val="20"/>
        </w:rPr>
        <w:t>Former Team Leader</w:t>
      </w:r>
    </w:p>
    <w:p w14:paraId="452104DB" w14:textId="13A3ABE5" w:rsidR="00B505BA" w:rsidRDefault="00B505BA" w:rsidP="00B505BA">
      <w:pPr>
        <w:ind w:left="720"/>
        <w:rPr>
          <w:rFonts w:cstheme="minorHAnsi"/>
          <w:szCs w:val="20"/>
        </w:rPr>
      </w:pPr>
      <w:r w:rsidRPr="00CF1C5F">
        <w:rPr>
          <w:rFonts w:cstheme="minorHAnsi"/>
          <w:szCs w:val="20"/>
        </w:rPr>
        <w:t>Tania Paul</w:t>
      </w:r>
      <w:r>
        <w:rPr>
          <w:rFonts w:cstheme="minorHAnsi"/>
          <w:szCs w:val="20"/>
        </w:rPr>
        <w:t xml:space="preserve">, </w:t>
      </w:r>
      <w:r w:rsidRPr="00CF1C5F">
        <w:rPr>
          <w:rFonts w:cstheme="minorHAnsi"/>
          <w:szCs w:val="20"/>
        </w:rPr>
        <w:t>DT Global Australia</w:t>
      </w:r>
    </w:p>
    <w:p w14:paraId="516D2357" w14:textId="55F7C880" w:rsidR="00B505BA" w:rsidRDefault="00B505BA" w:rsidP="00B505BA">
      <w:pPr>
        <w:ind w:left="720"/>
        <w:rPr>
          <w:rFonts w:cstheme="minorHAnsi"/>
          <w:szCs w:val="20"/>
        </w:rPr>
      </w:pPr>
      <w:r w:rsidRPr="00CF1C5F">
        <w:rPr>
          <w:rFonts w:cstheme="minorHAnsi"/>
          <w:szCs w:val="20"/>
        </w:rPr>
        <w:t xml:space="preserve">Sam </w:t>
      </w:r>
      <w:proofErr w:type="spellStart"/>
      <w:r w:rsidRPr="00CF1C5F">
        <w:rPr>
          <w:rFonts w:cstheme="minorHAnsi"/>
          <w:szCs w:val="20"/>
        </w:rPr>
        <w:t>Spurrutt</w:t>
      </w:r>
      <w:proofErr w:type="spellEnd"/>
      <w:r>
        <w:rPr>
          <w:rFonts w:cstheme="minorHAnsi"/>
          <w:szCs w:val="20"/>
        </w:rPr>
        <w:t xml:space="preserve">, </w:t>
      </w:r>
      <w:r w:rsidRPr="00CF1C5F">
        <w:rPr>
          <w:rFonts w:cstheme="minorHAnsi"/>
          <w:szCs w:val="20"/>
        </w:rPr>
        <w:t>DT Global Australia</w:t>
      </w:r>
    </w:p>
    <w:p w14:paraId="5945A211" w14:textId="06D62F1C" w:rsidR="00B505BA" w:rsidRDefault="00B505BA" w:rsidP="00B505BA">
      <w:pPr>
        <w:ind w:left="720"/>
        <w:rPr>
          <w:rFonts w:cstheme="minorHAnsi"/>
          <w:szCs w:val="20"/>
        </w:rPr>
      </w:pPr>
      <w:r w:rsidRPr="00CF1C5F">
        <w:rPr>
          <w:rFonts w:cstheme="minorHAnsi"/>
          <w:szCs w:val="20"/>
        </w:rPr>
        <w:t>Bridget Gray</w:t>
      </w:r>
      <w:r>
        <w:rPr>
          <w:rFonts w:cstheme="minorHAnsi"/>
          <w:szCs w:val="20"/>
        </w:rPr>
        <w:t>, Director/Team Leader</w:t>
      </w:r>
      <w:r w:rsidRPr="00CF1C5F">
        <w:rPr>
          <w:rFonts w:cstheme="minorHAnsi"/>
          <w:szCs w:val="20"/>
        </w:rPr>
        <w:t>, TASP</w:t>
      </w:r>
    </w:p>
    <w:p w14:paraId="5E358333" w14:textId="1C1AB1DD" w:rsidR="00B505BA" w:rsidRDefault="00B505BA" w:rsidP="00B505BA">
      <w:pPr>
        <w:ind w:left="720"/>
        <w:rPr>
          <w:rFonts w:cstheme="minorHAnsi"/>
          <w:szCs w:val="20"/>
        </w:rPr>
      </w:pPr>
      <w:r w:rsidRPr="00CF1C5F">
        <w:rPr>
          <w:rFonts w:cstheme="minorHAnsi"/>
          <w:szCs w:val="20"/>
        </w:rPr>
        <w:t>Rosamond Bing</w:t>
      </w:r>
      <w:r>
        <w:rPr>
          <w:rFonts w:cstheme="minorHAnsi"/>
          <w:szCs w:val="20"/>
        </w:rPr>
        <w:t xml:space="preserve">, </w:t>
      </w:r>
      <w:r w:rsidRPr="00CF1C5F">
        <w:rPr>
          <w:rFonts w:cstheme="minorHAnsi"/>
          <w:szCs w:val="20"/>
        </w:rPr>
        <w:t>Deputy Team Leader, Programs</w:t>
      </w:r>
      <w:r>
        <w:rPr>
          <w:rFonts w:cstheme="minorHAnsi"/>
          <w:szCs w:val="20"/>
        </w:rPr>
        <w:t>, TASP</w:t>
      </w:r>
    </w:p>
    <w:p w14:paraId="375A83EA" w14:textId="41FCF2F1" w:rsidR="00B505BA" w:rsidRDefault="00B505BA" w:rsidP="00B505BA">
      <w:pPr>
        <w:ind w:left="720"/>
        <w:rPr>
          <w:rFonts w:cstheme="minorHAnsi"/>
          <w:szCs w:val="20"/>
        </w:rPr>
      </w:pPr>
      <w:r w:rsidRPr="00CF1C5F">
        <w:rPr>
          <w:rFonts w:cstheme="minorHAnsi"/>
          <w:szCs w:val="20"/>
        </w:rPr>
        <w:t>Clare Whelan</w:t>
      </w:r>
      <w:r>
        <w:rPr>
          <w:rFonts w:cstheme="minorHAnsi"/>
          <w:szCs w:val="20"/>
        </w:rPr>
        <w:t xml:space="preserve">, </w:t>
      </w:r>
      <w:r w:rsidRPr="00CF1C5F">
        <w:rPr>
          <w:rFonts w:cstheme="minorHAnsi"/>
          <w:szCs w:val="20"/>
        </w:rPr>
        <w:t>Team Leader, Health</w:t>
      </w:r>
      <w:r>
        <w:rPr>
          <w:rFonts w:cstheme="minorHAnsi"/>
          <w:szCs w:val="20"/>
        </w:rPr>
        <w:t>, TASP</w:t>
      </w:r>
    </w:p>
    <w:p w14:paraId="0B2BB5C6" w14:textId="5D29448C" w:rsidR="00B505BA" w:rsidRDefault="00B505BA" w:rsidP="00B505BA">
      <w:pPr>
        <w:ind w:left="720"/>
        <w:rPr>
          <w:rFonts w:cstheme="minorHAnsi"/>
          <w:szCs w:val="20"/>
        </w:rPr>
      </w:pPr>
      <w:r w:rsidRPr="00CF1C5F">
        <w:rPr>
          <w:rFonts w:cstheme="minorHAnsi"/>
          <w:szCs w:val="20"/>
        </w:rPr>
        <w:t>Karen Fukofuka</w:t>
      </w:r>
      <w:r>
        <w:rPr>
          <w:rFonts w:cstheme="minorHAnsi"/>
          <w:szCs w:val="20"/>
        </w:rPr>
        <w:t xml:space="preserve">, </w:t>
      </w:r>
      <w:r w:rsidRPr="00CF1C5F">
        <w:rPr>
          <w:rFonts w:cstheme="minorHAnsi"/>
          <w:szCs w:val="20"/>
        </w:rPr>
        <w:t>National NCD Strategy Implementation Adviser</w:t>
      </w:r>
      <w:r>
        <w:rPr>
          <w:rFonts w:cstheme="minorHAnsi"/>
          <w:szCs w:val="20"/>
        </w:rPr>
        <w:t>, TASP</w:t>
      </w:r>
    </w:p>
    <w:p w14:paraId="46E92729" w14:textId="4FBAC5D8" w:rsidR="00B505BA" w:rsidRDefault="00B505BA" w:rsidP="00B505BA">
      <w:pPr>
        <w:ind w:left="720"/>
        <w:rPr>
          <w:rFonts w:cstheme="minorHAnsi"/>
          <w:szCs w:val="20"/>
        </w:rPr>
      </w:pPr>
      <w:r w:rsidRPr="00CF1C5F">
        <w:rPr>
          <w:rFonts w:cstheme="minorHAnsi"/>
          <w:szCs w:val="20"/>
        </w:rPr>
        <w:t>Tracey Tupou</w:t>
      </w:r>
      <w:r>
        <w:rPr>
          <w:rFonts w:cstheme="minorHAnsi"/>
          <w:szCs w:val="20"/>
        </w:rPr>
        <w:t xml:space="preserve">, </w:t>
      </w:r>
      <w:r w:rsidRPr="00CF1C5F">
        <w:rPr>
          <w:rFonts w:cstheme="minorHAnsi"/>
          <w:szCs w:val="20"/>
        </w:rPr>
        <w:t>GEDSI Adviser, TASP</w:t>
      </w:r>
    </w:p>
    <w:p w14:paraId="28843207" w14:textId="6E8EB662" w:rsidR="00B505BA" w:rsidRDefault="00B505BA" w:rsidP="00B505BA">
      <w:pPr>
        <w:ind w:left="720"/>
        <w:rPr>
          <w:rFonts w:cstheme="minorHAnsi"/>
          <w:szCs w:val="20"/>
        </w:rPr>
      </w:pPr>
      <w:r w:rsidRPr="00CF1C5F">
        <w:rPr>
          <w:rFonts w:cstheme="minorHAnsi"/>
          <w:szCs w:val="20"/>
        </w:rPr>
        <w:t>Laisenia Raloka</w:t>
      </w:r>
      <w:r>
        <w:rPr>
          <w:rFonts w:cstheme="minorHAnsi"/>
          <w:szCs w:val="20"/>
        </w:rPr>
        <w:t xml:space="preserve">, </w:t>
      </w:r>
      <w:r w:rsidRPr="00CF1C5F">
        <w:rPr>
          <w:rFonts w:cstheme="minorHAnsi"/>
          <w:szCs w:val="20"/>
        </w:rPr>
        <w:t>Finance and Grants Manager, TASP</w:t>
      </w:r>
    </w:p>
    <w:p w14:paraId="3431CA94" w14:textId="70464780" w:rsidR="00B505BA" w:rsidRDefault="00B505BA" w:rsidP="00B505BA">
      <w:pPr>
        <w:ind w:left="720"/>
        <w:rPr>
          <w:rFonts w:cstheme="minorHAnsi"/>
          <w:szCs w:val="20"/>
        </w:rPr>
      </w:pPr>
      <w:r w:rsidRPr="00CF1C5F">
        <w:rPr>
          <w:rFonts w:cstheme="minorHAnsi"/>
          <w:szCs w:val="20"/>
        </w:rPr>
        <w:t>Kasanita Holani</w:t>
      </w:r>
      <w:r>
        <w:rPr>
          <w:rFonts w:cstheme="minorHAnsi"/>
          <w:szCs w:val="20"/>
        </w:rPr>
        <w:t xml:space="preserve">, </w:t>
      </w:r>
      <w:r w:rsidRPr="00CF1C5F">
        <w:rPr>
          <w:rFonts w:cstheme="minorHAnsi"/>
          <w:szCs w:val="20"/>
        </w:rPr>
        <w:t>Senior Program Manager, Skills Pillar, TASP</w:t>
      </w:r>
    </w:p>
    <w:p w14:paraId="1E923A3F" w14:textId="5B3C17B1" w:rsidR="00B505BA" w:rsidRDefault="00B505BA" w:rsidP="00B505BA">
      <w:pPr>
        <w:ind w:left="720"/>
        <w:rPr>
          <w:rFonts w:cstheme="minorHAnsi"/>
          <w:szCs w:val="20"/>
        </w:rPr>
      </w:pPr>
      <w:r w:rsidRPr="00CF1C5F">
        <w:rPr>
          <w:rFonts w:cstheme="minorHAnsi"/>
          <w:szCs w:val="20"/>
        </w:rPr>
        <w:t>Dr Sione Kioa</w:t>
      </w:r>
      <w:r>
        <w:rPr>
          <w:rFonts w:cstheme="minorHAnsi"/>
          <w:szCs w:val="20"/>
        </w:rPr>
        <w:t xml:space="preserve">, </w:t>
      </w:r>
      <w:r w:rsidRPr="00CF1C5F">
        <w:rPr>
          <w:rFonts w:cstheme="minorHAnsi"/>
          <w:szCs w:val="20"/>
        </w:rPr>
        <w:t>PFM Lead Adviser, TASP</w:t>
      </w:r>
    </w:p>
    <w:p w14:paraId="6BDB2B56" w14:textId="7C376C66" w:rsidR="00B505BA" w:rsidRDefault="00B505BA" w:rsidP="00B505BA">
      <w:pPr>
        <w:ind w:left="720"/>
        <w:rPr>
          <w:rFonts w:cstheme="minorHAnsi"/>
          <w:szCs w:val="20"/>
        </w:rPr>
      </w:pPr>
      <w:r w:rsidRPr="00CF1C5F">
        <w:rPr>
          <w:rFonts w:cstheme="minorHAnsi"/>
          <w:szCs w:val="20"/>
        </w:rPr>
        <w:t>Tauyavu Tuvanua</w:t>
      </w:r>
      <w:r>
        <w:rPr>
          <w:rFonts w:cstheme="minorHAnsi"/>
          <w:szCs w:val="20"/>
        </w:rPr>
        <w:t xml:space="preserve">, </w:t>
      </w:r>
      <w:r w:rsidRPr="00CF1C5F">
        <w:rPr>
          <w:rFonts w:cstheme="minorHAnsi"/>
          <w:szCs w:val="20"/>
        </w:rPr>
        <w:t>MEL Adviser, TASP</w:t>
      </w:r>
    </w:p>
    <w:p w14:paraId="554D5AB1" w14:textId="56BD55A3" w:rsidR="00B505BA" w:rsidRDefault="00B505BA" w:rsidP="00B505BA">
      <w:pPr>
        <w:ind w:left="720"/>
        <w:rPr>
          <w:rFonts w:cstheme="minorHAnsi"/>
          <w:szCs w:val="20"/>
        </w:rPr>
      </w:pPr>
      <w:r w:rsidRPr="00CF1C5F">
        <w:rPr>
          <w:rFonts w:cstheme="minorHAnsi"/>
          <w:szCs w:val="20"/>
        </w:rPr>
        <w:t>David Frot</w:t>
      </w:r>
      <w:r>
        <w:rPr>
          <w:rFonts w:cstheme="minorHAnsi"/>
          <w:szCs w:val="20"/>
        </w:rPr>
        <w:t xml:space="preserve">, </w:t>
      </w:r>
      <w:r w:rsidRPr="00CF1C5F">
        <w:rPr>
          <w:rFonts w:cstheme="minorHAnsi"/>
          <w:szCs w:val="20"/>
        </w:rPr>
        <w:t>Disability Coordinator, TASP</w:t>
      </w:r>
    </w:p>
    <w:p w14:paraId="502754C1" w14:textId="451022AF" w:rsidR="00B505BA" w:rsidRDefault="00B505BA" w:rsidP="00B505BA">
      <w:pPr>
        <w:ind w:left="720"/>
        <w:rPr>
          <w:rFonts w:cstheme="minorHAnsi"/>
          <w:szCs w:val="20"/>
        </w:rPr>
      </w:pPr>
      <w:r w:rsidRPr="00CF1C5F">
        <w:rPr>
          <w:rFonts w:cstheme="minorHAnsi"/>
          <w:szCs w:val="20"/>
        </w:rPr>
        <w:t>John Fotheringham</w:t>
      </w:r>
      <w:r>
        <w:rPr>
          <w:rFonts w:cstheme="minorHAnsi"/>
          <w:szCs w:val="20"/>
        </w:rPr>
        <w:t xml:space="preserve">, </w:t>
      </w:r>
      <w:r w:rsidRPr="00CF1C5F">
        <w:rPr>
          <w:rFonts w:cstheme="minorHAnsi"/>
          <w:szCs w:val="20"/>
        </w:rPr>
        <w:t>Human Resources Development Adviser, Public Service Commission</w:t>
      </w:r>
      <w:r>
        <w:rPr>
          <w:rFonts w:cstheme="minorHAnsi"/>
          <w:szCs w:val="20"/>
        </w:rPr>
        <w:t>, TASP</w:t>
      </w:r>
    </w:p>
    <w:p w14:paraId="439527D2" w14:textId="75CD2735" w:rsidR="00B505BA" w:rsidRDefault="00B505BA" w:rsidP="00B505BA">
      <w:pPr>
        <w:ind w:left="720"/>
        <w:rPr>
          <w:rFonts w:cstheme="minorHAnsi"/>
          <w:szCs w:val="20"/>
        </w:rPr>
      </w:pPr>
      <w:r w:rsidRPr="00CF1C5F">
        <w:rPr>
          <w:rFonts w:cstheme="minorHAnsi"/>
          <w:szCs w:val="20"/>
        </w:rPr>
        <w:t>Mike Duncan</w:t>
      </w:r>
      <w:r>
        <w:rPr>
          <w:rFonts w:cstheme="minorHAnsi"/>
          <w:szCs w:val="20"/>
        </w:rPr>
        <w:t xml:space="preserve">, </w:t>
      </w:r>
      <w:r w:rsidRPr="00CF1C5F">
        <w:rPr>
          <w:rFonts w:cstheme="minorHAnsi"/>
          <w:szCs w:val="20"/>
        </w:rPr>
        <w:t>Procurement Adviser, Tonga Ministry of Finance</w:t>
      </w:r>
      <w:r>
        <w:rPr>
          <w:rFonts w:cstheme="minorHAnsi"/>
          <w:szCs w:val="20"/>
        </w:rPr>
        <w:t>, TASP</w:t>
      </w:r>
    </w:p>
    <w:p w14:paraId="2F2AD2DD" w14:textId="171FDE74" w:rsidR="00B505BA" w:rsidRDefault="00B505BA" w:rsidP="00B505BA">
      <w:pPr>
        <w:rPr>
          <w:rFonts w:cstheme="minorHAnsi"/>
          <w:szCs w:val="20"/>
        </w:rPr>
      </w:pPr>
      <w:r>
        <w:rPr>
          <w:rFonts w:cstheme="minorHAnsi"/>
          <w:szCs w:val="20"/>
        </w:rPr>
        <w:t>Government of Tonga</w:t>
      </w:r>
    </w:p>
    <w:p w14:paraId="28C88D5B" w14:textId="5E626799" w:rsidR="00B505BA" w:rsidRDefault="00B505BA" w:rsidP="00512696">
      <w:pPr>
        <w:ind w:firstLine="720"/>
        <w:rPr>
          <w:rFonts w:cstheme="minorHAnsi"/>
          <w:szCs w:val="20"/>
        </w:rPr>
      </w:pPr>
      <w:proofErr w:type="spellStart"/>
      <w:r w:rsidRPr="00CF1C5F">
        <w:rPr>
          <w:rFonts w:cstheme="minorHAnsi"/>
          <w:szCs w:val="20"/>
        </w:rPr>
        <w:t>Pisila</w:t>
      </w:r>
      <w:proofErr w:type="spellEnd"/>
      <w:r w:rsidRPr="00CF1C5F">
        <w:rPr>
          <w:rFonts w:cstheme="minorHAnsi"/>
          <w:szCs w:val="20"/>
        </w:rPr>
        <w:t xml:space="preserve"> ‘</w:t>
      </w:r>
      <w:proofErr w:type="spellStart"/>
      <w:r w:rsidRPr="00CF1C5F">
        <w:rPr>
          <w:rFonts w:cstheme="minorHAnsi"/>
          <w:szCs w:val="20"/>
        </w:rPr>
        <w:t>Otunuku</w:t>
      </w:r>
      <w:proofErr w:type="spellEnd"/>
      <w:r w:rsidRPr="00CF1C5F">
        <w:rPr>
          <w:rFonts w:cstheme="minorHAnsi"/>
          <w:szCs w:val="20"/>
        </w:rPr>
        <w:t>, </w:t>
      </w:r>
      <w:r w:rsidR="00512696" w:rsidRPr="00CF1C5F">
        <w:rPr>
          <w:rFonts w:cstheme="minorHAnsi"/>
          <w:szCs w:val="20"/>
        </w:rPr>
        <w:t>Deputy CEO/Head of Procurement, Ministry of Finance</w:t>
      </w:r>
    </w:p>
    <w:p w14:paraId="3EDD5B35" w14:textId="532A2CC3" w:rsidR="00512696" w:rsidRDefault="00512696" w:rsidP="00512696">
      <w:pPr>
        <w:ind w:left="720"/>
        <w:rPr>
          <w:rFonts w:cstheme="minorHAnsi"/>
          <w:szCs w:val="20"/>
        </w:rPr>
      </w:pPr>
      <w:r w:rsidRPr="00CF1C5F">
        <w:rPr>
          <w:rFonts w:cstheme="minorHAnsi"/>
          <w:szCs w:val="20"/>
        </w:rPr>
        <w:lastRenderedPageBreak/>
        <w:t>Mele Sungu Halaholo</w:t>
      </w:r>
      <w:r>
        <w:rPr>
          <w:rFonts w:cstheme="minorHAnsi"/>
          <w:szCs w:val="20"/>
        </w:rPr>
        <w:t xml:space="preserve">, </w:t>
      </w:r>
      <w:r w:rsidRPr="00CF1C5F">
        <w:rPr>
          <w:rFonts w:cstheme="minorHAnsi"/>
          <w:szCs w:val="20"/>
        </w:rPr>
        <w:t>Chief Procurement Officer, Ministry of Finance</w:t>
      </w:r>
    </w:p>
    <w:p w14:paraId="2F851374" w14:textId="281305F3" w:rsidR="00512696" w:rsidRDefault="00512696" w:rsidP="00512696">
      <w:pPr>
        <w:ind w:left="720"/>
        <w:rPr>
          <w:rFonts w:cstheme="minorHAnsi"/>
          <w:szCs w:val="20"/>
        </w:rPr>
      </w:pPr>
      <w:r w:rsidRPr="00CF1C5F">
        <w:rPr>
          <w:rFonts w:cstheme="minorHAnsi"/>
          <w:szCs w:val="20"/>
        </w:rPr>
        <w:t>Dr ‘Ana ‘Akauola</w:t>
      </w:r>
      <w:r>
        <w:rPr>
          <w:rFonts w:cstheme="minorHAnsi"/>
          <w:szCs w:val="20"/>
        </w:rPr>
        <w:t xml:space="preserve">, Medical Superintendent, </w:t>
      </w:r>
      <w:r w:rsidRPr="00CF1C5F">
        <w:rPr>
          <w:rFonts w:cstheme="minorHAnsi"/>
          <w:szCs w:val="20"/>
        </w:rPr>
        <w:t>Tonga Ministry of Health </w:t>
      </w:r>
    </w:p>
    <w:p w14:paraId="7740B9D1" w14:textId="4CF874EE" w:rsidR="00512696" w:rsidRDefault="00512696" w:rsidP="00512696">
      <w:pPr>
        <w:ind w:left="720"/>
        <w:rPr>
          <w:rFonts w:cstheme="minorHAnsi"/>
          <w:szCs w:val="20"/>
        </w:rPr>
      </w:pPr>
      <w:r w:rsidRPr="00CF1C5F">
        <w:rPr>
          <w:rFonts w:cstheme="minorHAnsi"/>
          <w:szCs w:val="20"/>
        </w:rPr>
        <w:t>Dorina Kioa</w:t>
      </w:r>
      <w:r>
        <w:rPr>
          <w:rFonts w:cstheme="minorHAnsi"/>
          <w:szCs w:val="20"/>
        </w:rPr>
        <w:t xml:space="preserve">, </w:t>
      </w:r>
      <w:r w:rsidRPr="00CF1C5F">
        <w:rPr>
          <w:rFonts w:cstheme="minorHAnsi"/>
          <w:szCs w:val="20"/>
        </w:rPr>
        <w:t>CEO, Tonga Public Service Commission</w:t>
      </w:r>
    </w:p>
    <w:p w14:paraId="41B3AFF8" w14:textId="660E4CFB" w:rsidR="00512696" w:rsidRDefault="00512696" w:rsidP="00512696">
      <w:pPr>
        <w:ind w:left="720"/>
        <w:rPr>
          <w:rFonts w:cstheme="minorHAnsi"/>
          <w:szCs w:val="20"/>
        </w:rPr>
      </w:pPr>
      <w:r w:rsidRPr="00CF1C5F">
        <w:rPr>
          <w:rFonts w:cstheme="minorHAnsi"/>
          <w:szCs w:val="20"/>
        </w:rPr>
        <w:t>Saane Lolo</w:t>
      </w:r>
      <w:r>
        <w:rPr>
          <w:rFonts w:cstheme="minorHAnsi"/>
          <w:szCs w:val="20"/>
        </w:rPr>
        <w:t xml:space="preserve">, </w:t>
      </w:r>
      <w:r w:rsidRPr="00CF1C5F">
        <w:rPr>
          <w:rFonts w:cstheme="minorHAnsi"/>
          <w:szCs w:val="20"/>
        </w:rPr>
        <w:t>Deputy CEO, Aid Management and Resilient Development</w:t>
      </w:r>
    </w:p>
    <w:p w14:paraId="7C146AB4" w14:textId="2DC8388F" w:rsidR="00512696" w:rsidRDefault="00512696" w:rsidP="00512696">
      <w:pPr>
        <w:ind w:left="720"/>
        <w:rPr>
          <w:rFonts w:cstheme="minorHAnsi"/>
          <w:szCs w:val="20"/>
        </w:rPr>
      </w:pPr>
      <w:proofErr w:type="spellStart"/>
      <w:r w:rsidRPr="00CF1C5F">
        <w:rPr>
          <w:rFonts w:cstheme="minorHAnsi"/>
          <w:szCs w:val="20"/>
        </w:rPr>
        <w:t>Kepreen</w:t>
      </w:r>
      <w:proofErr w:type="spellEnd"/>
      <w:r w:rsidRPr="00CF1C5F">
        <w:rPr>
          <w:rFonts w:cstheme="minorHAnsi"/>
          <w:szCs w:val="20"/>
        </w:rPr>
        <w:t xml:space="preserve"> </w:t>
      </w:r>
      <w:proofErr w:type="spellStart"/>
      <w:r w:rsidRPr="00CF1C5F">
        <w:rPr>
          <w:rFonts w:cstheme="minorHAnsi"/>
          <w:szCs w:val="20"/>
        </w:rPr>
        <w:t>Ve’etutu</w:t>
      </w:r>
      <w:proofErr w:type="spellEnd"/>
      <w:r>
        <w:rPr>
          <w:rFonts w:cstheme="minorHAnsi"/>
          <w:szCs w:val="20"/>
        </w:rPr>
        <w:t xml:space="preserve">, </w:t>
      </w:r>
      <w:r w:rsidRPr="00CF1C5F">
        <w:rPr>
          <w:rFonts w:cstheme="minorHAnsi"/>
          <w:szCs w:val="20"/>
        </w:rPr>
        <w:t>Engagement Manager, Tonga</w:t>
      </w:r>
      <w:r>
        <w:rPr>
          <w:rFonts w:cstheme="minorHAnsi"/>
          <w:szCs w:val="20"/>
        </w:rPr>
        <w:t xml:space="preserve"> Ministry of Internal Affairs</w:t>
      </w:r>
    </w:p>
    <w:p w14:paraId="194A5355" w14:textId="22B52CE1" w:rsidR="00512696" w:rsidRDefault="00512696" w:rsidP="00512696">
      <w:pPr>
        <w:rPr>
          <w:rFonts w:cstheme="minorHAnsi"/>
          <w:szCs w:val="20"/>
        </w:rPr>
      </w:pPr>
      <w:r>
        <w:rPr>
          <w:rFonts w:cstheme="minorHAnsi"/>
          <w:szCs w:val="20"/>
        </w:rPr>
        <w:t>Grantees</w:t>
      </w:r>
    </w:p>
    <w:p w14:paraId="4419D67F" w14:textId="0DAA541C" w:rsidR="00512696" w:rsidRDefault="00512696" w:rsidP="00512696">
      <w:pPr>
        <w:rPr>
          <w:rFonts w:cstheme="minorHAnsi"/>
          <w:szCs w:val="20"/>
        </w:rPr>
      </w:pPr>
      <w:r>
        <w:rPr>
          <w:rFonts w:cstheme="minorHAnsi"/>
          <w:szCs w:val="20"/>
        </w:rPr>
        <w:tab/>
        <w:t>‘</w:t>
      </w:r>
      <w:r w:rsidRPr="00CF1C5F">
        <w:rPr>
          <w:rFonts w:cstheme="minorHAnsi"/>
          <w:szCs w:val="20"/>
        </w:rPr>
        <w:t>Ofeina Filimoehala</w:t>
      </w:r>
      <w:r>
        <w:rPr>
          <w:rFonts w:cstheme="minorHAnsi"/>
          <w:szCs w:val="20"/>
        </w:rPr>
        <w:t xml:space="preserve">, </w:t>
      </w:r>
      <w:r w:rsidRPr="00CF1C5F">
        <w:rPr>
          <w:rFonts w:cstheme="minorHAnsi"/>
          <w:szCs w:val="20"/>
        </w:rPr>
        <w:t>CEO, Tonga Health Promotion Foundation</w:t>
      </w:r>
    </w:p>
    <w:p w14:paraId="489E842F" w14:textId="1FE1C1AD" w:rsidR="00512696" w:rsidRDefault="00512696" w:rsidP="00C854AC">
      <w:pPr>
        <w:ind w:firstLine="720"/>
        <w:rPr>
          <w:rFonts w:cstheme="minorHAnsi"/>
          <w:szCs w:val="20"/>
        </w:rPr>
      </w:pPr>
      <w:r w:rsidRPr="00CF1C5F">
        <w:rPr>
          <w:rFonts w:cstheme="minorHAnsi"/>
          <w:szCs w:val="20"/>
        </w:rPr>
        <w:t>‘Ofa Guttenbeil</w:t>
      </w:r>
      <w:r>
        <w:rPr>
          <w:rFonts w:cstheme="minorHAnsi"/>
          <w:szCs w:val="20"/>
        </w:rPr>
        <w:t xml:space="preserve">, </w:t>
      </w:r>
      <w:r w:rsidRPr="00CF1C5F">
        <w:rPr>
          <w:rFonts w:cstheme="minorHAnsi"/>
          <w:szCs w:val="20"/>
        </w:rPr>
        <w:t>Director, Women and Children Crisis Centre</w:t>
      </w:r>
    </w:p>
    <w:p w14:paraId="12A51459" w14:textId="573DD2B2" w:rsidR="00512696" w:rsidRDefault="00512696" w:rsidP="00C854AC">
      <w:pPr>
        <w:ind w:firstLine="720"/>
        <w:rPr>
          <w:rFonts w:cstheme="minorHAnsi"/>
          <w:szCs w:val="20"/>
        </w:rPr>
      </w:pPr>
      <w:r w:rsidRPr="00CF1C5F">
        <w:rPr>
          <w:rFonts w:cstheme="minorHAnsi"/>
          <w:szCs w:val="20"/>
        </w:rPr>
        <w:t>Rhema Misa</w:t>
      </w:r>
      <w:r>
        <w:rPr>
          <w:rFonts w:cstheme="minorHAnsi"/>
          <w:szCs w:val="20"/>
        </w:rPr>
        <w:t xml:space="preserve">, </w:t>
      </w:r>
      <w:r w:rsidRPr="00CF1C5F">
        <w:rPr>
          <w:rFonts w:cstheme="minorHAnsi"/>
          <w:szCs w:val="20"/>
        </w:rPr>
        <w:t xml:space="preserve">CEO, </w:t>
      </w:r>
      <w:proofErr w:type="spellStart"/>
      <w:r w:rsidRPr="00CF1C5F">
        <w:rPr>
          <w:rFonts w:cstheme="minorHAnsi"/>
          <w:szCs w:val="20"/>
        </w:rPr>
        <w:t>Lavame’a</w:t>
      </w:r>
      <w:proofErr w:type="spellEnd"/>
      <w:r w:rsidRPr="00CF1C5F">
        <w:rPr>
          <w:rFonts w:cstheme="minorHAnsi"/>
          <w:szCs w:val="20"/>
        </w:rPr>
        <w:t xml:space="preserve"> </w:t>
      </w:r>
      <w:proofErr w:type="spellStart"/>
      <w:r w:rsidRPr="00CF1C5F">
        <w:rPr>
          <w:rFonts w:cstheme="minorHAnsi"/>
          <w:szCs w:val="20"/>
        </w:rPr>
        <w:t>Ta’e’iloa</w:t>
      </w:r>
      <w:proofErr w:type="spellEnd"/>
      <w:r w:rsidRPr="00CF1C5F">
        <w:rPr>
          <w:rFonts w:cstheme="minorHAnsi"/>
          <w:szCs w:val="20"/>
        </w:rPr>
        <w:t xml:space="preserve"> Association</w:t>
      </w:r>
    </w:p>
    <w:p w14:paraId="330273B3" w14:textId="450861CA" w:rsidR="00512696" w:rsidRDefault="00512696" w:rsidP="00C854AC">
      <w:pPr>
        <w:ind w:firstLine="720"/>
        <w:rPr>
          <w:rFonts w:cstheme="minorHAnsi"/>
          <w:szCs w:val="20"/>
        </w:rPr>
      </w:pPr>
      <w:r w:rsidRPr="00CF1C5F">
        <w:rPr>
          <w:rFonts w:cstheme="minorHAnsi"/>
          <w:szCs w:val="20"/>
        </w:rPr>
        <w:t>Rev Dr ‘Ungatea Fonua Kata</w:t>
      </w:r>
      <w:r>
        <w:rPr>
          <w:rFonts w:cstheme="minorHAnsi"/>
          <w:szCs w:val="20"/>
        </w:rPr>
        <w:t xml:space="preserve">, Director, </w:t>
      </w:r>
      <w:r w:rsidRPr="00CF1C5F">
        <w:rPr>
          <w:rFonts w:cstheme="minorHAnsi"/>
          <w:szCs w:val="20"/>
        </w:rPr>
        <w:t>Tupou Tertiary Institute</w:t>
      </w:r>
    </w:p>
    <w:p w14:paraId="4B9A4C41" w14:textId="4F5F446C" w:rsidR="00512696" w:rsidRDefault="00512696" w:rsidP="00C854AC">
      <w:pPr>
        <w:ind w:firstLine="720"/>
        <w:rPr>
          <w:rFonts w:cstheme="minorHAnsi"/>
          <w:szCs w:val="20"/>
        </w:rPr>
      </w:pPr>
      <w:r w:rsidRPr="00CF1C5F">
        <w:rPr>
          <w:rFonts w:cstheme="minorHAnsi"/>
          <w:szCs w:val="20"/>
        </w:rPr>
        <w:t>Betty Blake, Director</w:t>
      </w:r>
      <w:r>
        <w:rPr>
          <w:rFonts w:cstheme="minorHAnsi"/>
          <w:szCs w:val="20"/>
        </w:rPr>
        <w:t xml:space="preserve">, </w:t>
      </w:r>
      <w:proofErr w:type="spellStart"/>
      <w:r w:rsidRPr="00CF1C5F">
        <w:rPr>
          <w:rFonts w:cstheme="minorHAnsi"/>
          <w:szCs w:val="20"/>
        </w:rPr>
        <w:t>Ma’a</w:t>
      </w:r>
      <w:proofErr w:type="spellEnd"/>
      <w:r w:rsidRPr="00CF1C5F">
        <w:rPr>
          <w:rFonts w:cstheme="minorHAnsi"/>
          <w:szCs w:val="20"/>
        </w:rPr>
        <w:t xml:space="preserve"> </w:t>
      </w:r>
      <w:proofErr w:type="spellStart"/>
      <w:r w:rsidRPr="00CF1C5F">
        <w:rPr>
          <w:rFonts w:cstheme="minorHAnsi"/>
          <w:szCs w:val="20"/>
        </w:rPr>
        <w:t>Fafine</w:t>
      </w:r>
      <w:proofErr w:type="spellEnd"/>
      <w:r w:rsidRPr="00CF1C5F">
        <w:rPr>
          <w:rFonts w:cstheme="minorHAnsi"/>
          <w:szCs w:val="20"/>
        </w:rPr>
        <w:t xml:space="preserve"> </w:t>
      </w:r>
      <w:proofErr w:type="spellStart"/>
      <w:r w:rsidRPr="00CF1C5F">
        <w:rPr>
          <w:rFonts w:cstheme="minorHAnsi"/>
          <w:szCs w:val="20"/>
        </w:rPr>
        <w:t>mo</w:t>
      </w:r>
      <w:proofErr w:type="spellEnd"/>
      <w:r w:rsidRPr="00CF1C5F">
        <w:rPr>
          <w:rFonts w:cstheme="minorHAnsi"/>
          <w:szCs w:val="20"/>
        </w:rPr>
        <w:t xml:space="preserve"> e </w:t>
      </w:r>
      <w:proofErr w:type="spellStart"/>
      <w:r w:rsidRPr="00CF1C5F">
        <w:rPr>
          <w:rFonts w:cstheme="minorHAnsi"/>
          <w:szCs w:val="20"/>
        </w:rPr>
        <w:t>Famili</w:t>
      </w:r>
      <w:proofErr w:type="spellEnd"/>
      <w:r w:rsidRPr="00CF1C5F">
        <w:rPr>
          <w:rFonts w:cstheme="minorHAnsi"/>
          <w:szCs w:val="20"/>
        </w:rPr>
        <w:t xml:space="preserve"> (MFF)</w:t>
      </w:r>
    </w:p>
    <w:p w14:paraId="2A870FE4" w14:textId="0F226A93" w:rsidR="00512696" w:rsidRDefault="00512696" w:rsidP="00C854AC">
      <w:pPr>
        <w:ind w:firstLine="720"/>
        <w:rPr>
          <w:rFonts w:cstheme="minorHAnsi"/>
          <w:szCs w:val="20"/>
        </w:rPr>
      </w:pPr>
      <w:r w:rsidRPr="00CF1C5F">
        <w:rPr>
          <w:rFonts w:cstheme="minorHAnsi"/>
          <w:szCs w:val="20"/>
        </w:rPr>
        <w:t>Katherine Mapili</w:t>
      </w:r>
      <w:r>
        <w:rPr>
          <w:rFonts w:cstheme="minorHAnsi"/>
          <w:szCs w:val="20"/>
        </w:rPr>
        <w:t xml:space="preserve">, </w:t>
      </w:r>
      <w:r w:rsidRPr="00CF1C5F">
        <w:rPr>
          <w:rFonts w:cstheme="minorHAnsi"/>
          <w:szCs w:val="20"/>
        </w:rPr>
        <w:t>Project Officer/Trainer/Media Officer, MFF</w:t>
      </w:r>
    </w:p>
    <w:p w14:paraId="6BC09820" w14:textId="3C848441" w:rsidR="00194B11" w:rsidRDefault="00512696" w:rsidP="00C14255">
      <w:pPr>
        <w:ind w:firstLine="720"/>
      </w:pPr>
      <w:proofErr w:type="spellStart"/>
      <w:r w:rsidRPr="00CF1C5F">
        <w:rPr>
          <w:rFonts w:cstheme="minorHAnsi"/>
          <w:szCs w:val="20"/>
        </w:rPr>
        <w:t>Seluvaia</w:t>
      </w:r>
      <w:proofErr w:type="spellEnd"/>
      <w:r w:rsidRPr="00CF1C5F">
        <w:rPr>
          <w:rFonts w:cstheme="minorHAnsi"/>
          <w:szCs w:val="20"/>
        </w:rPr>
        <w:t xml:space="preserve"> Kauvaka</w:t>
      </w:r>
      <w:r>
        <w:rPr>
          <w:rFonts w:cstheme="minorHAnsi"/>
          <w:szCs w:val="20"/>
        </w:rPr>
        <w:t xml:space="preserve">, </w:t>
      </w:r>
      <w:r w:rsidRPr="00CF1C5F">
        <w:rPr>
          <w:rFonts w:cstheme="minorHAnsi"/>
          <w:szCs w:val="20"/>
        </w:rPr>
        <w:t>Founder, Tonga Women in ICT</w:t>
      </w:r>
    </w:p>
    <w:p w14:paraId="6BC09821" w14:textId="77777777" w:rsidR="00194B11" w:rsidRDefault="00194B11" w:rsidP="00A348C7">
      <w:pPr>
        <w:sectPr w:rsidR="00194B11" w:rsidSect="00A6774F">
          <w:pgSz w:w="11906" w:h="16838"/>
          <w:pgMar w:top="1814" w:right="1134" w:bottom="1134" w:left="1134" w:header="851" w:footer="454" w:gutter="0"/>
          <w:pgNumType w:fmt="lowerRoman"/>
          <w:cols w:space="720"/>
          <w:titlePg/>
        </w:sectPr>
      </w:pPr>
    </w:p>
    <w:p w14:paraId="6BC09822" w14:textId="0123A96E" w:rsidR="00194B11" w:rsidRDefault="000F1258" w:rsidP="00A348C7">
      <w:pPr>
        <w:pStyle w:val="Heading1"/>
      </w:pPr>
      <w:bookmarkStart w:id="51" w:name="_Toc183423597"/>
      <w:r>
        <w:lastRenderedPageBreak/>
        <w:t xml:space="preserve">Annex 4: TASP Program </w:t>
      </w:r>
      <w:r w:rsidR="00D232A9">
        <w:t>Logic</w:t>
      </w:r>
      <w:bookmarkEnd w:id="51"/>
    </w:p>
    <w:p w14:paraId="6BC09823" w14:textId="77777777" w:rsidR="00194B11" w:rsidRDefault="00194B11" w:rsidP="00A348C7"/>
    <w:p w14:paraId="6BC09824" w14:textId="77777777" w:rsidR="00194B11" w:rsidRDefault="000F1258" w:rsidP="00A348C7">
      <w:r>
        <w:rPr>
          <w:noProof/>
        </w:rPr>
        <w:drawing>
          <wp:inline distT="19050" distB="19050" distL="19050" distR="19050" wp14:anchorId="6BC09960" wp14:editId="4C6C63D3">
            <wp:extent cx="8820150" cy="4807692"/>
            <wp:effectExtent l="0" t="0" r="0" b="0"/>
            <wp:docPr id="1900242226" name="image4.png" descr="A chart detailing TASP Program Logic, accessible text version is available below A screenshot of a computer&#10;"/>
            <wp:cNvGraphicFramePr/>
            <a:graphic xmlns:a="http://schemas.openxmlformats.org/drawingml/2006/main">
              <a:graphicData uri="http://schemas.openxmlformats.org/drawingml/2006/picture">
                <pic:pic xmlns:pic="http://schemas.openxmlformats.org/drawingml/2006/picture">
                  <pic:nvPicPr>
                    <pic:cNvPr id="1900242226" name="image4.png" descr="A chart detailing TASP Program Logic, accessible text version is available below A screenshot of a computer&#10;"/>
                    <pic:cNvPicPr preferRelativeResize="0"/>
                  </pic:nvPicPr>
                  <pic:blipFill>
                    <a:blip r:embed="rId24"/>
                    <a:srcRect/>
                    <a:stretch>
                      <a:fillRect/>
                    </a:stretch>
                  </pic:blipFill>
                  <pic:spPr>
                    <a:xfrm>
                      <a:off x="0" y="0"/>
                      <a:ext cx="8820150" cy="4807692"/>
                    </a:xfrm>
                    <a:prstGeom prst="rect">
                      <a:avLst/>
                    </a:prstGeom>
                    <a:ln/>
                  </pic:spPr>
                </pic:pic>
              </a:graphicData>
            </a:graphic>
          </wp:inline>
        </w:drawing>
      </w:r>
    </w:p>
    <w:p w14:paraId="24728E2E" w14:textId="77777777" w:rsidR="002E3E5D" w:rsidRDefault="002E3E5D">
      <w:pPr>
        <w:spacing w:line="240" w:lineRule="auto"/>
      </w:pPr>
      <w:r>
        <w:br w:type="page"/>
      </w:r>
    </w:p>
    <w:p w14:paraId="44D7FA72" w14:textId="77777777" w:rsidR="002E3E5D" w:rsidRDefault="002E3E5D" w:rsidP="002E3E5D">
      <w:pPr>
        <w:sectPr w:rsidR="002E3E5D" w:rsidSect="00A6774F">
          <w:pgSz w:w="16838" w:h="11906" w:orient="landscape"/>
          <w:pgMar w:top="1134" w:right="1814" w:bottom="1134" w:left="1134" w:header="851" w:footer="454" w:gutter="0"/>
          <w:pgNumType w:fmt="lowerRoman"/>
          <w:cols w:space="720"/>
          <w:titlePg/>
        </w:sectPr>
      </w:pPr>
    </w:p>
    <w:p w14:paraId="35EFF232" w14:textId="371F3F9B" w:rsidR="002E3E5D" w:rsidRPr="002E3E5D" w:rsidRDefault="002E3E5D" w:rsidP="002E3E5D">
      <w:pPr>
        <w:rPr>
          <w:b/>
          <w:bCs/>
        </w:rPr>
      </w:pPr>
      <w:r w:rsidRPr="002E3E5D">
        <w:rPr>
          <w:b/>
          <w:bCs/>
        </w:rPr>
        <w:lastRenderedPageBreak/>
        <w:t>TASP Program Logic (Accessible text)</w:t>
      </w:r>
    </w:p>
    <w:p w14:paraId="512B33C4" w14:textId="77777777" w:rsidR="002E3E5D" w:rsidRDefault="002E3E5D" w:rsidP="002E3E5D">
      <w:r>
        <w:t>Strategic alignment and scope</w:t>
      </w:r>
    </w:p>
    <w:p w14:paraId="016DCA9C" w14:textId="77777777" w:rsidR="002E3E5D" w:rsidRDefault="002E3E5D" w:rsidP="00803578">
      <w:pPr>
        <w:pStyle w:val="ListParagraph"/>
        <w:numPr>
          <w:ilvl w:val="0"/>
          <w:numId w:val="31"/>
        </w:numPr>
      </w:pPr>
      <w:r>
        <w:t>Goal: Australia contributes to a more progressive Tonga supporting a high quality of life for all.</w:t>
      </w:r>
    </w:p>
    <w:p w14:paraId="6C02856E" w14:textId="77777777" w:rsidR="002E3E5D" w:rsidRDefault="002E3E5D" w:rsidP="00803578">
      <w:pPr>
        <w:pStyle w:val="ListParagraph"/>
        <w:numPr>
          <w:ilvl w:val="0"/>
          <w:numId w:val="31"/>
        </w:numPr>
      </w:pPr>
      <w:r>
        <w:t>Platform Objective: Investments in priority areas as agreed by GOT and GOA are efficient, effective and equitable.</w:t>
      </w:r>
    </w:p>
    <w:p w14:paraId="37C5C719" w14:textId="77777777" w:rsidR="002E3E5D" w:rsidRDefault="002E3E5D" w:rsidP="00803578">
      <w:pPr>
        <w:pStyle w:val="ListParagraph"/>
        <w:numPr>
          <w:ilvl w:val="0"/>
          <w:numId w:val="31"/>
        </w:numPr>
      </w:pPr>
      <w:r>
        <w:t>Priority Investment Areas: Health; economic governance; skills and labour mobility; gender equality.</w:t>
      </w:r>
    </w:p>
    <w:p w14:paraId="3973CBF2" w14:textId="77777777" w:rsidR="002E3E5D" w:rsidRDefault="002E3E5D" w:rsidP="00803578">
      <w:pPr>
        <w:pStyle w:val="ListParagraph"/>
        <w:numPr>
          <w:ilvl w:val="0"/>
          <w:numId w:val="31"/>
        </w:numPr>
      </w:pPr>
      <w:r>
        <w:t>Cross cutting areas – disability, gender, climate change action.</w:t>
      </w:r>
    </w:p>
    <w:p w14:paraId="2A63CFCB" w14:textId="77777777" w:rsidR="002E3E5D" w:rsidRDefault="002E3E5D" w:rsidP="002E3E5D">
      <w:r>
        <w:t>End of Platform Development Outcome: Tonga realises equitable development outcomes for investments in priority areas, as agreed in TASP annual plans.</w:t>
      </w:r>
    </w:p>
    <w:p w14:paraId="52276028" w14:textId="46C29789" w:rsidR="002E3E5D" w:rsidRDefault="002E3E5D" w:rsidP="00803578">
      <w:pPr>
        <w:pStyle w:val="ListParagraph"/>
        <w:numPr>
          <w:ilvl w:val="0"/>
          <w:numId w:val="32"/>
        </w:numPr>
      </w:pPr>
      <w:r>
        <w:t>Intermediate outcomes:</w:t>
      </w:r>
    </w:p>
    <w:p w14:paraId="4BA0CE53" w14:textId="34A254D8" w:rsidR="002E3E5D" w:rsidRDefault="002E3E5D" w:rsidP="00803578">
      <w:pPr>
        <w:pStyle w:val="ListParagraph"/>
        <w:numPr>
          <w:ilvl w:val="1"/>
          <w:numId w:val="32"/>
        </w:numPr>
      </w:pPr>
      <w:r>
        <w:t>Engagement and Collaboration: Investment stakeholders demonstrate effective and inclusive relationships and partnerships.</w:t>
      </w:r>
    </w:p>
    <w:p w14:paraId="7318204A" w14:textId="77777777" w:rsidR="002E3E5D" w:rsidRDefault="002E3E5D" w:rsidP="00803578">
      <w:pPr>
        <w:pStyle w:val="ListParagraph"/>
        <w:numPr>
          <w:ilvl w:val="1"/>
          <w:numId w:val="32"/>
        </w:numPr>
      </w:pPr>
      <w:r>
        <w:t>GEDSI and Climate Change Mainstreaming: TASP effectively mainstreams cross-cutting priorities (disability inclusion, gender equality, climate change action) into investments.</w:t>
      </w:r>
    </w:p>
    <w:p w14:paraId="7F9BA46D" w14:textId="77777777" w:rsidR="002E3E5D" w:rsidRDefault="002E3E5D" w:rsidP="00803578">
      <w:pPr>
        <w:pStyle w:val="ListParagraph"/>
        <w:numPr>
          <w:ilvl w:val="1"/>
          <w:numId w:val="32"/>
        </w:numPr>
      </w:pPr>
      <w:r>
        <w:t xml:space="preserve"> Learning and Adapting: TASP adapts investments in response to lessons and changes in context or GOT/GOA priorities.</w:t>
      </w:r>
    </w:p>
    <w:p w14:paraId="10FFD905" w14:textId="77777777" w:rsidR="002E3E5D" w:rsidRDefault="002E3E5D" w:rsidP="00803578">
      <w:pPr>
        <w:pStyle w:val="ListParagraph"/>
        <w:numPr>
          <w:ilvl w:val="1"/>
          <w:numId w:val="32"/>
        </w:numPr>
      </w:pPr>
      <w:r>
        <w:t>Policy Dialogue: TASP supports effective GOT/GOA policy dialogue.</w:t>
      </w:r>
    </w:p>
    <w:p w14:paraId="42354C30" w14:textId="77777777" w:rsidR="002E3E5D" w:rsidRDefault="002E3E5D" w:rsidP="00803578">
      <w:pPr>
        <w:pStyle w:val="ListParagraph"/>
        <w:numPr>
          <w:ilvl w:val="1"/>
          <w:numId w:val="32"/>
        </w:numPr>
      </w:pPr>
      <w:r>
        <w:t>Coherent and Joined Up: TASP supports cross-investment learning and exchange of ideas.</w:t>
      </w:r>
    </w:p>
    <w:p w14:paraId="30FAB944" w14:textId="77777777" w:rsidR="003354AD" w:rsidRDefault="002E3E5D" w:rsidP="00803578">
      <w:pPr>
        <w:pStyle w:val="ListParagraph"/>
        <w:numPr>
          <w:ilvl w:val="0"/>
          <w:numId w:val="32"/>
        </w:numPr>
      </w:pPr>
      <w:r>
        <w:t xml:space="preserve">Priority investment activities: </w:t>
      </w:r>
    </w:p>
    <w:p w14:paraId="73A63217" w14:textId="0A435DFD" w:rsidR="003354AD" w:rsidRDefault="002E3E5D" w:rsidP="00803578">
      <w:pPr>
        <w:pStyle w:val="ListParagraph"/>
        <w:numPr>
          <w:ilvl w:val="1"/>
          <w:numId w:val="32"/>
        </w:numPr>
      </w:pPr>
      <w:r>
        <w:t>Technical assistance</w:t>
      </w:r>
    </w:p>
    <w:p w14:paraId="2BFC7353" w14:textId="2E93C642" w:rsidR="003354AD" w:rsidRDefault="003354AD" w:rsidP="00803578">
      <w:pPr>
        <w:pStyle w:val="ListParagraph"/>
        <w:numPr>
          <w:ilvl w:val="1"/>
          <w:numId w:val="32"/>
        </w:numPr>
      </w:pPr>
      <w:r>
        <w:t>O</w:t>
      </w:r>
      <w:r w:rsidR="002E3E5D">
        <w:t>rganisational partnerships</w:t>
      </w:r>
    </w:p>
    <w:p w14:paraId="6B24D424" w14:textId="19BC10AC" w:rsidR="003354AD" w:rsidRDefault="003354AD" w:rsidP="00803578">
      <w:pPr>
        <w:pStyle w:val="ListParagraph"/>
        <w:numPr>
          <w:ilvl w:val="1"/>
          <w:numId w:val="32"/>
        </w:numPr>
      </w:pPr>
      <w:r>
        <w:t>P</w:t>
      </w:r>
      <w:r w:rsidR="002E3E5D">
        <w:t xml:space="preserve">olicy engagement (DFAT) </w:t>
      </w:r>
    </w:p>
    <w:p w14:paraId="11B8B032" w14:textId="55795A2C" w:rsidR="002E3E5D" w:rsidRDefault="002E3E5D" w:rsidP="00803578">
      <w:pPr>
        <w:pStyle w:val="ListParagraph"/>
        <w:numPr>
          <w:ilvl w:val="1"/>
          <w:numId w:val="32"/>
        </w:numPr>
      </w:pPr>
      <w:r>
        <w:t>Budget support (DFAT)</w:t>
      </w:r>
    </w:p>
    <w:p w14:paraId="754C3112" w14:textId="77777777" w:rsidR="002E3E5D" w:rsidRDefault="002E3E5D" w:rsidP="002E3E5D">
      <w:r>
        <w:t>End of Platform Enabling Outcome: Tonga benefits from efficient and equitable development program management support for investments in priority areas.\</w:t>
      </w:r>
    </w:p>
    <w:p w14:paraId="54F91617" w14:textId="77777777" w:rsidR="003354AD" w:rsidRDefault="002E3E5D" w:rsidP="00803578">
      <w:pPr>
        <w:pStyle w:val="ListParagraph"/>
        <w:numPr>
          <w:ilvl w:val="0"/>
          <w:numId w:val="33"/>
        </w:numPr>
      </w:pPr>
      <w:r>
        <w:t xml:space="preserve">Platform Support unit Services: </w:t>
      </w:r>
    </w:p>
    <w:p w14:paraId="630C86D7" w14:textId="15030610" w:rsidR="003354AD" w:rsidRDefault="002E3E5D" w:rsidP="00803578">
      <w:pPr>
        <w:pStyle w:val="ListParagraph"/>
        <w:numPr>
          <w:ilvl w:val="1"/>
          <w:numId w:val="33"/>
        </w:numPr>
      </w:pPr>
      <w:r>
        <w:t>Communications</w:t>
      </w:r>
    </w:p>
    <w:p w14:paraId="2DCA3FAF" w14:textId="471DD8E8" w:rsidR="003354AD" w:rsidRDefault="002E3E5D" w:rsidP="00803578">
      <w:pPr>
        <w:pStyle w:val="ListParagraph"/>
        <w:numPr>
          <w:ilvl w:val="1"/>
          <w:numId w:val="33"/>
        </w:numPr>
      </w:pPr>
      <w:r>
        <w:t>Contract and delivery management</w:t>
      </w:r>
    </w:p>
    <w:p w14:paraId="08DCA44A" w14:textId="3777C52F" w:rsidR="003354AD" w:rsidRDefault="003354AD" w:rsidP="00803578">
      <w:pPr>
        <w:pStyle w:val="ListParagraph"/>
        <w:numPr>
          <w:ilvl w:val="1"/>
          <w:numId w:val="33"/>
        </w:numPr>
      </w:pPr>
      <w:r>
        <w:t>F</w:t>
      </w:r>
      <w:r w:rsidR="002E3E5D">
        <w:t>inancial and resource managemen</w:t>
      </w:r>
      <w:r>
        <w:t>t</w:t>
      </w:r>
    </w:p>
    <w:p w14:paraId="3133FF49" w14:textId="5A8B5A5E" w:rsidR="003354AD" w:rsidRDefault="003354AD" w:rsidP="00803578">
      <w:pPr>
        <w:pStyle w:val="ListParagraph"/>
        <w:numPr>
          <w:ilvl w:val="1"/>
          <w:numId w:val="33"/>
        </w:numPr>
      </w:pPr>
      <w:r>
        <w:t>H</w:t>
      </w:r>
      <w:r w:rsidR="002E3E5D">
        <w:t>igh quality leadership and teams</w:t>
      </w:r>
    </w:p>
    <w:p w14:paraId="337AB309" w14:textId="6DA3DDE7" w:rsidR="003354AD" w:rsidRDefault="003354AD" w:rsidP="00803578">
      <w:pPr>
        <w:pStyle w:val="ListParagraph"/>
        <w:numPr>
          <w:ilvl w:val="1"/>
          <w:numId w:val="33"/>
        </w:numPr>
      </w:pPr>
      <w:r>
        <w:t>D</w:t>
      </w:r>
      <w:r w:rsidR="002E3E5D">
        <w:t>esign and ME</w:t>
      </w:r>
      <w:r>
        <w:t>L</w:t>
      </w:r>
      <w:r w:rsidR="002E3E5D">
        <w:t xml:space="preserve"> </w:t>
      </w:r>
    </w:p>
    <w:p w14:paraId="0703879D" w14:textId="4284CF8E" w:rsidR="002E3E5D" w:rsidRDefault="003354AD" w:rsidP="00803578">
      <w:pPr>
        <w:pStyle w:val="ListParagraph"/>
        <w:numPr>
          <w:ilvl w:val="1"/>
          <w:numId w:val="33"/>
        </w:numPr>
      </w:pPr>
      <w:r>
        <w:t>G</w:t>
      </w:r>
      <w:r w:rsidR="002E3E5D">
        <w:t>overnance</w:t>
      </w:r>
    </w:p>
    <w:p w14:paraId="2721AD1E" w14:textId="77777777" w:rsidR="003354AD" w:rsidRDefault="002E3E5D" w:rsidP="00803578">
      <w:pPr>
        <w:pStyle w:val="ListParagraph"/>
        <w:numPr>
          <w:ilvl w:val="0"/>
          <w:numId w:val="33"/>
        </w:numPr>
      </w:pPr>
      <w:r>
        <w:t xml:space="preserve">Cross-cutting considerations: </w:t>
      </w:r>
    </w:p>
    <w:p w14:paraId="02521F87" w14:textId="77777777" w:rsidR="003354AD" w:rsidRDefault="002E3E5D" w:rsidP="00803578">
      <w:pPr>
        <w:pStyle w:val="ListParagraph"/>
        <w:numPr>
          <w:ilvl w:val="1"/>
          <w:numId w:val="33"/>
        </w:numPr>
      </w:pPr>
      <w:r>
        <w:t xml:space="preserve">GEDSI </w:t>
      </w:r>
    </w:p>
    <w:p w14:paraId="2D76401E" w14:textId="23903411" w:rsidR="002E3E5D" w:rsidRDefault="003354AD" w:rsidP="00803578">
      <w:pPr>
        <w:pStyle w:val="ListParagraph"/>
        <w:numPr>
          <w:ilvl w:val="1"/>
          <w:numId w:val="33"/>
        </w:numPr>
      </w:pPr>
      <w:r>
        <w:t>C</w:t>
      </w:r>
      <w:r w:rsidR="002E3E5D">
        <w:t>limate action</w:t>
      </w:r>
    </w:p>
    <w:p w14:paraId="6BC09825" w14:textId="77777777" w:rsidR="000B2BAC" w:rsidRDefault="000B2BAC" w:rsidP="00A348C7">
      <w:pPr>
        <w:sectPr w:rsidR="000B2BAC" w:rsidSect="002E3E5D">
          <w:pgSz w:w="11906" w:h="16838"/>
          <w:pgMar w:top="1134" w:right="1134" w:bottom="1814" w:left="1134" w:header="851" w:footer="454" w:gutter="0"/>
          <w:pgNumType w:fmt="lowerRoman"/>
          <w:cols w:space="720"/>
          <w:titlePg/>
        </w:sectPr>
      </w:pPr>
    </w:p>
    <w:p w14:paraId="6BC09826" w14:textId="0A4799E8" w:rsidR="00194B11" w:rsidRDefault="000F1258" w:rsidP="00A348C7">
      <w:pPr>
        <w:pStyle w:val="Heading1"/>
      </w:pPr>
      <w:bookmarkStart w:id="52" w:name="_Annex_5:_"/>
      <w:bookmarkStart w:id="53" w:name="_Toc183423598"/>
      <w:bookmarkEnd w:id="52"/>
      <w:r w:rsidRPr="00076FAD">
        <w:lastRenderedPageBreak/>
        <w:t xml:space="preserve">Annex 5:  Ad hoc Support </w:t>
      </w:r>
      <w:r w:rsidR="00D232A9">
        <w:t>(r</w:t>
      </w:r>
      <w:r w:rsidRPr="00076FAD">
        <w:t xml:space="preserve">eport </w:t>
      </w:r>
      <w:r w:rsidR="00D232A9">
        <w:t>e</w:t>
      </w:r>
      <w:r w:rsidRPr="00076FAD">
        <w:t>xtract</w:t>
      </w:r>
      <w:r w:rsidR="00D232A9">
        <w:t>)</w:t>
      </w:r>
      <w:bookmarkEnd w:id="53"/>
      <w:r w:rsidR="00EB463E" w:rsidRPr="00076FAD">
        <w:t xml:space="preserve"> </w:t>
      </w:r>
    </w:p>
    <w:p w14:paraId="6BC09827" w14:textId="4CA6FDE3" w:rsidR="00194B11" w:rsidRPr="008B7715" w:rsidRDefault="00076FAD" w:rsidP="00A348C7">
      <w:pPr>
        <w:rPr>
          <w:i/>
          <w:iCs/>
        </w:rPr>
      </w:pPr>
      <w:r w:rsidRPr="008B7715">
        <w:rPr>
          <w:i/>
          <w:iCs/>
        </w:rPr>
        <w:t>[</w:t>
      </w:r>
      <w:r w:rsidR="00D232A9">
        <w:rPr>
          <w:i/>
          <w:iCs/>
        </w:rPr>
        <w:t>Copied</w:t>
      </w:r>
      <w:r w:rsidR="00D232A9" w:rsidRPr="008B7715">
        <w:rPr>
          <w:i/>
          <w:iCs/>
        </w:rPr>
        <w:t xml:space="preserve"> </w:t>
      </w:r>
      <w:r w:rsidR="000F1258" w:rsidRPr="008B7715">
        <w:rPr>
          <w:i/>
          <w:iCs/>
        </w:rPr>
        <w:t>from the TASP Combined Inception and 6-month Report, May 2023</w:t>
      </w:r>
      <w:r w:rsidRPr="008B7715">
        <w:rPr>
          <w:i/>
          <w:iCs/>
        </w:rPr>
        <w:t>]</w:t>
      </w:r>
    </w:p>
    <w:p w14:paraId="6BC09829" w14:textId="77777777" w:rsidR="00194B11" w:rsidRDefault="000F1258" w:rsidP="00A348C7">
      <w:r>
        <w:t>3.5 Ad hoc Support</w:t>
      </w:r>
    </w:p>
    <w:p w14:paraId="6BC0982F" w14:textId="4DEB5A72" w:rsidR="00194B11" w:rsidRDefault="000F1258" w:rsidP="00A348C7">
      <w:r>
        <w:t>TASP has provided support to discrete, ad hoc activities that do not align under the other TASP pillars. In</w:t>
      </w:r>
      <w:r w:rsidR="004732ED">
        <w:t xml:space="preserve"> </w:t>
      </w:r>
      <w:r>
        <w:t>practice, this became a significant component of TASP’s work during the reporting period, reflecting capacity</w:t>
      </w:r>
      <w:r w:rsidR="004732ED">
        <w:t xml:space="preserve"> </w:t>
      </w:r>
      <w:r>
        <w:t>constraints at Post, and the varied and often urgent nature of requests for assistance that came to, and from</w:t>
      </w:r>
      <w:r w:rsidR="004732ED">
        <w:t xml:space="preserve"> </w:t>
      </w:r>
      <w:r>
        <w:t>within, DFAT. Feedback from DFAT and other stakeholders highlights the important role of this highly</w:t>
      </w:r>
      <w:r w:rsidR="004732ED">
        <w:t xml:space="preserve"> </w:t>
      </w:r>
      <w:r>
        <w:t xml:space="preserve">responsive and flexible support mechanism in addressing capacity gaps at Post and among </w:t>
      </w:r>
      <w:proofErr w:type="spellStart"/>
      <w:r>
        <w:t>GoT</w:t>
      </w:r>
      <w:proofErr w:type="spellEnd"/>
      <w:r>
        <w:t xml:space="preserve"> and civil</w:t>
      </w:r>
      <w:r w:rsidR="004732ED">
        <w:t xml:space="preserve"> </w:t>
      </w:r>
      <w:r>
        <w:t>society partners.</w:t>
      </w:r>
    </w:p>
    <w:p w14:paraId="7A819EA6" w14:textId="3D94C371" w:rsidR="004732ED" w:rsidRDefault="000F1258" w:rsidP="00A348C7">
      <w:r>
        <w:t>During the reporting period, a total of twenty-one Tasking Notes were initiated, of which four did not go</w:t>
      </w:r>
      <w:r w:rsidR="004732ED">
        <w:t xml:space="preserve"> </w:t>
      </w:r>
      <w:r>
        <w:t>ahead (due to withdrawal of the request or alternate arrangements confirmed). Table A presents a summary</w:t>
      </w:r>
      <w:r w:rsidR="004732ED">
        <w:t xml:space="preserve"> </w:t>
      </w:r>
      <w:r>
        <w:t>of Tasking Notes from TASP inception to 31 December 2022.</w:t>
      </w:r>
      <w:r w:rsidR="004732ED" w:rsidRPr="00942875">
        <w:rPr>
          <w:b/>
          <w:bCs/>
          <w:color w:val="FFFFFF" w:themeColor="background1"/>
        </w:rPr>
        <w:t xml:space="preserve"> A: Summary of Tasking Notes requested by DFAT to 31 December 2022</w:t>
      </w:r>
    </w:p>
    <w:tbl>
      <w:tblPr>
        <w:tblStyle w:val="TablePlain"/>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268"/>
        <w:gridCol w:w="2838"/>
        <w:gridCol w:w="1414"/>
        <w:gridCol w:w="1418"/>
      </w:tblGrid>
      <w:tr w:rsidR="00942875" w:rsidRPr="004732ED" w14:paraId="1A20AE83" w14:textId="77777777" w:rsidTr="008B7715">
        <w:trPr>
          <w:trHeight w:val="368"/>
          <w:tblHeader/>
        </w:trPr>
        <w:tc>
          <w:tcPr>
            <w:tcW w:w="0" w:type="dxa"/>
            <w:shd w:val="clear" w:color="auto" w:fill="1D336D" w:themeFill="background2"/>
          </w:tcPr>
          <w:p w14:paraId="34C9DCA7" w14:textId="0172C9DD" w:rsidR="00076FAD" w:rsidRPr="008B7715" w:rsidRDefault="00076FAD" w:rsidP="008B7715">
            <w:pPr>
              <w:spacing w:after="0" w:line="240" w:lineRule="auto"/>
              <w:rPr>
                <w:rFonts w:cstheme="minorHAnsi"/>
                <w:b/>
                <w:bCs/>
                <w:color w:val="FFFFFF" w:themeColor="background1"/>
                <w:sz w:val="18"/>
                <w:szCs w:val="18"/>
              </w:rPr>
            </w:pPr>
            <w:r w:rsidRPr="008B7715">
              <w:rPr>
                <w:rFonts w:cstheme="minorHAnsi"/>
                <w:b/>
                <w:bCs/>
                <w:color w:val="FFFFFF" w:themeColor="background1"/>
                <w:sz w:val="18"/>
                <w:szCs w:val="18"/>
              </w:rPr>
              <w:t xml:space="preserve">Tasking Note No &amp; Name </w:t>
            </w:r>
          </w:p>
        </w:tc>
        <w:tc>
          <w:tcPr>
            <w:tcW w:w="0" w:type="dxa"/>
            <w:shd w:val="clear" w:color="auto" w:fill="1D336D" w:themeFill="background2"/>
          </w:tcPr>
          <w:p w14:paraId="3F22BDD2" w14:textId="77777777" w:rsidR="00076FAD" w:rsidRPr="008B7715" w:rsidRDefault="00076FAD" w:rsidP="008B7715">
            <w:pPr>
              <w:spacing w:after="0" w:line="240" w:lineRule="auto"/>
              <w:rPr>
                <w:rFonts w:cstheme="minorHAnsi"/>
                <w:b/>
                <w:bCs/>
                <w:color w:val="FFFFFF" w:themeColor="background1"/>
                <w:sz w:val="18"/>
                <w:szCs w:val="18"/>
              </w:rPr>
            </w:pPr>
            <w:r w:rsidRPr="008B7715">
              <w:rPr>
                <w:rFonts w:cstheme="minorHAnsi"/>
                <w:b/>
                <w:bCs/>
                <w:color w:val="FFFFFF" w:themeColor="background1"/>
                <w:sz w:val="18"/>
                <w:szCs w:val="18"/>
              </w:rPr>
              <w:t xml:space="preserve">Date signed* </w:t>
            </w:r>
          </w:p>
        </w:tc>
        <w:tc>
          <w:tcPr>
            <w:tcW w:w="0" w:type="dxa"/>
            <w:shd w:val="clear" w:color="auto" w:fill="1D336D" w:themeFill="background2"/>
          </w:tcPr>
          <w:p w14:paraId="32D9023F" w14:textId="77777777" w:rsidR="00076FAD" w:rsidRPr="008B7715" w:rsidRDefault="00076FAD" w:rsidP="008B7715">
            <w:pPr>
              <w:spacing w:after="0" w:line="240" w:lineRule="auto"/>
              <w:rPr>
                <w:rFonts w:cstheme="minorHAnsi"/>
                <w:b/>
                <w:bCs/>
                <w:color w:val="FFFFFF" w:themeColor="background1"/>
                <w:sz w:val="18"/>
                <w:szCs w:val="18"/>
              </w:rPr>
            </w:pPr>
            <w:r w:rsidRPr="008B7715">
              <w:rPr>
                <w:rFonts w:cstheme="minorHAnsi"/>
                <w:b/>
                <w:bCs/>
                <w:color w:val="FFFFFF" w:themeColor="background1"/>
                <w:sz w:val="18"/>
                <w:szCs w:val="18"/>
              </w:rPr>
              <w:t xml:space="preserve">Description </w:t>
            </w:r>
          </w:p>
        </w:tc>
        <w:tc>
          <w:tcPr>
            <w:tcW w:w="0" w:type="dxa"/>
            <w:shd w:val="clear" w:color="auto" w:fill="1D336D" w:themeFill="background2"/>
          </w:tcPr>
          <w:p w14:paraId="4A380660" w14:textId="77777777" w:rsidR="00076FAD" w:rsidRPr="008B7715" w:rsidRDefault="00076FAD" w:rsidP="008B7715">
            <w:pPr>
              <w:spacing w:after="0" w:line="240" w:lineRule="auto"/>
              <w:rPr>
                <w:rFonts w:cstheme="minorHAnsi"/>
                <w:b/>
                <w:bCs/>
                <w:color w:val="FFFFFF" w:themeColor="background1"/>
                <w:sz w:val="18"/>
                <w:szCs w:val="18"/>
              </w:rPr>
            </w:pPr>
            <w:r w:rsidRPr="008B7715">
              <w:rPr>
                <w:rFonts w:cstheme="minorHAnsi"/>
                <w:b/>
                <w:bCs/>
                <w:color w:val="FFFFFF" w:themeColor="background1"/>
                <w:sz w:val="18"/>
                <w:szCs w:val="18"/>
              </w:rPr>
              <w:t xml:space="preserve">Max Value (AUD) </w:t>
            </w:r>
          </w:p>
        </w:tc>
        <w:tc>
          <w:tcPr>
            <w:tcW w:w="0" w:type="dxa"/>
            <w:shd w:val="clear" w:color="auto" w:fill="1D336D" w:themeFill="background2"/>
          </w:tcPr>
          <w:p w14:paraId="62596265" w14:textId="77777777" w:rsidR="00076FAD" w:rsidRPr="008B7715" w:rsidRDefault="00076FAD" w:rsidP="008B7715">
            <w:pPr>
              <w:spacing w:after="0" w:line="240" w:lineRule="auto"/>
              <w:rPr>
                <w:rFonts w:cstheme="minorHAnsi"/>
                <w:b/>
                <w:bCs/>
                <w:color w:val="FFFFFF" w:themeColor="background1"/>
                <w:sz w:val="18"/>
                <w:szCs w:val="18"/>
              </w:rPr>
            </w:pPr>
            <w:r w:rsidRPr="008B7715">
              <w:rPr>
                <w:rFonts w:cstheme="minorHAnsi"/>
                <w:b/>
                <w:bCs/>
                <w:color w:val="FFFFFF" w:themeColor="background1"/>
                <w:sz w:val="18"/>
                <w:szCs w:val="18"/>
              </w:rPr>
              <w:t xml:space="preserve">Status </w:t>
            </w:r>
          </w:p>
        </w:tc>
      </w:tr>
      <w:tr w:rsidR="00076FAD" w:rsidRPr="004732ED" w14:paraId="2534BD28" w14:textId="77777777" w:rsidTr="00B81FDC">
        <w:trPr>
          <w:cnfStyle w:val="000000100000" w:firstRow="0" w:lastRow="0" w:firstColumn="0" w:lastColumn="0" w:oddVBand="0" w:evenVBand="0" w:oddHBand="1" w:evenHBand="0" w:firstRowFirstColumn="0" w:firstRowLastColumn="0" w:lastRowFirstColumn="0" w:lastRowLastColumn="0"/>
          <w:trHeight w:val="295"/>
        </w:trPr>
        <w:tc>
          <w:tcPr>
            <w:tcW w:w="2235" w:type="dxa"/>
          </w:tcPr>
          <w:p w14:paraId="72D387B1"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TN01 Disability Design </w:t>
            </w:r>
          </w:p>
        </w:tc>
        <w:tc>
          <w:tcPr>
            <w:tcW w:w="2268" w:type="dxa"/>
          </w:tcPr>
          <w:p w14:paraId="380982AB"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Signed 8 April 2022 </w:t>
            </w:r>
          </w:p>
        </w:tc>
        <w:tc>
          <w:tcPr>
            <w:tcW w:w="2838" w:type="dxa"/>
          </w:tcPr>
          <w:p w14:paraId="5FE6AD37"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Did not proceed at the request of DFAT. </w:t>
            </w:r>
          </w:p>
        </w:tc>
        <w:tc>
          <w:tcPr>
            <w:tcW w:w="1414" w:type="dxa"/>
          </w:tcPr>
          <w:p w14:paraId="2F9001AE"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0 </w:t>
            </w:r>
          </w:p>
        </w:tc>
        <w:tc>
          <w:tcPr>
            <w:tcW w:w="1418" w:type="dxa"/>
          </w:tcPr>
          <w:p w14:paraId="429D3CDD"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Cancelled </w:t>
            </w:r>
          </w:p>
        </w:tc>
      </w:tr>
      <w:tr w:rsidR="00076FAD" w:rsidRPr="004732ED" w14:paraId="5B6A6101" w14:textId="77777777" w:rsidTr="00B81FDC">
        <w:trPr>
          <w:trHeight w:val="444"/>
        </w:trPr>
        <w:tc>
          <w:tcPr>
            <w:tcW w:w="2235" w:type="dxa"/>
          </w:tcPr>
          <w:p w14:paraId="73497D52"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TN02 Police Commissioner Support </w:t>
            </w:r>
          </w:p>
        </w:tc>
        <w:tc>
          <w:tcPr>
            <w:tcW w:w="2268" w:type="dxa"/>
          </w:tcPr>
          <w:p w14:paraId="6559B22A"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Signed 28 April 2022 </w:t>
            </w:r>
          </w:p>
        </w:tc>
        <w:tc>
          <w:tcPr>
            <w:tcW w:w="2838" w:type="dxa"/>
          </w:tcPr>
          <w:p w14:paraId="3D14ED5E"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Salary supplementation and the provision of ongoing logistical support/costs </w:t>
            </w:r>
          </w:p>
        </w:tc>
        <w:tc>
          <w:tcPr>
            <w:tcW w:w="1414" w:type="dxa"/>
          </w:tcPr>
          <w:p w14:paraId="66E30F81"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1,846,637 </w:t>
            </w:r>
          </w:p>
        </w:tc>
        <w:tc>
          <w:tcPr>
            <w:tcW w:w="1418" w:type="dxa"/>
          </w:tcPr>
          <w:p w14:paraId="2FD6B855"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Ongoing </w:t>
            </w:r>
          </w:p>
        </w:tc>
      </w:tr>
      <w:tr w:rsidR="00076FAD" w:rsidRPr="004732ED" w14:paraId="3CEFFBF3" w14:textId="77777777" w:rsidTr="00B81FDC">
        <w:trPr>
          <w:cnfStyle w:val="000000100000" w:firstRow="0" w:lastRow="0" w:firstColumn="0" w:lastColumn="0" w:oddVBand="0" w:evenVBand="0" w:oddHBand="1" w:evenHBand="0" w:firstRowFirstColumn="0" w:firstRowLastColumn="0" w:lastRowFirstColumn="0" w:lastRowLastColumn="0"/>
          <w:trHeight w:val="590"/>
        </w:trPr>
        <w:tc>
          <w:tcPr>
            <w:tcW w:w="2235" w:type="dxa"/>
          </w:tcPr>
          <w:p w14:paraId="1B18522F"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TN03 Disaster Recovery </w:t>
            </w:r>
          </w:p>
        </w:tc>
        <w:tc>
          <w:tcPr>
            <w:tcW w:w="2268" w:type="dxa"/>
          </w:tcPr>
          <w:p w14:paraId="0F15A15B"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N/A </w:t>
            </w:r>
          </w:p>
        </w:tc>
        <w:tc>
          <w:tcPr>
            <w:tcW w:w="2838" w:type="dxa"/>
          </w:tcPr>
          <w:p w14:paraId="4BDBD016"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Did not proceed </w:t>
            </w:r>
            <w:r w:rsidRPr="008B7715">
              <w:rPr>
                <w:rFonts w:cstheme="minorHAnsi"/>
                <w:i/>
                <w:iCs/>
                <w:sz w:val="18"/>
                <w:szCs w:val="18"/>
              </w:rPr>
              <w:t>as a Tasking Note</w:t>
            </w:r>
            <w:r w:rsidRPr="008B7715">
              <w:rPr>
                <w:rFonts w:cstheme="minorHAnsi"/>
                <w:sz w:val="18"/>
                <w:szCs w:val="18"/>
              </w:rPr>
              <w:t xml:space="preserve">—instead, STA engaged by TASP at the request of DFAT. </w:t>
            </w:r>
          </w:p>
        </w:tc>
        <w:tc>
          <w:tcPr>
            <w:tcW w:w="1414" w:type="dxa"/>
          </w:tcPr>
          <w:p w14:paraId="4ACAC664"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0 </w:t>
            </w:r>
          </w:p>
        </w:tc>
        <w:tc>
          <w:tcPr>
            <w:tcW w:w="1418" w:type="dxa"/>
          </w:tcPr>
          <w:p w14:paraId="6029C178"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Cancelled </w:t>
            </w:r>
          </w:p>
        </w:tc>
      </w:tr>
      <w:tr w:rsidR="00076FAD" w:rsidRPr="004732ED" w14:paraId="0B3238B4" w14:textId="77777777" w:rsidTr="00B81FDC">
        <w:trPr>
          <w:trHeight w:val="735"/>
        </w:trPr>
        <w:tc>
          <w:tcPr>
            <w:tcW w:w="2235" w:type="dxa"/>
          </w:tcPr>
          <w:p w14:paraId="5DA16D92"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TN04 TNCWC Grant </w:t>
            </w:r>
          </w:p>
        </w:tc>
        <w:tc>
          <w:tcPr>
            <w:tcW w:w="2268" w:type="dxa"/>
          </w:tcPr>
          <w:p w14:paraId="14F56125"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N/A </w:t>
            </w:r>
          </w:p>
        </w:tc>
        <w:tc>
          <w:tcPr>
            <w:tcW w:w="2838" w:type="dxa"/>
          </w:tcPr>
          <w:p w14:paraId="249C7985"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Novation of grant to TASP and funded under the gender pillar. Thus, the activity did not proceed </w:t>
            </w:r>
            <w:r w:rsidRPr="008B7715">
              <w:rPr>
                <w:rFonts w:cstheme="minorHAnsi"/>
                <w:i/>
                <w:iCs/>
                <w:sz w:val="18"/>
                <w:szCs w:val="18"/>
              </w:rPr>
              <w:t xml:space="preserve">as a Tasking Note. </w:t>
            </w:r>
          </w:p>
        </w:tc>
        <w:tc>
          <w:tcPr>
            <w:tcW w:w="1414" w:type="dxa"/>
          </w:tcPr>
          <w:p w14:paraId="21EEBC2F"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Funded under gender pillar </w:t>
            </w:r>
          </w:p>
        </w:tc>
        <w:tc>
          <w:tcPr>
            <w:tcW w:w="1418" w:type="dxa"/>
          </w:tcPr>
          <w:p w14:paraId="5EB61AE2"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Ongoing </w:t>
            </w:r>
          </w:p>
        </w:tc>
      </w:tr>
      <w:tr w:rsidR="00076FAD" w:rsidRPr="004732ED" w14:paraId="627BDE40" w14:textId="77777777" w:rsidTr="00B81FDC">
        <w:trPr>
          <w:cnfStyle w:val="000000100000" w:firstRow="0" w:lastRow="0" w:firstColumn="0" w:lastColumn="0" w:oddVBand="0" w:evenVBand="0" w:oddHBand="1" w:evenHBand="0" w:firstRowFirstColumn="0" w:firstRowLastColumn="0" w:lastRowFirstColumn="0" w:lastRowLastColumn="0"/>
          <w:trHeight w:val="735"/>
        </w:trPr>
        <w:tc>
          <w:tcPr>
            <w:tcW w:w="2235" w:type="dxa"/>
          </w:tcPr>
          <w:p w14:paraId="5E41F763"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TN05 WCCC Grant </w:t>
            </w:r>
          </w:p>
        </w:tc>
        <w:tc>
          <w:tcPr>
            <w:tcW w:w="2268" w:type="dxa"/>
          </w:tcPr>
          <w:p w14:paraId="23BC86E7"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N/A </w:t>
            </w:r>
          </w:p>
        </w:tc>
        <w:tc>
          <w:tcPr>
            <w:tcW w:w="2838" w:type="dxa"/>
          </w:tcPr>
          <w:p w14:paraId="12902204"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Novation of grant to TASP and funded under the gender pillar. Thus, the activity did not proceed as a Tasking Note. </w:t>
            </w:r>
          </w:p>
        </w:tc>
        <w:tc>
          <w:tcPr>
            <w:tcW w:w="1414" w:type="dxa"/>
          </w:tcPr>
          <w:p w14:paraId="3E759B9D"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Funded under gender pillar </w:t>
            </w:r>
          </w:p>
        </w:tc>
        <w:tc>
          <w:tcPr>
            <w:tcW w:w="1418" w:type="dxa"/>
          </w:tcPr>
          <w:p w14:paraId="40DFBDA9"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Ongoing </w:t>
            </w:r>
          </w:p>
        </w:tc>
      </w:tr>
      <w:tr w:rsidR="00076FAD" w:rsidRPr="004732ED" w14:paraId="76D404A1" w14:textId="77777777" w:rsidTr="00B81FDC">
        <w:trPr>
          <w:trHeight w:val="735"/>
        </w:trPr>
        <w:tc>
          <w:tcPr>
            <w:tcW w:w="2235" w:type="dxa"/>
          </w:tcPr>
          <w:p w14:paraId="450A1FA2"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TN06 Unused </w:t>
            </w:r>
          </w:p>
        </w:tc>
        <w:tc>
          <w:tcPr>
            <w:tcW w:w="2268" w:type="dxa"/>
          </w:tcPr>
          <w:p w14:paraId="306C5049"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N/A </w:t>
            </w:r>
          </w:p>
        </w:tc>
        <w:tc>
          <w:tcPr>
            <w:tcW w:w="2838" w:type="dxa"/>
          </w:tcPr>
          <w:p w14:paraId="4650D078"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Did not proceed </w:t>
            </w:r>
          </w:p>
        </w:tc>
        <w:tc>
          <w:tcPr>
            <w:tcW w:w="1414" w:type="dxa"/>
          </w:tcPr>
          <w:p w14:paraId="255A5E2B"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0 </w:t>
            </w:r>
          </w:p>
        </w:tc>
        <w:tc>
          <w:tcPr>
            <w:tcW w:w="1418" w:type="dxa"/>
          </w:tcPr>
          <w:p w14:paraId="16DB518B"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N/A </w:t>
            </w:r>
          </w:p>
        </w:tc>
      </w:tr>
      <w:tr w:rsidR="00076FAD" w:rsidRPr="004732ED" w14:paraId="317EFC37" w14:textId="77777777" w:rsidTr="00B81FDC">
        <w:trPr>
          <w:cnfStyle w:val="000000100000" w:firstRow="0" w:lastRow="0" w:firstColumn="0" w:lastColumn="0" w:oddVBand="0" w:evenVBand="0" w:oddHBand="1" w:evenHBand="0" w:firstRowFirstColumn="0" w:firstRowLastColumn="0" w:lastRowFirstColumn="0" w:lastRowLastColumn="0"/>
          <w:trHeight w:val="735"/>
        </w:trPr>
        <w:tc>
          <w:tcPr>
            <w:tcW w:w="2235" w:type="dxa"/>
          </w:tcPr>
          <w:p w14:paraId="3EC28B1A"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TN07 Support for Climate Week MEIDECC </w:t>
            </w:r>
          </w:p>
        </w:tc>
        <w:tc>
          <w:tcPr>
            <w:tcW w:w="2268" w:type="dxa"/>
          </w:tcPr>
          <w:p w14:paraId="485F2C9A"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Signed 24 August 2022 </w:t>
            </w:r>
          </w:p>
        </w:tc>
        <w:tc>
          <w:tcPr>
            <w:tcW w:w="2838" w:type="dxa"/>
          </w:tcPr>
          <w:p w14:paraId="063EE6B7"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Direct funding of radio and television broadcasts on behalf of MEIDECC for Climate Change Week </w:t>
            </w:r>
          </w:p>
        </w:tc>
        <w:tc>
          <w:tcPr>
            <w:tcW w:w="1414" w:type="dxa"/>
          </w:tcPr>
          <w:p w14:paraId="3625BAFF"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3,050 </w:t>
            </w:r>
          </w:p>
        </w:tc>
        <w:tc>
          <w:tcPr>
            <w:tcW w:w="1418" w:type="dxa"/>
          </w:tcPr>
          <w:p w14:paraId="60838B2C"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Completed </w:t>
            </w:r>
          </w:p>
        </w:tc>
      </w:tr>
      <w:tr w:rsidR="00076FAD" w:rsidRPr="004732ED" w14:paraId="7E216487" w14:textId="77777777" w:rsidTr="00B81FDC">
        <w:trPr>
          <w:trHeight w:val="735"/>
        </w:trPr>
        <w:tc>
          <w:tcPr>
            <w:tcW w:w="2235" w:type="dxa"/>
          </w:tcPr>
          <w:p w14:paraId="6F9E8CAA"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TN08 Unused </w:t>
            </w:r>
          </w:p>
        </w:tc>
        <w:tc>
          <w:tcPr>
            <w:tcW w:w="2268" w:type="dxa"/>
          </w:tcPr>
          <w:p w14:paraId="308748ED"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N/A </w:t>
            </w:r>
          </w:p>
        </w:tc>
        <w:tc>
          <w:tcPr>
            <w:tcW w:w="2838" w:type="dxa"/>
          </w:tcPr>
          <w:p w14:paraId="5105669E"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Did not proceed </w:t>
            </w:r>
          </w:p>
        </w:tc>
        <w:tc>
          <w:tcPr>
            <w:tcW w:w="1414" w:type="dxa"/>
          </w:tcPr>
          <w:p w14:paraId="573E8FEB"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0 </w:t>
            </w:r>
          </w:p>
        </w:tc>
        <w:tc>
          <w:tcPr>
            <w:tcW w:w="1418" w:type="dxa"/>
          </w:tcPr>
          <w:p w14:paraId="16240004"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N/A </w:t>
            </w:r>
          </w:p>
        </w:tc>
      </w:tr>
      <w:tr w:rsidR="00076FAD" w:rsidRPr="004732ED" w14:paraId="24671375" w14:textId="77777777" w:rsidTr="00B81FDC">
        <w:trPr>
          <w:cnfStyle w:val="000000100000" w:firstRow="0" w:lastRow="0" w:firstColumn="0" w:lastColumn="0" w:oddVBand="0" w:evenVBand="0" w:oddHBand="1" w:evenHBand="0" w:firstRowFirstColumn="0" w:firstRowLastColumn="0" w:lastRowFirstColumn="0" w:lastRowLastColumn="0"/>
          <w:trHeight w:val="735"/>
        </w:trPr>
        <w:tc>
          <w:tcPr>
            <w:tcW w:w="2235" w:type="dxa"/>
          </w:tcPr>
          <w:p w14:paraId="621A8F65"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TN09 NATA Attendance at APMCDRR </w:t>
            </w:r>
          </w:p>
        </w:tc>
        <w:tc>
          <w:tcPr>
            <w:tcW w:w="2268" w:type="dxa"/>
          </w:tcPr>
          <w:p w14:paraId="2FFBF560"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Signed 7 September 2022 </w:t>
            </w:r>
          </w:p>
        </w:tc>
        <w:tc>
          <w:tcPr>
            <w:tcW w:w="2838" w:type="dxa"/>
          </w:tcPr>
          <w:p w14:paraId="70013BFD"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Sending of 3 NATA representatives plus 2 carers to the APMCDRR in Brisbane </w:t>
            </w:r>
          </w:p>
        </w:tc>
        <w:tc>
          <w:tcPr>
            <w:tcW w:w="1414" w:type="dxa"/>
          </w:tcPr>
          <w:p w14:paraId="7A674A20"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36,627 </w:t>
            </w:r>
          </w:p>
        </w:tc>
        <w:tc>
          <w:tcPr>
            <w:tcW w:w="1418" w:type="dxa"/>
          </w:tcPr>
          <w:p w14:paraId="67939925"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Completed </w:t>
            </w:r>
          </w:p>
        </w:tc>
      </w:tr>
      <w:tr w:rsidR="00076FAD" w:rsidRPr="004732ED" w14:paraId="57E30D0B" w14:textId="77777777" w:rsidTr="00B81FDC">
        <w:trPr>
          <w:trHeight w:val="735"/>
        </w:trPr>
        <w:tc>
          <w:tcPr>
            <w:tcW w:w="2235" w:type="dxa"/>
          </w:tcPr>
          <w:p w14:paraId="21624260"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lastRenderedPageBreak/>
              <w:t xml:space="preserve">TN10 </w:t>
            </w:r>
            <w:proofErr w:type="spellStart"/>
            <w:r w:rsidRPr="008B7715">
              <w:rPr>
                <w:rFonts w:cstheme="minorHAnsi"/>
                <w:sz w:val="18"/>
                <w:szCs w:val="18"/>
              </w:rPr>
              <w:t>Lulutai</w:t>
            </w:r>
            <w:proofErr w:type="spellEnd"/>
            <w:r w:rsidRPr="008B7715">
              <w:rPr>
                <w:rFonts w:cstheme="minorHAnsi"/>
                <w:sz w:val="18"/>
                <w:szCs w:val="18"/>
              </w:rPr>
              <w:t xml:space="preserve"> Airlines Pilot Training </w:t>
            </w:r>
          </w:p>
        </w:tc>
        <w:tc>
          <w:tcPr>
            <w:tcW w:w="2268" w:type="dxa"/>
          </w:tcPr>
          <w:p w14:paraId="519932AB"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Signed 10 January 2023 </w:t>
            </w:r>
          </w:p>
        </w:tc>
        <w:tc>
          <w:tcPr>
            <w:tcW w:w="2838" w:type="dxa"/>
          </w:tcPr>
          <w:p w14:paraId="7D39A322"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Training and logistics costs for 3 pilots to undergo flight crew recertification at a simulator facility in Sweden </w:t>
            </w:r>
          </w:p>
        </w:tc>
        <w:tc>
          <w:tcPr>
            <w:tcW w:w="1414" w:type="dxa"/>
          </w:tcPr>
          <w:p w14:paraId="27344777"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102,703 </w:t>
            </w:r>
          </w:p>
        </w:tc>
        <w:tc>
          <w:tcPr>
            <w:tcW w:w="1418" w:type="dxa"/>
          </w:tcPr>
          <w:p w14:paraId="1BA65A4D"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Completed </w:t>
            </w:r>
          </w:p>
        </w:tc>
      </w:tr>
      <w:tr w:rsidR="00076FAD" w:rsidRPr="004732ED" w14:paraId="0593C162" w14:textId="77777777" w:rsidTr="00B81FDC">
        <w:trPr>
          <w:cnfStyle w:val="000000100000" w:firstRow="0" w:lastRow="0" w:firstColumn="0" w:lastColumn="0" w:oddVBand="0" w:evenVBand="0" w:oddHBand="1" w:evenHBand="0" w:firstRowFirstColumn="0" w:firstRowLastColumn="0" w:lastRowFirstColumn="0" w:lastRowLastColumn="0"/>
          <w:trHeight w:val="735"/>
        </w:trPr>
        <w:tc>
          <w:tcPr>
            <w:tcW w:w="2235" w:type="dxa"/>
          </w:tcPr>
          <w:p w14:paraId="3C784D5E"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TN11 </w:t>
            </w:r>
            <w:proofErr w:type="spellStart"/>
            <w:r w:rsidRPr="008B7715">
              <w:rPr>
                <w:rFonts w:cstheme="minorHAnsi"/>
                <w:sz w:val="18"/>
                <w:szCs w:val="18"/>
              </w:rPr>
              <w:t>GoT</w:t>
            </w:r>
            <w:proofErr w:type="spellEnd"/>
            <w:r w:rsidRPr="008B7715">
              <w:rPr>
                <w:rFonts w:cstheme="minorHAnsi"/>
                <w:sz w:val="18"/>
                <w:szCs w:val="18"/>
              </w:rPr>
              <w:t xml:space="preserve"> Attendance at APMCDRR </w:t>
            </w:r>
          </w:p>
        </w:tc>
        <w:tc>
          <w:tcPr>
            <w:tcW w:w="2268" w:type="dxa"/>
          </w:tcPr>
          <w:p w14:paraId="6E3CD7FA"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Signed 14 September 2022 </w:t>
            </w:r>
          </w:p>
        </w:tc>
        <w:tc>
          <w:tcPr>
            <w:tcW w:w="2838" w:type="dxa"/>
          </w:tcPr>
          <w:p w14:paraId="2F3680F1"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Logistics for one representative from MEIDECC to attend the APMCDRR in Brisbane </w:t>
            </w:r>
          </w:p>
        </w:tc>
        <w:tc>
          <w:tcPr>
            <w:tcW w:w="1414" w:type="dxa"/>
          </w:tcPr>
          <w:p w14:paraId="58FD5F69"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8,547 </w:t>
            </w:r>
          </w:p>
        </w:tc>
        <w:tc>
          <w:tcPr>
            <w:tcW w:w="1418" w:type="dxa"/>
          </w:tcPr>
          <w:p w14:paraId="0B423263"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Completed </w:t>
            </w:r>
          </w:p>
        </w:tc>
      </w:tr>
      <w:tr w:rsidR="00076FAD" w:rsidRPr="004732ED" w14:paraId="4863AEA9" w14:textId="77777777" w:rsidTr="00B81FDC">
        <w:trPr>
          <w:trHeight w:val="735"/>
        </w:trPr>
        <w:tc>
          <w:tcPr>
            <w:tcW w:w="2235" w:type="dxa"/>
          </w:tcPr>
          <w:p w14:paraId="106E6FAC"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TN12 Procurement for TFES </w:t>
            </w:r>
          </w:p>
        </w:tc>
        <w:tc>
          <w:tcPr>
            <w:tcW w:w="2268" w:type="dxa"/>
          </w:tcPr>
          <w:p w14:paraId="77BECD42"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N/A </w:t>
            </w:r>
          </w:p>
        </w:tc>
        <w:tc>
          <w:tcPr>
            <w:tcW w:w="2838" w:type="dxa"/>
          </w:tcPr>
          <w:p w14:paraId="6DD54A85"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Did not proceed, as the South Australian Fire Service directly arranged for the delivery of donated materials—thus DFAT instructed that the TN do not proceed any further. TN retained in this list for historic accuracy. </w:t>
            </w:r>
          </w:p>
        </w:tc>
        <w:tc>
          <w:tcPr>
            <w:tcW w:w="1414" w:type="dxa"/>
          </w:tcPr>
          <w:p w14:paraId="2A98BFBD"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0 </w:t>
            </w:r>
          </w:p>
        </w:tc>
        <w:tc>
          <w:tcPr>
            <w:tcW w:w="1418" w:type="dxa"/>
          </w:tcPr>
          <w:p w14:paraId="41006D08"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Cancelled </w:t>
            </w:r>
          </w:p>
        </w:tc>
      </w:tr>
      <w:tr w:rsidR="00076FAD" w:rsidRPr="004732ED" w14:paraId="3B19BA47" w14:textId="77777777" w:rsidTr="00B81FDC">
        <w:trPr>
          <w:cnfStyle w:val="000000100000" w:firstRow="0" w:lastRow="0" w:firstColumn="0" w:lastColumn="0" w:oddVBand="0" w:evenVBand="0" w:oddHBand="1" w:evenHBand="0" w:firstRowFirstColumn="0" w:firstRowLastColumn="0" w:lastRowFirstColumn="0" w:lastRowLastColumn="0"/>
          <w:trHeight w:val="735"/>
        </w:trPr>
        <w:tc>
          <w:tcPr>
            <w:tcW w:w="2235" w:type="dxa"/>
          </w:tcPr>
          <w:p w14:paraId="333072AB"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TN13 Smart Meter Review </w:t>
            </w:r>
          </w:p>
        </w:tc>
        <w:tc>
          <w:tcPr>
            <w:tcW w:w="2268" w:type="dxa"/>
          </w:tcPr>
          <w:p w14:paraId="64ABEBD3"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Signed 31 October 2022 </w:t>
            </w:r>
          </w:p>
        </w:tc>
        <w:tc>
          <w:tcPr>
            <w:tcW w:w="2838" w:type="dxa"/>
          </w:tcPr>
          <w:p w14:paraId="3282F876"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Independent review of the smart meter system in Tonga </w:t>
            </w:r>
          </w:p>
        </w:tc>
        <w:tc>
          <w:tcPr>
            <w:tcW w:w="1414" w:type="dxa"/>
          </w:tcPr>
          <w:p w14:paraId="6582958A"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73,251 </w:t>
            </w:r>
          </w:p>
        </w:tc>
        <w:tc>
          <w:tcPr>
            <w:tcW w:w="1418" w:type="dxa"/>
          </w:tcPr>
          <w:p w14:paraId="5DAFC4B2"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Completed </w:t>
            </w:r>
          </w:p>
        </w:tc>
      </w:tr>
      <w:tr w:rsidR="00076FAD" w:rsidRPr="004732ED" w14:paraId="18A5CE62" w14:textId="77777777" w:rsidTr="00B81FDC">
        <w:trPr>
          <w:trHeight w:val="735"/>
        </w:trPr>
        <w:tc>
          <w:tcPr>
            <w:tcW w:w="2235" w:type="dxa"/>
          </w:tcPr>
          <w:p w14:paraId="650C18EC"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TN14 TCDT Attendance at APMCDRR </w:t>
            </w:r>
          </w:p>
        </w:tc>
        <w:tc>
          <w:tcPr>
            <w:tcW w:w="2268" w:type="dxa"/>
          </w:tcPr>
          <w:p w14:paraId="1C24FB7D"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Signed 13 September 2022 </w:t>
            </w:r>
          </w:p>
        </w:tc>
        <w:tc>
          <w:tcPr>
            <w:tcW w:w="2838" w:type="dxa"/>
          </w:tcPr>
          <w:p w14:paraId="51D0B783"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Logistics for one representative from TCDT to attend APMCDRR in Brisbane </w:t>
            </w:r>
          </w:p>
        </w:tc>
        <w:tc>
          <w:tcPr>
            <w:tcW w:w="1414" w:type="dxa"/>
          </w:tcPr>
          <w:p w14:paraId="4F1CF2E8"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9,209 </w:t>
            </w:r>
          </w:p>
        </w:tc>
        <w:tc>
          <w:tcPr>
            <w:tcW w:w="1418" w:type="dxa"/>
          </w:tcPr>
          <w:p w14:paraId="249F91B7"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Completed </w:t>
            </w:r>
          </w:p>
        </w:tc>
      </w:tr>
      <w:tr w:rsidR="00076FAD" w:rsidRPr="004732ED" w14:paraId="12A4DFFE" w14:textId="77777777" w:rsidTr="00B81FDC">
        <w:trPr>
          <w:cnfStyle w:val="000000100000" w:firstRow="0" w:lastRow="0" w:firstColumn="0" w:lastColumn="0" w:oddVBand="0" w:evenVBand="0" w:oddHBand="1" w:evenHBand="0" w:firstRowFirstColumn="0" w:firstRowLastColumn="0" w:lastRowFirstColumn="0" w:lastRowLastColumn="0"/>
          <w:trHeight w:val="735"/>
        </w:trPr>
        <w:tc>
          <w:tcPr>
            <w:tcW w:w="2235" w:type="dxa"/>
          </w:tcPr>
          <w:p w14:paraId="2BEB4238" w14:textId="54B0A052"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TN15 Tonga Australia Stories </w:t>
            </w:r>
            <w:proofErr w:type="spellStart"/>
            <w:r w:rsidRPr="008B7715">
              <w:rPr>
                <w:rFonts w:cstheme="minorHAnsi"/>
                <w:sz w:val="18"/>
                <w:szCs w:val="18"/>
              </w:rPr>
              <w:t>stories</w:t>
            </w:r>
            <w:proofErr w:type="spellEnd"/>
            <w:r w:rsidRPr="008B7715">
              <w:rPr>
                <w:rFonts w:cstheme="minorHAnsi"/>
                <w:sz w:val="18"/>
                <w:szCs w:val="18"/>
              </w:rPr>
              <w:t xml:space="preserve"> showcasing the Tonga-Australia relationship</w:t>
            </w:r>
          </w:p>
        </w:tc>
        <w:tc>
          <w:tcPr>
            <w:tcW w:w="2268" w:type="dxa"/>
          </w:tcPr>
          <w:p w14:paraId="7B583628"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Signed 10 January 2023 </w:t>
            </w:r>
          </w:p>
        </w:tc>
        <w:tc>
          <w:tcPr>
            <w:tcW w:w="2838" w:type="dxa"/>
          </w:tcPr>
          <w:p w14:paraId="0222983E"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Commissioning of a local journalist to develop 100 </w:t>
            </w:r>
          </w:p>
        </w:tc>
        <w:tc>
          <w:tcPr>
            <w:tcW w:w="1414" w:type="dxa"/>
          </w:tcPr>
          <w:p w14:paraId="043731CF"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27,971 </w:t>
            </w:r>
          </w:p>
        </w:tc>
        <w:tc>
          <w:tcPr>
            <w:tcW w:w="1418" w:type="dxa"/>
          </w:tcPr>
          <w:p w14:paraId="547E76EA"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Underway </w:t>
            </w:r>
          </w:p>
        </w:tc>
      </w:tr>
      <w:tr w:rsidR="00076FAD" w:rsidRPr="004732ED" w14:paraId="57F46E87" w14:textId="77777777" w:rsidTr="00B81FDC">
        <w:trPr>
          <w:trHeight w:val="739"/>
        </w:trPr>
        <w:tc>
          <w:tcPr>
            <w:tcW w:w="2235" w:type="dxa"/>
          </w:tcPr>
          <w:p w14:paraId="04855CE6"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TN16 Did You Know Video </w:t>
            </w:r>
          </w:p>
        </w:tc>
        <w:tc>
          <w:tcPr>
            <w:tcW w:w="2268" w:type="dxa"/>
          </w:tcPr>
          <w:p w14:paraId="0B4994DC"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Signed 10 January 2023 </w:t>
            </w:r>
          </w:p>
        </w:tc>
        <w:tc>
          <w:tcPr>
            <w:tcW w:w="2838" w:type="dxa"/>
          </w:tcPr>
          <w:p w14:paraId="20E08355"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Commissioning of a local video production company to develop 6 short videos showcasing the Tonga-Australia relationship </w:t>
            </w:r>
          </w:p>
        </w:tc>
        <w:tc>
          <w:tcPr>
            <w:tcW w:w="1414" w:type="dxa"/>
          </w:tcPr>
          <w:p w14:paraId="601B0B53"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10,345 </w:t>
            </w:r>
          </w:p>
        </w:tc>
        <w:tc>
          <w:tcPr>
            <w:tcW w:w="1418" w:type="dxa"/>
          </w:tcPr>
          <w:p w14:paraId="088E58E1"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Underway </w:t>
            </w:r>
          </w:p>
        </w:tc>
      </w:tr>
      <w:tr w:rsidR="00076FAD" w:rsidRPr="004732ED" w14:paraId="3A6429D5" w14:textId="77777777" w:rsidTr="00B81FDC">
        <w:trPr>
          <w:cnfStyle w:val="000000100000" w:firstRow="0" w:lastRow="0" w:firstColumn="0" w:lastColumn="0" w:oddVBand="0" w:evenVBand="0" w:oddHBand="1" w:evenHBand="0" w:firstRowFirstColumn="0" w:firstRowLastColumn="0" w:lastRowFirstColumn="0" w:lastRowLastColumn="0"/>
          <w:trHeight w:val="738"/>
        </w:trPr>
        <w:tc>
          <w:tcPr>
            <w:tcW w:w="2235" w:type="dxa"/>
          </w:tcPr>
          <w:p w14:paraId="5741131F"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TN17 Aviation Conference Support Singapore </w:t>
            </w:r>
          </w:p>
        </w:tc>
        <w:tc>
          <w:tcPr>
            <w:tcW w:w="2268" w:type="dxa"/>
          </w:tcPr>
          <w:p w14:paraId="7687838B"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Signed 9 November 2022 </w:t>
            </w:r>
          </w:p>
        </w:tc>
        <w:tc>
          <w:tcPr>
            <w:tcW w:w="2838" w:type="dxa"/>
          </w:tcPr>
          <w:p w14:paraId="47CE724B"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Logistics for one MoF representative and one </w:t>
            </w:r>
            <w:proofErr w:type="spellStart"/>
            <w:r w:rsidRPr="008B7715">
              <w:rPr>
                <w:rFonts w:cstheme="minorHAnsi"/>
                <w:sz w:val="18"/>
                <w:szCs w:val="18"/>
              </w:rPr>
              <w:t>Lulutai</w:t>
            </w:r>
            <w:proofErr w:type="spellEnd"/>
            <w:r w:rsidRPr="008B7715">
              <w:rPr>
                <w:rFonts w:cstheme="minorHAnsi"/>
                <w:sz w:val="18"/>
                <w:szCs w:val="18"/>
              </w:rPr>
              <w:t xml:space="preserve"> representative to attend an aviation conference in Singapore </w:t>
            </w:r>
          </w:p>
        </w:tc>
        <w:tc>
          <w:tcPr>
            <w:tcW w:w="1414" w:type="dxa"/>
          </w:tcPr>
          <w:p w14:paraId="56037864"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24,012 </w:t>
            </w:r>
          </w:p>
        </w:tc>
        <w:tc>
          <w:tcPr>
            <w:tcW w:w="1418" w:type="dxa"/>
          </w:tcPr>
          <w:p w14:paraId="5E2E89AA"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Completed </w:t>
            </w:r>
          </w:p>
        </w:tc>
      </w:tr>
      <w:tr w:rsidR="00076FAD" w:rsidRPr="004732ED" w14:paraId="5844367E" w14:textId="77777777" w:rsidTr="00B81FDC">
        <w:trPr>
          <w:trHeight w:val="295"/>
        </w:trPr>
        <w:tc>
          <w:tcPr>
            <w:tcW w:w="2235" w:type="dxa"/>
          </w:tcPr>
          <w:p w14:paraId="2FA59983"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TN18 ATI Educational Show </w:t>
            </w:r>
          </w:p>
        </w:tc>
        <w:tc>
          <w:tcPr>
            <w:tcW w:w="2268" w:type="dxa"/>
          </w:tcPr>
          <w:p w14:paraId="7EFEF4DA"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Signed 10 January 2023 </w:t>
            </w:r>
          </w:p>
        </w:tc>
        <w:tc>
          <w:tcPr>
            <w:tcW w:w="2838" w:type="dxa"/>
          </w:tcPr>
          <w:p w14:paraId="16044D3A"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Platinum sponsorship of an ATI Educational Show </w:t>
            </w:r>
          </w:p>
        </w:tc>
        <w:tc>
          <w:tcPr>
            <w:tcW w:w="1414" w:type="dxa"/>
          </w:tcPr>
          <w:p w14:paraId="3E1371A1"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625 </w:t>
            </w:r>
          </w:p>
        </w:tc>
        <w:tc>
          <w:tcPr>
            <w:tcW w:w="1418" w:type="dxa"/>
          </w:tcPr>
          <w:p w14:paraId="0AFAF2E0"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Completed </w:t>
            </w:r>
          </w:p>
        </w:tc>
      </w:tr>
      <w:tr w:rsidR="00076FAD" w:rsidRPr="004732ED" w14:paraId="4A162B3C" w14:textId="77777777" w:rsidTr="00B81FDC">
        <w:trPr>
          <w:cnfStyle w:val="000000100000" w:firstRow="0" w:lastRow="0" w:firstColumn="0" w:lastColumn="0" w:oddVBand="0" w:evenVBand="0" w:oddHBand="1" w:evenHBand="0" w:firstRowFirstColumn="0" w:firstRowLastColumn="0" w:lastRowFirstColumn="0" w:lastRowLastColumn="0"/>
          <w:trHeight w:val="738"/>
        </w:trPr>
        <w:tc>
          <w:tcPr>
            <w:tcW w:w="2235" w:type="dxa"/>
          </w:tcPr>
          <w:p w14:paraId="4BEB65AD"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TN19 Commonwealth Youth Parliament </w:t>
            </w:r>
          </w:p>
        </w:tc>
        <w:tc>
          <w:tcPr>
            <w:tcW w:w="2268" w:type="dxa"/>
          </w:tcPr>
          <w:p w14:paraId="20A878E3"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Signed 12 December 2022 </w:t>
            </w:r>
          </w:p>
        </w:tc>
        <w:tc>
          <w:tcPr>
            <w:tcW w:w="2838" w:type="dxa"/>
          </w:tcPr>
          <w:p w14:paraId="7A326A89"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Logistics for one participant to attend the Commonwealth Youth Parliament in Trinidad/Tobago </w:t>
            </w:r>
          </w:p>
        </w:tc>
        <w:tc>
          <w:tcPr>
            <w:tcW w:w="1414" w:type="dxa"/>
          </w:tcPr>
          <w:p w14:paraId="7B2E144F"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16,703 </w:t>
            </w:r>
          </w:p>
        </w:tc>
        <w:tc>
          <w:tcPr>
            <w:tcW w:w="1418" w:type="dxa"/>
          </w:tcPr>
          <w:p w14:paraId="31CE155C"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Completed </w:t>
            </w:r>
          </w:p>
        </w:tc>
      </w:tr>
      <w:tr w:rsidR="00076FAD" w:rsidRPr="004732ED" w14:paraId="45326F33" w14:textId="77777777" w:rsidTr="00B81FDC">
        <w:trPr>
          <w:trHeight w:val="738"/>
        </w:trPr>
        <w:tc>
          <w:tcPr>
            <w:tcW w:w="2235" w:type="dxa"/>
          </w:tcPr>
          <w:p w14:paraId="4F857B35"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TN20 Effective Development Summit </w:t>
            </w:r>
          </w:p>
        </w:tc>
        <w:tc>
          <w:tcPr>
            <w:tcW w:w="2268" w:type="dxa"/>
          </w:tcPr>
          <w:p w14:paraId="4ED474FF"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Signed 10 January 2023 </w:t>
            </w:r>
          </w:p>
        </w:tc>
        <w:tc>
          <w:tcPr>
            <w:tcW w:w="2838" w:type="dxa"/>
          </w:tcPr>
          <w:p w14:paraId="4799452F"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Logistics for one participant from MoF to attend the Effective Development Cooperation summit in Geneva </w:t>
            </w:r>
          </w:p>
        </w:tc>
        <w:tc>
          <w:tcPr>
            <w:tcW w:w="1414" w:type="dxa"/>
          </w:tcPr>
          <w:p w14:paraId="5E000127"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14,056 </w:t>
            </w:r>
          </w:p>
        </w:tc>
        <w:tc>
          <w:tcPr>
            <w:tcW w:w="1418" w:type="dxa"/>
          </w:tcPr>
          <w:p w14:paraId="41391048"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Completed </w:t>
            </w:r>
          </w:p>
        </w:tc>
      </w:tr>
      <w:tr w:rsidR="00076FAD" w:rsidRPr="004732ED" w14:paraId="1E4A8244" w14:textId="77777777" w:rsidTr="00B81FDC">
        <w:trPr>
          <w:cnfStyle w:val="000000100000" w:firstRow="0" w:lastRow="0" w:firstColumn="0" w:lastColumn="0" w:oddVBand="0" w:evenVBand="0" w:oddHBand="1" w:evenHBand="0" w:firstRowFirstColumn="0" w:firstRowLastColumn="0" w:lastRowFirstColumn="0" w:lastRowLastColumn="0"/>
          <w:trHeight w:val="442"/>
        </w:trPr>
        <w:tc>
          <w:tcPr>
            <w:tcW w:w="2235" w:type="dxa"/>
          </w:tcPr>
          <w:p w14:paraId="3AE0D796"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TN21 TTI Perceptions Survey </w:t>
            </w:r>
          </w:p>
        </w:tc>
        <w:tc>
          <w:tcPr>
            <w:tcW w:w="2268" w:type="dxa"/>
          </w:tcPr>
          <w:p w14:paraId="5EBB6A16"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Signed 1 May 2023 </w:t>
            </w:r>
          </w:p>
        </w:tc>
        <w:tc>
          <w:tcPr>
            <w:tcW w:w="2838" w:type="dxa"/>
          </w:tcPr>
          <w:p w14:paraId="56E1AA9A"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Engagement of TTI to undertake a Perceptions Survey across Tonga </w:t>
            </w:r>
          </w:p>
        </w:tc>
        <w:tc>
          <w:tcPr>
            <w:tcW w:w="1414" w:type="dxa"/>
          </w:tcPr>
          <w:p w14:paraId="2A5AC344"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141,262 </w:t>
            </w:r>
          </w:p>
        </w:tc>
        <w:tc>
          <w:tcPr>
            <w:tcW w:w="1418" w:type="dxa"/>
          </w:tcPr>
          <w:p w14:paraId="7701E210" w14:textId="77777777" w:rsidR="00076FAD" w:rsidRPr="008B7715" w:rsidRDefault="00076FAD" w:rsidP="008B7715">
            <w:pPr>
              <w:spacing w:after="0" w:line="240" w:lineRule="auto"/>
              <w:rPr>
                <w:rFonts w:cstheme="minorHAnsi"/>
                <w:sz w:val="18"/>
                <w:szCs w:val="18"/>
              </w:rPr>
            </w:pPr>
            <w:r w:rsidRPr="008B7715">
              <w:rPr>
                <w:rFonts w:cstheme="minorHAnsi"/>
                <w:sz w:val="18"/>
                <w:szCs w:val="18"/>
              </w:rPr>
              <w:t xml:space="preserve">Yet to start </w:t>
            </w:r>
          </w:p>
        </w:tc>
      </w:tr>
    </w:tbl>
    <w:p w14:paraId="19B096CD" w14:textId="77777777" w:rsidR="00076FAD" w:rsidRDefault="00076FAD" w:rsidP="00A348C7">
      <w:pPr>
        <w:sectPr w:rsidR="00076FAD" w:rsidSect="00A6774F">
          <w:pgSz w:w="11906" w:h="16838"/>
          <w:pgMar w:top="1814" w:right="1134" w:bottom="1134" w:left="1134" w:header="851" w:footer="454" w:gutter="0"/>
          <w:pgNumType w:fmt="lowerRoman"/>
          <w:cols w:space="720"/>
          <w:titlePg/>
        </w:sectPr>
      </w:pPr>
    </w:p>
    <w:p w14:paraId="15767113" w14:textId="4A638217" w:rsidR="002555BD" w:rsidRDefault="002555BD" w:rsidP="002555BD">
      <w:pPr>
        <w:pStyle w:val="Heading1"/>
      </w:pPr>
      <w:bookmarkStart w:id="54" w:name="_Annex_6:_–"/>
      <w:bookmarkStart w:id="55" w:name="_Annex_6:_THSSP3"/>
      <w:bookmarkStart w:id="56" w:name="_Toc183423599"/>
      <w:bookmarkEnd w:id="54"/>
      <w:bookmarkEnd w:id="55"/>
      <w:r w:rsidRPr="00076FAD">
        <w:lastRenderedPageBreak/>
        <w:t xml:space="preserve">Annex </w:t>
      </w:r>
      <w:r>
        <w:t>6</w:t>
      </w:r>
      <w:r w:rsidR="00D46236">
        <w:t>:</w:t>
      </w:r>
      <w:r w:rsidRPr="00076FAD">
        <w:t xml:space="preserve"> THSSP3 (Health Pillar) Logic</w:t>
      </w:r>
      <w:bookmarkEnd w:id="56"/>
    </w:p>
    <w:p w14:paraId="7BDCAECE" w14:textId="7809DD6D" w:rsidR="002555BD" w:rsidRDefault="002555BD" w:rsidP="350EA745">
      <w:r>
        <w:rPr>
          <w:noProof/>
        </w:rPr>
        <w:drawing>
          <wp:inline distT="0" distB="0" distL="0" distR="0" wp14:anchorId="5C2B0AEC" wp14:editId="11504EB4">
            <wp:extent cx="6120130" cy="4082415"/>
            <wp:effectExtent l="0" t="0" r="0" b="0"/>
            <wp:docPr id="531780148" name="Picture 1" descr="A chart detailing Tonga Health Systems Support Program Phase 3 Program Logic, accessible text version is avail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6120130" cy="4082415"/>
                    </a:xfrm>
                    <a:prstGeom prst="rect">
                      <a:avLst/>
                    </a:prstGeom>
                  </pic:spPr>
                </pic:pic>
              </a:graphicData>
            </a:graphic>
          </wp:inline>
        </w:drawing>
      </w:r>
    </w:p>
    <w:p w14:paraId="1EE3C1D2" w14:textId="77777777" w:rsidR="002555BD" w:rsidRDefault="002555BD" w:rsidP="00A348C7">
      <w:pPr>
        <w:pStyle w:val="Heading1"/>
      </w:pPr>
    </w:p>
    <w:p w14:paraId="5C3D8FD9" w14:textId="2AC81803" w:rsidR="49BEA982" w:rsidRDefault="49BEA982" w:rsidP="49BEA982"/>
    <w:p w14:paraId="26D26B78" w14:textId="77777777" w:rsidR="007C048B" w:rsidRDefault="007C048B">
      <w:pPr>
        <w:spacing w:line="240" w:lineRule="auto"/>
        <w:rPr>
          <w:rFonts w:ascii="Aptos" w:eastAsia="Aptos" w:hAnsi="Aptos" w:cs="Aptos"/>
          <w:b/>
          <w:bCs/>
          <w:sz w:val="24"/>
        </w:rPr>
      </w:pPr>
      <w:r>
        <w:rPr>
          <w:rFonts w:ascii="Aptos" w:eastAsia="Aptos" w:hAnsi="Aptos" w:cs="Aptos"/>
          <w:b/>
          <w:bCs/>
          <w:sz w:val="24"/>
        </w:rPr>
        <w:br w:type="page"/>
      </w:r>
    </w:p>
    <w:p w14:paraId="01881F85" w14:textId="1DB43E9A" w:rsidR="365A6B71" w:rsidRDefault="365A6B71" w:rsidP="49BEA982">
      <w:pPr>
        <w:spacing w:line="276" w:lineRule="auto"/>
        <w:rPr>
          <w:rFonts w:ascii="Aptos" w:eastAsia="Aptos" w:hAnsi="Aptos" w:cs="Aptos"/>
          <w:b/>
          <w:bCs/>
          <w:sz w:val="24"/>
        </w:rPr>
      </w:pPr>
      <w:r w:rsidRPr="49BEA982">
        <w:rPr>
          <w:rFonts w:ascii="Aptos" w:eastAsia="Aptos" w:hAnsi="Aptos" w:cs="Aptos"/>
          <w:b/>
          <w:bCs/>
          <w:sz w:val="24"/>
        </w:rPr>
        <w:lastRenderedPageBreak/>
        <w:t>THSSP3 (Health Pillar) Logic</w:t>
      </w:r>
      <w:r w:rsidR="007C048B">
        <w:rPr>
          <w:rFonts w:ascii="Aptos" w:eastAsia="Aptos" w:hAnsi="Aptos" w:cs="Aptos"/>
          <w:b/>
          <w:bCs/>
          <w:sz w:val="24"/>
        </w:rPr>
        <w:t xml:space="preserve"> (Accessible version)</w:t>
      </w:r>
    </w:p>
    <w:p w14:paraId="57774117" w14:textId="0B7807B1" w:rsidR="365A6B71" w:rsidRDefault="365A6B71" w:rsidP="49BEA982">
      <w:pPr>
        <w:spacing w:line="276" w:lineRule="auto"/>
      </w:pPr>
      <w:r w:rsidRPr="49BEA982">
        <w:rPr>
          <w:rFonts w:ascii="Aptos" w:eastAsia="Aptos" w:hAnsi="Aptos" w:cs="Aptos"/>
          <w:sz w:val="24"/>
        </w:rPr>
        <w:t xml:space="preserve">The health and economic impact of non-communicable disease are reduced in Tonga, and health systems are more resilient to health security threats, natural disasters, and climate change. </w:t>
      </w:r>
    </w:p>
    <w:p w14:paraId="00F8F65E" w14:textId="1B69BD02" w:rsidR="365A6B71" w:rsidRDefault="365A6B71" w:rsidP="49BEA982">
      <w:pPr>
        <w:spacing w:line="276" w:lineRule="auto"/>
      </w:pPr>
      <w:r w:rsidRPr="49BEA982">
        <w:rPr>
          <w:rFonts w:ascii="Aptos" w:eastAsia="Aptos" w:hAnsi="Aptos" w:cs="Aptos"/>
          <w:sz w:val="24"/>
        </w:rPr>
        <w:t>Sector Outcomes 2030</w:t>
      </w:r>
    </w:p>
    <w:p w14:paraId="16A8BCF1" w14:textId="6F34DED0" w:rsidR="365A6B71" w:rsidRDefault="365A6B71" w:rsidP="00803578">
      <w:pPr>
        <w:pStyle w:val="ListParagraph"/>
        <w:numPr>
          <w:ilvl w:val="0"/>
          <w:numId w:val="5"/>
        </w:numPr>
        <w:spacing w:after="0" w:line="276" w:lineRule="auto"/>
        <w:rPr>
          <w:rFonts w:ascii="Aptos" w:eastAsia="Aptos" w:hAnsi="Aptos" w:cs="Aptos"/>
          <w:sz w:val="24"/>
        </w:rPr>
      </w:pPr>
      <w:r w:rsidRPr="49BEA982">
        <w:rPr>
          <w:rFonts w:ascii="Aptos" w:eastAsia="Aptos" w:hAnsi="Aptos" w:cs="Aptos"/>
          <w:sz w:val="24"/>
        </w:rPr>
        <w:t xml:space="preserve">Increased resilience of Tonga’s health system to prepare, manage, learn, and recover from health security threats, natural disasters, and climate change. </w:t>
      </w:r>
    </w:p>
    <w:p w14:paraId="7671C656" w14:textId="5994C7CE" w:rsidR="365A6B71" w:rsidRDefault="365A6B71" w:rsidP="00803578">
      <w:pPr>
        <w:pStyle w:val="ListParagraph"/>
        <w:numPr>
          <w:ilvl w:val="0"/>
          <w:numId w:val="5"/>
        </w:numPr>
        <w:spacing w:after="0" w:line="276" w:lineRule="auto"/>
        <w:rPr>
          <w:rFonts w:ascii="Aptos" w:eastAsia="Aptos" w:hAnsi="Aptos" w:cs="Aptos"/>
          <w:sz w:val="24"/>
        </w:rPr>
      </w:pPr>
      <w:r w:rsidRPr="49BEA982">
        <w:rPr>
          <w:rFonts w:ascii="Aptos" w:eastAsia="Aptos" w:hAnsi="Aptos" w:cs="Aptos"/>
          <w:sz w:val="24"/>
        </w:rPr>
        <w:t xml:space="preserve">Increased equitable access to country-led person-centred primary health care. </w:t>
      </w:r>
    </w:p>
    <w:p w14:paraId="64F2958D" w14:textId="1997F658" w:rsidR="365A6B71" w:rsidRDefault="365A6B71" w:rsidP="00803578">
      <w:pPr>
        <w:pStyle w:val="ListParagraph"/>
        <w:numPr>
          <w:ilvl w:val="0"/>
          <w:numId w:val="5"/>
        </w:numPr>
        <w:spacing w:after="0" w:line="276" w:lineRule="auto"/>
        <w:rPr>
          <w:rFonts w:ascii="Aptos" w:eastAsia="Aptos" w:hAnsi="Aptos" w:cs="Aptos"/>
          <w:sz w:val="24"/>
        </w:rPr>
      </w:pPr>
      <w:r w:rsidRPr="49BEA982">
        <w:rPr>
          <w:rFonts w:ascii="Aptos" w:eastAsia="Aptos" w:hAnsi="Aptos" w:cs="Aptos"/>
          <w:sz w:val="24"/>
        </w:rPr>
        <w:t xml:space="preserve">Individuals, families and communities demonstrate behaviour change to reduce NCD risk factors. </w:t>
      </w:r>
    </w:p>
    <w:p w14:paraId="7A7924CA" w14:textId="034FC543" w:rsidR="365A6B71" w:rsidRDefault="365A6B71" w:rsidP="49BEA982">
      <w:pPr>
        <w:spacing w:line="276" w:lineRule="auto"/>
      </w:pPr>
      <w:r w:rsidRPr="49BEA982">
        <w:rPr>
          <w:rFonts w:ascii="Aptos" w:eastAsia="Aptos" w:hAnsi="Aptos" w:cs="Aptos"/>
          <w:sz w:val="24"/>
        </w:rPr>
        <w:t>End of Phase Outcomes 2025</w:t>
      </w:r>
    </w:p>
    <w:p w14:paraId="5AA55669" w14:textId="3F395BED" w:rsidR="365A6B71" w:rsidRDefault="365A6B71" w:rsidP="00803578">
      <w:pPr>
        <w:pStyle w:val="ListParagraph"/>
        <w:numPr>
          <w:ilvl w:val="0"/>
          <w:numId w:val="4"/>
        </w:numPr>
        <w:spacing w:after="0" w:line="276" w:lineRule="auto"/>
        <w:rPr>
          <w:rFonts w:ascii="Aptos" w:eastAsia="Aptos" w:hAnsi="Aptos" w:cs="Aptos"/>
          <w:sz w:val="24"/>
        </w:rPr>
      </w:pPr>
      <w:r w:rsidRPr="49BEA982">
        <w:rPr>
          <w:rFonts w:ascii="Aptos" w:eastAsia="Aptos" w:hAnsi="Aptos" w:cs="Aptos"/>
          <w:sz w:val="24"/>
        </w:rPr>
        <w:t xml:space="preserve">Health System Strengthening: MOH systems and processes are strengthened for NCD prevention &amp; management, and preparedness &amp; response to emerging threats. </w:t>
      </w:r>
    </w:p>
    <w:p w14:paraId="4256BA9F" w14:textId="6E9ED8DC" w:rsidR="365A6B71" w:rsidRDefault="365A6B71" w:rsidP="00803578">
      <w:pPr>
        <w:pStyle w:val="ListParagraph"/>
        <w:numPr>
          <w:ilvl w:val="0"/>
          <w:numId w:val="4"/>
        </w:numPr>
        <w:spacing w:after="0" w:line="276" w:lineRule="auto"/>
        <w:rPr>
          <w:rFonts w:ascii="Aptos" w:eastAsia="Aptos" w:hAnsi="Aptos" w:cs="Aptos"/>
          <w:sz w:val="24"/>
        </w:rPr>
      </w:pPr>
      <w:r w:rsidRPr="49BEA982">
        <w:rPr>
          <w:rFonts w:ascii="Aptos" w:eastAsia="Aptos" w:hAnsi="Aptos" w:cs="Aptos"/>
          <w:sz w:val="24"/>
        </w:rPr>
        <w:t xml:space="preserve">Service Delivery: Facilities increase delivery of a wide range of efficient, effective gender responsive and inclusive essential health services. </w:t>
      </w:r>
    </w:p>
    <w:p w14:paraId="779A965C" w14:textId="2FD3C70A" w:rsidR="365A6B71" w:rsidRDefault="365A6B71" w:rsidP="00803578">
      <w:pPr>
        <w:pStyle w:val="ListParagraph"/>
        <w:numPr>
          <w:ilvl w:val="0"/>
          <w:numId w:val="4"/>
        </w:numPr>
        <w:spacing w:after="0" w:line="276" w:lineRule="auto"/>
        <w:rPr>
          <w:rFonts w:ascii="Aptos" w:eastAsia="Aptos" w:hAnsi="Aptos" w:cs="Aptos"/>
          <w:sz w:val="24"/>
        </w:rPr>
      </w:pPr>
      <w:r w:rsidRPr="49BEA982">
        <w:rPr>
          <w:rFonts w:ascii="Aptos" w:eastAsia="Aptos" w:hAnsi="Aptos" w:cs="Aptos"/>
          <w:sz w:val="24"/>
        </w:rPr>
        <w:t xml:space="preserve">Community Empowerment: Individuals, families and communities increasingly pursue healthier lifestyles and engage in community action. </w:t>
      </w:r>
    </w:p>
    <w:p w14:paraId="5F6A7B33" w14:textId="64131C19" w:rsidR="365A6B71" w:rsidRDefault="365A6B71" w:rsidP="5A1BC74F">
      <w:pPr>
        <w:pStyle w:val="ListParagraph"/>
        <w:numPr>
          <w:ilvl w:val="0"/>
          <w:numId w:val="4"/>
        </w:numPr>
        <w:spacing w:after="0" w:line="276" w:lineRule="auto"/>
        <w:rPr>
          <w:rFonts w:ascii="Aptos" w:eastAsia="Aptos" w:hAnsi="Aptos" w:cs="Aptos"/>
          <w:sz w:val="24"/>
        </w:rPr>
      </w:pPr>
      <w:r w:rsidRPr="5A1BC74F">
        <w:rPr>
          <w:rFonts w:ascii="Aptos" w:eastAsia="Aptos" w:hAnsi="Aptos" w:cs="Aptos"/>
          <w:sz w:val="24"/>
        </w:rPr>
        <w:t xml:space="preserve">Multisectoral Approach: Increase in multisectoral evidence based social action and policy development to address NCD is evident. </w:t>
      </w:r>
    </w:p>
    <w:p w14:paraId="0861390D" w14:textId="575A0546" w:rsidR="365A6B71" w:rsidRDefault="365A6B71" w:rsidP="49BEA982">
      <w:pPr>
        <w:spacing w:line="276" w:lineRule="auto"/>
      </w:pPr>
      <w:r w:rsidRPr="49BEA982">
        <w:rPr>
          <w:rFonts w:ascii="Aptos" w:eastAsia="Aptos" w:hAnsi="Aptos" w:cs="Aptos"/>
          <w:sz w:val="24"/>
        </w:rPr>
        <w:t>Outputs</w:t>
      </w:r>
    </w:p>
    <w:p w14:paraId="50F9A1BB" w14:textId="24243F8A" w:rsidR="365A6B71" w:rsidRDefault="365A6B71" w:rsidP="00803578">
      <w:pPr>
        <w:pStyle w:val="ListParagraph"/>
        <w:numPr>
          <w:ilvl w:val="0"/>
          <w:numId w:val="3"/>
        </w:numPr>
        <w:spacing w:after="0" w:line="276" w:lineRule="auto"/>
        <w:rPr>
          <w:rFonts w:ascii="Aptos" w:eastAsia="Aptos" w:hAnsi="Aptos" w:cs="Aptos"/>
          <w:sz w:val="24"/>
        </w:rPr>
      </w:pPr>
      <w:r w:rsidRPr="49BEA982">
        <w:rPr>
          <w:rFonts w:ascii="Aptos" w:eastAsia="Aptos" w:hAnsi="Aptos" w:cs="Aptos"/>
          <w:sz w:val="24"/>
        </w:rPr>
        <w:t xml:space="preserve">Processes for leadership, governance, and accountability are strengthened in MOH and </w:t>
      </w:r>
      <w:proofErr w:type="spellStart"/>
      <w:r w:rsidRPr="49BEA982">
        <w:rPr>
          <w:rFonts w:ascii="Aptos" w:eastAsia="Aptos" w:hAnsi="Aptos" w:cs="Aptos"/>
          <w:sz w:val="24"/>
        </w:rPr>
        <w:t>TongaHealth</w:t>
      </w:r>
      <w:proofErr w:type="spellEnd"/>
      <w:r w:rsidRPr="49BEA982">
        <w:rPr>
          <w:rFonts w:ascii="Aptos" w:eastAsia="Aptos" w:hAnsi="Aptos" w:cs="Aptos"/>
          <w:sz w:val="24"/>
        </w:rPr>
        <w:t xml:space="preserve">. </w:t>
      </w:r>
    </w:p>
    <w:p w14:paraId="3FFC9222" w14:textId="3299D052" w:rsidR="365A6B71" w:rsidRDefault="365A6B71" w:rsidP="00803578">
      <w:pPr>
        <w:pStyle w:val="ListParagraph"/>
        <w:numPr>
          <w:ilvl w:val="0"/>
          <w:numId w:val="3"/>
        </w:numPr>
        <w:spacing w:after="0" w:line="276" w:lineRule="auto"/>
        <w:rPr>
          <w:rFonts w:ascii="Aptos" w:eastAsia="Aptos" w:hAnsi="Aptos" w:cs="Aptos"/>
          <w:sz w:val="24"/>
        </w:rPr>
      </w:pPr>
      <w:r w:rsidRPr="49BEA982">
        <w:rPr>
          <w:rFonts w:ascii="Aptos" w:eastAsia="Aptos" w:hAnsi="Aptos" w:cs="Aptos"/>
          <w:sz w:val="24"/>
        </w:rPr>
        <w:t xml:space="preserve">The policy, structural and system changes required to roll out the PEHS and respond to emerging threats are in place. </w:t>
      </w:r>
    </w:p>
    <w:p w14:paraId="37B2A7D8" w14:textId="05E1F20B" w:rsidR="365A6B71" w:rsidRDefault="365A6B71" w:rsidP="00803578">
      <w:pPr>
        <w:pStyle w:val="ListParagraph"/>
        <w:numPr>
          <w:ilvl w:val="0"/>
          <w:numId w:val="3"/>
        </w:numPr>
        <w:spacing w:after="0" w:line="276" w:lineRule="auto"/>
        <w:rPr>
          <w:rFonts w:ascii="Aptos" w:eastAsia="Aptos" w:hAnsi="Aptos" w:cs="Aptos"/>
          <w:sz w:val="24"/>
        </w:rPr>
      </w:pPr>
      <w:r w:rsidRPr="49BEA982">
        <w:rPr>
          <w:rFonts w:ascii="Aptos" w:eastAsia="Aptos" w:hAnsi="Aptos" w:cs="Aptos"/>
          <w:sz w:val="24"/>
        </w:rPr>
        <w:t xml:space="preserve">Service delivery is planned, implemented, and reported in accordance with the Package of Essential Health Services priorities. </w:t>
      </w:r>
    </w:p>
    <w:p w14:paraId="35B2C812" w14:textId="0FB73DE3" w:rsidR="365A6B71" w:rsidRDefault="365A6B71" w:rsidP="00803578">
      <w:pPr>
        <w:pStyle w:val="ListParagraph"/>
        <w:numPr>
          <w:ilvl w:val="0"/>
          <w:numId w:val="3"/>
        </w:numPr>
        <w:spacing w:after="0" w:line="276" w:lineRule="auto"/>
        <w:rPr>
          <w:rFonts w:ascii="Aptos" w:eastAsia="Aptos" w:hAnsi="Aptos" w:cs="Aptos"/>
          <w:sz w:val="24"/>
        </w:rPr>
      </w:pPr>
      <w:r w:rsidRPr="49BEA982">
        <w:rPr>
          <w:rFonts w:ascii="Aptos" w:eastAsia="Aptos" w:hAnsi="Aptos" w:cs="Aptos"/>
          <w:sz w:val="24"/>
        </w:rPr>
        <w:t xml:space="preserve">Community Health Facilities are mobilized to support individuals, families, and communities, including people with disability, to adopt behaviour change and health seeking behaviours. </w:t>
      </w:r>
    </w:p>
    <w:p w14:paraId="7FC990EA" w14:textId="061842AE" w:rsidR="365A6B71" w:rsidRDefault="365A6B71" w:rsidP="00803578">
      <w:pPr>
        <w:pStyle w:val="ListParagraph"/>
        <w:numPr>
          <w:ilvl w:val="0"/>
          <w:numId w:val="3"/>
        </w:numPr>
        <w:spacing w:after="0" w:line="276" w:lineRule="auto"/>
        <w:rPr>
          <w:rFonts w:ascii="Aptos" w:eastAsia="Aptos" w:hAnsi="Aptos" w:cs="Aptos"/>
          <w:sz w:val="24"/>
        </w:rPr>
      </w:pPr>
      <w:r w:rsidRPr="49BEA982">
        <w:rPr>
          <w:rFonts w:ascii="Aptos" w:eastAsia="Aptos" w:hAnsi="Aptos" w:cs="Aptos"/>
          <w:sz w:val="24"/>
        </w:rPr>
        <w:t xml:space="preserve">Community, civil society, &amp; Government organisations are supported by </w:t>
      </w:r>
      <w:proofErr w:type="spellStart"/>
      <w:r w:rsidRPr="49BEA982">
        <w:rPr>
          <w:rFonts w:ascii="Aptos" w:eastAsia="Aptos" w:hAnsi="Aptos" w:cs="Aptos"/>
          <w:sz w:val="24"/>
        </w:rPr>
        <w:t>TongaHealth</w:t>
      </w:r>
      <w:proofErr w:type="spellEnd"/>
      <w:r w:rsidRPr="49BEA982">
        <w:rPr>
          <w:rFonts w:ascii="Aptos" w:eastAsia="Aptos" w:hAnsi="Aptos" w:cs="Aptos"/>
          <w:sz w:val="24"/>
        </w:rPr>
        <w:t xml:space="preserve"> to mobilise behaviour change at local, organizational and policy levels. </w:t>
      </w:r>
    </w:p>
    <w:p w14:paraId="4F828F74" w14:textId="4BE2568B" w:rsidR="365A6B71" w:rsidRDefault="365A6B71" w:rsidP="118BFB4F">
      <w:pPr>
        <w:spacing w:after="0" w:line="276" w:lineRule="auto"/>
        <w:rPr>
          <w:rFonts w:ascii="Aptos" w:eastAsia="Aptos" w:hAnsi="Aptos" w:cs="Aptos"/>
          <w:sz w:val="24"/>
        </w:rPr>
      </w:pPr>
      <w:r w:rsidRPr="118BFB4F">
        <w:rPr>
          <w:rFonts w:ascii="Aptos" w:eastAsia="Aptos" w:hAnsi="Aptos" w:cs="Aptos"/>
          <w:sz w:val="24"/>
        </w:rPr>
        <w:t>Activities</w:t>
      </w:r>
    </w:p>
    <w:p w14:paraId="5E57FFB8" w14:textId="568460CB" w:rsidR="365A6B71" w:rsidRPr="0000653F" w:rsidRDefault="365A6B71" w:rsidP="0000653F">
      <w:pPr>
        <w:pStyle w:val="ListParagraph"/>
        <w:numPr>
          <w:ilvl w:val="1"/>
          <w:numId w:val="34"/>
        </w:numPr>
        <w:spacing w:after="0" w:line="276" w:lineRule="auto"/>
        <w:rPr>
          <w:rFonts w:ascii="Aptos" w:eastAsia="Aptos" w:hAnsi="Aptos" w:cs="Aptos"/>
          <w:sz w:val="24"/>
        </w:rPr>
      </w:pPr>
      <w:r w:rsidRPr="0000653F">
        <w:rPr>
          <w:rFonts w:ascii="Aptos" w:eastAsia="Aptos" w:hAnsi="Aptos" w:cs="Aptos"/>
          <w:sz w:val="24"/>
        </w:rPr>
        <w:t xml:space="preserve">Health planning and budgeting support the roll out of the PEHS in line with the MOH 3-year corporate plan. </w:t>
      </w:r>
    </w:p>
    <w:p w14:paraId="2C87CCFC" w14:textId="089543B6" w:rsidR="365A6B71" w:rsidRDefault="0000653F" w:rsidP="0000653F">
      <w:pPr>
        <w:pStyle w:val="ListParagraph"/>
        <w:numPr>
          <w:ilvl w:val="1"/>
          <w:numId w:val="34"/>
        </w:numPr>
        <w:spacing w:after="0" w:line="276" w:lineRule="auto"/>
        <w:rPr>
          <w:rFonts w:ascii="Aptos" w:eastAsia="Aptos" w:hAnsi="Aptos" w:cs="Aptos"/>
          <w:sz w:val="24"/>
        </w:rPr>
      </w:pPr>
      <w:r>
        <w:rPr>
          <w:rFonts w:ascii="Aptos" w:eastAsia="Aptos" w:hAnsi="Aptos" w:cs="Aptos"/>
          <w:sz w:val="24"/>
        </w:rPr>
        <w:t>R</w:t>
      </w:r>
      <w:r w:rsidR="365A6B71" w:rsidRPr="5B8FA54B">
        <w:rPr>
          <w:rFonts w:ascii="Aptos" w:eastAsia="Aptos" w:hAnsi="Aptos" w:cs="Aptos"/>
          <w:sz w:val="24"/>
        </w:rPr>
        <w:t xml:space="preserve">egular progress and impact reports prepared for multiple audiences and needs, by PST primarily using GOT data and systems. </w:t>
      </w:r>
    </w:p>
    <w:p w14:paraId="2B1FDB3F" w14:textId="3E058C28" w:rsidR="365A6B71" w:rsidRDefault="365A6B71" w:rsidP="0000653F">
      <w:pPr>
        <w:pStyle w:val="ListParagraph"/>
        <w:numPr>
          <w:ilvl w:val="1"/>
          <w:numId w:val="34"/>
        </w:numPr>
        <w:spacing w:after="0" w:line="276" w:lineRule="auto"/>
        <w:rPr>
          <w:rFonts w:ascii="Aptos" w:eastAsia="Aptos" w:hAnsi="Aptos" w:cs="Aptos"/>
          <w:sz w:val="24"/>
        </w:rPr>
      </w:pPr>
      <w:r w:rsidRPr="5B8FA54B">
        <w:rPr>
          <w:rFonts w:ascii="Aptos" w:eastAsia="Aptos" w:hAnsi="Aptos" w:cs="Aptos"/>
          <w:sz w:val="24"/>
        </w:rPr>
        <w:t xml:space="preserve">Public financial management skills and expertise developed amongst MOH staff. </w:t>
      </w:r>
    </w:p>
    <w:p w14:paraId="7950A107" w14:textId="54C1D3AB" w:rsidR="365A6B71" w:rsidRDefault="365A6B71" w:rsidP="0000653F">
      <w:pPr>
        <w:pStyle w:val="ListParagraph"/>
        <w:numPr>
          <w:ilvl w:val="1"/>
          <w:numId w:val="34"/>
        </w:numPr>
        <w:spacing w:after="0" w:line="276" w:lineRule="auto"/>
        <w:rPr>
          <w:rFonts w:ascii="Aptos" w:eastAsia="Aptos" w:hAnsi="Aptos" w:cs="Aptos"/>
          <w:sz w:val="24"/>
        </w:rPr>
      </w:pPr>
      <w:r w:rsidRPr="5B8FA54B">
        <w:rPr>
          <w:rFonts w:ascii="Aptos" w:eastAsia="Aptos" w:hAnsi="Aptos" w:cs="Aptos"/>
          <w:sz w:val="24"/>
        </w:rPr>
        <w:lastRenderedPageBreak/>
        <w:t>Development partner coordination mechanisms supported by DPs and led by the MOH.</w:t>
      </w:r>
    </w:p>
    <w:p w14:paraId="381DEFFD" w14:textId="32310277" w:rsidR="365A6B71" w:rsidRDefault="365A6B71" w:rsidP="5B8FA54B">
      <w:pPr>
        <w:spacing w:after="0" w:line="276" w:lineRule="auto"/>
        <w:ind w:left="375"/>
        <w:rPr>
          <w:rFonts w:ascii="Aptos" w:eastAsia="Aptos" w:hAnsi="Aptos" w:cs="Aptos"/>
          <w:sz w:val="24"/>
        </w:rPr>
      </w:pPr>
      <w:r w:rsidRPr="5B8FA54B">
        <w:rPr>
          <w:rFonts w:ascii="Aptos" w:eastAsia="Aptos" w:hAnsi="Aptos" w:cs="Aptos"/>
          <w:sz w:val="24"/>
        </w:rPr>
        <w:t xml:space="preserve"> </w:t>
      </w:r>
    </w:p>
    <w:p w14:paraId="445083DD" w14:textId="77DCD2EA" w:rsidR="365A6B71" w:rsidRPr="00D01F00" w:rsidRDefault="365A6B71" w:rsidP="00D01F00">
      <w:pPr>
        <w:pStyle w:val="ListParagraph"/>
        <w:numPr>
          <w:ilvl w:val="1"/>
          <w:numId w:val="36"/>
        </w:numPr>
        <w:spacing w:after="0" w:line="276" w:lineRule="auto"/>
        <w:rPr>
          <w:rFonts w:ascii="Aptos" w:eastAsia="Aptos" w:hAnsi="Aptos" w:cs="Aptos"/>
          <w:sz w:val="24"/>
        </w:rPr>
      </w:pPr>
      <w:r w:rsidRPr="00D01F00">
        <w:rPr>
          <w:rFonts w:ascii="Aptos" w:eastAsia="Aptos" w:hAnsi="Aptos" w:cs="Aptos"/>
          <w:sz w:val="24"/>
        </w:rPr>
        <w:t xml:space="preserve">Financial and TA utilized for HSS by the MOH to support work aligned to the PEHS and the International Health Regulations (2005) and climate change and natural disaster action. </w:t>
      </w:r>
    </w:p>
    <w:p w14:paraId="38AE859C" w14:textId="762F1AF6" w:rsidR="365A6B71" w:rsidRDefault="365A6B71" w:rsidP="00D01F00">
      <w:pPr>
        <w:pStyle w:val="ListParagraph"/>
        <w:numPr>
          <w:ilvl w:val="1"/>
          <w:numId w:val="36"/>
        </w:numPr>
        <w:spacing w:after="0" w:line="276" w:lineRule="auto"/>
        <w:rPr>
          <w:rFonts w:ascii="Aptos" w:eastAsia="Aptos" w:hAnsi="Aptos" w:cs="Aptos"/>
          <w:sz w:val="24"/>
        </w:rPr>
      </w:pPr>
      <w:r w:rsidRPr="5B8FA54B">
        <w:rPr>
          <w:rFonts w:ascii="Aptos" w:eastAsia="Aptos" w:hAnsi="Aptos" w:cs="Aptos"/>
          <w:sz w:val="24"/>
        </w:rPr>
        <w:t>TA for Health Systems Strengthening coordinated, managed and quality assured.</w:t>
      </w:r>
      <w:r w:rsidR="6AB9ABD9" w:rsidRPr="5B8FA54B">
        <w:rPr>
          <w:rFonts w:ascii="Aptos" w:eastAsia="Aptos" w:hAnsi="Aptos" w:cs="Aptos"/>
          <w:sz w:val="24"/>
        </w:rPr>
        <w:t xml:space="preserve"> </w:t>
      </w:r>
    </w:p>
    <w:p w14:paraId="0ACAAD68" w14:textId="395EDB69" w:rsidR="365A6B71" w:rsidRDefault="365A6B71" w:rsidP="00D01F00">
      <w:pPr>
        <w:pStyle w:val="ListParagraph"/>
        <w:numPr>
          <w:ilvl w:val="1"/>
          <w:numId w:val="36"/>
        </w:numPr>
        <w:spacing w:after="0" w:line="276" w:lineRule="auto"/>
        <w:rPr>
          <w:rFonts w:ascii="Aptos" w:eastAsia="Aptos" w:hAnsi="Aptos" w:cs="Aptos"/>
          <w:sz w:val="24"/>
        </w:rPr>
      </w:pPr>
      <w:r w:rsidRPr="7077C512">
        <w:rPr>
          <w:rFonts w:ascii="Aptos" w:eastAsia="Aptos" w:hAnsi="Aptos" w:cs="Aptos"/>
          <w:sz w:val="24"/>
        </w:rPr>
        <w:t xml:space="preserve">Strategic regional and global partnerships for health system strengthening and service delivery established and maintained. </w:t>
      </w:r>
    </w:p>
    <w:p w14:paraId="75BB78E3" w14:textId="1A397013" w:rsidR="365A6B71" w:rsidRDefault="365A6B71" w:rsidP="7077C512">
      <w:pPr>
        <w:spacing w:after="0" w:line="276" w:lineRule="auto"/>
        <w:ind w:left="375"/>
        <w:rPr>
          <w:rFonts w:ascii="Aptos" w:eastAsia="Aptos" w:hAnsi="Aptos" w:cs="Aptos"/>
          <w:sz w:val="24"/>
        </w:rPr>
      </w:pPr>
    </w:p>
    <w:p w14:paraId="56021232" w14:textId="0F2946D0" w:rsidR="365A6B71" w:rsidRPr="00D01F00" w:rsidRDefault="4C860DE8" w:rsidP="00D01F00">
      <w:pPr>
        <w:pStyle w:val="ListParagraph"/>
        <w:numPr>
          <w:ilvl w:val="1"/>
          <w:numId w:val="37"/>
        </w:numPr>
        <w:spacing w:after="0" w:line="276" w:lineRule="auto"/>
        <w:rPr>
          <w:rFonts w:ascii="Aptos" w:eastAsia="Aptos" w:hAnsi="Aptos" w:cs="Aptos"/>
          <w:sz w:val="24"/>
        </w:rPr>
      </w:pPr>
      <w:r w:rsidRPr="00D01F00">
        <w:rPr>
          <w:rFonts w:ascii="Aptos" w:eastAsia="Aptos" w:hAnsi="Aptos" w:cs="Aptos"/>
          <w:sz w:val="24"/>
        </w:rPr>
        <w:t>Financial and TA is utilized for the delivery of equitable and inclusive person-</w:t>
      </w:r>
      <w:r w:rsidR="60DCEA41" w:rsidRPr="00D01F00">
        <w:rPr>
          <w:rFonts w:ascii="Aptos" w:eastAsia="Aptos" w:hAnsi="Aptos" w:cs="Aptos"/>
          <w:sz w:val="24"/>
        </w:rPr>
        <w:t>centred</w:t>
      </w:r>
      <w:r w:rsidRPr="00D01F00">
        <w:rPr>
          <w:rFonts w:ascii="Aptos" w:eastAsia="Aptos" w:hAnsi="Aptos" w:cs="Aptos"/>
          <w:sz w:val="24"/>
        </w:rPr>
        <w:t xml:space="preserve"> services. </w:t>
      </w:r>
    </w:p>
    <w:p w14:paraId="4CBEA2BC" w14:textId="51175D49" w:rsidR="365A6B71" w:rsidRDefault="4C860DE8" w:rsidP="00D01F00">
      <w:pPr>
        <w:pStyle w:val="ListParagraph"/>
        <w:numPr>
          <w:ilvl w:val="1"/>
          <w:numId w:val="37"/>
        </w:numPr>
        <w:spacing w:after="0" w:line="276" w:lineRule="auto"/>
        <w:rPr>
          <w:rFonts w:ascii="Aptos" w:eastAsia="Aptos" w:hAnsi="Aptos" w:cs="Aptos"/>
          <w:sz w:val="24"/>
        </w:rPr>
      </w:pPr>
      <w:r w:rsidRPr="2B8FA8C5">
        <w:rPr>
          <w:rFonts w:ascii="Aptos" w:eastAsia="Aptos" w:hAnsi="Aptos" w:cs="Aptos"/>
          <w:sz w:val="24"/>
        </w:rPr>
        <w:t xml:space="preserve">Additional flexible funding and TA utilized by MOH as required in response to emerging threats (such as COVID-19 and natural disasters) and policy priorities. </w:t>
      </w:r>
    </w:p>
    <w:p w14:paraId="75679E9D" w14:textId="3D822160" w:rsidR="365A6B71" w:rsidRDefault="365A6B71" w:rsidP="5A1BC74F">
      <w:pPr>
        <w:spacing w:after="0" w:line="276" w:lineRule="auto"/>
        <w:ind w:left="375"/>
        <w:rPr>
          <w:rFonts w:ascii="Aptos" w:eastAsia="Aptos" w:hAnsi="Aptos" w:cs="Aptos"/>
          <w:sz w:val="24"/>
        </w:rPr>
      </w:pPr>
    </w:p>
    <w:p w14:paraId="20B0237A" w14:textId="6CD3FE7E" w:rsidR="365A6B71" w:rsidRPr="00D01F00" w:rsidRDefault="4C860DE8" w:rsidP="00D01F00">
      <w:pPr>
        <w:pStyle w:val="ListParagraph"/>
        <w:numPr>
          <w:ilvl w:val="1"/>
          <w:numId w:val="31"/>
        </w:numPr>
        <w:spacing w:after="0" w:line="276" w:lineRule="auto"/>
        <w:ind w:left="709"/>
        <w:rPr>
          <w:rFonts w:ascii="Aptos" w:eastAsia="Aptos" w:hAnsi="Aptos" w:cs="Aptos"/>
          <w:sz w:val="24"/>
        </w:rPr>
      </w:pPr>
      <w:r w:rsidRPr="00D01F00">
        <w:rPr>
          <w:rFonts w:ascii="Aptos" w:eastAsia="Aptos" w:hAnsi="Aptos" w:cs="Aptos"/>
          <w:sz w:val="24"/>
        </w:rPr>
        <w:t xml:space="preserve">Community engagement implemented by Community Health Centres and HPU with financial and technical support. </w:t>
      </w:r>
    </w:p>
    <w:p w14:paraId="4C357E81" w14:textId="4B160982" w:rsidR="365A6B71" w:rsidRPr="00D01F00" w:rsidRDefault="4C860DE8" w:rsidP="00D01F00">
      <w:pPr>
        <w:pStyle w:val="ListParagraph"/>
        <w:numPr>
          <w:ilvl w:val="1"/>
          <w:numId w:val="31"/>
        </w:numPr>
        <w:spacing w:after="0" w:line="276" w:lineRule="auto"/>
        <w:ind w:left="709"/>
        <w:rPr>
          <w:rFonts w:ascii="Aptos" w:eastAsia="Aptos" w:hAnsi="Aptos" w:cs="Aptos"/>
          <w:sz w:val="24"/>
        </w:rPr>
      </w:pPr>
      <w:r w:rsidRPr="00D01F00">
        <w:rPr>
          <w:rFonts w:ascii="Aptos" w:eastAsia="Aptos" w:hAnsi="Aptos" w:cs="Aptos"/>
          <w:sz w:val="24"/>
        </w:rPr>
        <w:t xml:space="preserve">Community Health Centre-led model established for driving family and individual </w:t>
      </w:r>
      <w:r w:rsidR="2F98545D" w:rsidRPr="00D01F00">
        <w:rPr>
          <w:rFonts w:ascii="Aptos" w:eastAsia="Aptos" w:hAnsi="Aptos" w:cs="Aptos"/>
          <w:sz w:val="24"/>
        </w:rPr>
        <w:t>b</w:t>
      </w:r>
      <w:r w:rsidRPr="00D01F00">
        <w:rPr>
          <w:rFonts w:ascii="Aptos" w:eastAsia="Aptos" w:hAnsi="Aptos" w:cs="Aptos"/>
          <w:sz w:val="24"/>
        </w:rPr>
        <w:t>ehavio</w:t>
      </w:r>
      <w:r w:rsidR="2F98545D" w:rsidRPr="00D01F00">
        <w:rPr>
          <w:rFonts w:ascii="Aptos" w:eastAsia="Aptos" w:hAnsi="Aptos" w:cs="Aptos"/>
          <w:sz w:val="24"/>
        </w:rPr>
        <w:t>u</w:t>
      </w:r>
      <w:r w:rsidRPr="00D01F00">
        <w:rPr>
          <w:rFonts w:ascii="Aptos" w:eastAsia="Aptos" w:hAnsi="Aptos" w:cs="Aptos"/>
          <w:sz w:val="24"/>
        </w:rPr>
        <w:t xml:space="preserve">r change. </w:t>
      </w:r>
    </w:p>
    <w:p w14:paraId="182BC3F2" w14:textId="77777777" w:rsidR="00D01F00" w:rsidRDefault="00D01F00" w:rsidP="00D01F00">
      <w:pPr>
        <w:pStyle w:val="ListParagraph"/>
        <w:spacing w:after="0" w:line="276" w:lineRule="auto"/>
        <w:ind w:left="1440"/>
        <w:rPr>
          <w:rFonts w:ascii="Aptos" w:eastAsia="Aptos" w:hAnsi="Aptos" w:cs="Aptos"/>
          <w:sz w:val="24"/>
        </w:rPr>
      </w:pPr>
    </w:p>
    <w:p w14:paraId="3A28FEC0" w14:textId="200C7488" w:rsidR="365A6B71" w:rsidRPr="00D01F00" w:rsidRDefault="4C860DE8" w:rsidP="00D01F00">
      <w:pPr>
        <w:pStyle w:val="ListParagraph"/>
        <w:numPr>
          <w:ilvl w:val="1"/>
          <w:numId w:val="38"/>
        </w:numPr>
        <w:spacing w:after="0" w:line="276" w:lineRule="auto"/>
        <w:ind w:left="709"/>
        <w:rPr>
          <w:rFonts w:ascii="Aptos" w:eastAsia="Aptos" w:hAnsi="Aptos" w:cs="Aptos"/>
          <w:sz w:val="24"/>
        </w:rPr>
      </w:pPr>
      <w:r w:rsidRPr="00D01F00">
        <w:rPr>
          <w:rFonts w:ascii="Aptos" w:eastAsia="Aptos" w:hAnsi="Aptos" w:cs="Aptos"/>
          <w:sz w:val="24"/>
        </w:rPr>
        <w:t xml:space="preserve">Financial &amp; TA is utilized by TH to mobilize multisectoral engagement to implement the National NCD strategy. </w:t>
      </w:r>
    </w:p>
    <w:p w14:paraId="2439AAF5" w14:textId="0955B442" w:rsidR="365A6B71" w:rsidRDefault="4C860DE8" w:rsidP="00D01F00">
      <w:pPr>
        <w:pStyle w:val="ListParagraph"/>
        <w:numPr>
          <w:ilvl w:val="1"/>
          <w:numId w:val="38"/>
        </w:numPr>
        <w:spacing w:after="0" w:line="276" w:lineRule="auto"/>
        <w:ind w:left="709"/>
        <w:rPr>
          <w:rFonts w:ascii="Aptos" w:eastAsia="Aptos" w:hAnsi="Aptos" w:cs="Aptos"/>
          <w:sz w:val="24"/>
        </w:rPr>
      </w:pPr>
      <w:r w:rsidRPr="5A1BC74F">
        <w:rPr>
          <w:rFonts w:ascii="Aptos" w:eastAsia="Aptos" w:hAnsi="Aptos" w:cs="Aptos"/>
          <w:sz w:val="24"/>
        </w:rPr>
        <w:t xml:space="preserve">TH is supported to strengthen core institutional functions including grant management governance PFM, planning, and reporting. </w:t>
      </w:r>
    </w:p>
    <w:p w14:paraId="4E3A0875" w14:textId="28D39109" w:rsidR="365A6B71" w:rsidRDefault="365A6B71" w:rsidP="00D01F00">
      <w:pPr>
        <w:pStyle w:val="ListParagraph"/>
        <w:numPr>
          <w:ilvl w:val="1"/>
          <w:numId w:val="38"/>
        </w:numPr>
        <w:spacing w:after="0" w:line="276" w:lineRule="auto"/>
        <w:ind w:left="709"/>
        <w:rPr>
          <w:rFonts w:ascii="Aptos" w:eastAsia="Aptos" w:hAnsi="Aptos" w:cs="Aptos"/>
          <w:sz w:val="24"/>
        </w:rPr>
      </w:pPr>
      <w:r w:rsidRPr="5A1BC74F">
        <w:rPr>
          <w:rFonts w:ascii="Aptos" w:eastAsia="Aptos" w:hAnsi="Aptos" w:cs="Aptos"/>
          <w:sz w:val="24"/>
        </w:rPr>
        <w:t>Strategic regional and global partnerships for institutional mentoring and development are established and maintained.</w:t>
      </w:r>
    </w:p>
    <w:p w14:paraId="60F15E7B" w14:textId="0B48405E" w:rsidR="49BEA982" w:rsidRDefault="49BEA982" w:rsidP="49BEA982">
      <w:pPr>
        <w:sectPr w:rsidR="49BEA982" w:rsidSect="00A6774F">
          <w:pgSz w:w="11906" w:h="16838"/>
          <w:pgMar w:top="1814" w:right="1134" w:bottom="1134" w:left="1134" w:header="851" w:footer="454" w:gutter="0"/>
          <w:pgNumType w:fmt="lowerRoman"/>
          <w:cols w:space="720"/>
          <w:titlePg/>
        </w:sectPr>
      </w:pPr>
    </w:p>
    <w:p w14:paraId="47BD6A83" w14:textId="2EB1F7BD" w:rsidR="00DD6D72" w:rsidRDefault="00DD6D72" w:rsidP="00A348C7">
      <w:pPr>
        <w:pStyle w:val="Heading1"/>
      </w:pPr>
      <w:bookmarkStart w:id="57" w:name="_Annex_7:_Governance"/>
      <w:bookmarkStart w:id="58" w:name="_Toc183423600"/>
      <w:bookmarkEnd w:id="57"/>
      <w:r w:rsidRPr="00076FAD">
        <w:lastRenderedPageBreak/>
        <w:t xml:space="preserve">Annex </w:t>
      </w:r>
      <w:r w:rsidR="002555BD">
        <w:t>7</w:t>
      </w:r>
      <w:r w:rsidR="00D46236">
        <w:t>:</w:t>
      </w:r>
      <w:r w:rsidRPr="00076FAD">
        <w:t xml:space="preserve"> Governance Pillar Logic</w:t>
      </w:r>
      <w:bookmarkEnd w:id="58"/>
    </w:p>
    <w:p w14:paraId="45B6981C" w14:textId="6AD2FA38" w:rsidR="00D045F3" w:rsidRPr="00D045F3" w:rsidRDefault="00D045F3" w:rsidP="00A348C7">
      <w:r w:rsidRPr="00D045F3">
        <w:rPr>
          <w:noProof/>
        </w:rPr>
        <w:drawing>
          <wp:inline distT="0" distB="0" distL="0" distR="0" wp14:anchorId="3AD61DF8" wp14:editId="7B2C97EC">
            <wp:extent cx="6120130" cy="3135630"/>
            <wp:effectExtent l="0" t="0" r="0" b="7620"/>
            <wp:docPr id="5" name="Content Placeholder 4" descr="A chart detailing the Governance Program Logic, accessible text version is available below">
              <a:extLst xmlns:a="http://schemas.openxmlformats.org/drawingml/2006/main">
                <a:ext uri="{FF2B5EF4-FFF2-40B4-BE49-F238E27FC236}">
                  <a16:creationId xmlns:a16="http://schemas.microsoft.com/office/drawing/2014/main" id="{4A2F482A-473F-6E3B-81AF-D11EB3BCB80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chart detailing the Governance Program Logic, accessible text version is available below">
                      <a:extLst>
                        <a:ext uri="{FF2B5EF4-FFF2-40B4-BE49-F238E27FC236}">
                          <a16:creationId xmlns:a16="http://schemas.microsoft.com/office/drawing/2014/main" id="{4A2F482A-473F-6E3B-81AF-D11EB3BCB80C}"/>
                        </a:ext>
                      </a:extLst>
                    </pic:cNvPr>
                    <pic:cNvPicPr>
                      <a:picLocks noGrp="1"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3135630"/>
                    </a:xfrm>
                    <a:prstGeom prst="rect">
                      <a:avLst/>
                    </a:prstGeom>
                    <a:noFill/>
                  </pic:spPr>
                </pic:pic>
              </a:graphicData>
            </a:graphic>
          </wp:inline>
        </w:drawing>
      </w:r>
    </w:p>
    <w:p w14:paraId="08D88742" w14:textId="77777777" w:rsidR="007C048B" w:rsidRDefault="007C048B">
      <w:pPr>
        <w:spacing w:line="240" w:lineRule="auto"/>
        <w:rPr>
          <w:rFonts w:ascii="Aptos" w:eastAsia="Aptos" w:hAnsi="Aptos" w:cs="Aptos"/>
          <w:sz w:val="24"/>
        </w:rPr>
      </w:pPr>
      <w:r>
        <w:rPr>
          <w:rFonts w:ascii="Aptos" w:eastAsia="Aptos" w:hAnsi="Aptos" w:cs="Aptos"/>
          <w:sz w:val="24"/>
        </w:rPr>
        <w:br w:type="page"/>
      </w:r>
    </w:p>
    <w:p w14:paraId="26030293" w14:textId="4254A5E7" w:rsidR="4079C2C4" w:rsidRPr="007C048B" w:rsidRDefault="4079C2C4" w:rsidP="118BFB4F">
      <w:pPr>
        <w:spacing w:line="276" w:lineRule="auto"/>
        <w:rPr>
          <w:b/>
          <w:bCs/>
        </w:rPr>
      </w:pPr>
      <w:r w:rsidRPr="007C048B">
        <w:rPr>
          <w:rFonts w:ascii="Aptos" w:eastAsia="Aptos" w:hAnsi="Aptos" w:cs="Aptos"/>
          <w:b/>
          <w:bCs/>
          <w:sz w:val="24"/>
        </w:rPr>
        <w:lastRenderedPageBreak/>
        <w:t>Annex 7: Governance Pillar Logic</w:t>
      </w:r>
      <w:r w:rsidR="007C048B" w:rsidRPr="007C048B">
        <w:rPr>
          <w:rFonts w:ascii="Aptos" w:eastAsia="Aptos" w:hAnsi="Aptos" w:cs="Aptos"/>
          <w:b/>
          <w:bCs/>
          <w:sz w:val="24"/>
        </w:rPr>
        <w:t xml:space="preserve"> (Accessible version)</w:t>
      </w:r>
    </w:p>
    <w:p w14:paraId="1DFFA91E" w14:textId="69CF9D87" w:rsidR="4079C2C4" w:rsidRDefault="4079C2C4" w:rsidP="118BFB4F">
      <w:pPr>
        <w:spacing w:line="276" w:lineRule="auto"/>
      </w:pPr>
      <w:r w:rsidRPr="118BFB4F">
        <w:rPr>
          <w:rFonts w:ascii="Aptos" w:eastAsia="Aptos" w:hAnsi="Aptos" w:cs="Aptos"/>
          <w:sz w:val="24"/>
        </w:rPr>
        <w:t>Broader Goals</w:t>
      </w:r>
    </w:p>
    <w:p w14:paraId="76FB4B53" w14:textId="50F48091" w:rsidR="4079C2C4" w:rsidRDefault="4079C2C4" w:rsidP="00803578">
      <w:pPr>
        <w:pStyle w:val="ListParagraph"/>
        <w:numPr>
          <w:ilvl w:val="0"/>
          <w:numId w:val="2"/>
        </w:numPr>
        <w:spacing w:after="0" w:line="276" w:lineRule="auto"/>
        <w:rPr>
          <w:rFonts w:ascii="Aptos" w:eastAsia="Aptos" w:hAnsi="Aptos" w:cs="Aptos"/>
          <w:sz w:val="24"/>
        </w:rPr>
      </w:pPr>
      <w:r w:rsidRPr="118BFB4F">
        <w:rPr>
          <w:rFonts w:ascii="Aptos" w:eastAsia="Aptos" w:hAnsi="Aptos" w:cs="Aptos"/>
          <w:sz w:val="24"/>
        </w:rPr>
        <w:t xml:space="preserve">A more progressive Tonga supporting a higher quality of life for all. </w:t>
      </w:r>
    </w:p>
    <w:p w14:paraId="735E2947" w14:textId="7DE98669" w:rsidR="4079C2C4" w:rsidRDefault="4079C2C4" w:rsidP="118BFB4F">
      <w:pPr>
        <w:spacing w:line="276" w:lineRule="auto"/>
      </w:pPr>
      <w:r w:rsidRPr="118BFB4F">
        <w:rPr>
          <w:rFonts w:ascii="Aptos" w:eastAsia="Aptos" w:hAnsi="Aptos" w:cs="Aptos"/>
          <w:sz w:val="24"/>
        </w:rPr>
        <w:t xml:space="preserve">End of phase outcomes (2025) </w:t>
      </w:r>
    </w:p>
    <w:p w14:paraId="0FA7973B" w14:textId="37F54F98" w:rsidR="4079C2C4" w:rsidRDefault="4079C2C4" w:rsidP="00803578">
      <w:pPr>
        <w:pStyle w:val="ListParagraph"/>
        <w:numPr>
          <w:ilvl w:val="0"/>
          <w:numId w:val="2"/>
        </w:numPr>
        <w:spacing w:after="0" w:line="276" w:lineRule="auto"/>
        <w:rPr>
          <w:rFonts w:ascii="Aptos" w:eastAsia="Aptos" w:hAnsi="Aptos" w:cs="Aptos"/>
          <w:sz w:val="24"/>
        </w:rPr>
      </w:pPr>
      <w:r w:rsidRPr="118BFB4F">
        <w:rPr>
          <w:rFonts w:ascii="Aptos" w:eastAsia="Aptos" w:hAnsi="Aptos" w:cs="Aptos"/>
          <w:sz w:val="24"/>
        </w:rPr>
        <w:t xml:space="preserve">EOPO1: </w:t>
      </w:r>
      <w:proofErr w:type="spellStart"/>
      <w:r w:rsidRPr="118BFB4F">
        <w:rPr>
          <w:rFonts w:ascii="Aptos" w:eastAsia="Aptos" w:hAnsi="Aptos" w:cs="Aptos"/>
          <w:sz w:val="24"/>
        </w:rPr>
        <w:t>GoT</w:t>
      </w:r>
      <w:proofErr w:type="spellEnd"/>
      <w:r w:rsidRPr="118BFB4F">
        <w:rPr>
          <w:rFonts w:ascii="Aptos" w:eastAsia="Aptos" w:hAnsi="Aptos" w:cs="Aptos"/>
          <w:sz w:val="24"/>
        </w:rPr>
        <w:t xml:space="preserve"> adopts and is implementing the PFM Reform Roadmap (PFMRR)</w:t>
      </w:r>
    </w:p>
    <w:p w14:paraId="2ECEA394" w14:textId="6DFFF28D" w:rsidR="4079C2C4" w:rsidRDefault="4079C2C4" w:rsidP="118BFB4F">
      <w:pPr>
        <w:spacing w:line="276" w:lineRule="auto"/>
      </w:pPr>
      <w:r w:rsidRPr="118BFB4F">
        <w:rPr>
          <w:rFonts w:ascii="Aptos" w:eastAsia="Aptos" w:hAnsi="Aptos" w:cs="Aptos"/>
          <w:sz w:val="24"/>
        </w:rPr>
        <w:t>Intermediate outcomes</w:t>
      </w:r>
    </w:p>
    <w:p w14:paraId="23038A24" w14:textId="6905B333" w:rsidR="4079C2C4" w:rsidRDefault="4079C2C4" w:rsidP="00803578">
      <w:pPr>
        <w:pStyle w:val="ListParagraph"/>
        <w:numPr>
          <w:ilvl w:val="0"/>
          <w:numId w:val="2"/>
        </w:numPr>
        <w:spacing w:after="0" w:line="276" w:lineRule="auto"/>
        <w:rPr>
          <w:rFonts w:ascii="Aptos" w:eastAsia="Aptos" w:hAnsi="Aptos" w:cs="Aptos"/>
          <w:sz w:val="24"/>
        </w:rPr>
      </w:pPr>
      <w:r w:rsidRPr="118BFB4F">
        <w:rPr>
          <w:rFonts w:ascii="Aptos" w:eastAsia="Aptos" w:hAnsi="Aptos" w:cs="Aptos"/>
          <w:sz w:val="24"/>
        </w:rPr>
        <w:t xml:space="preserve">IO 1.1: Demonstrated commitment of </w:t>
      </w:r>
      <w:proofErr w:type="spellStart"/>
      <w:r w:rsidRPr="118BFB4F">
        <w:rPr>
          <w:rFonts w:ascii="Aptos" w:eastAsia="Aptos" w:hAnsi="Aptos" w:cs="Aptos"/>
          <w:sz w:val="24"/>
        </w:rPr>
        <w:t>GoT</w:t>
      </w:r>
      <w:proofErr w:type="spellEnd"/>
      <w:r w:rsidRPr="118BFB4F">
        <w:rPr>
          <w:rFonts w:ascii="Aptos" w:eastAsia="Aptos" w:hAnsi="Aptos" w:cs="Aptos"/>
          <w:sz w:val="24"/>
        </w:rPr>
        <w:t xml:space="preserve"> to strengthening economic resilience such as strengthened revenue mobilization and strategic macroeconomic policies (DFAT-led). </w:t>
      </w:r>
    </w:p>
    <w:p w14:paraId="286878F9" w14:textId="5173213D" w:rsidR="4079C2C4" w:rsidRDefault="4079C2C4" w:rsidP="00803578">
      <w:pPr>
        <w:pStyle w:val="ListParagraph"/>
        <w:numPr>
          <w:ilvl w:val="0"/>
          <w:numId w:val="2"/>
        </w:numPr>
        <w:spacing w:after="0" w:line="276" w:lineRule="auto"/>
        <w:rPr>
          <w:rFonts w:ascii="Aptos" w:eastAsia="Aptos" w:hAnsi="Aptos" w:cs="Aptos"/>
          <w:sz w:val="24"/>
        </w:rPr>
      </w:pPr>
      <w:r w:rsidRPr="118BFB4F">
        <w:rPr>
          <w:rFonts w:ascii="Aptos" w:eastAsia="Aptos" w:hAnsi="Aptos" w:cs="Aptos"/>
          <w:sz w:val="24"/>
        </w:rPr>
        <w:t xml:space="preserve">IO 1.2: Improved </w:t>
      </w:r>
      <w:proofErr w:type="spellStart"/>
      <w:r w:rsidRPr="118BFB4F">
        <w:rPr>
          <w:rFonts w:ascii="Aptos" w:eastAsia="Aptos" w:hAnsi="Aptos" w:cs="Aptos"/>
          <w:sz w:val="24"/>
        </w:rPr>
        <w:t>GoT</w:t>
      </w:r>
      <w:proofErr w:type="spellEnd"/>
      <w:r w:rsidRPr="118BFB4F">
        <w:rPr>
          <w:rFonts w:ascii="Aptos" w:eastAsia="Aptos" w:hAnsi="Aptos" w:cs="Aptos"/>
          <w:sz w:val="24"/>
        </w:rPr>
        <w:t xml:space="preserve"> prioritization and governance of PFM reforms, and better coordination of development partner PFM support. </w:t>
      </w:r>
    </w:p>
    <w:p w14:paraId="4B97A047" w14:textId="2247C54C" w:rsidR="4079C2C4" w:rsidRDefault="4079C2C4" w:rsidP="00803578">
      <w:pPr>
        <w:pStyle w:val="ListParagraph"/>
        <w:numPr>
          <w:ilvl w:val="0"/>
          <w:numId w:val="2"/>
        </w:numPr>
        <w:spacing w:after="0" w:line="276" w:lineRule="auto"/>
        <w:rPr>
          <w:rFonts w:ascii="Aptos" w:eastAsia="Aptos" w:hAnsi="Aptos" w:cs="Aptos"/>
          <w:sz w:val="24"/>
        </w:rPr>
      </w:pPr>
      <w:r w:rsidRPr="118BFB4F">
        <w:rPr>
          <w:rFonts w:ascii="Aptos" w:eastAsia="Aptos" w:hAnsi="Aptos" w:cs="Aptos"/>
          <w:sz w:val="24"/>
        </w:rPr>
        <w:t xml:space="preserve">IO 1.3: Enhanced efficiency and effectiveness of allocation, utilization and reporting of budgeted funds by central agencies. </w:t>
      </w:r>
    </w:p>
    <w:p w14:paraId="2B615D49" w14:textId="0A1E5B2E" w:rsidR="4079C2C4" w:rsidRDefault="4079C2C4" w:rsidP="00803578">
      <w:pPr>
        <w:pStyle w:val="ListParagraph"/>
        <w:numPr>
          <w:ilvl w:val="0"/>
          <w:numId w:val="2"/>
        </w:numPr>
        <w:spacing w:after="0" w:line="276" w:lineRule="auto"/>
        <w:rPr>
          <w:rFonts w:ascii="Aptos" w:eastAsia="Aptos" w:hAnsi="Aptos" w:cs="Aptos"/>
          <w:sz w:val="24"/>
        </w:rPr>
      </w:pPr>
      <w:r w:rsidRPr="118BFB4F">
        <w:rPr>
          <w:rFonts w:ascii="Aptos" w:eastAsia="Aptos" w:hAnsi="Aptos" w:cs="Aptos"/>
          <w:sz w:val="24"/>
        </w:rPr>
        <w:t xml:space="preserve">IO 1.4: Improved PFM capability in selected line agencies. </w:t>
      </w:r>
    </w:p>
    <w:p w14:paraId="45F6565B" w14:textId="631AA5C9" w:rsidR="4079C2C4" w:rsidRDefault="4079C2C4" w:rsidP="00803578">
      <w:pPr>
        <w:pStyle w:val="ListParagraph"/>
        <w:numPr>
          <w:ilvl w:val="0"/>
          <w:numId w:val="2"/>
        </w:numPr>
        <w:spacing w:after="0" w:line="276" w:lineRule="auto"/>
        <w:rPr>
          <w:rFonts w:ascii="Aptos" w:eastAsia="Aptos" w:hAnsi="Aptos" w:cs="Aptos"/>
          <w:sz w:val="24"/>
        </w:rPr>
      </w:pPr>
      <w:r w:rsidRPr="118BFB4F">
        <w:rPr>
          <w:rFonts w:ascii="Aptos" w:eastAsia="Aptos" w:hAnsi="Aptos" w:cs="Aptos"/>
          <w:sz w:val="24"/>
        </w:rPr>
        <w:t xml:space="preserve">IO 1.5: Increased attention to mainstreaming gender equality, disability inclusion, and climate change action in PFM reforms. </w:t>
      </w:r>
    </w:p>
    <w:p w14:paraId="150E1025" w14:textId="293E26EC" w:rsidR="4079C2C4" w:rsidRDefault="4079C2C4" w:rsidP="118BFB4F">
      <w:pPr>
        <w:spacing w:line="276" w:lineRule="auto"/>
      </w:pPr>
      <w:r w:rsidRPr="118BFB4F">
        <w:rPr>
          <w:rFonts w:ascii="Aptos" w:eastAsia="Aptos" w:hAnsi="Aptos" w:cs="Aptos"/>
          <w:sz w:val="24"/>
        </w:rPr>
        <w:t>Activities</w:t>
      </w:r>
    </w:p>
    <w:p w14:paraId="1D6D1B6E" w14:textId="38C925CE" w:rsidR="4079C2C4" w:rsidRDefault="4079C2C4" w:rsidP="00803578">
      <w:pPr>
        <w:pStyle w:val="ListParagraph"/>
        <w:numPr>
          <w:ilvl w:val="0"/>
          <w:numId w:val="1"/>
        </w:numPr>
        <w:spacing w:after="0" w:line="276" w:lineRule="auto"/>
        <w:rPr>
          <w:rFonts w:ascii="Aptos" w:eastAsia="Aptos" w:hAnsi="Aptos" w:cs="Aptos"/>
          <w:sz w:val="24"/>
        </w:rPr>
      </w:pPr>
      <w:r w:rsidRPr="118BFB4F">
        <w:rPr>
          <w:rFonts w:ascii="Aptos" w:eastAsia="Aptos" w:hAnsi="Aptos" w:cs="Aptos"/>
          <w:sz w:val="24"/>
        </w:rPr>
        <w:t xml:space="preserve">Demand-driven policy and strategic advice related to strengthening </w:t>
      </w:r>
      <w:proofErr w:type="spellStart"/>
      <w:r w:rsidRPr="118BFB4F">
        <w:rPr>
          <w:rFonts w:ascii="Aptos" w:eastAsia="Aptos" w:hAnsi="Aptos" w:cs="Aptos"/>
          <w:sz w:val="24"/>
        </w:rPr>
        <w:t>GoT</w:t>
      </w:r>
      <w:proofErr w:type="spellEnd"/>
      <w:r w:rsidRPr="118BFB4F">
        <w:rPr>
          <w:rFonts w:ascii="Aptos" w:eastAsia="Aptos" w:hAnsi="Aptos" w:cs="Aptos"/>
          <w:sz w:val="24"/>
        </w:rPr>
        <w:t xml:space="preserve"> economic resilience (DFAT-led). </w:t>
      </w:r>
    </w:p>
    <w:p w14:paraId="5A4119D2" w14:textId="4BFD71FD" w:rsidR="4079C2C4" w:rsidRDefault="4079C2C4" w:rsidP="00803578">
      <w:pPr>
        <w:pStyle w:val="ListParagraph"/>
        <w:numPr>
          <w:ilvl w:val="0"/>
          <w:numId w:val="1"/>
        </w:numPr>
        <w:spacing w:after="0" w:line="276" w:lineRule="auto"/>
        <w:rPr>
          <w:rFonts w:ascii="Aptos" w:eastAsia="Aptos" w:hAnsi="Aptos" w:cs="Aptos"/>
          <w:sz w:val="24"/>
        </w:rPr>
      </w:pPr>
      <w:r w:rsidRPr="118BFB4F">
        <w:rPr>
          <w:rFonts w:ascii="Aptos" w:eastAsia="Aptos" w:hAnsi="Aptos" w:cs="Aptos"/>
          <w:sz w:val="24"/>
        </w:rPr>
        <w:t>Policy dialogue on economic governance priority-setting (DFAT-led)</w:t>
      </w:r>
    </w:p>
    <w:p w14:paraId="7FF03D1D" w14:textId="2ECE4D8E" w:rsidR="4079C2C4" w:rsidRDefault="4079C2C4" w:rsidP="00803578">
      <w:pPr>
        <w:pStyle w:val="ListParagraph"/>
        <w:numPr>
          <w:ilvl w:val="0"/>
          <w:numId w:val="1"/>
        </w:numPr>
        <w:spacing w:after="0" w:line="276" w:lineRule="auto"/>
        <w:rPr>
          <w:rFonts w:ascii="Aptos" w:eastAsia="Aptos" w:hAnsi="Aptos" w:cs="Aptos"/>
          <w:sz w:val="24"/>
        </w:rPr>
      </w:pPr>
      <w:r w:rsidRPr="118BFB4F">
        <w:rPr>
          <w:rFonts w:ascii="Aptos" w:eastAsia="Aptos" w:hAnsi="Aptos" w:cs="Aptos"/>
          <w:sz w:val="24"/>
        </w:rPr>
        <w:t xml:space="preserve">PFMRR-aligned HR, procurement, and PFM technical assistance to MoF, PSC, and selected line agencies. </w:t>
      </w:r>
    </w:p>
    <w:p w14:paraId="196BE306" w14:textId="77AD3E72" w:rsidR="4079C2C4" w:rsidRDefault="4079C2C4" w:rsidP="00803578">
      <w:pPr>
        <w:pStyle w:val="ListParagraph"/>
        <w:numPr>
          <w:ilvl w:val="0"/>
          <w:numId w:val="1"/>
        </w:numPr>
        <w:spacing w:after="0" w:line="276" w:lineRule="auto"/>
        <w:rPr>
          <w:rFonts w:ascii="Aptos" w:eastAsia="Aptos" w:hAnsi="Aptos" w:cs="Aptos"/>
          <w:sz w:val="24"/>
        </w:rPr>
      </w:pPr>
      <w:r w:rsidRPr="118BFB4F">
        <w:rPr>
          <w:rFonts w:ascii="Aptos" w:eastAsia="Aptos" w:hAnsi="Aptos" w:cs="Aptos"/>
          <w:sz w:val="24"/>
        </w:rPr>
        <w:t xml:space="preserve">Due diligence oversight of major </w:t>
      </w:r>
      <w:proofErr w:type="spellStart"/>
      <w:r w:rsidRPr="118BFB4F">
        <w:rPr>
          <w:rFonts w:ascii="Aptos" w:eastAsia="Aptos" w:hAnsi="Aptos" w:cs="Aptos"/>
          <w:sz w:val="24"/>
        </w:rPr>
        <w:t>GoT</w:t>
      </w:r>
      <w:proofErr w:type="spellEnd"/>
      <w:r w:rsidRPr="118BFB4F">
        <w:rPr>
          <w:rFonts w:ascii="Aptos" w:eastAsia="Aptos" w:hAnsi="Aptos" w:cs="Aptos"/>
          <w:sz w:val="24"/>
        </w:rPr>
        <w:t xml:space="preserve"> procurements that are </w:t>
      </w:r>
      <w:proofErr w:type="spellStart"/>
      <w:r w:rsidRPr="118BFB4F">
        <w:rPr>
          <w:rFonts w:ascii="Aptos" w:eastAsia="Aptos" w:hAnsi="Aptos" w:cs="Aptos"/>
          <w:sz w:val="24"/>
        </w:rPr>
        <w:t>GoA</w:t>
      </w:r>
      <w:proofErr w:type="spellEnd"/>
      <w:r w:rsidRPr="118BFB4F">
        <w:rPr>
          <w:rFonts w:ascii="Aptos" w:eastAsia="Aptos" w:hAnsi="Aptos" w:cs="Aptos"/>
          <w:sz w:val="24"/>
        </w:rPr>
        <w:t xml:space="preserve">-funded. </w:t>
      </w:r>
    </w:p>
    <w:p w14:paraId="402A9382" w14:textId="51B8B9AA" w:rsidR="4079C2C4" w:rsidRDefault="4079C2C4" w:rsidP="00803578">
      <w:pPr>
        <w:pStyle w:val="ListParagraph"/>
        <w:numPr>
          <w:ilvl w:val="0"/>
          <w:numId w:val="1"/>
        </w:numPr>
        <w:spacing w:after="0" w:line="276" w:lineRule="auto"/>
        <w:rPr>
          <w:rFonts w:ascii="Aptos" w:eastAsia="Aptos" w:hAnsi="Aptos" w:cs="Aptos"/>
          <w:sz w:val="24"/>
        </w:rPr>
      </w:pPr>
      <w:r w:rsidRPr="118BFB4F">
        <w:rPr>
          <w:rFonts w:ascii="Aptos" w:eastAsia="Aptos" w:hAnsi="Aptos" w:cs="Aptos"/>
          <w:sz w:val="24"/>
        </w:rPr>
        <w:t>General and earmarked budget support (DFAT-led)</w:t>
      </w:r>
    </w:p>
    <w:p w14:paraId="51A0CD38" w14:textId="02E9EFFA" w:rsidR="118BFB4F" w:rsidRDefault="118BFB4F" w:rsidP="118BFB4F"/>
    <w:sectPr w:rsidR="118BFB4F" w:rsidSect="00A6774F">
      <w:pgSz w:w="11906" w:h="16838"/>
      <w:pgMar w:top="1814" w:right="1134" w:bottom="1134" w:left="1134" w:header="851" w:footer="454" w:gutter="0"/>
      <w:pgNumType w:fmt="lowerRoman"/>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A49BF" w14:textId="77777777" w:rsidR="00E17E5D" w:rsidRDefault="00E17E5D" w:rsidP="00A348C7">
      <w:r>
        <w:separator/>
      </w:r>
    </w:p>
    <w:p w14:paraId="6B2BDB4F" w14:textId="77777777" w:rsidR="00E17E5D" w:rsidRDefault="00E17E5D" w:rsidP="00A348C7"/>
  </w:endnote>
  <w:endnote w:type="continuationSeparator" w:id="0">
    <w:p w14:paraId="0929395E" w14:textId="77777777" w:rsidR="00E17E5D" w:rsidRDefault="00E17E5D" w:rsidP="00A348C7">
      <w:r>
        <w:continuationSeparator/>
      </w:r>
    </w:p>
    <w:p w14:paraId="0D8A843F" w14:textId="77777777" w:rsidR="00E17E5D" w:rsidRDefault="00E17E5D" w:rsidP="00A348C7"/>
  </w:endnote>
  <w:endnote w:type="continuationNotice" w:id="1">
    <w:p w14:paraId="1F0F1E4D" w14:textId="77777777" w:rsidR="00E17E5D" w:rsidRDefault="00E17E5D" w:rsidP="00A348C7"/>
    <w:p w14:paraId="220A33EF" w14:textId="77777777" w:rsidR="00E17E5D" w:rsidRDefault="00E17E5D" w:rsidP="00A348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C4FA4FD6-1ECE-4130-835C-76601AA12A68}"/>
    <w:embedBold r:id="rId2" w:fontKey="{A51603FF-A0BD-48C1-AB35-ED482C2840E1}"/>
    <w:embedItalic r:id="rId3" w:fontKey="{1262C4C5-AAE1-439F-9423-0075939256BA}"/>
    <w:embedBoldItalic r:id="rId4" w:fontKey="{C43BEA42-6DFE-407D-92D3-46E9C5916010}"/>
  </w:font>
  <w:font w:name="Century Gothic">
    <w:panose1 w:val="020B0502020202020204"/>
    <w:charset w:val="00"/>
    <w:family w:val="swiss"/>
    <w:pitch w:val="variable"/>
    <w:sig w:usb0="00000287" w:usb1="00000000" w:usb2="00000000" w:usb3="00000000" w:csb0="0000009F" w:csb1="00000000"/>
    <w:embedRegular r:id="rId5" w:fontKey="{1717D448-EE21-4661-9FAC-E96EF36EE6EB}"/>
    <w:embedBold r:id="rId6" w:fontKey="{4B2AF2C9-DBDE-4149-B7E2-B74F3E670047}"/>
    <w:embedItalic r:id="rId7" w:fontKey="{DB14603C-A34E-4BFE-8743-C25B73135258}"/>
  </w:font>
  <w:font w:name="Tahoma">
    <w:panose1 w:val="020B0604030504040204"/>
    <w:charset w:val="00"/>
    <w:family w:val="swiss"/>
    <w:pitch w:val="variable"/>
    <w:sig w:usb0="E1002EFF" w:usb1="C000605B" w:usb2="00000029" w:usb3="00000000" w:csb0="000101FF" w:csb1="00000000"/>
    <w:embedRegular r:id="rId8" w:fontKey="{A903775F-87F9-4424-BB6A-549CA0D11EAD}"/>
  </w:font>
  <w:font w:name="Corpid C1 SCd Regular">
    <w:altName w:val="Arial"/>
    <w:charset w:val="00"/>
    <w:family w:val="swiss"/>
    <w:pitch w:val="variable"/>
    <w:sig w:usb0="A00000EF" w:usb1="5000205B" w:usb2="00000000" w:usb3="00000000" w:csb0="0000009B" w:csb1="00000000"/>
  </w:font>
  <w:font w:name="Segoe UI">
    <w:panose1 w:val="020B0502040204020203"/>
    <w:charset w:val="00"/>
    <w:family w:val="swiss"/>
    <w:pitch w:val="variable"/>
    <w:sig w:usb0="E4002EFF" w:usb1="C000E47F" w:usb2="00000009" w:usb3="00000000" w:csb0="000001FF" w:csb1="00000000"/>
    <w:embedRegular r:id="rId9" w:fontKey="{E59487EC-C2D4-4F00-A905-1A2B8640C5DA}"/>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10" w:fontKey="{00FC355E-A680-42D6-A5AA-7E4775BD67E8}"/>
    <w:embedBold r:id="rId11" w:fontKey="{E2C923E8-B669-4BDB-B14C-E9CCB209A9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8" w:type="dxa"/>
      <w:tblLayout w:type="fixed"/>
      <w:tblCellMar>
        <w:top w:w="113" w:type="dxa"/>
        <w:left w:w="0" w:type="dxa"/>
        <w:right w:w="0" w:type="dxa"/>
      </w:tblCellMar>
      <w:tblLook w:val="0400" w:firstRow="0" w:lastRow="0" w:firstColumn="0" w:lastColumn="0" w:noHBand="0" w:noVBand="1"/>
    </w:tblPr>
    <w:tblGrid>
      <w:gridCol w:w="7516"/>
      <w:gridCol w:w="2122"/>
    </w:tblGrid>
    <w:tr w:rsidR="000334A2" w14:paraId="6BC0997C" w14:textId="77777777" w:rsidTr="00830C56">
      <w:tc>
        <w:tcPr>
          <w:tcW w:w="7516" w:type="dxa"/>
        </w:tcPr>
        <w:p w14:paraId="6BC0997A" w14:textId="07B079C7" w:rsidR="000334A2" w:rsidRDefault="000334A2" w:rsidP="000334A2">
          <w:r w:rsidRPr="00E6574B">
            <w:t>TASP Draft Evaluation Report</w:t>
          </w:r>
        </w:p>
      </w:tc>
      <w:tc>
        <w:tcPr>
          <w:tcW w:w="2122" w:type="dxa"/>
        </w:tcPr>
        <w:p w14:paraId="6BC0997B" w14:textId="25E86E3C" w:rsidR="000334A2" w:rsidRDefault="000334A2" w:rsidP="000334A2">
          <w:pPr>
            <w:rPr>
              <w:i/>
            </w:rPr>
          </w:pPr>
        </w:p>
      </w:tc>
    </w:tr>
  </w:tbl>
  <w:p w14:paraId="6BC0997D" w14:textId="77777777" w:rsidR="00194B11" w:rsidRDefault="00194B11" w:rsidP="00A348C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0997F" w14:textId="65F35F4D" w:rsidR="00194B11" w:rsidRDefault="00C94487" w:rsidP="00A348C7">
    <w:r>
      <w:tab/>
    </w:r>
    <w:r>
      <w:tab/>
    </w:r>
  </w:p>
  <w:p w14:paraId="6BC09980" w14:textId="77777777" w:rsidR="00194B11" w:rsidRDefault="00194B11" w:rsidP="00A348C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09983" w14:textId="4A755A8C" w:rsidR="00194B11" w:rsidRDefault="00F53C9B" w:rsidP="00F53C9B">
    <w:pPr>
      <w:pStyle w:val="Footer"/>
    </w:pPr>
    <w:r>
      <w:t>TASP Final Independent Evaluation Report - Annexes</w:t>
    </w:r>
    <w:r>
      <w:tab/>
    </w:r>
    <w:r>
      <w:tab/>
    </w:r>
    <w:r>
      <w:tab/>
    </w:r>
    <w:r>
      <w:tab/>
    </w:r>
    <w:r>
      <w:tab/>
    </w:r>
    <w:r>
      <w:tab/>
    </w:r>
    <w:r>
      <w:tab/>
    </w:r>
  </w:p>
  <w:p w14:paraId="6BC09984" w14:textId="77777777" w:rsidR="00194B11" w:rsidRDefault="00194B11" w:rsidP="00A348C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09985" w14:textId="449BF7AC" w:rsidR="00194B11" w:rsidRDefault="00194B11" w:rsidP="00A348C7"/>
  <w:p w14:paraId="14C3645B" w14:textId="7DFF3F81" w:rsidR="001523E5" w:rsidRDefault="001523E5" w:rsidP="001523E5">
    <w:pPr>
      <w:pStyle w:val="Footer"/>
      <w:jc w:val="right"/>
    </w:pPr>
  </w:p>
  <w:p w14:paraId="6BC09986" w14:textId="558FD5BA" w:rsidR="00194B11" w:rsidRDefault="001523E5" w:rsidP="001523E5">
    <w:pPr>
      <w:pStyle w:val="Footer"/>
    </w:pPr>
    <w:r>
      <w:t xml:space="preserve">TASP </w:t>
    </w:r>
    <w:r w:rsidR="00D439E9">
      <w:t>Final</w:t>
    </w:r>
    <w:r>
      <w:t xml:space="preserve"> Independent Evaluation Report - Annexes</w:t>
    </w:r>
    <w:r>
      <w:tab/>
    </w:r>
    <w:r>
      <w:tab/>
    </w:r>
    <w:r>
      <w:tab/>
    </w:r>
    <w:r>
      <w:tab/>
    </w:r>
    <w:r>
      <w:tab/>
    </w: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2811866"/>
      <w:docPartObj>
        <w:docPartGallery w:val="Page Numbers (Bottom of Page)"/>
        <w:docPartUnique/>
      </w:docPartObj>
    </w:sdtPr>
    <w:sdtEndPr>
      <w:rPr>
        <w:noProof/>
      </w:rPr>
    </w:sdtEndPr>
    <w:sdtContent>
      <w:p w14:paraId="12DCF88F" w14:textId="4C7470DF" w:rsidR="000B5BEC" w:rsidRDefault="000B5BE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3E1B39" w14:textId="6BBD4F86" w:rsidR="003C33EE" w:rsidRDefault="006C1024" w:rsidP="003138E2">
    <w:pPr>
      <w:pStyle w:val="Footer"/>
    </w:pPr>
    <w:r>
      <w:t xml:space="preserve">TASP Draft </w:t>
    </w:r>
    <w:r w:rsidR="00F53C9B">
      <w:t>Final</w:t>
    </w:r>
    <w:r w:rsidR="00DD550D">
      <w:t xml:space="preserve"> </w:t>
    </w:r>
    <w:r w:rsidR="000334A2">
      <w:t xml:space="preserve">Independent </w:t>
    </w:r>
    <w:r>
      <w:t>Evaluation Report</w:t>
    </w:r>
    <w:r w:rsidR="00F26C0F">
      <w:t xml:space="preserve"> – Executive Summary</w:t>
    </w:r>
    <w:r w:rsidR="00B463AF">
      <w:tab/>
    </w:r>
    <w:r w:rsidR="00B463AF">
      <w:tab/>
    </w:r>
    <w:r w:rsidR="00B463AF">
      <w:tab/>
    </w:r>
    <w:r w:rsidR="00B463AF">
      <w:tab/>
    </w:r>
    <w:r w:rsidR="00B463AF">
      <w:tab/>
    </w:r>
    <w:r w:rsidR="00B463AF">
      <w:tab/>
    </w:r>
    <w:r w:rsidR="00B463AF">
      <w:tab/>
    </w:r>
    <w:r w:rsidR="00B463AF">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1334136"/>
      <w:docPartObj>
        <w:docPartGallery w:val="Page Numbers (Bottom of Page)"/>
        <w:docPartUnique/>
      </w:docPartObj>
    </w:sdtPr>
    <w:sdtEndPr>
      <w:rPr>
        <w:noProof/>
      </w:rPr>
    </w:sdtEndPr>
    <w:sdtContent>
      <w:p w14:paraId="2635F795" w14:textId="77777777" w:rsidR="00F26C0F" w:rsidRDefault="00F26C0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67E0DF" w14:textId="483C8B30" w:rsidR="00F26C0F" w:rsidRDefault="00F26C0F" w:rsidP="003138E2">
    <w:pPr>
      <w:pStyle w:val="Footer"/>
    </w:pPr>
    <w:r>
      <w:t xml:space="preserve">TASP </w:t>
    </w:r>
    <w:r w:rsidR="00F53C9B">
      <w:t>Final</w:t>
    </w:r>
    <w:r>
      <w:t xml:space="preserve"> Independent Evaluation Report</w:t>
    </w:r>
    <w:r>
      <w:tab/>
    </w:r>
    <w:r>
      <w:tab/>
    </w:r>
    <w:r>
      <w:tab/>
    </w:r>
    <w:r>
      <w:tab/>
    </w:r>
    <w:r>
      <w:tab/>
    </w:r>
    <w:r>
      <w:tab/>
    </w:r>
    <w:r>
      <w:tab/>
    </w: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0355631"/>
      <w:docPartObj>
        <w:docPartGallery w:val="Page Numbers (Bottom of Page)"/>
        <w:docPartUnique/>
      </w:docPartObj>
    </w:sdtPr>
    <w:sdtEndPr>
      <w:rPr>
        <w:noProof/>
      </w:rPr>
    </w:sdtEndPr>
    <w:sdtContent>
      <w:p w14:paraId="6E81D64F" w14:textId="77777777" w:rsidR="00F26C0F" w:rsidRDefault="00F26C0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078F83" w14:textId="1945D3C2" w:rsidR="00F26C0F" w:rsidRDefault="00F26C0F" w:rsidP="00145B6C">
    <w:pPr>
      <w:pStyle w:val="Footer"/>
      <w:ind w:left="993"/>
    </w:pPr>
    <w:r>
      <w:t xml:space="preserve">TASP </w:t>
    </w:r>
    <w:r w:rsidR="00D439E9">
      <w:t>Final</w:t>
    </w:r>
    <w:r>
      <w:t xml:space="preserve"> Independent Evaluation Report - Annexes</w:t>
    </w:r>
    <w:r>
      <w:tab/>
    </w:r>
    <w:r>
      <w:tab/>
    </w: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1B1BB4" w14:textId="77777777" w:rsidR="00E17E5D" w:rsidRDefault="00E17E5D" w:rsidP="00A348C7">
      <w:r>
        <w:separator/>
      </w:r>
    </w:p>
    <w:p w14:paraId="1F027AD2" w14:textId="77777777" w:rsidR="00E17E5D" w:rsidRDefault="00E17E5D" w:rsidP="00A348C7"/>
  </w:footnote>
  <w:footnote w:type="continuationSeparator" w:id="0">
    <w:p w14:paraId="3D02E9B6" w14:textId="77777777" w:rsidR="00E17E5D" w:rsidRDefault="00E17E5D" w:rsidP="00A348C7">
      <w:r>
        <w:continuationSeparator/>
      </w:r>
    </w:p>
    <w:p w14:paraId="33CCB419" w14:textId="77777777" w:rsidR="00E17E5D" w:rsidRDefault="00E17E5D" w:rsidP="00A348C7"/>
  </w:footnote>
  <w:footnote w:type="continuationNotice" w:id="1">
    <w:p w14:paraId="7EEC00D6" w14:textId="77777777" w:rsidR="00E17E5D" w:rsidRDefault="00E17E5D" w:rsidP="00A348C7"/>
    <w:p w14:paraId="3EE8FEC3" w14:textId="77777777" w:rsidR="00E17E5D" w:rsidRDefault="00E17E5D" w:rsidP="00A348C7"/>
  </w:footnote>
  <w:footnote w:id="2">
    <w:p w14:paraId="6BC09995" w14:textId="77777777" w:rsidR="00194B11" w:rsidRPr="00C94FBF" w:rsidRDefault="000F1258" w:rsidP="00C94FBF">
      <w:pPr>
        <w:pStyle w:val="SourceNotes"/>
        <w:rPr>
          <w:color w:val="000000" w:themeColor="text1"/>
          <w:sz w:val="14"/>
          <w:szCs w:val="20"/>
        </w:rPr>
      </w:pPr>
      <w:r w:rsidRPr="00C94FBF">
        <w:rPr>
          <w:color w:val="000000" w:themeColor="text1"/>
          <w:sz w:val="14"/>
          <w:szCs w:val="20"/>
        </w:rPr>
        <w:footnoteRef/>
      </w:r>
      <w:r w:rsidRPr="00C94FBF">
        <w:rPr>
          <w:color w:val="000000" w:themeColor="text1"/>
          <w:sz w:val="14"/>
          <w:szCs w:val="20"/>
        </w:rPr>
        <w:t xml:space="preserve"> as per Recommendation 1(c) of DFAT’s 2008 Facilities Review</w:t>
      </w:r>
    </w:p>
  </w:footnote>
  <w:footnote w:id="3">
    <w:p w14:paraId="3EC8A353" w14:textId="2C975133" w:rsidR="0019080C" w:rsidRDefault="0019080C">
      <w:pPr>
        <w:pStyle w:val="FootnoteText"/>
      </w:pPr>
      <w:r>
        <w:rPr>
          <w:rStyle w:val="FootnoteReference"/>
        </w:rPr>
        <w:footnoteRef/>
      </w:r>
      <w:r>
        <w:t xml:space="preserve"> CSOs suggested that s</w:t>
      </w:r>
      <w:proofErr w:type="spellStart"/>
      <w:r w:rsidRPr="006A0809">
        <w:rPr>
          <w:lang w:val="en-US"/>
        </w:rPr>
        <w:t>taged</w:t>
      </w:r>
      <w:proofErr w:type="spellEnd"/>
      <w:r w:rsidRPr="006A0809">
        <w:rPr>
          <w:lang w:val="en-US"/>
        </w:rPr>
        <w:t xml:space="preserve"> compliance commensurate with size of </w:t>
      </w:r>
      <w:proofErr w:type="spellStart"/>
      <w:r w:rsidRPr="006A0809">
        <w:rPr>
          <w:lang w:val="en-US"/>
        </w:rPr>
        <w:t>organisation</w:t>
      </w:r>
      <w:proofErr w:type="spellEnd"/>
      <w:r w:rsidRPr="006A0809">
        <w:rPr>
          <w:lang w:val="en-US"/>
        </w:rPr>
        <w:t xml:space="preserve"> would have been </w:t>
      </w:r>
      <w:r>
        <w:rPr>
          <w:lang w:val="en-US"/>
        </w:rPr>
        <w:t xml:space="preserve">a </w:t>
      </w:r>
      <w:r w:rsidRPr="006A0809">
        <w:rPr>
          <w:lang w:val="en-US"/>
        </w:rPr>
        <w:t>better</w:t>
      </w:r>
      <w:r>
        <w:rPr>
          <w:lang w:val="en-US"/>
        </w:rPr>
        <w:t xml:space="preserve"> approach.</w:t>
      </w:r>
    </w:p>
  </w:footnote>
  <w:footnote w:id="4">
    <w:p w14:paraId="78299052" w14:textId="4EA0FB06" w:rsidR="00AF43E1" w:rsidRDefault="00AF43E1">
      <w:pPr>
        <w:pStyle w:val="FootnoteText"/>
      </w:pPr>
      <w:r>
        <w:rPr>
          <w:rStyle w:val="FootnoteReference"/>
        </w:rPr>
        <w:footnoteRef/>
      </w:r>
      <w:r>
        <w:t xml:space="preserve"> </w:t>
      </w:r>
      <w:r w:rsidR="00CC451C" w:rsidRPr="00F90B47">
        <w:t>Pieper, L, 2018. Independent Facilities review, May 2018</w:t>
      </w:r>
    </w:p>
  </w:footnote>
  <w:footnote w:id="5">
    <w:p w14:paraId="75C7D9D9" w14:textId="77777777" w:rsidR="00D72AFD" w:rsidRPr="00C94FBF" w:rsidRDefault="00D72AFD" w:rsidP="00D72AFD">
      <w:pPr>
        <w:pStyle w:val="SourceNotes"/>
        <w:rPr>
          <w:color w:val="000000" w:themeColor="text1"/>
          <w:sz w:val="14"/>
          <w:szCs w:val="20"/>
        </w:rPr>
      </w:pPr>
      <w:r w:rsidRPr="00EC313E">
        <w:rPr>
          <w:color w:val="000000" w:themeColor="text1"/>
          <w:sz w:val="14"/>
          <w:szCs w:val="20"/>
          <w:vertAlign w:val="superscript"/>
        </w:rPr>
        <w:footnoteRef/>
      </w:r>
      <w:r w:rsidRPr="00C94FBF">
        <w:rPr>
          <w:color w:val="000000" w:themeColor="text1"/>
          <w:sz w:val="14"/>
          <w:szCs w:val="20"/>
        </w:rPr>
        <w:t xml:space="preserve"> </w:t>
      </w:r>
      <w:hyperlink r:id="rId1" w:anchor=":~:text=DFAT%20Design%20and%20Monitoring%20and%20Evaluation%20Standards%20These,and%20to%20integrate%20evaluative%20thinking%20into%20everyday%20work.">
        <w:r w:rsidRPr="00C94FBF">
          <w:rPr>
            <w:color w:val="000000" w:themeColor="text1"/>
            <w:sz w:val="14"/>
            <w:szCs w:val="20"/>
          </w:rPr>
          <w:t>DFAT Design and Monitoring and Evaluation Standards | Australian Government Department of Foreign Affairs and Trade</w:t>
        </w:r>
      </w:hyperlink>
    </w:p>
  </w:footnote>
  <w:footnote w:id="6">
    <w:p w14:paraId="111DAE36" w14:textId="6F9D34A4" w:rsidR="00EC313E" w:rsidRDefault="00EC313E">
      <w:pPr>
        <w:pStyle w:val="FootnoteText"/>
      </w:pPr>
      <w:r>
        <w:rPr>
          <w:rStyle w:val="FootnoteReference"/>
        </w:rPr>
        <w:footnoteRef/>
      </w:r>
      <w:r>
        <w:t xml:space="preserve"> See </w:t>
      </w:r>
      <w:hyperlink w:anchor="_Annex_2:_References" w:history="1">
        <w:r w:rsidRPr="00194A56">
          <w:rPr>
            <w:rStyle w:val="Hyperlink"/>
          </w:rPr>
          <w:t>Annex 2</w:t>
        </w:r>
      </w:hyperlink>
      <w:r>
        <w:t xml:space="preserve"> for list of Reference Documents</w:t>
      </w:r>
    </w:p>
  </w:footnote>
  <w:footnote w:id="7">
    <w:p w14:paraId="0C8A63AE" w14:textId="0C76A053" w:rsidR="00A70FAC" w:rsidRDefault="00A70FAC">
      <w:pPr>
        <w:pStyle w:val="FootnoteText"/>
      </w:pPr>
      <w:r>
        <w:rPr>
          <w:rStyle w:val="FootnoteReference"/>
        </w:rPr>
        <w:footnoteRef/>
      </w:r>
      <w:r>
        <w:t xml:space="preserve"> see </w:t>
      </w:r>
      <w:hyperlink w:anchor="_Annex_3:_List" w:history="1">
        <w:r w:rsidRPr="00A70FAC">
          <w:rPr>
            <w:rStyle w:val="Hyperlink"/>
          </w:rPr>
          <w:t>Annex 3</w:t>
        </w:r>
      </w:hyperlink>
      <w:r>
        <w:t xml:space="preserve"> for List of People Consulted</w:t>
      </w:r>
    </w:p>
  </w:footnote>
  <w:footnote w:id="8">
    <w:p w14:paraId="1FF4FF73" w14:textId="77777777" w:rsidR="006C5444" w:rsidRPr="00C94FBF" w:rsidRDefault="006C5444" w:rsidP="00897D79">
      <w:pPr>
        <w:pStyle w:val="SourceNotes"/>
        <w:spacing w:after="40" w:line="240" w:lineRule="auto"/>
        <w:rPr>
          <w:color w:val="000000" w:themeColor="text1"/>
          <w:sz w:val="14"/>
          <w:szCs w:val="20"/>
        </w:rPr>
      </w:pPr>
      <w:r w:rsidRPr="00C94FBF">
        <w:rPr>
          <w:color w:val="000000" w:themeColor="text1"/>
          <w:sz w:val="14"/>
          <w:szCs w:val="20"/>
        </w:rPr>
        <w:footnoteRef/>
      </w:r>
      <w:r w:rsidRPr="00C94FBF">
        <w:rPr>
          <w:color w:val="000000" w:themeColor="text1"/>
          <w:sz w:val="14"/>
          <w:szCs w:val="20"/>
        </w:rPr>
        <w:t xml:space="preserve"> AIMR AidWorks Code: INN776</w:t>
      </w:r>
    </w:p>
  </w:footnote>
  <w:footnote w:id="9">
    <w:p w14:paraId="34773F77" w14:textId="263AFA34" w:rsidR="008850F5" w:rsidRPr="008850F5" w:rsidRDefault="008850F5" w:rsidP="007E6DD3">
      <w:pPr>
        <w:spacing w:after="60" w:line="240" w:lineRule="auto"/>
      </w:pPr>
      <w:r>
        <w:rPr>
          <w:rStyle w:val="FootnoteReference"/>
        </w:rPr>
        <w:footnoteRef/>
      </w:r>
      <w:r>
        <w:t xml:space="preserve"> </w:t>
      </w:r>
      <w:r w:rsidRPr="008850F5">
        <w:rPr>
          <w:sz w:val="14"/>
          <w:szCs w:val="20"/>
        </w:rPr>
        <w:t>TASP, March 2024. TASP Mid FY Progress Presentation (FINAL)</w:t>
      </w:r>
    </w:p>
  </w:footnote>
  <w:footnote w:id="10">
    <w:p w14:paraId="4DB8EA5D" w14:textId="2C1D0B0E" w:rsidR="00B255C6" w:rsidRDefault="00B255C6">
      <w:pPr>
        <w:pStyle w:val="FootnoteText"/>
      </w:pPr>
      <w:r>
        <w:rPr>
          <w:rStyle w:val="FootnoteReference"/>
        </w:rPr>
        <w:footnoteRef/>
      </w:r>
      <w:r>
        <w:t xml:space="preserve"> On a scale of 1-6 with 1=Poor and 6=Very good</w:t>
      </w:r>
    </w:p>
  </w:footnote>
  <w:footnote w:id="11">
    <w:p w14:paraId="5127E514" w14:textId="77777777" w:rsidR="00D674F4" w:rsidRPr="00C94FBF" w:rsidRDefault="00D674F4" w:rsidP="0020667D">
      <w:pPr>
        <w:pStyle w:val="SourceNotes"/>
        <w:spacing w:after="0" w:line="240" w:lineRule="auto"/>
        <w:rPr>
          <w:color w:val="000000" w:themeColor="text1"/>
          <w:sz w:val="14"/>
          <w:szCs w:val="20"/>
        </w:rPr>
      </w:pPr>
      <w:r w:rsidRPr="0020667D">
        <w:rPr>
          <w:color w:val="000000" w:themeColor="text1"/>
          <w:sz w:val="14"/>
          <w:szCs w:val="20"/>
          <w:vertAlign w:val="superscript"/>
        </w:rPr>
        <w:footnoteRef/>
      </w:r>
      <w:r w:rsidRPr="00C94FBF">
        <w:rPr>
          <w:color w:val="000000" w:themeColor="text1"/>
          <w:sz w:val="14"/>
          <w:szCs w:val="20"/>
        </w:rPr>
        <w:t xml:space="preserve"> AIMR AidWorks Code: INN776</w:t>
      </w:r>
    </w:p>
  </w:footnote>
  <w:footnote w:id="12">
    <w:p w14:paraId="1D00D0BB" w14:textId="5548C94C" w:rsidR="00E91AA0" w:rsidRPr="00C94FBF" w:rsidRDefault="00E91AA0" w:rsidP="0020667D">
      <w:pPr>
        <w:pStyle w:val="SourceNotes"/>
        <w:spacing w:after="0" w:line="240" w:lineRule="auto"/>
        <w:rPr>
          <w:color w:val="000000" w:themeColor="text1"/>
          <w:sz w:val="14"/>
          <w:szCs w:val="20"/>
        </w:rPr>
      </w:pPr>
      <w:r w:rsidRPr="0020667D">
        <w:rPr>
          <w:color w:val="000000" w:themeColor="text1"/>
          <w:sz w:val="14"/>
          <w:szCs w:val="20"/>
          <w:vertAlign w:val="superscript"/>
        </w:rPr>
        <w:footnoteRef/>
      </w:r>
      <w:r w:rsidRPr="0020667D">
        <w:rPr>
          <w:color w:val="000000" w:themeColor="text1"/>
          <w:sz w:val="14"/>
          <w:szCs w:val="20"/>
          <w:vertAlign w:val="superscript"/>
        </w:rPr>
        <w:t xml:space="preserve"> </w:t>
      </w:r>
      <w:r w:rsidRPr="00C94FBF">
        <w:rPr>
          <w:color w:val="000000" w:themeColor="text1"/>
          <w:sz w:val="14"/>
          <w:szCs w:val="20"/>
        </w:rPr>
        <w:t>IDD, p10</w:t>
      </w:r>
    </w:p>
  </w:footnote>
  <w:footnote w:id="13">
    <w:p w14:paraId="57E4FC8E" w14:textId="77777777" w:rsidR="00435145" w:rsidRPr="00107DFB" w:rsidRDefault="00435145" w:rsidP="00A348C7">
      <w:pPr>
        <w:pStyle w:val="FootnoteText"/>
      </w:pPr>
      <w:r>
        <w:rPr>
          <w:rStyle w:val="FootnoteReference"/>
        </w:rPr>
        <w:footnoteRef/>
      </w:r>
      <w:r>
        <w:t xml:space="preserve"> This is an </w:t>
      </w:r>
      <w:r w:rsidRPr="00107DFB">
        <w:t>online satisfaction survey ask</w:t>
      </w:r>
      <w:r>
        <w:t>ing</w:t>
      </w:r>
      <w:r w:rsidRPr="00107DFB">
        <w:t xml:space="preserve"> respondents to rate TASP performance in delivery the activity according to: </w:t>
      </w:r>
    </w:p>
    <w:p w14:paraId="06B9B299" w14:textId="77777777" w:rsidR="00435145" w:rsidRPr="00107DFB" w:rsidRDefault="00435145" w:rsidP="00A348C7">
      <w:pPr>
        <w:pStyle w:val="FootnoteText"/>
      </w:pPr>
      <w:r w:rsidRPr="00107DFB">
        <w:t xml:space="preserve">▪ Timeliness of support </w:t>
      </w:r>
    </w:p>
    <w:p w14:paraId="1D055759" w14:textId="77777777" w:rsidR="00435145" w:rsidRPr="00107DFB" w:rsidRDefault="00435145" w:rsidP="00A348C7">
      <w:pPr>
        <w:pStyle w:val="FootnoteText"/>
      </w:pPr>
      <w:r w:rsidRPr="00107DFB">
        <w:t xml:space="preserve">▪ Level of communication </w:t>
      </w:r>
    </w:p>
    <w:p w14:paraId="70F4BAE9" w14:textId="77777777" w:rsidR="00435145" w:rsidRPr="00107DFB" w:rsidRDefault="00435145" w:rsidP="00A348C7">
      <w:pPr>
        <w:pStyle w:val="FootnoteText"/>
      </w:pPr>
      <w:r w:rsidRPr="00107DFB">
        <w:t xml:space="preserve">▪ Understanding of needs and requirements </w:t>
      </w:r>
    </w:p>
    <w:p w14:paraId="77B364B8" w14:textId="77777777" w:rsidR="00435145" w:rsidRPr="00107DFB" w:rsidRDefault="00435145" w:rsidP="00A348C7">
      <w:pPr>
        <w:pStyle w:val="FootnoteText"/>
      </w:pPr>
      <w:r w:rsidRPr="00107DFB">
        <w:t xml:space="preserve">▪ Addressing obstacles and/or changes </w:t>
      </w:r>
    </w:p>
    <w:p w14:paraId="382BCC39" w14:textId="77777777" w:rsidR="00435145" w:rsidRPr="00107DFB" w:rsidRDefault="00435145" w:rsidP="00A348C7">
      <w:pPr>
        <w:pStyle w:val="FootnoteText"/>
      </w:pPr>
      <w:r w:rsidRPr="00107DFB">
        <w:t xml:space="preserve">▪ Ease of the process for receiving support </w:t>
      </w:r>
    </w:p>
    <w:p w14:paraId="03467769" w14:textId="77777777" w:rsidR="00435145" w:rsidRPr="00107DFB" w:rsidRDefault="00435145" w:rsidP="00A348C7">
      <w:pPr>
        <w:pStyle w:val="FootnoteText"/>
      </w:pPr>
      <w:r w:rsidRPr="00107DFB">
        <w:t xml:space="preserve">▪ Overall quality of support </w:t>
      </w:r>
    </w:p>
    <w:p w14:paraId="415F9C4F" w14:textId="77777777" w:rsidR="00435145" w:rsidRPr="00107DFB" w:rsidRDefault="00435145" w:rsidP="00A348C7">
      <w:pPr>
        <w:pStyle w:val="FootnoteText"/>
      </w:pPr>
      <w:r w:rsidRPr="00107DFB">
        <w:t xml:space="preserve">▪ Whether the participant would choose to partner with TASP again </w:t>
      </w:r>
    </w:p>
    <w:p w14:paraId="0BFC6024" w14:textId="77777777" w:rsidR="00435145" w:rsidRDefault="00435145" w:rsidP="00A348C7">
      <w:pPr>
        <w:pStyle w:val="FootnoteText"/>
      </w:pPr>
    </w:p>
  </w:footnote>
  <w:footnote w:id="14">
    <w:p w14:paraId="04CC845E" w14:textId="3FD390C0" w:rsidR="00F037D9" w:rsidRDefault="00F037D9" w:rsidP="00A348C7">
      <w:pPr>
        <w:pStyle w:val="FootnoteText"/>
      </w:pPr>
      <w:r>
        <w:rPr>
          <w:rStyle w:val="FootnoteReference"/>
        </w:rPr>
        <w:footnoteRef/>
      </w:r>
      <w:r>
        <w:t xml:space="preserve"> </w:t>
      </w:r>
      <w:r w:rsidR="002D4712">
        <w:t xml:space="preserve">TASP </w:t>
      </w:r>
      <w:r>
        <w:t xml:space="preserve">Payment By Results Report </w:t>
      </w:r>
      <w:r w:rsidR="002D4712">
        <w:t>FY</w:t>
      </w:r>
      <w:r>
        <w:t>22</w:t>
      </w:r>
      <w:r w:rsidR="002D4712">
        <w:t>/</w:t>
      </w:r>
      <w:r>
        <w:t>23, p4.</w:t>
      </w:r>
    </w:p>
  </w:footnote>
  <w:footnote w:id="15">
    <w:p w14:paraId="78408F17" w14:textId="7CBC3953" w:rsidR="008C79F8" w:rsidRDefault="008C79F8">
      <w:pPr>
        <w:pStyle w:val="FootnoteText"/>
      </w:pPr>
      <w:r>
        <w:rPr>
          <w:rStyle w:val="FootnoteReference"/>
        </w:rPr>
        <w:footnoteRef/>
      </w:r>
      <w:r>
        <w:t xml:space="preserve"> </w:t>
      </w:r>
      <w:r w:rsidR="00B52FDF">
        <w:t>DFAT Led Investment Design TASP</w:t>
      </w:r>
    </w:p>
  </w:footnote>
  <w:footnote w:id="16">
    <w:p w14:paraId="45818260" w14:textId="59B32819" w:rsidR="0078250A" w:rsidRDefault="0078250A">
      <w:pPr>
        <w:pStyle w:val="FootnoteText"/>
      </w:pPr>
      <w:r>
        <w:rPr>
          <w:rStyle w:val="FootnoteReference"/>
        </w:rPr>
        <w:footnoteRef/>
      </w:r>
      <w:r>
        <w:t xml:space="preserve"> TASP Policy Dialogue Strategy</w:t>
      </w:r>
      <w:r w:rsidR="00976163">
        <w:t>, April 2024</w:t>
      </w:r>
    </w:p>
  </w:footnote>
  <w:footnote w:id="17">
    <w:p w14:paraId="0CDC11F8" w14:textId="19050BEB" w:rsidR="00807A1C" w:rsidRDefault="00807A1C" w:rsidP="00A348C7">
      <w:pPr>
        <w:pStyle w:val="FootnoteText"/>
      </w:pPr>
      <w:r>
        <w:rPr>
          <w:rStyle w:val="FootnoteReference"/>
        </w:rPr>
        <w:footnoteRef/>
      </w:r>
      <w:r>
        <w:t xml:space="preserve"> </w:t>
      </w:r>
      <w:r w:rsidR="007B6D9F">
        <w:t>TASP Summary Note of evidence for TASP independent evaluation, July 2024, given to Independent Evaluation Team.</w:t>
      </w:r>
    </w:p>
  </w:footnote>
  <w:footnote w:id="18">
    <w:p w14:paraId="681A92A0" w14:textId="39A2AF4D" w:rsidR="004950AF" w:rsidRPr="00C94FBF" w:rsidRDefault="004950AF" w:rsidP="004950AF">
      <w:pPr>
        <w:pStyle w:val="SourceNotes"/>
        <w:spacing w:after="0" w:line="240" w:lineRule="auto"/>
        <w:rPr>
          <w:color w:val="000000" w:themeColor="text1"/>
          <w:sz w:val="14"/>
          <w:szCs w:val="20"/>
        </w:rPr>
      </w:pPr>
      <w:r w:rsidRPr="0020667D">
        <w:rPr>
          <w:color w:val="000000" w:themeColor="text1"/>
          <w:sz w:val="14"/>
          <w:szCs w:val="20"/>
          <w:vertAlign w:val="superscript"/>
        </w:rPr>
        <w:footnoteRef/>
      </w:r>
      <w:r w:rsidRPr="00C94FBF">
        <w:rPr>
          <w:color w:val="000000" w:themeColor="text1"/>
          <w:sz w:val="14"/>
          <w:szCs w:val="20"/>
        </w:rPr>
        <w:t xml:space="preserve"> AIMR AidWorks Code: INN776</w:t>
      </w:r>
      <w:r w:rsidR="00BE5F80">
        <w:rPr>
          <w:color w:val="000000" w:themeColor="text1"/>
          <w:sz w:val="14"/>
          <w:szCs w:val="20"/>
        </w:rPr>
        <w:t xml:space="preserve"> – for period of 1 Jan 2023 – 30 Dec 2023.</w:t>
      </w:r>
      <w:r w:rsidR="009E7358">
        <w:rPr>
          <w:color w:val="000000" w:themeColor="text1"/>
          <w:sz w:val="14"/>
          <w:szCs w:val="20"/>
        </w:rPr>
        <w:t>\</w:t>
      </w:r>
    </w:p>
    <w:p w14:paraId="4428B75B" w14:textId="5E77E455" w:rsidR="004950AF" w:rsidRDefault="004950AF">
      <w:pPr>
        <w:pStyle w:val="FootnoteText"/>
      </w:pPr>
    </w:p>
  </w:footnote>
  <w:footnote w:id="19">
    <w:p w14:paraId="17BB7845" w14:textId="2AF0183A" w:rsidR="003A0CA6" w:rsidRDefault="003A0CA6">
      <w:pPr>
        <w:pStyle w:val="FootnoteText"/>
      </w:pPr>
      <w:r>
        <w:rPr>
          <w:rStyle w:val="FootnoteReference"/>
        </w:rPr>
        <w:footnoteRef/>
      </w:r>
      <w:r>
        <w:t xml:space="preserve"> TASP, </w:t>
      </w:r>
      <w:r w:rsidR="009549CF">
        <w:t>2024, Draft</w:t>
      </w:r>
      <w:r w:rsidR="00E631F8">
        <w:t xml:space="preserve"> </w:t>
      </w:r>
      <w:r w:rsidR="009549CF">
        <w:t>Accelerated expenditure plan_v5_FY24</w:t>
      </w:r>
    </w:p>
  </w:footnote>
  <w:footnote w:id="20">
    <w:p w14:paraId="4B98E934" w14:textId="3F1AF9C3" w:rsidR="00F04F57" w:rsidRDefault="00F04F57">
      <w:pPr>
        <w:pStyle w:val="FootnoteText"/>
      </w:pPr>
      <w:r>
        <w:rPr>
          <w:rStyle w:val="FootnoteReference"/>
        </w:rPr>
        <w:footnoteRef/>
      </w:r>
      <w:r w:rsidRPr="00A958B6">
        <w:rPr>
          <w:rStyle w:val="FootnoteReference"/>
        </w:rPr>
        <w:t xml:space="preserve"> </w:t>
      </w:r>
      <w:r w:rsidR="00A958B6" w:rsidRPr="00A958B6">
        <w:t>TASP, 2024. TASP ways of working agreement May 2024 (currently being drafted).</w:t>
      </w:r>
    </w:p>
  </w:footnote>
  <w:footnote w:id="21">
    <w:p w14:paraId="1E667128" w14:textId="77777777" w:rsidR="004E27BC" w:rsidRPr="00C94FBF" w:rsidRDefault="004E27BC" w:rsidP="004E27BC">
      <w:pPr>
        <w:pStyle w:val="FootnoteText"/>
      </w:pPr>
      <w:r>
        <w:rPr>
          <w:rStyle w:val="FootnoteReference"/>
        </w:rPr>
        <w:footnoteRef/>
      </w:r>
      <w:r w:rsidRPr="00C94FBF">
        <w:rPr>
          <w:rStyle w:val="FootnoteReference"/>
        </w:rPr>
        <w:t xml:space="preserve"> </w:t>
      </w:r>
      <w:r w:rsidRPr="00C94FBF">
        <w:t>See TASP Inception and Six</w:t>
      </w:r>
      <w:r>
        <w:t>-</w:t>
      </w:r>
      <w:r w:rsidRPr="00C94FBF">
        <w:t xml:space="preserve">Month Report May 2023. </w:t>
      </w:r>
    </w:p>
  </w:footnote>
  <w:footnote w:id="22">
    <w:p w14:paraId="3743F289" w14:textId="5594A23C" w:rsidR="00E9279B" w:rsidRDefault="00E9279B">
      <w:pPr>
        <w:pStyle w:val="FootnoteText"/>
      </w:pPr>
      <w:r>
        <w:rPr>
          <w:rStyle w:val="FootnoteReference"/>
        </w:rPr>
        <w:footnoteRef/>
      </w:r>
      <w:r>
        <w:t xml:space="preserve"> </w:t>
      </w:r>
      <w:r w:rsidR="00326850">
        <w:t>The AHC noted that this was understood to be the result of extremely slow processes within the Managing Contractor at the time.</w:t>
      </w:r>
    </w:p>
  </w:footnote>
  <w:footnote w:id="23">
    <w:p w14:paraId="38617D8E" w14:textId="74A6896D" w:rsidR="00653828" w:rsidRDefault="00653828">
      <w:pPr>
        <w:pStyle w:val="FootnoteText"/>
      </w:pPr>
      <w:r>
        <w:rPr>
          <w:rStyle w:val="FootnoteReference"/>
        </w:rPr>
        <w:footnoteRef/>
      </w:r>
      <w:r>
        <w:t xml:space="preserve"> </w:t>
      </w:r>
      <w:r w:rsidR="00550091">
        <w:t>AHC</w:t>
      </w:r>
      <w:r w:rsidR="00D644A1">
        <w:t xml:space="preserve"> </w:t>
      </w:r>
      <w:r w:rsidR="00DB2788">
        <w:t xml:space="preserve">recalls additional </w:t>
      </w:r>
      <w:r w:rsidR="00B279D0">
        <w:t xml:space="preserve">funding to DT Global for </w:t>
      </w:r>
      <w:r w:rsidR="007E510D">
        <w:t>administrative support</w:t>
      </w:r>
      <w:r w:rsidR="00464043">
        <w:t xml:space="preserve">; </w:t>
      </w:r>
      <w:proofErr w:type="gramStart"/>
      <w:r w:rsidR="00464043">
        <w:t>however</w:t>
      </w:r>
      <w:proofErr w:type="gramEnd"/>
      <w:r w:rsidR="00464043">
        <w:t xml:space="preserve"> </w:t>
      </w:r>
      <w:r w:rsidR="00383E65">
        <w:t xml:space="preserve">this </w:t>
      </w:r>
      <w:r w:rsidR="008D5261">
        <w:t>relate</w:t>
      </w:r>
      <w:r w:rsidR="00310BCE">
        <w:t>d</w:t>
      </w:r>
      <w:r w:rsidR="008D5261">
        <w:t xml:space="preserve"> to one </w:t>
      </w:r>
      <w:proofErr w:type="gramStart"/>
      <w:r w:rsidR="008D5261">
        <w:t>particular tasking</w:t>
      </w:r>
      <w:proofErr w:type="gramEnd"/>
      <w:r w:rsidR="008D5261">
        <w:t xml:space="preserve"> note rather than</w:t>
      </w:r>
      <w:r w:rsidR="003774E3">
        <w:t xml:space="preserve"> overall operational</w:t>
      </w:r>
      <w:r w:rsidR="00574094">
        <w:t xml:space="preserve"> </w:t>
      </w:r>
      <w:r w:rsidR="00310BCE">
        <w:t xml:space="preserve">policies and </w:t>
      </w:r>
      <w:r w:rsidR="009334CA">
        <w:t>processes.</w:t>
      </w:r>
      <w:r w:rsidR="00310BCE">
        <w:t xml:space="preserve"> (</w:t>
      </w:r>
      <w:r w:rsidR="00EE014B">
        <w:t xml:space="preserve">This instance </w:t>
      </w:r>
      <w:r w:rsidR="00310BCE">
        <w:t>is not captured in documents available to the evaluation team</w:t>
      </w:r>
      <w:r w:rsidR="00EE014B">
        <w:t xml:space="preserve"> </w:t>
      </w:r>
      <w:r w:rsidR="00310BCE">
        <w:t>such as the Annual Report FY22-23 and its annexes,</w:t>
      </w:r>
      <w:r w:rsidR="00DF3B1E">
        <w:t>)</w:t>
      </w:r>
      <w:r w:rsidR="00310BCE">
        <w:t xml:space="preserve"> </w:t>
      </w:r>
    </w:p>
  </w:footnote>
  <w:footnote w:id="24">
    <w:p w14:paraId="232369CF" w14:textId="77777777" w:rsidR="000A4436" w:rsidRDefault="000A4436" w:rsidP="000A4436">
      <w:pPr>
        <w:pStyle w:val="FootnoteText"/>
      </w:pPr>
      <w:r>
        <w:rPr>
          <w:rStyle w:val="FootnoteReference"/>
        </w:rPr>
        <w:footnoteRef/>
      </w:r>
      <w:r>
        <w:t xml:space="preserve"> Review Report: Tonga Health Promotion Foundation, 2024, TASP, p27</w:t>
      </w:r>
    </w:p>
  </w:footnote>
  <w:footnote w:id="25">
    <w:p w14:paraId="60330572" w14:textId="353A1AA6" w:rsidR="00034495" w:rsidRDefault="00034495">
      <w:pPr>
        <w:pStyle w:val="FootnoteText"/>
      </w:pPr>
      <w:r>
        <w:rPr>
          <w:rStyle w:val="FootnoteReference"/>
        </w:rPr>
        <w:footnoteRef/>
      </w:r>
      <w:r>
        <w:t xml:space="preserve"> </w:t>
      </w:r>
      <w:r w:rsidR="0036109E">
        <w:t>TASP Policy Dialogue Strategy, April 2024</w:t>
      </w:r>
    </w:p>
  </w:footnote>
  <w:footnote w:id="26">
    <w:p w14:paraId="4844BE6B" w14:textId="7782371D" w:rsidR="00C8195B" w:rsidRDefault="00C8195B" w:rsidP="00A348C7">
      <w:pPr>
        <w:pStyle w:val="FootnoteText"/>
      </w:pPr>
      <w:r>
        <w:rPr>
          <w:rStyle w:val="FootnoteReference"/>
        </w:rPr>
        <w:footnoteRef/>
      </w:r>
      <w:r>
        <w:t xml:space="preserve"> TASP Monitoring, Evaluation and Learning Plan Vol.1, 2024, p13.</w:t>
      </w:r>
    </w:p>
  </w:footnote>
  <w:footnote w:id="27">
    <w:p w14:paraId="53803141" w14:textId="0FB1A4E0" w:rsidR="00074BA0" w:rsidRDefault="00074BA0" w:rsidP="00A348C7">
      <w:pPr>
        <w:pStyle w:val="FootnoteText"/>
      </w:pPr>
      <w:r>
        <w:rPr>
          <w:rStyle w:val="FootnoteReference"/>
        </w:rPr>
        <w:footnoteRef/>
      </w:r>
      <w:r>
        <w:t xml:space="preserve"> Covering the period 1 January – 31 December 2023</w:t>
      </w:r>
    </w:p>
  </w:footnote>
  <w:footnote w:id="28">
    <w:p w14:paraId="7F28C2D7" w14:textId="77777777" w:rsidR="00A44FBA" w:rsidRDefault="00A44FBA" w:rsidP="00A348C7">
      <w:pPr>
        <w:pStyle w:val="FootnoteText"/>
      </w:pPr>
      <w:r>
        <w:rPr>
          <w:rStyle w:val="FootnoteReference"/>
        </w:rPr>
        <w:footnoteRef/>
      </w:r>
      <w:r>
        <w:t xml:space="preserve"> Core funding targets larger, established CSOs to improve their readiness to partner with Australian or other donor programs. Smaller-scale project or activity funding is provided for specific GEDSI-related purposes to CSOs not eligible for core funding.</w:t>
      </w:r>
    </w:p>
  </w:footnote>
  <w:footnote w:id="29">
    <w:p w14:paraId="59C7BAB3" w14:textId="77777777" w:rsidR="00A44FBA" w:rsidRDefault="00A44FBA" w:rsidP="00A348C7">
      <w:pPr>
        <w:pStyle w:val="FootnoteText"/>
      </w:pPr>
      <w:r>
        <w:rPr>
          <w:rStyle w:val="FootnoteReference"/>
        </w:rPr>
        <w:footnoteRef/>
      </w:r>
      <w:r>
        <w:t xml:space="preserve"> This was evident from a PowerPoint presentation to DFAT in June 2024, and interviews with the Disability Coordinator and other key informants.</w:t>
      </w:r>
    </w:p>
  </w:footnote>
  <w:footnote w:id="30">
    <w:p w14:paraId="15061387" w14:textId="77777777" w:rsidR="00A44FBA" w:rsidRDefault="00A44FBA" w:rsidP="00A348C7">
      <w:pPr>
        <w:pStyle w:val="FootnoteText"/>
      </w:pPr>
      <w:r>
        <w:rPr>
          <w:rStyle w:val="FootnoteReference"/>
        </w:rPr>
        <w:footnoteRef/>
      </w:r>
      <w:r>
        <w:t xml:space="preserve"> TASP’s 2022-23 Annual Report notes ‘</w:t>
      </w:r>
      <w:r w:rsidRPr="00991524">
        <w:t>identification of suitable climate change investments</w:t>
      </w:r>
      <w:r>
        <w:t>’ as a key challenge for its Support Unit.</w:t>
      </w:r>
    </w:p>
  </w:footnote>
  <w:footnote w:id="31">
    <w:p w14:paraId="032976F8" w14:textId="0FD22387" w:rsidR="00427DD8" w:rsidRDefault="00427DD8">
      <w:pPr>
        <w:pStyle w:val="FootnoteText"/>
      </w:pPr>
      <w:r>
        <w:rPr>
          <w:rStyle w:val="FootnoteReference"/>
        </w:rPr>
        <w:footnoteRef/>
      </w:r>
      <w:r>
        <w:t xml:space="preserve"> </w:t>
      </w:r>
      <w:r w:rsidR="00E864CC">
        <w:t>The AHC noted that this was due to the lack of CC focused NGOs in Tonga which made it difficult for DFAT to develop a strategic partnership.</w:t>
      </w:r>
    </w:p>
  </w:footnote>
  <w:footnote w:id="32">
    <w:p w14:paraId="0305219C" w14:textId="2A438157" w:rsidR="00B52231" w:rsidRDefault="00B52231">
      <w:pPr>
        <w:pStyle w:val="FootnoteText"/>
      </w:pPr>
      <w:r>
        <w:rPr>
          <w:rStyle w:val="FootnoteReference"/>
        </w:rPr>
        <w:footnoteRef/>
      </w:r>
      <w:r>
        <w:t xml:space="preserve"> DFAT 2023 AIMR.</w:t>
      </w:r>
    </w:p>
  </w:footnote>
  <w:footnote w:id="33">
    <w:p w14:paraId="338BA332" w14:textId="77777777" w:rsidR="00B23DAD" w:rsidRDefault="00B23DAD" w:rsidP="00B23DAD">
      <w:pPr>
        <w:pStyle w:val="FootnoteText"/>
      </w:pPr>
      <w:r>
        <w:rPr>
          <w:rStyle w:val="FootnoteReference"/>
        </w:rPr>
        <w:footnoteRef/>
      </w:r>
      <w:r>
        <w:t xml:space="preserve"> TASP IDD</w:t>
      </w:r>
    </w:p>
  </w:footnote>
  <w:footnote w:id="34">
    <w:p w14:paraId="02ACD897" w14:textId="593CBAD6" w:rsidR="00A7086A" w:rsidRDefault="00A7086A" w:rsidP="00A348C7">
      <w:pPr>
        <w:pStyle w:val="FootnoteText"/>
      </w:pPr>
      <w:r>
        <w:rPr>
          <w:rStyle w:val="FootnoteReference"/>
        </w:rPr>
        <w:footnoteRef/>
      </w:r>
      <w:r>
        <w:t xml:space="preserve"> TASP Inception and </w:t>
      </w:r>
      <w:proofErr w:type="gramStart"/>
      <w:r>
        <w:t>6 month</w:t>
      </w:r>
      <w:proofErr w:type="gramEnd"/>
      <w:r>
        <w:t xml:space="preserve"> report, 2023</w:t>
      </w:r>
    </w:p>
  </w:footnote>
  <w:footnote w:id="35">
    <w:p w14:paraId="2EB52637" w14:textId="77777777" w:rsidR="00B23DAD" w:rsidRDefault="00B23DAD" w:rsidP="00B23DAD">
      <w:pPr>
        <w:pStyle w:val="FootnoteText"/>
      </w:pPr>
      <w:r>
        <w:rPr>
          <w:rStyle w:val="FootnoteReference"/>
        </w:rPr>
        <w:footnoteRef/>
      </w:r>
      <w:r>
        <w:t xml:space="preserve"> </w:t>
      </w:r>
      <w:r w:rsidRPr="00447E88">
        <w:t>From DFAT: “When we ask for something now, the answer now is usually ‘of course, that’s our job,’ not ‘that’s too much, too hard, or we need more resources.’”</w:t>
      </w:r>
      <w:r>
        <w:t xml:space="preserve"> (WoW report, May 2024).</w:t>
      </w:r>
    </w:p>
  </w:footnote>
  <w:footnote w:id="36">
    <w:p w14:paraId="4CD546B4" w14:textId="77777777" w:rsidR="008F059F" w:rsidRDefault="008F059F" w:rsidP="008F059F">
      <w:pPr>
        <w:pStyle w:val="FootnoteText"/>
      </w:pPr>
      <w:r>
        <w:rPr>
          <w:rStyle w:val="FootnoteReference"/>
        </w:rPr>
        <w:footnoteRef/>
      </w:r>
      <w:r>
        <w:t xml:space="preserve"> IDD, p3</w:t>
      </w:r>
    </w:p>
  </w:footnote>
  <w:footnote w:id="37">
    <w:p w14:paraId="614796C5" w14:textId="77777777" w:rsidR="00713B8A" w:rsidRDefault="00713B8A" w:rsidP="00713B8A">
      <w:pPr>
        <w:pStyle w:val="FootnoteText"/>
      </w:pPr>
      <w:r>
        <w:rPr>
          <w:rStyle w:val="FootnoteReference"/>
        </w:rPr>
        <w:footnoteRef/>
      </w:r>
      <w:r>
        <w:t xml:space="preserve"> TASP Inception and 6 Month Report, 2023, p4</w:t>
      </w:r>
    </w:p>
  </w:footnote>
  <w:footnote w:id="38">
    <w:p w14:paraId="0BDD7B40" w14:textId="0A29F616" w:rsidR="002F4BB4" w:rsidRDefault="002F4BB4">
      <w:pPr>
        <w:pStyle w:val="FootnoteText"/>
      </w:pPr>
      <w:r>
        <w:rPr>
          <w:rStyle w:val="FootnoteReference"/>
        </w:rPr>
        <w:footnoteRef/>
      </w:r>
      <w:r>
        <w:t xml:space="preserve"> </w:t>
      </w:r>
      <w:r w:rsidR="00273BC8">
        <w:t xml:space="preserve">The precise number of recruitments were not </w:t>
      </w:r>
      <w:proofErr w:type="gramStart"/>
      <w:r w:rsidR="00273BC8">
        <w:t>clear</w:t>
      </w:r>
      <w:proofErr w:type="gramEnd"/>
      <w:r w:rsidR="00273BC8">
        <w:t xml:space="preserve"> but AHC believes this may have been only two people.</w:t>
      </w:r>
    </w:p>
  </w:footnote>
  <w:footnote w:id="39">
    <w:p w14:paraId="0635AD38" w14:textId="4BD019C7" w:rsidR="00B83F61" w:rsidRDefault="00B83F61" w:rsidP="00A348C7">
      <w:pPr>
        <w:pStyle w:val="FootnoteText"/>
      </w:pPr>
      <w:r>
        <w:rPr>
          <w:rStyle w:val="FootnoteReference"/>
        </w:rPr>
        <w:footnoteRef/>
      </w:r>
      <w:r>
        <w:t xml:space="preserve"> Reflection provided by DT Global fr</w:t>
      </w:r>
      <w:r w:rsidR="003D0772">
        <w:t>o</w:t>
      </w:r>
      <w:r>
        <w:t>m staff engaged at the time.</w:t>
      </w:r>
    </w:p>
  </w:footnote>
  <w:footnote w:id="40">
    <w:p w14:paraId="47927E0D" w14:textId="7D6269E4" w:rsidR="00E67166" w:rsidRDefault="00E67166">
      <w:pPr>
        <w:pStyle w:val="FootnoteText"/>
      </w:pPr>
      <w:r>
        <w:rPr>
          <w:rStyle w:val="FootnoteReference"/>
        </w:rPr>
        <w:footnoteRef/>
      </w:r>
      <w:r>
        <w:t xml:space="preserve"> As stated in the 6 month/Inception Report.</w:t>
      </w:r>
    </w:p>
  </w:footnote>
  <w:footnote w:id="41">
    <w:p w14:paraId="2272164F" w14:textId="77777777" w:rsidR="001D5012" w:rsidRDefault="001D5012" w:rsidP="001D5012">
      <w:pPr>
        <w:pStyle w:val="FootnoteText"/>
      </w:pPr>
      <w:r>
        <w:rPr>
          <w:rStyle w:val="FootnoteReference"/>
        </w:rPr>
        <w:footnoteRef/>
      </w:r>
      <w:r>
        <w:t xml:space="preserve"> CSOs suggested that s</w:t>
      </w:r>
      <w:proofErr w:type="spellStart"/>
      <w:r w:rsidRPr="006A0809">
        <w:rPr>
          <w:lang w:val="en-US"/>
        </w:rPr>
        <w:t>taged</w:t>
      </w:r>
      <w:proofErr w:type="spellEnd"/>
      <w:r w:rsidRPr="006A0809">
        <w:rPr>
          <w:lang w:val="en-US"/>
        </w:rPr>
        <w:t xml:space="preserve"> compliance commensurate with size of </w:t>
      </w:r>
      <w:proofErr w:type="spellStart"/>
      <w:r w:rsidRPr="006A0809">
        <w:rPr>
          <w:lang w:val="en-US"/>
        </w:rPr>
        <w:t>organisation</w:t>
      </w:r>
      <w:proofErr w:type="spellEnd"/>
      <w:r w:rsidRPr="006A0809">
        <w:rPr>
          <w:lang w:val="en-US"/>
        </w:rPr>
        <w:t xml:space="preserve"> would have been </w:t>
      </w:r>
      <w:r>
        <w:rPr>
          <w:lang w:val="en-US"/>
        </w:rPr>
        <w:t xml:space="preserve">a </w:t>
      </w:r>
      <w:r w:rsidRPr="006A0809">
        <w:rPr>
          <w:lang w:val="en-US"/>
        </w:rPr>
        <w:t>better</w:t>
      </w:r>
      <w:r>
        <w:rPr>
          <w:lang w:val="en-US"/>
        </w:rPr>
        <w:t xml:space="preserve"> approach.</w:t>
      </w:r>
    </w:p>
  </w:footnote>
  <w:footnote w:id="42">
    <w:p w14:paraId="15C3257C" w14:textId="482C4DA3" w:rsidR="00375E46" w:rsidRDefault="00375E46">
      <w:pPr>
        <w:pStyle w:val="FootnoteText"/>
      </w:pPr>
      <w:r>
        <w:rPr>
          <w:rStyle w:val="FootnoteReference"/>
        </w:rPr>
        <w:footnoteRef/>
      </w:r>
      <w:r>
        <w:t xml:space="preserve"> </w:t>
      </w:r>
      <w:r>
        <w:rPr>
          <w:lang w:val="en-US"/>
        </w:rPr>
        <w:t>240404 DFAT Locally Led Development Guidance Note, p</w:t>
      </w:r>
      <w:r w:rsidR="006C149C">
        <w:rPr>
          <w:lang w:val="en-US"/>
        </w:rPr>
        <w:t>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09977" w14:textId="7006801E" w:rsidR="00194B11" w:rsidRDefault="000F1258" w:rsidP="00644708">
    <w:pPr>
      <w:tabs>
        <w:tab w:val="left" w:pos="10772"/>
      </w:tabs>
      <w:ind w:left="993"/>
      <w:jc w:val="right"/>
    </w:pPr>
    <w:r>
      <w:rPr>
        <w:noProof/>
      </w:rPr>
      <w:drawing>
        <wp:inline distT="0" distB="0" distL="0" distR="0" wp14:anchorId="6BC09991" wp14:editId="654A4798">
          <wp:extent cx="946285" cy="343028"/>
          <wp:effectExtent l="0" t="0" r="0" b="0"/>
          <wp:docPr id="1425991139"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25991139"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946285" cy="343028"/>
                  </a:xfrm>
                  <a:prstGeom prst="rect">
                    <a:avLst/>
                  </a:prstGeom>
                  <a:ln/>
                </pic:spPr>
              </pic:pic>
            </a:graphicData>
          </a:graphic>
        </wp:inline>
      </w:drawing>
    </w:r>
  </w:p>
  <w:p w14:paraId="6BC09978" w14:textId="77777777" w:rsidR="00194B11" w:rsidRDefault="00194B11" w:rsidP="00A348C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0997E" w14:textId="5FEABA22" w:rsidR="00194B11" w:rsidRDefault="0089105E" w:rsidP="0089105E">
    <w:pPr>
      <w:ind w:left="-1134" w:right="-1134"/>
      <w:jc w:val="right"/>
    </w:pPr>
    <w:r>
      <w:rPr>
        <w:noProof/>
      </w:rPr>
      <w:drawing>
        <wp:anchor distT="0" distB="0" distL="114300" distR="114300" simplePos="0" relativeHeight="251658240" behindDoc="1" locked="0" layoutInCell="1" allowOverlap="1" wp14:anchorId="744D82F9" wp14:editId="3FD1A9F3">
          <wp:simplePos x="0" y="0"/>
          <wp:positionH relativeFrom="column">
            <wp:posOffset>-720090</wp:posOffset>
          </wp:positionH>
          <wp:positionV relativeFrom="paragraph">
            <wp:posOffset>0</wp:posOffset>
          </wp:positionV>
          <wp:extent cx="7588997" cy="10734675"/>
          <wp:effectExtent l="0" t="0" r="0" b="0"/>
          <wp:wrapNone/>
          <wp:docPr id="1473961100" name="Picture 1" descr="A rocky shore with waves crashing on it. Alin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961100" name="Picture 1" descr="A rocky shore with waves crashing on it. Alinea logo"/>
                  <pic:cNvPicPr/>
                </pic:nvPicPr>
                <pic:blipFill>
                  <a:blip r:embed="rId1">
                    <a:extLst>
                      <a:ext uri="{28A0092B-C50C-407E-A947-70E740481C1C}">
                        <a14:useLocalDpi xmlns:a14="http://schemas.microsoft.com/office/drawing/2010/main" val="0"/>
                      </a:ext>
                    </a:extLst>
                  </a:blip>
                  <a:stretch>
                    <a:fillRect/>
                  </a:stretch>
                </pic:blipFill>
                <pic:spPr>
                  <a:xfrm>
                    <a:off x="0" y="0"/>
                    <a:ext cx="7588997" cy="1073467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4EFE0" w14:textId="16C7A324" w:rsidR="00DD550D" w:rsidRDefault="00DD55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E58E0" w14:textId="03CA680F" w:rsidR="00DD550D" w:rsidRDefault="00DD550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F4C92" w14:textId="1CC398BF" w:rsidR="00DD550D" w:rsidRDefault="00DD550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96FAA" w14:textId="294C1B9D" w:rsidR="00DD550D" w:rsidRDefault="00DD550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D2AFA" w14:textId="67CC2BAD" w:rsidR="00DD550D" w:rsidRDefault="00DD550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01E37" w14:textId="0706C1F9" w:rsidR="00DD550D" w:rsidRDefault="00DD55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8B04D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69AFF"/>
    <w:multiLevelType w:val="hybridMultilevel"/>
    <w:tmpl w:val="FFFFFFFF"/>
    <w:lvl w:ilvl="0" w:tplc="2F368636">
      <w:start w:val="1"/>
      <w:numFmt w:val="bullet"/>
      <w:lvlText w:val="·"/>
      <w:lvlJc w:val="left"/>
      <w:pPr>
        <w:ind w:left="720" w:hanging="360"/>
      </w:pPr>
      <w:rPr>
        <w:rFonts w:ascii="Symbol" w:hAnsi="Symbol" w:hint="default"/>
      </w:rPr>
    </w:lvl>
    <w:lvl w:ilvl="1" w:tplc="2BDAB82E">
      <w:start w:val="1"/>
      <w:numFmt w:val="bullet"/>
      <w:lvlText w:val="o"/>
      <w:lvlJc w:val="left"/>
      <w:pPr>
        <w:ind w:left="1440" w:hanging="360"/>
      </w:pPr>
      <w:rPr>
        <w:rFonts w:ascii="Courier New" w:hAnsi="Courier New" w:hint="default"/>
      </w:rPr>
    </w:lvl>
    <w:lvl w:ilvl="2" w:tplc="5C2EE2B6">
      <w:start w:val="1"/>
      <w:numFmt w:val="bullet"/>
      <w:lvlText w:val=""/>
      <w:lvlJc w:val="left"/>
      <w:pPr>
        <w:ind w:left="2160" w:hanging="360"/>
      </w:pPr>
      <w:rPr>
        <w:rFonts w:ascii="Wingdings" w:hAnsi="Wingdings" w:hint="default"/>
      </w:rPr>
    </w:lvl>
    <w:lvl w:ilvl="3" w:tplc="1676109E">
      <w:start w:val="1"/>
      <w:numFmt w:val="bullet"/>
      <w:lvlText w:val=""/>
      <w:lvlJc w:val="left"/>
      <w:pPr>
        <w:ind w:left="2880" w:hanging="360"/>
      </w:pPr>
      <w:rPr>
        <w:rFonts w:ascii="Symbol" w:hAnsi="Symbol" w:hint="default"/>
      </w:rPr>
    </w:lvl>
    <w:lvl w:ilvl="4" w:tplc="ECDC768C">
      <w:start w:val="1"/>
      <w:numFmt w:val="bullet"/>
      <w:lvlText w:val="o"/>
      <w:lvlJc w:val="left"/>
      <w:pPr>
        <w:ind w:left="3600" w:hanging="360"/>
      </w:pPr>
      <w:rPr>
        <w:rFonts w:ascii="Courier New" w:hAnsi="Courier New" w:hint="default"/>
      </w:rPr>
    </w:lvl>
    <w:lvl w:ilvl="5" w:tplc="742660FC">
      <w:start w:val="1"/>
      <w:numFmt w:val="bullet"/>
      <w:lvlText w:val=""/>
      <w:lvlJc w:val="left"/>
      <w:pPr>
        <w:ind w:left="4320" w:hanging="360"/>
      </w:pPr>
      <w:rPr>
        <w:rFonts w:ascii="Wingdings" w:hAnsi="Wingdings" w:hint="default"/>
      </w:rPr>
    </w:lvl>
    <w:lvl w:ilvl="6" w:tplc="41CC8FDC">
      <w:start w:val="1"/>
      <w:numFmt w:val="bullet"/>
      <w:lvlText w:val=""/>
      <w:lvlJc w:val="left"/>
      <w:pPr>
        <w:ind w:left="5040" w:hanging="360"/>
      </w:pPr>
      <w:rPr>
        <w:rFonts w:ascii="Symbol" w:hAnsi="Symbol" w:hint="default"/>
      </w:rPr>
    </w:lvl>
    <w:lvl w:ilvl="7" w:tplc="66D205FC">
      <w:start w:val="1"/>
      <w:numFmt w:val="bullet"/>
      <w:lvlText w:val="o"/>
      <w:lvlJc w:val="left"/>
      <w:pPr>
        <w:ind w:left="5760" w:hanging="360"/>
      </w:pPr>
      <w:rPr>
        <w:rFonts w:ascii="Courier New" w:hAnsi="Courier New" w:hint="default"/>
      </w:rPr>
    </w:lvl>
    <w:lvl w:ilvl="8" w:tplc="D750B3F6">
      <w:start w:val="1"/>
      <w:numFmt w:val="bullet"/>
      <w:lvlText w:val=""/>
      <w:lvlJc w:val="left"/>
      <w:pPr>
        <w:ind w:left="6480" w:hanging="360"/>
      </w:pPr>
      <w:rPr>
        <w:rFonts w:ascii="Wingdings" w:hAnsi="Wingdings" w:hint="default"/>
      </w:rPr>
    </w:lvl>
  </w:abstractNum>
  <w:abstractNum w:abstractNumId="2" w15:restartNumberingAfterBreak="0">
    <w:nsid w:val="06A16F0D"/>
    <w:multiLevelType w:val="multilevel"/>
    <w:tmpl w:val="70304BD4"/>
    <w:lvl w:ilvl="0">
      <w:start w:val="1"/>
      <w:numFmt w:val="decimal"/>
      <w:pStyle w:val="ListNumber"/>
      <w:lvlText w:val="%1."/>
      <w:lvlJc w:val="left"/>
      <w:pPr>
        <w:ind w:left="360" w:hanging="360"/>
      </w:pPr>
      <w:rPr>
        <w:rFonts w:hint="default"/>
        <w:color w:val="auto"/>
        <w:u w:val="none" w:color="1D336D" w:themeColor="background2"/>
      </w:rPr>
    </w:lvl>
    <w:lvl w:ilvl="1">
      <w:start w:val="1"/>
      <w:numFmt w:val="lowerLetter"/>
      <w:pStyle w:val="ListNumber2"/>
      <w:lvlText w:val="%2."/>
      <w:lvlJc w:val="left"/>
      <w:pPr>
        <w:ind w:left="1080" w:hanging="360"/>
      </w:pPr>
      <w:rPr>
        <w:rFonts w:hint="default"/>
        <w:u w:val="none"/>
      </w:rPr>
    </w:lvl>
    <w:lvl w:ilvl="2">
      <w:start w:val="1"/>
      <w:numFmt w:val="lowerRoman"/>
      <w:pStyle w:val="ListNumber3"/>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3" w15:restartNumberingAfterBreak="0">
    <w:nsid w:val="0A60685E"/>
    <w:multiLevelType w:val="hybridMultilevel"/>
    <w:tmpl w:val="FFFFFFFF"/>
    <w:lvl w:ilvl="0" w:tplc="63E4A444">
      <w:start w:val="1"/>
      <w:numFmt w:val="bullet"/>
      <w:lvlText w:val="·"/>
      <w:lvlJc w:val="left"/>
      <w:pPr>
        <w:ind w:left="720" w:hanging="360"/>
      </w:pPr>
      <w:rPr>
        <w:rFonts w:ascii="Symbol" w:hAnsi="Symbol" w:hint="default"/>
      </w:rPr>
    </w:lvl>
    <w:lvl w:ilvl="1" w:tplc="54DE2F96">
      <w:start w:val="1"/>
      <w:numFmt w:val="bullet"/>
      <w:lvlText w:val="o"/>
      <w:lvlJc w:val="left"/>
      <w:pPr>
        <w:ind w:left="1440" w:hanging="360"/>
      </w:pPr>
      <w:rPr>
        <w:rFonts w:ascii="Courier New" w:hAnsi="Courier New" w:hint="default"/>
      </w:rPr>
    </w:lvl>
    <w:lvl w:ilvl="2" w:tplc="F2C8A706">
      <w:start w:val="1"/>
      <w:numFmt w:val="bullet"/>
      <w:lvlText w:val=""/>
      <w:lvlJc w:val="left"/>
      <w:pPr>
        <w:ind w:left="2160" w:hanging="360"/>
      </w:pPr>
      <w:rPr>
        <w:rFonts w:ascii="Wingdings" w:hAnsi="Wingdings" w:hint="default"/>
      </w:rPr>
    </w:lvl>
    <w:lvl w:ilvl="3" w:tplc="3C54DA3C">
      <w:start w:val="1"/>
      <w:numFmt w:val="bullet"/>
      <w:lvlText w:val=""/>
      <w:lvlJc w:val="left"/>
      <w:pPr>
        <w:ind w:left="2880" w:hanging="360"/>
      </w:pPr>
      <w:rPr>
        <w:rFonts w:ascii="Symbol" w:hAnsi="Symbol" w:hint="default"/>
      </w:rPr>
    </w:lvl>
    <w:lvl w:ilvl="4" w:tplc="B484DB9C">
      <w:start w:val="1"/>
      <w:numFmt w:val="bullet"/>
      <w:lvlText w:val="o"/>
      <w:lvlJc w:val="left"/>
      <w:pPr>
        <w:ind w:left="3600" w:hanging="360"/>
      </w:pPr>
      <w:rPr>
        <w:rFonts w:ascii="Courier New" w:hAnsi="Courier New" w:hint="default"/>
      </w:rPr>
    </w:lvl>
    <w:lvl w:ilvl="5" w:tplc="A740C062">
      <w:start w:val="1"/>
      <w:numFmt w:val="bullet"/>
      <w:lvlText w:val=""/>
      <w:lvlJc w:val="left"/>
      <w:pPr>
        <w:ind w:left="4320" w:hanging="360"/>
      </w:pPr>
      <w:rPr>
        <w:rFonts w:ascii="Wingdings" w:hAnsi="Wingdings" w:hint="default"/>
      </w:rPr>
    </w:lvl>
    <w:lvl w:ilvl="6" w:tplc="27F07F22">
      <w:start w:val="1"/>
      <w:numFmt w:val="bullet"/>
      <w:lvlText w:val=""/>
      <w:lvlJc w:val="left"/>
      <w:pPr>
        <w:ind w:left="5040" w:hanging="360"/>
      </w:pPr>
      <w:rPr>
        <w:rFonts w:ascii="Symbol" w:hAnsi="Symbol" w:hint="default"/>
      </w:rPr>
    </w:lvl>
    <w:lvl w:ilvl="7" w:tplc="99805E58">
      <w:start w:val="1"/>
      <w:numFmt w:val="bullet"/>
      <w:lvlText w:val="o"/>
      <w:lvlJc w:val="left"/>
      <w:pPr>
        <w:ind w:left="5760" w:hanging="360"/>
      </w:pPr>
      <w:rPr>
        <w:rFonts w:ascii="Courier New" w:hAnsi="Courier New" w:hint="default"/>
      </w:rPr>
    </w:lvl>
    <w:lvl w:ilvl="8" w:tplc="C71ADF64">
      <w:start w:val="1"/>
      <w:numFmt w:val="bullet"/>
      <w:lvlText w:val=""/>
      <w:lvlJc w:val="left"/>
      <w:pPr>
        <w:ind w:left="6480" w:hanging="360"/>
      </w:pPr>
      <w:rPr>
        <w:rFonts w:ascii="Wingdings" w:hAnsi="Wingdings" w:hint="default"/>
      </w:rPr>
    </w:lvl>
  </w:abstractNum>
  <w:abstractNum w:abstractNumId="4" w15:restartNumberingAfterBreak="0">
    <w:nsid w:val="0B263B22"/>
    <w:multiLevelType w:val="hybridMultilevel"/>
    <w:tmpl w:val="FFFFFFFF"/>
    <w:lvl w:ilvl="0" w:tplc="A70CE01E">
      <w:start w:val="1"/>
      <w:numFmt w:val="decimal"/>
      <w:lvlText w:val="%1."/>
      <w:lvlJc w:val="left"/>
      <w:pPr>
        <w:ind w:left="720" w:hanging="360"/>
      </w:pPr>
    </w:lvl>
    <w:lvl w:ilvl="1" w:tplc="72D826B4">
      <w:start w:val="1"/>
      <w:numFmt w:val="lowerLetter"/>
      <w:lvlText w:val="%2."/>
      <w:lvlJc w:val="left"/>
      <w:pPr>
        <w:ind w:left="1440" w:hanging="360"/>
      </w:pPr>
    </w:lvl>
    <w:lvl w:ilvl="2" w:tplc="280A4E70">
      <w:start w:val="1"/>
      <w:numFmt w:val="lowerRoman"/>
      <w:lvlText w:val="%3."/>
      <w:lvlJc w:val="right"/>
      <w:pPr>
        <w:ind w:left="2160" w:hanging="180"/>
      </w:pPr>
    </w:lvl>
    <w:lvl w:ilvl="3" w:tplc="A886B698">
      <w:start w:val="1"/>
      <w:numFmt w:val="decimal"/>
      <w:lvlText w:val="%4."/>
      <w:lvlJc w:val="left"/>
      <w:pPr>
        <w:ind w:left="2880" w:hanging="360"/>
      </w:pPr>
    </w:lvl>
    <w:lvl w:ilvl="4" w:tplc="9048A9AC">
      <w:start w:val="1"/>
      <w:numFmt w:val="lowerLetter"/>
      <w:lvlText w:val="%5."/>
      <w:lvlJc w:val="left"/>
      <w:pPr>
        <w:ind w:left="3600" w:hanging="360"/>
      </w:pPr>
    </w:lvl>
    <w:lvl w:ilvl="5" w:tplc="A2D43EE4">
      <w:start w:val="1"/>
      <w:numFmt w:val="lowerRoman"/>
      <w:lvlText w:val="%6."/>
      <w:lvlJc w:val="right"/>
      <w:pPr>
        <w:ind w:left="4320" w:hanging="180"/>
      </w:pPr>
    </w:lvl>
    <w:lvl w:ilvl="6" w:tplc="FF96DE42">
      <w:start w:val="1"/>
      <w:numFmt w:val="decimal"/>
      <w:lvlText w:val="%7."/>
      <w:lvlJc w:val="left"/>
      <w:pPr>
        <w:ind w:left="5040" w:hanging="360"/>
      </w:pPr>
    </w:lvl>
    <w:lvl w:ilvl="7" w:tplc="036208D8">
      <w:start w:val="1"/>
      <w:numFmt w:val="lowerLetter"/>
      <w:lvlText w:val="%8."/>
      <w:lvlJc w:val="left"/>
      <w:pPr>
        <w:ind w:left="5760" w:hanging="360"/>
      </w:pPr>
    </w:lvl>
    <w:lvl w:ilvl="8" w:tplc="87566B38">
      <w:start w:val="1"/>
      <w:numFmt w:val="lowerRoman"/>
      <w:lvlText w:val="%9."/>
      <w:lvlJc w:val="right"/>
      <w:pPr>
        <w:ind w:left="6480" w:hanging="180"/>
      </w:pPr>
    </w:lvl>
  </w:abstractNum>
  <w:abstractNum w:abstractNumId="5" w15:restartNumberingAfterBreak="0">
    <w:nsid w:val="158532C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58535A2"/>
    <w:multiLevelType w:val="multilevel"/>
    <w:tmpl w:val="71CC16A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15F03DAA"/>
    <w:multiLevelType w:val="multilevel"/>
    <w:tmpl w:val="D2022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pStyle w:val="ListBullet4"/>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363432"/>
    <w:multiLevelType w:val="multilevel"/>
    <w:tmpl w:val="4D5E7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FBF1E72"/>
    <w:multiLevelType w:val="hybridMultilevel"/>
    <w:tmpl w:val="BAE0B6D4"/>
    <w:styleLink w:val="Headings"/>
    <w:lvl w:ilvl="0" w:tplc="A5B6BD7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0A93120"/>
    <w:multiLevelType w:val="multilevel"/>
    <w:tmpl w:val="B69060D0"/>
    <w:lvl w:ilvl="0">
      <w:start w:val="1"/>
      <w:numFmt w:val="bullet"/>
      <w:pStyle w:val="TableBullet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1B421F0"/>
    <w:multiLevelType w:val="multilevel"/>
    <w:tmpl w:val="21DAEF6E"/>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12" w15:restartNumberingAfterBreak="0">
    <w:nsid w:val="27F11431"/>
    <w:multiLevelType w:val="multilevel"/>
    <w:tmpl w:val="A6F0C1D4"/>
    <w:lvl w:ilvl="0">
      <w:start w:val="1"/>
      <w:numFmt w:val="decimal"/>
      <w:lvlText w:val="%1."/>
      <w:lvlJc w:val="left"/>
      <w:pPr>
        <w:ind w:left="284" w:hanging="284"/>
      </w:pPr>
      <w:rPr>
        <w:color w:val="2294CD"/>
      </w:rPr>
    </w:lvl>
    <w:lvl w:ilvl="1">
      <w:start w:val="1"/>
      <w:numFmt w:val="lowerLetter"/>
      <w:lvlText w:val="%2."/>
      <w:lvlJc w:val="left"/>
      <w:pPr>
        <w:ind w:left="568" w:hanging="284"/>
      </w:pPr>
      <w:rPr>
        <w:color w:val="2294CD"/>
      </w:rPr>
    </w:lvl>
    <w:lvl w:ilvl="2">
      <w:start w:val="1"/>
      <w:numFmt w:val="lowerRoman"/>
      <w:lvlText w:val="%3."/>
      <w:lvlJc w:val="left"/>
      <w:pPr>
        <w:ind w:left="852" w:hanging="284"/>
      </w:pPr>
      <w:rPr>
        <w:color w:val="2294CD"/>
      </w:rPr>
    </w:lvl>
    <w:lvl w:ilvl="3">
      <w:start w:val="1"/>
      <w:numFmt w:val="decimal"/>
      <w:lvlText w:val=""/>
      <w:lvlJc w:val="left"/>
      <w:pPr>
        <w:ind w:left="1136" w:hanging="284"/>
      </w:pPr>
      <w:rPr>
        <w:b w:val="0"/>
        <w:i w:val="0"/>
        <w:color w:val="1D336D"/>
      </w:rPr>
    </w:lvl>
    <w:lvl w:ilvl="4">
      <w:start w:val="1"/>
      <w:numFmt w:val="decimal"/>
      <w:pStyle w:val="ListBullet5"/>
      <w:lvlText w:val=""/>
      <w:lvlJc w:val="left"/>
      <w:pPr>
        <w:ind w:left="1420" w:hanging="284"/>
      </w:pPr>
      <w:rPr>
        <w:b w:val="0"/>
        <w:i w:val="0"/>
        <w:color w:val="1D336D"/>
      </w:rPr>
    </w:lvl>
    <w:lvl w:ilvl="5">
      <w:start w:val="1"/>
      <w:numFmt w:val="decimal"/>
      <w:lvlText w:val=""/>
      <w:lvlJc w:val="left"/>
      <w:pPr>
        <w:ind w:left="1704" w:hanging="284"/>
      </w:pPr>
      <w:rPr>
        <w:b w:val="0"/>
        <w:i w:val="0"/>
        <w:color w:val="1D336D"/>
      </w:rPr>
    </w:lvl>
    <w:lvl w:ilvl="6">
      <w:start w:val="1"/>
      <w:numFmt w:val="decimal"/>
      <w:lvlText w:val=""/>
      <w:lvlJc w:val="left"/>
      <w:pPr>
        <w:ind w:left="1988" w:hanging="284"/>
      </w:pPr>
    </w:lvl>
    <w:lvl w:ilvl="7">
      <w:start w:val="1"/>
      <w:numFmt w:val="decimal"/>
      <w:lvlText w:val=""/>
      <w:lvlJc w:val="left"/>
      <w:pPr>
        <w:ind w:left="2272" w:hanging="284"/>
      </w:pPr>
    </w:lvl>
    <w:lvl w:ilvl="8">
      <w:start w:val="1"/>
      <w:numFmt w:val="decimal"/>
      <w:lvlText w:val=""/>
      <w:lvlJc w:val="left"/>
      <w:pPr>
        <w:ind w:left="2556" w:hanging="284"/>
      </w:pPr>
    </w:lvl>
  </w:abstractNum>
  <w:abstractNum w:abstractNumId="13" w15:restartNumberingAfterBreak="0">
    <w:nsid w:val="32373EDD"/>
    <w:multiLevelType w:val="hybridMultilevel"/>
    <w:tmpl w:val="FFFFFFFF"/>
    <w:lvl w:ilvl="0" w:tplc="9262209A">
      <w:start w:val="1"/>
      <w:numFmt w:val="decimal"/>
      <w:lvlText w:val="%1."/>
      <w:lvlJc w:val="left"/>
      <w:pPr>
        <w:ind w:left="720" w:hanging="360"/>
      </w:pPr>
    </w:lvl>
    <w:lvl w:ilvl="1" w:tplc="3774C290">
      <w:start w:val="1"/>
      <w:numFmt w:val="lowerLetter"/>
      <w:lvlText w:val="%2."/>
      <w:lvlJc w:val="left"/>
      <w:pPr>
        <w:ind w:left="1440" w:hanging="360"/>
      </w:pPr>
    </w:lvl>
    <w:lvl w:ilvl="2" w:tplc="7ED8C966">
      <w:start w:val="1"/>
      <w:numFmt w:val="lowerRoman"/>
      <w:lvlText w:val="%3."/>
      <w:lvlJc w:val="right"/>
      <w:pPr>
        <w:ind w:left="2160" w:hanging="180"/>
      </w:pPr>
    </w:lvl>
    <w:lvl w:ilvl="3" w:tplc="F93289F4">
      <w:start w:val="1"/>
      <w:numFmt w:val="decimal"/>
      <w:lvlText w:val="%4."/>
      <w:lvlJc w:val="left"/>
      <w:pPr>
        <w:ind w:left="2880" w:hanging="360"/>
      </w:pPr>
    </w:lvl>
    <w:lvl w:ilvl="4" w:tplc="E60629F2">
      <w:start w:val="1"/>
      <w:numFmt w:val="lowerLetter"/>
      <w:lvlText w:val="%5."/>
      <w:lvlJc w:val="left"/>
      <w:pPr>
        <w:ind w:left="3600" w:hanging="360"/>
      </w:pPr>
    </w:lvl>
    <w:lvl w:ilvl="5" w:tplc="900A5DA8">
      <w:start w:val="1"/>
      <w:numFmt w:val="lowerRoman"/>
      <w:lvlText w:val="%6."/>
      <w:lvlJc w:val="right"/>
      <w:pPr>
        <w:ind w:left="4320" w:hanging="180"/>
      </w:pPr>
    </w:lvl>
    <w:lvl w:ilvl="6" w:tplc="79F2C62A">
      <w:start w:val="1"/>
      <w:numFmt w:val="decimal"/>
      <w:lvlText w:val="%7."/>
      <w:lvlJc w:val="left"/>
      <w:pPr>
        <w:ind w:left="5040" w:hanging="360"/>
      </w:pPr>
    </w:lvl>
    <w:lvl w:ilvl="7" w:tplc="E196B5BE">
      <w:start w:val="1"/>
      <w:numFmt w:val="lowerLetter"/>
      <w:lvlText w:val="%8."/>
      <w:lvlJc w:val="left"/>
      <w:pPr>
        <w:ind w:left="5760" w:hanging="360"/>
      </w:pPr>
    </w:lvl>
    <w:lvl w:ilvl="8" w:tplc="A6C42B9C">
      <w:start w:val="1"/>
      <w:numFmt w:val="lowerRoman"/>
      <w:lvlText w:val="%9."/>
      <w:lvlJc w:val="right"/>
      <w:pPr>
        <w:ind w:left="6480" w:hanging="180"/>
      </w:pPr>
    </w:lvl>
  </w:abstractNum>
  <w:abstractNum w:abstractNumId="14" w15:restartNumberingAfterBreak="0">
    <w:nsid w:val="32E80A1E"/>
    <w:multiLevelType w:val="hybridMultilevel"/>
    <w:tmpl w:val="FFFFFFFF"/>
    <w:lvl w:ilvl="0" w:tplc="85822E9A">
      <w:start w:val="1"/>
      <w:numFmt w:val="decimal"/>
      <w:lvlText w:val="%1."/>
      <w:lvlJc w:val="left"/>
      <w:pPr>
        <w:ind w:left="720" w:hanging="360"/>
      </w:pPr>
    </w:lvl>
    <w:lvl w:ilvl="1" w:tplc="510EF1E2">
      <w:start w:val="1"/>
      <w:numFmt w:val="lowerLetter"/>
      <w:lvlText w:val="%2."/>
      <w:lvlJc w:val="left"/>
      <w:pPr>
        <w:ind w:left="1440" w:hanging="360"/>
      </w:pPr>
    </w:lvl>
    <w:lvl w:ilvl="2" w:tplc="2C04F988">
      <w:start w:val="1"/>
      <w:numFmt w:val="lowerRoman"/>
      <w:lvlText w:val="%3."/>
      <w:lvlJc w:val="right"/>
      <w:pPr>
        <w:ind w:left="2160" w:hanging="180"/>
      </w:pPr>
    </w:lvl>
    <w:lvl w:ilvl="3" w:tplc="607017BC">
      <w:start w:val="1"/>
      <w:numFmt w:val="decimal"/>
      <w:lvlText w:val="%4."/>
      <w:lvlJc w:val="left"/>
      <w:pPr>
        <w:ind w:left="2880" w:hanging="360"/>
      </w:pPr>
    </w:lvl>
    <w:lvl w:ilvl="4" w:tplc="10FE5F72">
      <w:start w:val="1"/>
      <w:numFmt w:val="lowerLetter"/>
      <w:lvlText w:val="%5."/>
      <w:lvlJc w:val="left"/>
      <w:pPr>
        <w:ind w:left="3600" w:hanging="360"/>
      </w:pPr>
    </w:lvl>
    <w:lvl w:ilvl="5" w:tplc="F0964918">
      <w:start w:val="1"/>
      <w:numFmt w:val="lowerRoman"/>
      <w:lvlText w:val="%6."/>
      <w:lvlJc w:val="right"/>
      <w:pPr>
        <w:ind w:left="4320" w:hanging="180"/>
      </w:pPr>
    </w:lvl>
    <w:lvl w:ilvl="6" w:tplc="7FA8E33C">
      <w:start w:val="1"/>
      <w:numFmt w:val="decimal"/>
      <w:lvlText w:val="%7."/>
      <w:lvlJc w:val="left"/>
      <w:pPr>
        <w:ind w:left="5040" w:hanging="360"/>
      </w:pPr>
    </w:lvl>
    <w:lvl w:ilvl="7" w:tplc="F4703458">
      <w:start w:val="1"/>
      <w:numFmt w:val="lowerLetter"/>
      <w:lvlText w:val="%8."/>
      <w:lvlJc w:val="left"/>
      <w:pPr>
        <w:ind w:left="5760" w:hanging="360"/>
      </w:pPr>
    </w:lvl>
    <w:lvl w:ilvl="8" w:tplc="60B0DC7E">
      <w:start w:val="1"/>
      <w:numFmt w:val="lowerRoman"/>
      <w:lvlText w:val="%9."/>
      <w:lvlJc w:val="right"/>
      <w:pPr>
        <w:ind w:left="6480" w:hanging="180"/>
      </w:pPr>
    </w:lvl>
  </w:abstractNum>
  <w:abstractNum w:abstractNumId="15" w15:restartNumberingAfterBreak="0">
    <w:nsid w:val="34AE3043"/>
    <w:multiLevelType w:val="multilevel"/>
    <w:tmpl w:val="09685C38"/>
    <w:styleLink w:val="MasterHeadings"/>
    <w:lvl w:ilvl="0">
      <w:start w:val="1"/>
      <w:numFmt w:val="none"/>
      <w:suff w:val="nothing"/>
      <w:lvlText w:val=""/>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decimal"/>
      <w:lvlText w:val="%2.%3."/>
      <w:lvlJc w:val="left"/>
      <w:pPr>
        <w:tabs>
          <w:tab w:val="num" w:pos="567"/>
        </w:tabs>
        <w:ind w:left="567" w:hanging="567"/>
      </w:pPr>
      <w:rPr>
        <w:rFonts w:hint="default"/>
      </w:rPr>
    </w:lvl>
    <w:lvl w:ilvl="3">
      <w:start w:val="1"/>
      <w:numFmt w:val="decimal"/>
      <w:lvlText w:val="%2.%3.%4."/>
      <w:lvlJc w:val="left"/>
      <w:pPr>
        <w:tabs>
          <w:tab w:val="num" w:pos="851"/>
        </w:tabs>
        <w:ind w:left="851" w:hanging="851"/>
      </w:pPr>
      <w:rPr>
        <w:rFonts w:hint="default"/>
      </w:rPr>
    </w:lvl>
    <w:lvl w:ilvl="4">
      <w:start w:val="1"/>
      <w:numFmt w:val="decimal"/>
      <w:lvlText w:val="%5."/>
      <w:lvlJc w:val="left"/>
      <w:pPr>
        <w:tabs>
          <w:tab w:val="num" w:pos="851"/>
        </w:tabs>
        <w:ind w:left="851" w:hanging="284"/>
      </w:pPr>
      <w:rPr>
        <w:rFonts w:hint="default"/>
        <w:color w:val="585858" w:themeColor="text2"/>
      </w:rPr>
    </w:lvl>
    <w:lvl w:ilvl="5">
      <w:start w:val="1"/>
      <w:numFmt w:val="lowerLetter"/>
      <w:lvlText w:val="%6."/>
      <w:lvlJc w:val="left"/>
      <w:pPr>
        <w:tabs>
          <w:tab w:val="num" w:pos="1134"/>
        </w:tabs>
        <w:ind w:left="1134" w:hanging="283"/>
      </w:pPr>
      <w:rPr>
        <w:rFonts w:hint="default"/>
        <w:color w:val="585858" w:themeColor="text2"/>
      </w:rPr>
    </w:lvl>
    <w:lvl w:ilvl="6">
      <w:start w:val="1"/>
      <w:numFmt w:val="lowerRoman"/>
      <w:lvlText w:val="%7."/>
      <w:lvlJc w:val="left"/>
      <w:pPr>
        <w:tabs>
          <w:tab w:val="num" w:pos="1418"/>
        </w:tabs>
        <w:ind w:left="1418" w:hanging="284"/>
      </w:pPr>
      <w:rPr>
        <w:rFonts w:hint="default"/>
        <w:color w:val="585858" w:themeColor="text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359E3002"/>
    <w:multiLevelType w:val="multilevel"/>
    <w:tmpl w:val="21DAEF6E"/>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17" w15:restartNumberingAfterBreak="0">
    <w:nsid w:val="3AF4632A"/>
    <w:multiLevelType w:val="multilevel"/>
    <w:tmpl w:val="341EC1C6"/>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3B421D5C"/>
    <w:multiLevelType w:val="multilevel"/>
    <w:tmpl w:val="DC5A253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9" w15:restartNumberingAfterBreak="0">
    <w:nsid w:val="3EE76261"/>
    <w:multiLevelType w:val="hybridMultilevel"/>
    <w:tmpl w:val="FA2E61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FE507FB"/>
    <w:multiLevelType w:val="multilevel"/>
    <w:tmpl w:val="C246A53E"/>
    <w:lvl w:ilvl="0">
      <w:start w:val="1"/>
      <w:numFmt w:val="bullet"/>
      <w:pStyle w:val="List"/>
      <w:lvlText w:val="●"/>
      <w:lvlJc w:val="left"/>
      <w:pPr>
        <w:ind w:left="360" w:hanging="360"/>
      </w:pPr>
      <w:rPr>
        <w:u w:val="none"/>
      </w:rPr>
    </w:lvl>
    <w:lvl w:ilvl="1">
      <w:start w:val="1"/>
      <w:numFmt w:val="bullet"/>
      <w:pStyle w:val="List2"/>
      <w:lvlText w:val="○"/>
      <w:lvlJc w:val="left"/>
      <w:pPr>
        <w:ind w:left="1080" w:hanging="360"/>
      </w:pPr>
      <w:rPr>
        <w:u w:val="none"/>
      </w:rPr>
    </w:lvl>
    <w:lvl w:ilvl="2">
      <w:start w:val="1"/>
      <w:numFmt w:val="bullet"/>
      <w:pStyle w:val="List3"/>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1" w15:restartNumberingAfterBreak="0">
    <w:nsid w:val="411C0160"/>
    <w:multiLevelType w:val="multilevel"/>
    <w:tmpl w:val="F0BCE404"/>
    <w:lvl w:ilvl="0">
      <w:start w:val="1"/>
      <w:numFmt w:val="decimal"/>
      <w:lvlText w:val="%1"/>
      <w:lvlJc w:val="left"/>
      <w:pPr>
        <w:ind w:left="360" w:hanging="360"/>
      </w:pPr>
      <w:rPr>
        <w:rFonts w:hint="default"/>
      </w:rPr>
    </w:lvl>
    <w:lvl w:ilvl="1">
      <w:start w:val="1"/>
      <w:numFmt w:val="decimal"/>
      <w:lvlText w:val="%1.%2"/>
      <w:lvlJc w:val="left"/>
      <w:pPr>
        <w:ind w:left="735" w:hanging="36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800" w:hanging="1800"/>
      </w:pPr>
      <w:rPr>
        <w:rFonts w:hint="default"/>
      </w:rPr>
    </w:lvl>
  </w:abstractNum>
  <w:abstractNum w:abstractNumId="22" w15:restartNumberingAfterBreak="0">
    <w:nsid w:val="419E1125"/>
    <w:multiLevelType w:val="multilevel"/>
    <w:tmpl w:val="FBB05722"/>
    <w:lvl w:ilvl="0">
      <w:start w:val="1"/>
      <w:numFmt w:val="bullet"/>
      <w:pStyle w:val="ListBullet"/>
      <w:lvlText w:val=""/>
      <w:lvlJc w:val="left"/>
      <w:pPr>
        <w:tabs>
          <w:tab w:val="num" w:pos="720"/>
        </w:tabs>
        <w:ind w:left="720" w:hanging="720"/>
      </w:pPr>
      <w:rPr>
        <w:rFonts w:ascii="Symbol" w:hAnsi="Symbol" w:hint="default"/>
        <w:color w:val="63D0DF" w:themeColor="accent1"/>
      </w:rPr>
    </w:lvl>
    <w:lvl w:ilvl="1">
      <w:start w:val="1"/>
      <w:numFmt w:val="decimal"/>
      <w:lvlText w:val="%2."/>
      <w:lvlJc w:val="left"/>
      <w:pPr>
        <w:tabs>
          <w:tab w:val="num" w:pos="1298"/>
        </w:tabs>
        <w:ind w:left="1298" w:hanging="720"/>
      </w:pPr>
    </w:lvl>
    <w:lvl w:ilvl="2">
      <w:start w:val="1"/>
      <w:numFmt w:val="decimal"/>
      <w:lvlText w:val="%3."/>
      <w:lvlJc w:val="left"/>
      <w:pPr>
        <w:tabs>
          <w:tab w:val="num" w:pos="2018"/>
        </w:tabs>
        <w:ind w:left="2018" w:hanging="720"/>
      </w:pPr>
    </w:lvl>
    <w:lvl w:ilvl="3">
      <w:start w:val="1"/>
      <w:numFmt w:val="decimal"/>
      <w:lvlText w:val="%4."/>
      <w:lvlJc w:val="left"/>
      <w:pPr>
        <w:tabs>
          <w:tab w:val="num" w:pos="2738"/>
        </w:tabs>
        <w:ind w:left="2738" w:hanging="720"/>
      </w:pPr>
    </w:lvl>
    <w:lvl w:ilvl="4">
      <w:start w:val="1"/>
      <w:numFmt w:val="decimal"/>
      <w:lvlText w:val="%5."/>
      <w:lvlJc w:val="left"/>
      <w:pPr>
        <w:tabs>
          <w:tab w:val="num" w:pos="3458"/>
        </w:tabs>
        <w:ind w:left="3458" w:hanging="720"/>
      </w:pPr>
    </w:lvl>
    <w:lvl w:ilvl="5">
      <w:start w:val="1"/>
      <w:numFmt w:val="decimal"/>
      <w:lvlText w:val="%6."/>
      <w:lvlJc w:val="left"/>
      <w:pPr>
        <w:tabs>
          <w:tab w:val="num" w:pos="4178"/>
        </w:tabs>
        <w:ind w:left="4178" w:hanging="720"/>
      </w:pPr>
    </w:lvl>
    <w:lvl w:ilvl="6">
      <w:start w:val="1"/>
      <w:numFmt w:val="decimal"/>
      <w:lvlText w:val="%7."/>
      <w:lvlJc w:val="left"/>
      <w:pPr>
        <w:tabs>
          <w:tab w:val="num" w:pos="4898"/>
        </w:tabs>
        <w:ind w:left="4898" w:hanging="720"/>
      </w:pPr>
    </w:lvl>
    <w:lvl w:ilvl="7">
      <w:start w:val="1"/>
      <w:numFmt w:val="decimal"/>
      <w:lvlText w:val="%8."/>
      <w:lvlJc w:val="left"/>
      <w:pPr>
        <w:tabs>
          <w:tab w:val="num" w:pos="5618"/>
        </w:tabs>
        <w:ind w:left="5618" w:hanging="720"/>
      </w:pPr>
    </w:lvl>
    <w:lvl w:ilvl="8">
      <w:start w:val="1"/>
      <w:numFmt w:val="decimal"/>
      <w:lvlText w:val="%9."/>
      <w:lvlJc w:val="left"/>
      <w:pPr>
        <w:tabs>
          <w:tab w:val="num" w:pos="6338"/>
        </w:tabs>
        <w:ind w:left="6338" w:hanging="720"/>
      </w:pPr>
    </w:lvl>
  </w:abstractNum>
  <w:abstractNum w:abstractNumId="23" w15:restartNumberingAfterBreak="0">
    <w:nsid w:val="42E21316"/>
    <w:multiLevelType w:val="multilevel"/>
    <w:tmpl w:val="69E887AC"/>
    <w:lvl w:ilvl="0">
      <w:start w:val="1"/>
      <w:numFmt w:val="decimal"/>
      <w:pStyle w:val="TableHeading"/>
      <w:lvlText w:val=""/>
      <w:lvlJc w:val="left"/>
      <w:pPr>
        <w:ind w:left="0" w:firstLine="0"/>
      </w:pPr>
    </w:lvl>
    <w:lvl w:ilvl="1">
      <w:start w:val="1"/>
      <w:numFmt w:val="decimal"/>
      <w:lvlText w:val="%2"/>
      <w:lvlJc w:val="left"/>
      <w:pPr>
        <w:ind w:left="284" w:hanging="284"/>
      </w:pPr>
      <w:rPr>
        <w:rFonts w:asciiTheme="minorHAnsi" w:eastAsiaTheme="majorEastAsia" w:hAnsiTheme="minorHAnsi" w:cs="Calibri"/>
        <w:color w:val="1D336D"/>
      </w:rPr>
    </w:lvl>
    <w:lvl w:ilvl="2">
      <w:start w:val="1"/>
      <w:numFmt w:val="decimal"/>
      <w:lvlText w:val=""/>
      <w:lvlJc w:val="left"/>
      <w:pPr>
        <w:ind w:left="568" w:firstLine="0"/>
      </w:pPr>
    </w:lvl>
    <w:lvl w:ilvl="3">
      <w:start w:val="1"/>
      <w:numFmt w:val="decimal"/>
      <w:lvlText w:val=""/>
      <w:lvlJc w:val="left"/>
      <w:pPr>
        <w:ind w:left="852" w:firstLine="0"/>
      </w:pPr>
    </w:lvl>
    <w:lvl w:ilvl="4">
      <w:start w:val="1"/>
      <w:numFmt w:val="decimal"/>
      <w:lvlText w:val=""/>
      <w:lvlJc w:val="left"/>
      <w:pPr>
        <w:ind w:left="1136" w:firstLine="0"/>
      </w:pPr>
    </w:lvl>
    <w:lvl w:ilvl="5">
      <w:start w:val="1"/>
      <w:numFmt w:val="decimal"/>
      <w:lvlText w:val=""/>
      <w:lvlJc w:val="left"/>
      <w:pPr>
        <w:ind w:left="1420" w:firstLine="0"/>
      </w:pPr>
    </w:lvl>
    <w:lvl w:ilvl="6">
      <w:start w:val="1"/>
      <w:numFmt w:val="decimal"/>
      <w:lvlText w:val=""/>
      <w:lvlJc w:val="left"/>
      <w:pPr>
        <w:ind w:left="1704" w:firstLine="0"/>
      </w:pPr>
    </w:lvl>
    <w:lvl w:ilvl="7">
      <w:start w:val="1"/>
      <w:numFmt w:val="decimal"/>
      <w:lvlText w:val=""/>
      <w:lvlJc w:val="left"/>
      <w:pPr>
        <w:ind w:left="1988" w:firstLine="0"/>
      </w:pPr>
    </w:lvl>
    <w:lvl w:ilvl="8">
      <w:start w:val="1"/>
      <w:numFmt w:val="decimal"/>
      <w:lvlText w:val=""/>
      <w:lvlJc w:val="left"/>
      <w:pPr>
        <w:ind w:left="2272" w:firstLine="0"/>
      </w:pPr>
    </w:lvl>
  </w:abstractNum>
  <w:abstractNum w:abstractNumId="24" w15:restartNumberingAfterBreak="0">
    <w:nsid w:val="49D95B72"/>
    <w:multiLevelType w:val="multilevel"/>
    <w:tmpl w:val="C70EE03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59420810"/>
    <w:multiLevelType w:val="multilevel"/>
    <w:tmpl w:val="66960DD6"/>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6" w15:restartNumberingAfterBreak="0">
    <w:nsid w:val="5BC029EE"/>
    <w:multiLevelType w:val="hybridMultilevel"/>
    <w:tmpl w:val="A8020550"/>
    <w:lvl w:ilvl="0" w:tplc="2EB40BF4">
      <w:start w:val="1"/>
      <w:numFmt w:val="decimal"/>
      <w:lvlText w:val="%1."/>
      <w:lvlJc w:val="left"/>
      <w:pPr>
        <w:ind w:left="360" w:hanging="360"/>
      </w:pPr>
    </w:lvl>
    <w:lvl w:ilvl="1" w:tplc="DEE82B5C">
      <w:start w:val="1"/>
      <w:numFmt w:val="lowerLetter"/>
      <w:lvlText w:val="%2."/>
      <w:lvlJc w:val="left"/>
      <w:pPr>
        <w:ind w:left="1080" w:hanging="360"/>
      </w:pPr>
    </w:lvl>
    <w:lvl w:ilvl="2" w:tplc="EF7E6C3C">
      <w:start w:val="1"/>
      <w:numFmt w:val="lowerRoman"/>
      <w:lvlText w:val="%3."/>
      <w:lvlJc w:val="right"/>
      <w:pPr>
        <w:ind w:left="1800" w:hanging="180"/>
      </w:pPr>
    </w:lvl>
    <w:lvl w:ilvl="3" w:tplc="BBA405B6">
      <w:start w:val="1"/>
      <w:numFmt w:val="decimal"/>
      <w:lvlText w:val="%4."/>
      <w:lvlJc w:val="left"/>
      <w:pPr>
        <w:ind w:left="2520" w:hanging="360"/>
      </w:pPr>
    </w:lvl>
    <w:lvl w:ilvl="4" w:tplc="687AAAFA">
      <w:start w:val="1"/>
      <w:numFmt w:val="lowerLetter"/>
      <w:lvlText w:val="%5."/>
      <w:lvlJc w:val="left"/>
      <w:pPr>
        <w:ind w:left="3240" w:hanging="360"/>
      </w:pPr>
    </w:lvl>
    <w:lvl w:ilvl="5" w:tplc="C38C4C1A">
      <w:start w:val="1"/>
      <w:numFmt w:val="lowerRoman"/>
      <w:lvlText w:val="%6."/>
      <w:lvlJc w:val="right"/>
      <w:pPr>
        <w:ind w:left="3960" w:hanging="180"/>
      </w:pPr>
    </w:lvl>
    <w:lvl w:ilvl="6" w:tplc="156C35E4">
      <w:start w:val="1"/>
      <w:numFmt w:val="decimal"/>
      <w:lvlText w:val="%7."/>
      <w:lvlJc w:val="left"/>
      <w:pPr>
        <w:ind w:left="4680" w:hanging="360"/>
      </w:pPr>
    </w:lvl>
    <w:lvl w:ilvl="7" w:tplc="E3C6A59A">
      <w:start w:val="1"/>
      <w:numFmt w:val="lowerLetter"/>
      <w:lvlText w:val="%8."/>
      <w:lvlJc w:val="left"/>
      <w:pPr>
        <w:ind w:left="5400" w:hanging="360"/>
      </w:pPr>
    </w:lvl>
    <w:lvl w:ilvl="8" w:tplc="7A78F368">
      <w:start w:val="1"/>
      <w:numFmt w:val="lowerRoman"/>
      <w:lvlText w:val="%9."/>
      <w:lvlJc w:val="right"/>
      <w:pPr>
        <w:ind w:left="6120" w:hanging="180"/>
      </w:pPr>
    </w:lvl>
  </w:abstractNum>
  <w:abstractNum w:abstractNumId="27" w15:restartNumberingAfterBreak="0">
    <w:nsid w:val="5BC56DE7"/>
    <w:multiLevelType w:val="multilevel"/>
    <w:tmpl w:val="23A6FCEE"/>
    <w:lvl w:ilvl="0">
      <w:start w:val="1"/>
      <w:numFmt w:val="bullet"/>
      <w:lvlText w:val="●"/>
      <w:lvlJc w:val="left"/>
      <w:pPr>
        <w:ind w:left="720" w:hanging="360"/>
      </w:pPr>
      <w:rPr>
        <w:u w:val="none"/>
      </w:rPr>
    </w:lvl>
    <w:lvl w:ilvl="1">
      <w:start w:val="1"/>
      <w:numFmt w:val="bullet"/>
      <w:pStyle w:val="NumberedHeading1"/>
      <w:lvlText w:val="○"/>
      <w:lvlJc w:val="left"/>
      <w:pPr>
        <w:ind w:left="1440" w:hanging="360"/>
      </w:pPr>
      <w:rPr>
        <w:u w:val="none"/>
      </w:rPr>
    </w:lvl>
    <w:lvl w:ilvl="2">
      <w:start w:val="1"/>
      <w:numFmt w:val="bullet"/>
      <w:pStyle w:val="NumberedHeading2"/>
      <w:lvlText w:val="■"/>
      <w:lvlJc w:val="left"/>
      <w:pPr>
        <w:ind w:left="2160" w:hanging="360"/>
      </w:pPr>
      <w:rPr>
        <w:u w:val="none"/>
      </w:rPr>
    </w:lvl>
    <w:lvl w:ilvl="3">
      <w:start w:val="1"/>
      <w:numFmt w:val="bullet"/>
      <w:pStyle w:val="NumberedHeading3"/>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DA42B89"/>
    <w:multiLevelType w:val="multilevel"/>
    <w:tmpl w:val="C4BE261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6AE96C86"/>
    <w:multiLevelType w:val="hybridMultilevel"/>
    <w:tmpl w:val="A698976E"/>
    <w:lvl w:ilvl="0" w:tplc="C78E2A8C">
      <w:start w:val="1"/>
      <w:numFmt w:val="decimal"/>
      <w:lvlText w:val="%1."/>
      <w:lvlJc w:val="left"/>
      <w:pPr>
        <w:ind w:left="720" w:hanging="360"/>
      </w:pPr>
    </w:lvl>
    <w:lvl w:ilvl="1" w:tplc="A3A20678">
      <w:start w:val="1"/>
      <w:numFmt w:val="lowerLetter"/>
      <w:lvlText w:val="%2."/>
      <w:lvlJc w:val="left"/>
      <w:pPr>
        <w:ind w:left="1440" w:hanging="360"/>
      </w:pPr>
    </w:lvl>
    <w:lvl w:ilvl="2" w:tplc="7726829E">
      <w:start w:val="1"/>
      <w:numFmt w:val="lowerRoman"/>
      <w:lvlText w:val="%3."/>
      <w:lvlJc w:val="right"/>
      <w:pPr>
        <w:ind w:left="2160" w:hanging="180"/>
      </w:pPr>
    </w:lvl>
    <w:lvl w:ilvl="3" w:tplc="7F101C12">
      <w:start w:val="1"/>
      <w:numFmt w:val="decimal"/>
      <w:lvlText w:val="%4."/>
      <w:lvlJc w:val="left"/>
      <w:pPr>
        <w:ind w:left="2880" w:hanging="360"/>
      </w:pPr>
    </w:lvl>
    <w:lvl w:ilvl="4" w:tplc="5AA8635A">
      <w:start w:val="1"/>
      <w:numFmt w:val="lowerLetter"/>
      <w:lvlText w:val="%5."/>
      <w:lvlJc w:val="left"/>
      <w:pPr>
        <w:ind w:left="3600" w:hanging="360"/>
      </w:pPr>
    </w:lvl>
    <w:lvl w:ilvl="5" w:tplc="EBA2261C">
      <w:start w:val="1"/>
      <w:numFmt w:val="lowerRoman"/>
      <w:lvlText w:val="%6."/>
      <w:lvlJc w:val="right"/>
      <w:pPr>
        <w:ind w:left="4320" w:hanging="180"/>
      </w:pPr>
    </w:lvl>
    <w:lvl w:ilvl="6" w:tplc="8B34BDBE">
      <w:start w:val="1"/>
      <w:numFmt w:val="decimal"/>
      <w:lvlText w:val="%7."/>
      <w:lvlJc w:val="left"/>
      <w:pPr>
        <w:ind w:left="5040" w:hanging="360"/>
      </w:pPr>
    </w:lvl>
    <w:lvl w:ilvl="7" w:tplc="D8E464DE">
      <w:start w:val="1"/>
      <w:numFmt w:val="lowerLetter"/>
      <w:lvlText w:val="%8."/>
      <w:lvlJc w:val="left"/>
      <w:pPr>
        <w:ind w:left="5760" w:hanging="360"/>
      </w:pPr>
    </w:lvl>
    <w:lvl w:ilvl="8" w:tplc="23E8EE56">
      <w:start w:val="1"/>
      <w:numFmt w:val="lowerRoman"/>
      <w:lvlText w:val="%9."/>
      <w:lvlJc w:val="right"/>
      <w:pPr>
        <w:ind w:left="6480" w:hanging="180"/>
      </w:pPr>
    </w:lvl>
  </w:abstractNum>
  <w:abstractNum w:abstractNumId="30" w15:restartNumberingAfterBreak="0">
    <w:nsid w:val="7CA81A54"/>
    <w:multiLevelType w:val="multilevel"/>
    <w:tmpl w:val="493AAE78"/>
    <w:lvl w:ilvl="0">
      <w:start w:val="1"/>
      <w:numFmt w:val="decimal"/>
      <w:lvlText w:val="%1."/>
      <w:lvlJc w:val="left"/>
      <w:pPr>
        <w:ind w:left="360" w:hanging="360"/>
      </w:pPr>
      <w:rPr>
        <w:rFonts w:hint="default"/>
        <w:b/>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16cid:durableId="180167181">
    <w:abstractNumId w:val="3"/>
  </w:num>
  <w:num w:numId="2" w16cid:durableId="327488183">
    <w:abstractNumId w:val="1"/>
  </w:num>
  <w:num w:numId="3" w16cid:durableId="368990382">
    <w:abstractNumId w:val="4"/>
  </w:num>
  <w:num w:numId="4" w16cid:durableId="1220941193">
    <w:abstractNumId w:val="14"/>
  </w:num>
  <w:num w:numId="5" w16cid:durableId="378406566">
    <w:abstractNumId w:val="13"/>
  </w:num>
  <w:num w:numId="6" w16cid:durableId="1125660897">
    <w:abstractNumId w:val="29"/>
  </w:num>
  <w:num w:numId="7" w16cid:durableId="1415862160">
    <w:abstractNumId w:val="26"/>
  </w:num>
  <w:num w:numId="8" w16cid:durableId="610011485">
    <w:abstractNumId w:val="7"/>
  </w:num>
  <w:num w:numId="9" w16cid:durableId="352609878">
    <w:abstractNumId w:val="12"/>
  </w:num>
  <w:num w:numId="10" w16cid:durableId="590048232">
    <w:abstractNumId w:val="8"/>
  </w:num>
  <w:num w:numId="11" w16cid:durableId="344523018">
    <w:abstractNumId w:val="23"/>
  </w:num>
  <w:num w:numId="12" w16cid:durableId="1869486574">
    <w:abstractNumId w:val="27"/>
  </w:num>
  <w:num w:numId="13" w16cid:durableId="1101027149">
    <w:abstractNumId w:val="10"/>
  </w:num>
  <w:num w:numId="14" w16cid:durableId="1099569710">
    <w:abstractNumId w:val="20"/>
  </w:num>
  <w:num w:numId="15" w16cid:durableId="1845053609">
    <w:abstractNumId w:val="6"/>
  </w:num>
  <w:num w:numId="16" w16cid:durableId="1746414051">
    <w:abstractNumId w:val="22"/>
  </w:num>
  <w:num w:numId="17" w16cid:durableId="1217736173">
    <w:abstractNumId w:val="9"/>
  </w:num>
  <w:num w:numId="18" w16cid:durableId="1127503006">
    <w:abstractNumId w:val="0"/>
  </w:num>
  <w:num w:numId="19" w16cid:durableId="10511473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80814083">
    <w:abstractNumId w:val="19"/>
  </w:num>
  <w:num w:numId="21" w16cid:durableId="1031153570">
    <w:abstractNumId w:val="30"/>
  </w:num>
  <w:num w:numId="22" w16cid:durableId="2081520594">
    <w:abstractNumId w:val="2"/>
  </w:num>
  <w:num w:numId="23" w16cid:durableId="1514488643">
    <w:abstractNumId w:val="15"/>
  </w:num>
  <w:num w:numId="24" w16cid:durableId="18345604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850644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294248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823326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622343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0816050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646753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7020812">
    <w:abstractNumId w:val="25"/>
  </w:num>
  <w:num w:numId="32" w16cid:durableId="680859537">
    <w:abstractNumId w:val="11"/>
  </w:num>
  <w:num w:numId="33" w16cid:durableId="1883781645">
    <w:abstractNumId w:val="16"/>
  </w:num>
  <w:num w:numId="34" w16cid:durableId="748231288">
    <w:abstractNumId w:val="5"/>
  </w:num>
  <w:num w:numId="35" w16cid:durableId="77289635">
    <w:abstractNumId w:val="21"/>
  </w:num>
  <w:num w:numId="36" w16cid:durableId="1379477523">
    <w:abstractNumId w:val="28"/>
  </w:num>
  <w:num w:numId="37" w16cid:durableId="1713919423">
    <w:abstractNumId w:val="24"/>
  </w:num>
  <w:num w:numId="38" w16cid:durableId="806826120">
    <w:abstractNumId w:val="1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B11"/>
    <w:rsid w:val="0000067A"/>
    <w:rsid w:val="00000995"/>
    <w:rsid w:val="00001F90"/>
    <w:rsid w:val="000029C5"/>
    <w:rsid w:val="00003AF0"/>
    <w:rsid w:val="0000653F"/>
    <w:rsid w:val="000066C8"/>
    <w:rsid w:val="0000691E"/>
    <w:rsid w:val="0000787E"/>
    <w:rsid w:val="00007F58"/>
    <w:rsid w:val="00010D71"/>
    <w:rsid w:val="00011420"/>
    <w:rsid w:val="000119CE"/>
    <w:rsid w:val="00012A00"/>
    <w:rsid w:val="00013CDF"/>
    <w:rsid w:val="00014420"/>
    <w:rsid w:val="00015E31"/>
    <w:rsid w:val="000161D8"/>
    <w:rsid w:val="00016336"/>
    <w:rsid w:val="00016365"/>
    <w:rsid w:val="0001663F"/>
    <w:rsid w:val="00016847"/>
    <w:rsid w:val="000173BA"/>
    <w:rsid w:val="00017673"/>
    <w:rsid w:val="0002097C"/>
    <w:rsid w:val="00021182"/>
    <w:rsid w:val="00021D86"/>
    <w:rsid w:val="000220C9"/>
    <w:rsid w:val="00022524"/>
    <w:rsid w:val="00022ADA"/>
    <w:rsid w:val="00022C54"/>
    <w:rsid w:val="00023A13"/>
    <w:rsid w:val="00023AC8"/>
    <w:rsid w:val="00024E9D"/>
    <w:rsid w:val="00024FFB"/>
    <w:rsid w:val="000259BA"/>
    <w:rsid w:val="00027407"/>
    <w:rsid w:val="000279EA"/>
    <w:rsid w:val="000307E3"/>
    <w:rsid w:val="0003098F"/>
    <w:rsid w:val="00030B45"/>
    <w:rsid w:val="000314F4"/>
    <w:rsid w:val="00032C27"/>
    <w:rsid w:val="000334A2"/>
    <w:rsid w:val="000335A3"/>
    <w:rsid w:val="00034280"/>
    <w:rsid w:val="00034495"/>
    <w:rsid w:val="00034EB7"/>
    <w:rsid w:val="00034EF8"/>
    <w:rsid w:val="00035757"/>
    <w:rsid w:val="00036FA9"/>
    <w:rsid w:val="0004119A"/>
    <w:rsid w:val="0004243B"/>
    <w:rsid w:val="00042903"/>
    <w:rsid w:val="0004303B"/>
    <w:rsid w:val="00044097"/>
    <w:rsid w:val="00044BD8"/>
    <w:rsid w:val="00044D85"/>
    <w:rsid w:val="00046C1D"/>
    <w:rsid w:val="0004753E"/>
    <w:rsid w:val="00047DA7"/>
    <w:rsid w:val="00051D66"/>
    <w:rsid w:val="00051F09"/>
    <w:rsid w:val="00052707"/>
    <w:rsid w:val="000535BC"/>
    <w:rsid w:val="000542E6"/>
    <w:rsid w:val="00055C4C"/>
    <w:rsid w:val="00056E2B"/>
    <w:rsid w:val="00057DD8"/>
    <w:rsid w:val="0006048B"/>
    <w:rsid w:val="0006051D"/>
    <w:rsid w:val="00060771"/>
    <w:rsid w:val="0006101C"/>
    <w:rsid w:val="00061BFB"/>
    <w:rsid w:val="00062169"/>
    <w:rsid w:val="00062861"/>
    <w:rsid w:val="000640CE"/>
    <w:rsid w:val="00064856"/>
    <w:rsid w:val="00065C69"/>
    <w:rsid w:val="0006785A"/>
    <w:rsid w:val="0007090B"/>
    <w:rsid w:val="00071E86"/>
    <w:rsid w:val="0007233E"/>
    <w:rsid w:val="0007255A"/>
    <w:rsid w:val="00074364"/>
    <w:rsid w:val="00074BA0"/>
    <w:rsid w:val="00076D1C"/>
    <w:rsid w:val="00076FAD"/>
    <w:rsid w:val="00077AE2"/>
    <w:rsid w:val="00080832"/>
    <w:rsid w:val="00080EBA"/>
    <w:rsid w:val="00082275"/>
    <w:rsid w:val="00082DD2"/>
    <w:rsid w:val="00083B7D"/>
    <w:rsid w:val="00084A46"/>
    <w:rsid w:val="00084F05"/>
    <w:rsid w:val="000851AF"/>
    <w:rsid w:val="00086861"/>
    <w:rsid w:val="00087051"/>
    <w:rsid w:val="00092249"/>
    <w:rsid w:val="00093507"/>
    <w:rsid w:val="00093C6C"/>
    <w:rsid w:val="00093CA0"/>
    <w:rsid w:val="000941EA"/>
    <w:rsid w:val="0009515D"/>
    <w:rsid w:val="00095726"/>
    <w:rsid w:val="0009646E"/>
    <w:rsid w:val="000964FC"/>
    <w:rsid w:val="000967C6"/>
    <w:rsid w:val="00097224"/>
    <w:rsid w:val="00097721"/>
    <w:rsid w:val="000A0028"/>
    <w:rsid w:val="000A0932"/>
    <w:rsid w:val="000A0CF7"/>
    <w:rsid w:val="000A14AB"/>
    <w:rsid w:val="000A20EC"/>
    <w:rsid w:val="000A2A48"/>
    <w:rsid w:val="000A4436"/>
    <w:rsid w:val="000A5E8D"/>
    <w:rsid w:val="000A61D3"/>
    <w:rsid w:val="000A6E84"/>
    <w:rsid w:val="000A6FEB"/>
    <w:rsid w:val="000B0046"/>
    <w:rsid w:val="000B07ED"/>
    <w:rsid w:val="000B0970"/>
    <w:rsid w:val="000B0B88"/>
    <w:rsid w:val="000B10E8"/>
    <w:rsid w:val="000B1BEF"/>
    <w:rsid w:val="000B1D53"/>
    <w:rsid w:val="000B2A3F"/>
    <w:rsid w:val="000B2BAC"/>
    <w:rsid w:val="000B3619"/>
    <w:rsid w:val="000B3D86"/>
    <w:rsid w:val="000B427E"/>
    <w:rsid w:val="000B4B5B"/>
    <w:rsid w:val="000B4FEB"/>
    <w:rsid w:val="000B5314"/>
    <w:rsid w:val="000B56EA"/>
    <w:rsid w:val="000B5BEC"/>
    <w:rsid w:val="000B6394"/>
    <w:rsid w:val="000B7D08"/>
    <w:rsid w:val="000C0335"/>
    <w:rsid w:val="000C03A3"/>
    <w:rsid w:val="000C13A9"/>
    <w:rsid w:val="000C1AAD"/>
    <w:rsid w:val="000C2D87"/>
    <w:rsid w:val="000C300B"/>
    <w:rsid w:val="000C4477"/>
    <w:rsid w:val="000C47BA"/>
    <w:rsid w:val="000C4C90"/>
    <w:rsid w:val="000C5C82"/>
    <w:rsid w:val="000C5F22"/>
    <w:rsid w:val="000C627A"/>
    <w:rsid w:val="000C667C"/>
    <w:rsid w:val="000C6DB6"/>
    <w:rsid w:val="000C717F"/>
    <w:rsid w:val="000C72CC"/>
    <w:rsid w:val="000C744D"/>
    <w:rsid w:val="000CB675"/>
    <w:rsid w:val="000D002D"/>
    <w:rsid w:val="000D00ED"/>
    <w:rsid w:val="000D0AAF"/>
    <w:rsid w:val="000D157F"/>
    <w:rsid w:val="000D1CD0"/>
    <w:rsid w:val="000D2665"/>
    <w:rsid w:val="000D375A"/>
    <w:rsid w:val="000D4017"/>
    <w:rsid w:val="000D433B"/>
    <w:rsid w:val="000D4C85"/>
    <w:rsid w:val="000D6F75"/>
    <w:rsid w:val="000D7AB1"/>
    <w:rsid w:val="000E00AF"/>
    <w:rsid w:val="000E05EC"/>
    <w:rsid w:val="000E0658"/>
    <w:rsid w:val="000E1476"/>
    <w:rsid w:val="000E2356"/>
    <w:rsid w:val="000E2789"/>
    <w:rsid w:val="000E52C0"/>
    <w:rsid w:val="000E6B51"/>
    <w:rsid w:val="000E7091"/>
    <w:rsid w:val="000F02BC"/>
    <w:rsid w:val="000F0D87"/>
    <w:rsid w:val="000F1258"/>
    <w:rsid w:val="000F1BC1"/>
    <w:rsid w:val="000F1CD4"/>
    <w:rsid w:val="000F280C"/>
    <w:rsid w:val="000F3A45"/>
    <w:rsid w:val="000F5B79"/>
    <w:rsid w:val="000F5BA7"/>
    <w:rsid w:val="000F79D1"/>
    <w:rsid w:val="00100B4A"/>
    <w:rsid w:val="00101464"/>
    <w:rsid w:val="00101BD2"/>
    <w:rsid w:val="0010328D"/>
    <w:rsid w:val="00103EAB"/>
    <w:rsid w:val="00104289"/>
    <w:rsid w:val="0010613F"/>
    <w:rsid w:val="001067DA"/>
    <w:rsid w:val="00107DFB"/>
    <w:rsid w:val="0011034F"/>
    <w:rsid w:val="00112599"/>
    <w:rsid w:val="00113290"/>
    <w:rsid w:val="00113B51"/>
    <w:rsid w:val="00113E34"/>
    <w:rsid w:val="00113F88"/>
    <w:rsid w:val="001141FE"/>
    <w:rsid w:val="00114299"/>
    <w:rsid w:val="00114719"/>
    <w:rsid w:val="001148F1"/>
    <w:rsid w:val="00114B62"/>
    <w:rsid w:val="00114FFA"/>
    <w:rsid w:val="0011652E"/>
    <w:rsid w:val="001167DB"/>
    <w:rsid w:val="0011690E"/>
    <w:rsid w:val="00116E9B"/>
    <w:rsid w:val="00116EDF"/>
    <w:rsid w:val="0011777B"/>
    <w:rsid w:val="00117C7F"/>
    <w:rsid w:val="00120768"/>
    <w:rsid w:val="00120CBA"/>
    <w:rsid w:val="00121C96"/>
    <w:rsid w:val="001223F6"/>
    <w:rsid w:val="00122452"/>
    <w:rsid w:val="00123266"/>
    <w:rsid w:val="00124707"/>
    <w:rsid w:val="00125628"/>
    <w:rsid w:val="00126560"/>
    <w:rsid w:val="001266AC"/>
    <w:rsid w:val="00126C96"/>
    <w:rsid w:val="00130A24"/>
    <w:rsid w:val="00130DCF"/>
    <w:rsid w:val="0013450F"/>
    <w:rsid w:val="001362CB"/>
    <w:rsid w:val="00136B1D"/>
    <w:rsid w:val="00136F3A"/>
    <w:rsid w:val="00137B74"/>
    <w:rsid w:val="00137EEA"/>
    <w:rsid w:val="00140BDC"/>
    <w:rsid w:val="0014114A"/>
    <w:rsid w:val="00141696"/>
    <w:rsid w:val="00141A60"/>
    <w:rsid w:val="00141FCC"/>
    <w:rsid w:val="00143F6E"/>
    <w:rsid w:val="001444AA"/>
    <w:rsid w:val="0014487B"/>
    <w:rsid w:val="001457DE"/>
    <w:rsid w:val="00145B6C"/>
    <w:rsid w:val="00145BC0"/>
    <w:rsid w:val="001460A2"/>
    <w:rsid w:val="001468B8"/>
    <w:rsid w:val="001474BC"/>
    <w:rsid w:val="001502CA"/>
    <w:rsid w:val="001523E5"/>
    <w:rsid w:val="0015300C"/>
    <w:rsid w:val="0015375A"/>
    <w:rsid w:val="00153E70"/>
    <w:rsid w:val="00154082"/>
    <w:rsid w:val="00154D29"/>
    <w:rsid w:val="00154E92"/>
    <w:rsid w:val="001556F3"/>
    <w:rsid w:val="00155CDD"/>
    <w:rsid w:val="001577D9"/>
    <w:rsid w:val="00160B8F"/>
    <w:rsid w:val="001618EE"/>
    <w:rsid w:val="00161D21"/>
    <w:rsid w:val="00162158"/>
    <w:rsid w:val="00162886"/>
    <w:rsid w:val="00163F0A"/>
    <w:rsid w:val="00164682"/>
    <w:rsid w:val="00164760"/>
    <w:rsid w:val="00164875"/>
    <w:rsid w:val="00164F35"/>
    <w:rsid w:val="001674C5"/>
    <w:rsid w:val="0017025D"/>
    <w:rsid w:val="00170C3F"/>
    <w:rsid w:val="00170E8F"/>
    <w:rsid w:val="00172944"/>
    <w:rsid w:val="00173240"/>
    <w:rsid w:val="00173EBF"/>
    <w:rsid w:val="00174914"/>
    <w:rsid w:val="00176D3B"/>
    <w:rsid w:val="00181648"/>
    <w:rsid w:val="00183130"/>
    <w:rsid w:val="00184344"/>
    <w:rsid w:val="0018482D"/>
    <w:rsid w:val="0018661B"/>
    <w:rsid w:val="00190419"/>
    <w:rsid w:val="0019080C"/>
    <w:rsid w:val="00192269"/>
    <w:rsid w:val="00192F45"/>
    <w:rsid w:val="0019366D"/>
    <w:rsid w:val="00193E41"/>
    <w:rsid w:val="00193EFA"/>
    <w:rsid w:val="0019411F"/>
    <w:rsid w:val="0019456A"/>
    <w:rsid w:val="00194A56"/>
    <w:rsid w:val="00194B11"/>
    <w:rsid w:val="00194EEF"/>
    <w:rsid w:val="00196436"/>
    <w:rsid w:val="00196F6D"/>
    <w:rsid w:val="001A10E1"/>
    <w:rsid w:val="001A1306"/>
    <w:rsid w:val="001A1783"/>
    <w:rsid w:val="001A3133"/>
    <w:rsid w:val="001A3687"/>
    <w:rsid w:val="001A484C"/>
    <w:rsid w:val="001A495D"/>
    <w:rsid w:val="001A57A8"/>
    <w:rsid w:val="001A583C"/>
    <w:rsid w:val="001A6882"/>
    <w:rsid w:val="001A6960"/>
    <w:rsid w:val="001B0EB8"/>
    <w:rsid w:val="001B10AE"/>
    <w:rsid w:val="001B1471"/>
    <w:rsid w:val="001B1683"/>
    <w:rsid w:val="001B29BF"/>
    <w:rsid w:val="001B46A5"/>
    <w:rsid w:val="001B4C6D"/>
    <w:rsid w:val="001B6A0C"/>
    <w:rsid w:val="001B75A2"/>
    <w:rsid w:val="001B763A"/>
    <w:rsid w:val="001C02C2"/>
    <w:rsid w:val="001C14B5"/>
    <w:rsid w:val="001C2B14"/>
    <w:rsid w:val="001C3EA2"/>
    <w:rsid w:val="001C4549"/>
    <w:rsid w:val="001C4994"/>
    <w:rsid w:val="001C5642"/>
    <w:rsid w:val="001C56D7"/>
    <w:rsid w:val="001C6976"/>
    <w:rsid w:val="001C73A7"/>
    <w:rsid w:val="001C766E"/>
    <w:rsid w:val="001C7C29"/>
    <w:rsid w:val="001C7FC5"/>
    <w:rsid w:val="001D0EE5"/>
    <w:rsid w:val="001D1728"/>
    <w:rsid w:val="001D220C"/>
    <w:rsid w:val="001D24C1"/>
    <w:rsid w:val="001D3529"/>
    <w:rsid w:val="001D3A8D"/>
    <w:rsid w:val="001D3CED"/>
    <w:rsid w:val="001D4330"/>
    <w:rsid w:val="001D4E72"/>
    <w:rsid w:val="001D5012"/>
    <w:rsid w:val="001D5302"/>
    <w:rsid w:val="001D5652"/>
    <w:rsid w:val="001D5904"/>
    <w:rsid w:val="001D6DBD"/>
    <w:rsid w:val="001D72F1"/>
    <w:rsid w:val="001E1215"/>
    <w:rsid w:val="001E25A8"/>
    <w:rsid w:val="001E29AA"/>
    <w:rsid w:val="001E375D"/>
    <w:rsid w:val="001E3E9D"/>
    <w:rsid w:val="001E461C"/>
    <w:rsid w:val="001E47AA"/>
    <w:rsid w:val="001E4F2B"/>
    <w:rsid w:val="001E54F7"/>
    <w:rsid w:val="001E6E91"/>
    <w:rsid w:val="001E7045"/>
    <w:rsid w:val="001E7824"/>
    <w:rsid w:val="001F01BF"/>
    <w:rsid w:val="001F0DBA"/>
    <w:rsid w:val="001F23D7"/>
    <w:rsid w:val="001F24C8"/>
    <w:rsid w:val="001F2B16"/>
    <w:rsid w:val="001F2F68"/>
    <w:rsid w:val="001F2FC0"/>
    <w:rsid w:val="001F3D70"/>
    <w:rsid w:val="001F4FC4"/>
    <w:rsid w:val="001F54BC"/>
    <w:rsid w:val="001F5B66"/>
    <w:rsid w:val="001F6677"/>
    <w:rsid w:val="002000D5"/>
    <w:rsid w:val="0020094D"/>
    <w:rsid w:val="00202CA8"/>
    <w:rsid w:val="00202E54"/>
    <w:rsid w:val="002032FA"/>
    <w:rsid w:val="00203B4D"/>
    <w:rsid w:val="002046F9"/>
    <w:rsid w:val="00204CB5"/>
    <w:rsid w:val="002064AB"/>
    <w:rsid w:val="0020667D"/>
    <w:rsid w:val="00207421"/>
    <w:rsid w:val="0020772E"/>
    <w:rsid w:val="00210F0A"/>
    <w:rsid w:val="00211178"/>
    <w:rsid w:val="00211226"/>
    <w:rsid w:val="00212F2C"/>
    <w:rsid w:val="00213BE2"/>
    <w:rsid w:val="0021408D"/>
    <w:rsid w:val="00214AB2"/>
    <w:rsid w:val="00214D33"/>
    <w:rsid w:val="00215569"/>
    <w:rsid w:val="00215585"/>
    <w:rsid w:val="00215F2C"/>
    <w:rsid w:val="002172DA"/>
    <w:rsid w:val="0021780B"/>
    <w:rsid w:val="00220207"/>
    <w:rsid w:val="002202D6"/>
    <w:rsid w:val="002226C2"/>
    <w:rsid w:val="002232F5"/>
    <w:rsid w:val="00223531"/>
    <w:rsid w:val="002235FE"/>
    <w:rsid w:val="002241E0"/>
    <w:rsid w:val="002267DD"/>
    <w:rsid w:val="002316CD"/>
    <w:rsid w:val="00231DD9"/>
    <w:rsid w:val="0023220F"/>
    <w:rsid w:val="00233ADC"/>
    <w:rsid w:val="00235526"/>
    <w:rsid w:val="00235E1A"/>
    <w:rsid w:val="002365EE"/>
    <w:rsid w:val="002375A0"/>
    <w:rsid w:val="00237BD0"/>
    <w:rsid w:val="00240420"/>
    <w:rsid w:val="0024050D"/>
    <w:rsid w:val="002405EC"/>
    <w:rsid w:val="002406EB"/>
    <w:rsid w:val="00240ED7"/>
    <w:rsid w:val="00241555"/>
    <w:rsid w:val="0024223C"/>
    <w:rsid w:val="002423D2"/>
    <w:rsid w:val="00242D1C"/>
    <w:rsid w:val="00242F12"/>
    <w:rsid w:val="0024446C"/>
    <w:rsid w:val="00244713"/>
    <w:rsid w:val="00244F54"/>
    <w:rsid w:val="00245479"/>
    <w:rsid w:val="0024590D"/>
    <w:rsid w:val="002515C8"/>
    <w:rsid w:val="00252C67"/>
    <w:rsid w:val="00253651"/>
    <w:rsid w:val="0025418D"/>
    <w:rsid w:val="00255432"/>
    <w:rsid w:val="002555BD"/>
    <w:rsid w:val="00255BC8"/>
    <w:rsid w:val="002570CF"/>
    <w:rsid w:val="00257999"/>
    <w:rsid w:val="00257B28"/>
    <w:rsid w:val="0026126B"/>
    <w:rsid w:val="0026173C"/>
    <w:rsid w:val="00261AAB"/>
    <w:rsid w:val="002631EA"/>
    <w:rsid w:val="002647E4"/>
    <w:rsid w:val="00264D9C"/>
    <w:rsid w:val="00265724"/>
    <w:rsid w:val="002659E4"/>
    <w:rsid w:val="00265DDB"/>
    <w:rsid w:val="00266A5A"/>
    <w:rsid w:val="00266BAA"/>
    <w:rsid w:val="00266EA4"/>
    <w:rsid w:val="0027053C"/>
    <w:rsid w:val="00272136"/>
    <w:rsid w:val="00273422"/>
    <w:rsid w:val="00273B5F"/>
    <w:rsid w:val="00273BC8"/>
    <w:rsid w:val="00274688"/>
    <w:rsid w:val="00274FE7"/>
    <w:rsid w:val="00275109"/>
    <w:rsid w:val="00275310"/>
    <w:rsid w:val="00277137"/>
    <w:rsid w:val="00282EAD"/>
    <w:rsid w:val="002837FA"/>
    <w:rsid w:val="00283F06"/>
    <w:rsid w:val="002846AB"/>
    <w:rsid w:val="00286244"/>
    <w:rsid w:val="00286ED1"/>
    <w:rsid w:val="0029022E"/>
    <w:rsid w:val="00291F18"/>
    <w:rsid w:val="00292D1C"/>
    <w:rsid w:val="00294402"/>
    <w:rsid w:val="002944AF"/>
    <w:rsid w:val="002944CA"/>
    <w:rsid w:val="00294B80"/>
    <w:rsid w:val="00295933"/>
    <w:rsid w:val="00295A0D"/>
    <w:rsid w:val="00297F91"/>
    <w:rsid w:val="002A067C"/>
    <w:rsid w:val="002A076A"/>
    <w:rsid w:val="002A0811"/>
    <w:rsid w:val="002A24DF"/>
    <w:rsid w:val="002A2870"/>
    <w:rsid w:val="002A4429"/>
    <w:rsid w:val="002A4889"/>
    <w:rsid w:val="002A4BD4"/>
    <w:rsid w:val="002A4C2D"/>
    <w:rsid w:val="002A6EAD"/>
    <w:rsid w:val="002A7101"/>
    <w:rsid w:val="002A721A"/>
    <w:rsid w:val="002A75AD"/>
    <w:rsid w:val="002B031A"/>
    <w:rsid w:val="002B04DA"/>
    <w:rsid w:val="002B138E"/>
    <w:rsid w:val="002B1993"/>
    <w:rsid w:val="002B1C0B"/>
    <w:rsid w:val="002B1D75"/>
    <w:rsid w:val="002B2CE5"/>
    <w:rsid w:val="002B39CF"/>
    <w:rsid w:val="002B6235"/>
    <w:rsid w:val="002B627F"/>
    <w:rsid w:val="002B6D32"/>
    <w:rsid w:val="002B6F7E"/>
    <w:rsid w:val="002B7346"/>
    <w:rsid w:val="002C19BB"/>
    <w:rsid w:val="002C362A"/>
    <w:rsid w:val="002C37D0"/>
    <w:rsid w:val="002C3BB9"/>
    <w:rsid w:val="002C5B87"/>
    <w:rsid w:val="002C6288"/>
    <w:rsid w:val="002C6908"/>
    <w:rsid w:val="002C776D"/>
    <w:rsid w:val="002D0A98"/>
    <w:rsid w:val="002D0CC3"/>
    <w:rsid w:val="002D2B5B"/>
    <w:rsid w:val="002D2D25"/>
    <w:rsid w:val="002D4712"/>
    <w:rsid w:val="002D510C"/>
    <w:rsid w:val="002D5825"/>
    <w:rsid w:val="002D5C33"/>
    <w:rsid w:val="002D6028"/>
    <w:rsid w:val="002D6ABF"/>
    <w:rsid w:val="002D6C81"/>
    <w:rsid w:val="002D70DB"/>
    <w:rsid w:val="002D716C"/>
    <w:rsid w:val="002D71C5"/>
    <w:rsid w:val="002D7C14"/>
    <w:rsid w:val="002E0849"/>
    <w:rsid w:val="002E2A1C"/>
    <w:rsid w:val="002E3010"/>
    <w:rsid w:val="002E3E5D"/>
    <w:rsid w:val="002E543D"/>
    <w:rsid w:val="002E751E"/>
    <w:rsid w:val="002F104A"/>
    <w:rsid w:val="002F1526"/>
    <w:rsid w:val="002F1960"/>
    <w:rsid w:val="002F1A6F"/>
    <w:rsid w:val="002F204E"/>
    <w:rsid w:val="002F2080"/>
    <w:rsid w:val="002F49E2"/>
    <w:rsid w:val="002F4BB4"/>
    <w:rsid w:val="002F5919"/>
    <w:rsid w:val="002F6E8E"/>
    <w:rsid w:val="002F7528"/>
    <w:rsid w:val="00300188"/>
    <w:rsid w:val="00301895"/>
    <w:rsid w:val="0030200E"/>
    <w:rsid w:val="00302815"/>
    <w:rsid w:val="00302F46"/>
    <w:rsid w:val="00303103"/>
    <w:rsid w:val="00304DC2"/>
    <w:rsid w:val="00310BCE"/>
    <w:rsid w:val="00310CE9"/>
    <w:rsid w:val="00310E42"/>
    <w:rsid w:val="003124E6"/>
    <w:rsid w:val="003138E2"/>
    <w:rsid w:val="00315221"/>
    <w:rsid w:val="00315B46"/>
    <w:rsid w:val="00316639"/>
    <w:rsid w:val="00317012"/>
    <w:rsid w:val="00320217"/>
    <w:rsid w:val="00320C9E"/>
    <w:rsid w:val="00321277"/>
    <w:rsid w:val="00321509"/>
    <w:rsid w:val="00321911"/>
    <w:rsid w:val="003220DA"/>
    <w:rsid w:val="003222FE"/>
    <w:rsid w:val="00322924"/>
    <w:rsid w:val="0032362A"/>
    <w:rsid w:val="00323934"/>
    <w:rsid w:val="00323A19"/>
    <w:rsid w:val="00326690"/>
    <w:rsid w:val="00326764"/>
    <w:rsid w:val="00326850"/>
    <w:rsid w:val="003276D4"/>
    <w:rsid w:val="00331017"/>
    <w:rsid w:val="0033110C"/>
    <w:rsid w:val="0033197A"/>
    <w:rsid w:val="0033225D"/>
    <w:rsid w:val="003324EA"/>
    <w:rsid w:val="00333381"/>
    <w:rsid w:val="003339C3"/>
    <w:rsid w:val="00334A38"/>
    <w:rsid w:val="003354AD"/>
    <w:rsid w:val="003370B5"/>
    <w:rsid w:val="00340F5D"/>
    <w:rsid w:val="003418B6"/>
    <w:rsid w:val="003418E5"/>
    <w:rsid w:val="00343B2A"/>
    <w:rsid w:val="00343CF9"/>
    <w:rsid w:val="00343FAE"/>
    <w:rsid w:val="00344398"/>
    <w:rsid w:val="003464F9"/>
    <w:rsid w:val="0034701C"/>
    <w:rsid w:val="00347ECA"/>
    <w:rsid w:val="00347F46"/>
    <w:rsid w:val="00350022"/>
    <w:rsid w:val="003506EC"/>
    <w:rsid w:val="00350AE9"/>
    <w:rsid w:val="00350D45"/>
    <w:rsid w:val="00352453"/>
    <w:rsid w:val="003524D0"/>
    <w:rsid w:val="00353849"/>
    <w:rsid w:val="003542CD"/>
    <w:rsid w:val="0035538F"/>
    <w:rsid w:val="00355805"/>
    <w:rsid w:val="00355869"/>
    <w:rsid w:val="00356D11"/>
    <w:rsid w:val="00357656"/>
    <w:rsid w:val="0035766F"/>
    <w:rsid w:val="0036109E"/>
    <w:rsid w:val="00361E8A"/>
    <w:rsid w:val="00362565"/>
    <w:rsid w:val="00363C81"/>
    <w:rsid w:val="00364481"/>
    <w:rsid w:val="00364C66"/>
    <w:rsid w:val="00365C40"/>
    <w:rsid w:val="00365E75"/>
    <w:rsid w:val="00366C59"/>
    <w:rsid w:val="0037067D"/>
    <w:rsid w:val="00370EA9"/>
    <w:rsid w:val="00371628"/>
    <w:rsid w:val="0037576F"/>
    <w:rsid w:val="00375E46"/>
    <w:rsid w:val="003766D0"/>
    <w:rsid w:val="003771CC"/>
    <w:rsid w:val="003774E3"/>
    <w:rsid w:val="00377546"/>
    <w:rsid w:val="00381412"/>
    <w:rsid w:val="00382650"/>
    <w:rsid w:val="00383E65"/>
    <w:rsid w:val="003846EF"/>
    <w:rsid w:val="003855CA"/>
    <w:rsid w:val="00386705"/>
    <w:rsid w:val="00387F2B"/>
    <w:rsid w:val="00390794"/>
    <w:rsid w:val="00390DE7"/>
    <w:rsid w:val="00390F30"/>
    <w:rsid w:val="00392650"/>
    <w:rsid w:val="00393B5A"/>
    <w:rsid w:val="00394430"/>
    <w:rsid w:val="00394C2A"/>
    <w:rsid w:val="00394E68"/>
    <w:rsid w:val="0039563C"/>
    <w:rsid w:val="0039587F"/>
    <w:rsid w:val="00395BE8"/>
    <w:rsid w:val="00395DF7"/>
    <w:rsid w:val="003970F9"/>
    <w:rsid w:val="003A05CE"/>
    <w:rsid w:val="003A0AF9"/>
    <w:rsid w:val="003A0CA6"/>
    <w:rsid w:val="003A11E5"/>
    <w:rsid w:val="003A227C"/>
    <w:rsid w:val="003A30A8"/>
    <w:rsid w:val="003A37F9"/>
    <w:rsid w:val="003A5D58"/>
    <w:rsid w:val="003A701D"/>
    <w:rsid w:val="003A7088"/>
    <w:rsid w:val="003A77F5"/>
    <w:rsid w:val="003B07C7"/>
    <w:rsid w:val="003B0B05"/>
    <w:rsid w:val="003B0FF7"/>
    <w:rsid w:val="003B1625"/>
    <w:rsid w:val="003B1AD5"/>
    <w:rsid w:val="003B24AD"/>
    <w:rsid w:val="003B294F"/>
    <w:rsid w:val="003B2DDE"/>
    <w:rsid w:val="003B30E6"/>
    <w:rsid w:val="003B4C81"/>
    <w:rsid w:val="003B4E14"/>
    <w:rsid w:val="003B4F30"/>
    <w:rsid w:val="003B5FB9"/>
    <w:rsid w:val="003B6A60"/>
    <w:rsid w:val="003C0590"/>
    <w:rsid w:val="003C076B"/>
    <w:rsid w:val="003C0803"/>
    <w:rsid w:val="003C0C36"/>
    <w:rsid w:val="003C1824"/>
    <w:rsid w:val="003C25A2"/>
    <w:rsid w:val="003C33EE"/>
    <w:rsid w:val="003C39F1"/>
    <w:rsid w:val="003C3ED9"/>
    <w:rsid w:val="003C496F"/>
    <w:rsid w:val="003C61C9"/>
    <w:rsid w:val="003C71D2"/>
    <w:rsid w:val="003D0772"/>
    <w:rsid w:val="003D0AF6"/>
    <w:rsid w:val="003D0BE0"/>
    <w:rsid w:val="003D111E"/>
    <w:rsid w:val="003D279E"/>
    <w:rsid w:val="003D3F06"/>
    <w:rsid w:val="003D4C6F"/>
    <w:rsid w:val="003D4D2B"/>
    <w:rsid w:val="003D59A0"/>
    <w:rsid w:val="003D74FB"/>
    <w:rsid w:val="003E097F"/>
    <w:rsid w:val="003E0BAE"/>
    <w:rsid w:val="003E0BE9"/>
    <w:rsid w:val="003E1222"/>
    <w:rsid w:val="003E138E"/>
    <w:rsid w:val="003E166B"/>
    <w:rsid w:val="003E1F35"/>
    <w:rsid w:val="003E2216"/>
    <w:rsid w:val="003E57BD"/>
    <w:rsid w:val="003E5BEC"/>
    <w:rsid w:val="003E5FC8"/>
    <w:rsid w:val="003F1D63"/>
    <w:rsid w:val="003F2187"/>
    <w:rsid w:val="003F2CD4"/>
    <w:rsid w:val="003F3A18"/>
    <w:rsid w:val="003F3DDD"/>
    <w:rsid w:val="003F512D"/>
    <w:rsid w:val="003F61D2"/>
    <w:rsid w:val="003F660D"/>
    <w:rsid w:val="003F710F"/>
    <w:rsid w:val="00400A76"/>
    <w:rsid w:val="0040166D"/>
    <w:rsid w:val="004021C9"/>
    <w:rsid w:val="004025A6"/>
    <w:rsid w:val="00403126"/>
    <w:rsid w:val="00403A3D"/>
    <w:rsid w:val="00404ACF"/>
    <w:rsid w:val="00404B88"/>
    <w:rsid w:val="00404C00"/>
    <w:rsid w:val="00405013"/>
    <w:rsid w:val="00405EAB"/>
    <w:rsid w:val="00407786"/>
    <w:rsid w:val="00407D0D"/>
    <w:rsid w:val="00410679"/>
    <w:rsid w:val="00411220"/>
    <w:rsid w:val="00413D4C"/>
    <w:rsid w:val="00413EF9"/>
    <w:rsid w:val="0041483A"/>
    <w:rsid w:val="004165CF"/>
    <w:rsid w:val="004167DE"/>
    <w:rsid w:val="00416A2D"/>
    <w:rsid w:val="0041785B"/>
    <w:rsid w:val="00421DEB"/>
    <w:rsid w:val="0042250D"/>
    <w:rsid w:val="0042334B"/>
    <w:rsid w:val="00423712"/>
    <w:rsid w:val="004243F2"/>
    <w:rsid w:val="00424445"/>
    <w:rsid w:val="0042497F"/>
    <w:rsid w:val="0042515B"/>
    <w:rsid w:val="00425AFB"/>
    <w:rsid w:val="0042774C"/>
    <w:rsid w:val="00427DD8"/>
    <w:rsid w:val="0043071F"/>
    <w:rsid w:val="0043200B"/>
    <w:rsid w:val="004321FF"/>
    <w:rsid w:val="00432630"/>
    <w:rsid w:val="00433824"/>
    <w:rsid w:val="00433D73"/>
    <w:rsid w:val="0043463C"/>
    <w:rsid w:val="00434759"/>
    <w:rsid w:val="00435145"/>
    <w:rsid w:val="004358E9"/>
    <w:rsid w:val="00436273"/>
    <w:rsid w:val="0043649F"/>
    <w:rsid w:val="004377EA"/>
    <w:rsid w:val="00437CB7"/>
    <w:rsid w:val="0044016C"/>
    <w:rsid w:val="0044089D"/>
    <w:rsid w:val="00442DBC"/>
    <w:rsid w:val="00443B6F"/>
    <w:rsid w:val="004440D3"/>
    <w:rsid w:val="0044431F"/>
    <w:rsid w:val="00444EB1"/>
    <w:rsid w:val="00446996"/>
    <w:rsid w:val="00446A78"/>
    <w:rsid w:val="004470B8"/>
    <w:rsid w:val="004470D6"/>
    <w:rsid w:val="004477AA"/>
    <w:rsid w:val="00447BB0"/>
    <w:rsid w:val="00447E58"/>
    <w:rsid w:val="00450E5C"/>
    <w:rsid w:val="00451445"/>
    <w:rsid w:val="004517DE"/>
    <w:rsid w:val="00451ACB"/>
    <w:rsid w:val="00452375"/>
    <w:rsid w:val="0045304E"/>
    <w:rsid w:val="004541A0"/>
    <w:rsid w:val="0045472D"/>
    <w:rsid w:val="0045529C"/>
    <w:rsid w:val="0045681B"/>
    <w:rsid w:val="004570AB"/>
    <w:rsid w:val="00457718"/>
    <w:rsid w:val="004578E8"/>
    <w:rsid w:val="00461C6C"/>
    <w:rsid w:val="00461F56"/>
    <w:rsid w:val="004633E8"/>
    <w:rsid w:val="0046396F"/>
    <w:rsid w:val="00464043"/>
    <w:rsid w:val="004640A1"/>
    <w:rsid w:val="004657D0"/>
    <w:rsid w:val="0046622C"/>
    <w:rsid w:val="00466B42"/>
    <w:rsid w:val="00466F42"/>
    <w:rsid w:val="004674FF"/>
    <w:rsid w:val="00467571"/>
    <w:rsid w:val="004701D2"/>
    <w:rsid w:val="0047075C"/>
    <w:rsid w:val="00470827"/>
    <w:rsid w:val="00472F93"/>
    <w:rsid w:val="00473201"/>
    <w:rsid w:val="004732ED"/>
    <w:rsid w:val="00474435"/>
    <w:rsid w:val="00475247"/>
    <w:rsid w:val="0047624A"/>
    <w:rsid w:val="0047686E"/>
    <w:rsid w:val="00480A7D"/>
    <w:rsid w:val="00482CEA"/>
    <w:rsid w:val="00485E38"/>
    <w:rsid w:val="004864F4"/>
    <w:rsid w:val="00487476"/>
    <w:rsid w:val="00487626"/>
    <w:rsid w:val="004921C7"/>
    <w:rsid w:val="004931EC"/>
    <w:rsid w:val="004940AC"/>
    <w:rsid w:val="004950AF"/>
    <w:rsid w:val="0049536C"/>
    <w:rsid w:val="004961F9"/>
    <w:rsid w:val="004A2F79"/>
    <w:rsid w:val="004A3DB6"/>
    <w:rsid w:val="004A5347"/>
    <w:rsid w:val="004A5835"/>
    <w:rsid w:val="004A5B6D"/>
    <w:rsid w:val="004A6B91"/>
    <w:rsid w:val="004A7003"/>
    <w:rsid w:val="004A77E0"/>
    <w:rsid w:val="004A7C40"/>
    <w:rsid w:val="004B0867"/>
    <w:rsid w:val="004B33E0"/>
    <w:rsid w:val="004B3484"/>
    <w:rsid w:val="004B3B6D"/>
    <w:rsid w:val="004B5BF6"/>
    <w:rsid w:val="004B5E0F"/>
    <w:rsid w:val="004B5F8A"/>
    <w:rsid w:val="004B67F1"/>
    <w:rsid w:val="004C00FE"/>
    <w:rsid w:val="004C075E"/>
    <w:rsid w:val="004C0873"/>
    <w:rsid w:val="004C133A"/>
    <w:rsid w:val="004C196A"/>
    <w:rsid w:val="004C19CF"/>
    <w:rsid w:val="004C2FA5"/>
    <w:rsid w:val="004C3789"/>
    <w:rsid w:val="004C3951"/>
    <w:rsid w:val="004C438B"/>
    <w:rsid w:val="004C4BF6"/>
    <w:rsid w:val="004C4C60"/>
    <w:rsid w:val="004C5469"/>
    <w:rsid w:val="004C6CA1"/>
    <w:rsid w:val="004C7B0C"/>
    <w:rsid w:val="004D1657"/>
    <w:rsid w:val="004D2C5F"/>
    <w:rsid w:val="004D2FBA"/>
    <w:rsid w:val="004D3289"/>
    <w:rsid w:val="004D3461"/>
    <w:rsid w:val="004D43E1"/>
    <w:rsid w:val="004D5655"/>
    <w:rsid w:val="004D5CAE"/>
    <w:rsid w:val="004D6225"/>
    <w:rsid w:val="004D6691"/>
    <w:rsid w:val="004D7947"/>
    <w:rsid w:val="004D798D"/>
    <w:rsid w:val="004D7AB4"/>
    <w:rsid w:val="004D7C0D"/>
    <w:rsid w:val="004E056D"/>
    <w:rsid w:val="004E079E"/>
    <w:rsid w:val="004E27BC"/>
    <w:rsid w:val="004E2E58"/>
    <w:rsid w:val="004E31F4"/>
    <w:rsid w:val="004E35D2"/>
    <w:rsid w:val="004E4A4B"/>
    <w:rsid w:val="004E4DAB"/>
    <w:rsid w:val="004E6801"/>
    <w:rsid w:val="004E68E5"/>
    <w:rsid w:val="004E77F0"/>
    <w:rsid w:val="004E7823"/>
    <w:rsid w:val="004E7D12"/>
    <w:rsid w:val="004F0C41"/>
    <w:rsid w:val="004F20FB"/>
    <w:rsid w:val="004F2306"/>
    <w:rsid w:val="004F39A9"/>
    <w:rsid w:val="004F4288"/>
    <w:rsid w:val="0050192B"/>
    <w:rsid w:val="00501C1E"/>
    <w:rsid w:val="00502D55"/>
    <w:rsid w:val="00502ED7"/>
    <w:rsid w:val="0050331E"/>
    <w:rsid w:val="005034BC"/>
    <w:rsid w:val="00504139"/>
    <w:rsid w:val="00504C9D"/>
    <w:rsid w:val="0050529C"/>
    <w:rsid w:val="00505A01"/>
    <w:rsid w:val="00510021"/>
    <w:rsid w:val="005100CE"/>
    <w:rsid w:val="00510979"/>
    <w:rsid w:val="00512696"/>
    <w:rsid w:val="00513D3B"/>
    <w:rsid w:val="005140C5"/>
    <w:rsid w:val="00514A9A"/>
    <w:rsid w:val="00514B06"/>
    <w:rsid w:val="00514B76"/>
    <w:rsid w:val="00516077"/>
    <w:rsid w:val="0051714F"/>
    <w:rsid w:val="005204B0"/>
    <w:rsid w:val="00520BA4"/>
    <w:rsid w:val="00522018"/>
    <w:rsid w:val="00522FC0"/>
    <w:rsid w:val="005234EB"/>
    <w:rsid w:val="00524E03"/>
    <w:rsid w:val="00525004"/>
    <w:rsid w:val="00526039"/>
    <w:rsid w:val="0052767B"/>
    <w:rsid w:val="0053131E"/>
    <w:rsid w:val="005313ED"/>
    <w:rsid w:val="005322EB"/>
    <w:rsid w:val="0053234E"/>
    <w:rsid w:val="00532685"/>
    <w:rsid w:val="00532BFF"/>
    <w:rsid w:val="00532C3C"/>
    <w:rsid w:val="005334EB"/>
    <w:rsid w:val="005338C6"/>
    <w:rsid w:val="00535D55"/>
    <w:rsid w:val="0053638E"/>
    <w:rsid w:val="00536D78"/>
    <w:rsid w:val="00537EB1"/>
    <w:rsid w:val="00540428"/>
    <w:rsid w:val="00542441"/>
    <w:rsid w:val="0054301E"/>
    <w:rsid w:val="00543993"/>
    <w:rsid w:val="00543A5D"/>
    <w:rsid w:val="00544771"/>
    <w:rsid w:val="00544A31"/>
    <w:rsid w:val="00545044"/>
    <w:rsid w:val="005450ED"/>
    <w:rsid w:val="00545424"/>
    <w:rsid w:val="00546AB0"/>
    <w:rsid w:val="00547B79"/>
    <w:rsid w:val="00550091"/>
    <w:rsid w:val="005509F9"/>
    <w:rsid w:val="00550AD5"/>
    <w:rsid w:val="00552D11"/>
    <w:rsid w:val="005531F5"/>
    <w:rsid w:val="00554CBE"/>
    <w:rsid w:val="005553CD"/>
    <w:rsid w:val="00555647"/>
    <w:rsid w:val="0055588E"/>
    <w:rsid w:val="005609E5"/>
    <w:rsid w:val="00560C9E"/>
    <w:rsid w:val="00563083"/>
    <w:rsid w:val="0056436D"/>
    <w:rsid w:val="005653F4"/>
    <w:rsid w:val="005666D1"/>
    <w:rsid w:val="00566F19"/>
    <w:rsid w:val="005701BE"/>
    <w:rsid w:val="00570C9B"/>
    <w:rsid w:val="00571A67"/>
    <w:rsid w:val="00572285"/>
    <w:rsid w:val="00574094"/>
    <w:rsid w:val="00574568"/>
    <w:rsid w:val="00577A45"/>
    <w:rsid w:val="0058099D"/>
    <w:rsid w:val="005822DF"/>
    <w:rsid w:val="005839E6"/>
    <w:rsid w:val="00583C0D"/>
    <w:rsid w:val="00584288"/>
    <w:rsid w:val="005862E8"/>
    <w:rsid w:val="00586377"/>
    <w:rsid w:val="00586819"/>
    <w:rsid w:val="0058709E"/>
    <w:rsid w:val="00587A9A"/>
    <w:rsid w:val="00590B43"/>
    <w:rsid w:val="00591E8E"/>
    <w:rsid w:val="00593476"/>
    <w:rsid w:val="00593E25"/>
    <w:rsid w:val="00593EEE"/>
    <w:rsid w:val="00593F46"/>
    <w:rsid w:val="00594011"/>
    <w:rsid w:val="00595273"/>
    <w:rsid w:val="0059609E"/>
    <w:rsid w:val="00596F74"/>
    <w:rsid w:val="005A2AC4"/>
    <w:rsid w:val="005A361E"/>
    <w:rsid w:val="005A3CF5"/>
    <w:rsid w:val="005A478F"/>
    <w:rsid w:val="005A5269"/>
    <w:rsid w:val="005A5A1F"/>
    <w:rsid w:val="005A6D2C"/>
    <w:rsid w:val="005B05EB"/>
    <w:rsid w:val="005B29BA"/>
    <w:rsid w:val="005B5592"/>
    <w:rsid w:val="005B5781"/>
    <w:rsid w:val="005B6D23"/>
    <w:rsid w:val="005B6D60"/>
    <w:rsid w:val="005B7EDC"/>
    <w:rsid w:val="005C1540"/>
    <w:rsid w:val="005C2662"/>
    <w:rsid w:val="005C2850"/>
    <w:rsid w:val="005C2AB7"/>
    <w:rsid w:val="005C3744"/>
    <w:rsid w:val="005C4462"/>
    <w:rsid w:val="005C523C"/>
    <w:rsid w:val="005C5C30"/>
    <w:rsid w:val="005C7024"/>
    <w:rsid w:val="005C773C"/>
    <w:rsid w:val="005C7BD2"/>
    <w:rsid w:val="005C9E8A"/>
    <w:rsid w:val="005D1A0F"/>
    <w:rsid w:val="005D2F85"/>
    <w:rsid w:val="005D352C"/>
    <w:rsid w:val="005D35CC"/>
    <w:rsid w:val="005D3866"/>
    <w:rsid w:val="005D406F"/>
    <w:rsid w:val="005D410F"/>
    <w:rsid w:val="005D4173"/>
    <w:rsid w:val="005D4F2F"/>
    <w:rsid w:val="005D51AF"/>
    <w:rsid w:val="005D51C7"/>
    <w:rsid w:val="005D5AD2"/>
    <w:rsid w:val="005D6332"/>
    <w:rsid w:val="005D6966"/>
    <w:rsid w:val="005D6968"/>
    <w:rsid w:val="005D732F"/>
    <w:rsid w:val="005D7510"/>
    <w:rsid w:val="005E224B"/>
    <w:rsid w:val="005E3BAB"/>
    <w:rsid w:val="005E4097"/>
    <w:rsid w:val="005E43FE"/>
    <w:rsid w:val="005E4610"/>
    <w:rsid w:val="005E5AD2"/>
    <w:rsid w:val="005F00E3"/>
    <w:rsid w:val="005F01E4"/>
    <w:rsid w:val="005F0F7B"/>
    <w:rsid w:val="005F12E9"/>
    <w:rsid w:val="005F3B4B"/>
    <w:rsid w:val="005F52A4"/>
    <w:rsid w:val="005F6711"/>
    <w:rsid w:val="005F7056"/>
    <w:rsid w:val="006008FF"/>
    <w:rsid w:val="006018D6"/>
    <w:rsid w:val="0060226C"/>
    <w:rsid w:val="00604A61"/>
    <w:rsid w:val="00604FA9"/>
    <w:rsid w:val="006053C9"/>
    <w:rsid w:val="00605BD8"/>
    <w:rsid w:val="00605FE1"/>
    <w:rsid w:val="006077AC"/>
    <w:rsid w:val="0061014B"/>
    <w:rsid w:val="00610557"/>
    <w:rsid w:val="00611B9F"/>
    <w:rsid w:val="00611BE9"/>
    <w:rsid w:val="00612CC1"/>
    <w:rsid w:val="006141DC"/>
    <w:rsid w:val="00615483"/>
    <w:rsid w:val="00615E3C"/>
    <w:rsid w:val="00615FF8"/>
    <w:rsid w:val="006160EA"/>
    <w:rsid w:val="0062067D"/>
    <w:rsid w:val="00620B93"/>
    <w:rsid w:val="00620D90"/>
    <w:rsid w:val="00620E58"/>
    <w:rsid w:val="00621098"/>
    <w:rsid w:val="006215AA"/>
    <w:rsid w:val="0062174C"/>
    <w:rsid w:val="00621D27"/>
    <w:rsid w:val="00622E2B"/>
    <w:rsid w:val="006232DF"/>
    <w:rsid w:val="00626270"/>
    <w:rsid w:val="00626658"/>
    <w:rsid w:val="006307AC"/>
    <w:rsid w:val="00630F36"/>
    <w:rsid w:val="0063180F"/>
    <w:rsid w:val="00632574"/>
    <w:rsid w:val="00632A71"/>
    <w:rsid w:val="006330E0"/>
    <w:rsid w:val="006353FD"/>
    <w:rsid w:val="00635980"/>
    <w:rsid w:val="006360B0"/>
    <w:rsid w:val="00637718"/>
    <w:rsid w:val="0063787A"/>
    <w:rsid w:val="00637CA1"/>
    <w:rsid w:val="0064037E"/>
    <w:rsid w:val="00640BE1"/>
    <w:rsid w:val="00640CF3"/>
    <w:rsid w:val="00642556"/>
    <w:rsid w:val="0064258D"/>
    <w:rsid w:val="00642E68"/>
    <w:rsid w:val="00644708"/>
    <w:rsid w:val="00646CB6"/>
    <w:rsid w:val="006504E4"/>
    <w:rsid w:val="0065078B"/>
    <w:rsid w:val="006508D1"/>
    <w:rsid w:val="00651C2F"/>
    <w:rsid w:val="00651EE1"/>
    <w:rsid w:val="00652B5F"/>
    <w:rsid w:val="00652EA0"/>
    <w:rsid w:val="00653828"/>
    <w:rsid w:val="006546CD"/>
    <w:rsid w:val="00654810"/>
    <w:rsid w:val="006601CB"/>
    <w:rsid w:val="00660D20"/>
    <w:rsid w:val="00661C73"/>
    <w:rsid w:val="00661ED0"/>
    <w:rsid w:val="00661EDC"/>
    <w:rsid w:val="00662885"/>
    <w:rsid w:val="00662E13"/>
    <w:rsid w:val="00663AB8"/>
    <w:rsid w:val="00664208"/>
    <w:rsid w:val="0066517E"/>
    <w:rsid w:val="00665AF7"/>
    <w:rsid w:val="00666271"/>
    <w:rsid w:val="00667F3F"/>
    <w:rsid w:val="00670B7E"/>
    <w:rsid w:val="00671341"/>
    <w:rsid w:val="006715E3"/>
    <w:rsid w:val="00672307"/>
    <w:rsid w:val="00672511"/>
    <w:rsid w:val="00673A19"/>
    <w:rsid w:val="0067580F"/>
    <w:rsid w:val="00675BF1"/>
    <w:rsid w:val="00675D00"/>
    <w:rsid w:val="006760E1"/>
    <w:rsid w:val="0067689D"/>
    <w:rsid w:val="00676B2C"/>
    <w:rsid w:val="006777B7"/>
    <w:rsid w:val="00677BC6"/>
    <w:rsid w:val="006804C6"/>
    <w:rsid w:val="00681692"/>
    <w:rsid w:val="006821BA"/>
    <w:rsid w:val="006826FD"/>
    <w:rsid w:val="006841EF"/>
    <w:rsid w:val="00687EAA"/>
    <w:rsid w:val="00690EC3"/>
    <w:rsid w:val="00691900"/>
    <w:rsid w:val="00692D20"/>
    <w:rsid w:val="00692E7C"/>
    <w:rsid w:val="00692FAE"/>
    <w:rsid w:val="00693315"/>
    <w:rsid w:val="00693415"/>
    <w:rsid w:val="00693927"/>
    <w:rsid w:val="00693E76"/>
    <w:rsid w:val="006949DF"/>
    <w:rsid w:val="006959B5"/>
    <w:rsid w:val="0069626B"/>
    <w:rsid w:val="00696428"/>
    <w:rsid w:val="00696EA5"/>
    <w:rsid w:val="006974BE"/>
    <w:rsid w:val="006977EA"/>
    <w:rsid w:val="006A121F"/>
    <w:rsid w:val="006A285C"/>
    <w:rsid w:val="006A2F80"/>
    <w:rsid w:val="006A371E"/>
    <w:rsid w:val="006A4ECF"/>
    <w:rsid w:val="006A526B"/>
    <w:rsid w:val="006A575A"/>
    <w:rsid w:val="006A5A16"/>
    <w:rsid w:val="006A5D46"/>
    <w:rsid w:val="006A7D21"/>
    <w:rsid w:val="006A7D4D"/>
    <w:rsid w:val="006A7E89"/>
    <w:rsid w:val="006B0367"/>
    <w:rsid w:val="006B15AD"/>
    <w:rsid w:val="006B3CF1"/>
    <w:rsid w:val="006B635B"/>
    <w:rsid w:val="006B702F"/>
    <w:rsid w:val="006B7AF2"/>
    <w:rsid w:val="006B7C80"/>
    <w:rsid w:val="006B7DE0"/>
    <w:rsid w:val="006C040F"/>
    <w:rsid w:val="006C07D4"/>
    <w:rsid w:val="006C0A2C"/>
    <w:rsid w:val="006C0A40"/>
    <w:rsid w:val="006C1024"/>
    <w:rsid w:val="006C149C"/>
    <w:rsid w:val="006C15E0"/>
    <w:rsid w:val="006C349C"/>
    <w:rsid w:val="006C3643"/>
    <w:rsid w:val="006C53E4"/>
    <w:rsid w:val="006C5444"/>
    <w:rsid w:val="006C5572"/>
    <w:rsid w:val="006C5F08"/>
    <w:rsid w:val="006C7565"/>
    <w:rsid w:val="006D0F88"/>
    <w:rsid w:val="006D203B"/>
    <w:rsid w:val="006D25B0"/>
    <w:rsid w:val="006D4586"/>
    <w:rsid w:val="006D5492"/>
    <w:rsid w:val="006D6736"/>
    <w:rsid w:val="006D6831"/>
    <w:rsid w:val="006E01BA"/>
    <w:rsid w:val="006E01DD"/>
    <w:rsid w:val="006E0A15"/>
    <w:rsid w:val="006E0AC6"/>
    <w:rsid w:val="006E18BE"/>
    <w:rsid w:val="006E199A"/>
    <w:rsid w:val="006E22D7"/>
    <w:rsid w:val="006E27FC"/>
    <w:rsid w:val="006E367F"/>
    <w:rsid w:val="006E3D93"/>
    <w:rsid w:val="006E4DB4"/>
    <w:rsid w:val="006E6030"/>
    <w:rsid w:val="006E6CF1"/>
    <w:rsid w:val="006E6E08"/>
    <w:rsid w:val="006E6E2B"/>
    <w:rsid w:val="006F105C"/>
    <w:rsid w:val="006F1154"/>
    <w:rsid w:val="006F1267"/>
    <w:rsid w:val="006F1FA7"/>
    <w:rsid w:val="006F34C8"/>
    <w:rsid w:val="006F350F"/>
    <w:rsid w:val="006F554C"/>
    <w:rsid w:val="006F5B92"/>
    <w:rsid w:val="006F5D91"/>
    <w:rsid w:val="006F611B"/>
    <w:rsid w:val="006F69DD"/>
    <w:rsid w:val="006F6CC0"/>
    <w:rsid w:val="00700D8C"/>
    <w:rsid w:val="0070149E"/>
    <w:rsid w:val="007017EF"/>
    <w:rsid w:val="00703684"/>
    <w:rsid w:val="00703CEB"/>
    <w:rsid w:val="007055BE"/>
    <w:rsid w:val="0071005E"/>
    <w:rsid w:val="00710468"/>
    <w:rsid w:val="007131DC"/>
    <w:rsid w:val="00713B8A"/>
    <w:rsid w:val="0071421D"/>
    <w:rsid w:val="00714E4A"/>
    <w:rsid w:val="007154C2"/>
    <w:rsid w:val="00716BA6"/>
    <w:rsid w:val="00716E12"/>
    <w:rsid w:val="0071786E"/>
    <w:rsid w:val="00717EE0"/>
    <w:rsid w:val="00717F51"/>
    <w:rsid w:val="0072116B"/>
    <w:rsid w:val="00721B89"/>
    <w:rsid w:val="00723184"/>
    <w:rsid w:val="00724181"/>
    <w:rsid w:val="00724314"/>
    <w:rsid w:val="007243F2"/>
    <w:rsid w:val="00724420"/>
    <w:rsid w:val="0072499C"/>
    <w:rsid w:val="00724DC9"/>
    <w:rsid w:val="00725C9D"/>
    <w:rsid w:val="007260B4"/>
    <w:rsid w:val="007265B7"/>
    <w:rsid w:val="007265FA"/>
    <w:rsid w:val="00727CAC"/>
    <w:rsid w:val="007310EF"/>
    <w:rsid w:val="00733232"/>
    <w:rsid w:val="00734EA0"/>
    <w:rsid w:val="007360B4"/>
    <w:rsid w:val="00737520"/>
    <w:rsid w:val="00740DF9"/>
    <w:rsid w:val="00740FEA"/>
    <w:rsid w:val="00741397"/>
    <w:rsid w:val="00741942"/>
    <w:rsid w:val="00741C7E"/>
    <w:rsid w:val="00741CF9"/>
    <w:rsid w:val="00742091"/>
    <w:rsid w:val="00742B8D"/>
    <w:rsid w:val="0074323A"/>
    <w:rsid w:val="007434FB"/>
    <w:rsid w:val="00744681"/>
    <w:rsid w:val="00745704"/>
    <w:rsid w:val="00746947"/>
    <w:rsid w:val="00747318"/>
    <w:rsid w:val="00747711"/>
    <w:rsid w:val="00747A74"/>
    <w:rsid w:val="00747F86"/>
    <w:rsid w:val="0075332E"/>
    <w:rsid w:val="0075375A"/>
    <w:rsid w:val="00754ED9"/>
    <w:rsid w:val="007557BD"/>
    <w:rsid w:val="00755A36"/>
    <w:rsid w:val="00757E5D"/>
    <w:rsid w:val="00760CF9"/>
    <w:rsid w:val="007612C4"/>
    <w:rsid w:val="00761DBC"/>
    <w:rsid w:val="007622B4"/>
    <w:rsid w:val="007636AF"/>
    <w:rsid w:val="00763A9A"/>
    <w:rsid w:val="00763F29"/>
    <w:rsid w:val="007658C4"/>
    <w:rsid w:val="00765971"/>
    <w:rsid w:val="00770397"/>
    <w:rsid w:val="00770A3D"/>
    <w:rsid w:val="00771EC0"/>
    <w:rsid w:val="007720D7"/>
    <w:rsid w:val="0077307E"/>
    <w:rsid w:val="00773366"/>
    <w:rsid w:val="007741D9"/>
    <w:rsid w:val="00775D50"/>
    <w:rsid w:val="00775DC1"/>
    <w:rsid w:val="007763BB"/>
    <w:rsid w:val="00776D7C"/>
    <w:rsid w:val="00780053"/>
    <w:rsid w:val="00780886"/>
    <w:rsid w:val="0078088C"/>
    <w:rsid w:val="00780C2D"/>
    <w:rsid w:val="0078162D"/>
    <w:rsid w:val="0078250A"/>
    <w:rsid w:val="007826B2"/>
    <w:rsid w:val="00782F79"/>
    <w:rsid w:val="007836E4"/>
    <w:rsid w:val="00783B15"/>
    <w:rsid w:val="00784BA9"/>
    <w:rsid w:val="00784F4E"/>
    <w:rsid w:val="007872DF"/>
    <w:rsid w:val="007909EC"/>
    <w:rsid w:val="00792E59"/>
    <w:rsid w:val="007933B0"/>
    <w:rsid w:val="00793C6A"/>
    <w:rsid w:val="007948F7"/>
    <w:rsid w:val="007952EF"/>
    <w:rsid w:val="00795A8E"/>
    <w:rsid w:val="00795DE1"/>
    <w:rsid w:val="007970BB"/>
    <w:rsid w:val="0079760A"/>
    <w:rsid w:val="00797D3C"/>
    <w:rsid w:val="00797E54"/>
    <w:rsid w:val="007A3170"/>
    <w:rsid w:val="007A3D59"/>
    <w:rsid w:val="007A502E"/>
    <w:rsid w:val="007A5BAD"/>
    <w:rsid w:val="007A7275"/>
    <w:rsid w:val="007A744C"/>
    <w:rsid w:val="007A7E05"/>
    <w:rsid w:val="007B012E"/>
    <w:rsid w:val="007B02FC"/>
    <w:rsid w:val="007B1F12"/>
    <w:rsid w:val="007B232D"/>
    <w:rsid w:val="007B2BBF"/>
    <w:rsid w:val="007B2E90"/>
    <w:rsid w:val="007B436B"/>
    <w:rsid w:val="007B4B63"/>
    <w:rsid w:val="007B4BAC"/>
    <w:rsid w:val="007B6D9F"/>
    <w:rsid w:val="007B7768"/>
    <w:rsid w:val="007B789E"/>
    <w:rsid w:val="007B7DD0"/>
    <w:rsid w:val="007C03B9"/>
    <w:rsid w:val="007C048B"/>
    <w:rsid w:val="007C0BCB"/>
    <w:rsid w:val="007C13F3"/>
    <w:rsid w:val="007C1802"/>
    <w:rsid w:val="007C1844"/>
    <w:rsid w:val="007C19D3"/>
    <w:rsid w:val="007C30CF"/>
    <w:rsid w:val="007C3507"/>
    <w:rsid w:val="007C3CFA"/>
    <w:rsid w:val="007C44BE"/>
    <w:rsid w:val="007C4841"/>
    <w:rsid w:val="007C4C30"/>
    <w:rsid w:val="007C51E5"/>
    <w:rsid w:val="007C6D98"/>
    <w:rsid w:val="007D10F1"/>
    <w:rsid w:val="007D1D98"/>
    <w:rsid w:val="007D2419"/>
    <w:rsid w:val="007D4E8F"/>
    <w:rsid w:val="007D4F26"/>
    <w:rsid w:val="007D4FBD"/>
    <w:rsid w:val="007D509D"/>
    <w:rsid w:val="007D6D1A"/>
    <w:rsid w:val="007D761F"/>
    <w:rsid w:val="007D7759"/>
    <w:rsid w:val="007E0E42"/>
    <w:rsid w:val="007E14EE"/>
    <w:rsid w:val="007E29A2"/>
    <w:rsid w:val="007E3964"/>
    <w:rsid w:val="007E3E08"/>
    <w:rsid w:val="007E4048"/>
    <w:rsid w:val="007E40CF"/>
    <w:rsid w:val="007E4DFD"/>
    <w:rsid w:val="007E510D"/>
    <w:rsid w:val="007E6DD3"/>
    <w:rsid w:val="007E6FE0"/>
    <w:rsid w:val="007E76D9"/>
    <w:rsid w:val="007E7813"/>
    <w:rsid w:val="007E7921"/>
    <w:rsid w:val="007F01B2"/>
    <w:rsid w:val="007F1881"/>
    <w:rsid w:val="007F1B0F"/>
    <w:rsid w:val="007F1C71"/>
    <w:rsid w:val="007F206D"/>
    <w:rsid w:val="007F229A"/>
    <w:rsid w:val="007F2FFF"/>
    <w:rsid w:val="007F480C"/>
    <w:rsid w:val="007F489E"/>
    <w:rsid w:val="007F592C"/>
    <w:rsid w:val="007F5D45"/>
    <w:rsid w:val="007F5E4C"/>
    <w:rsid w:val="007F693F"/>
    <w:rsid w:val="007F6B7F"/>
    <w:rsid w:val="0080114B"/>
    <w:rsid w:val="00801482"/>
    <w:rsid w:val="00801595"/>
    <w:rsid w:val="008015BA"/>
    <w:rsid w:val="00802C3A"/>
    <w:rsid w:val="00802E0B"/>
    <w:rsid w:val="008031CE"/>
    <w:rsid w:val="00803363"/>
    <w:rsid w:val="0080336E"/>
    <w:rsid w:val="00803578"/>
    <w:rsid w:val="008047F7"/>
    <w:rsid w:val="0080561A"/>
    <w:rsid w:val="00806EFC"/>
    <w:rsid w:val="00807A1C"/>
    <w:rsid w:val="0081132F"/>
    <w:rsid w:val="0081158D"/>
    <w:rsid w:val="00812606"/>
    <w:rsid w:val="0081377D"/>
    <w:rsid w:val="00813F3D"/>
    <w:rsid w:val="0081601A"/>
    <w:rsid w:val="00816496"/>
    <w:rsid w:val="00816B38"/>
    <w:rsid w:val="00816C87"/>
    <w:rsid w:val="00816EEA"/>
    <w:rsid w:val="00821332"/>
    <w:rsid w:val="00822E67"/>
    <w:rsid w:val="00823C71"/>
    <w:rsid w:val="00824292"/>
    <w:rsid w:val="00825EB1"/>
    <w:rsid w:val="0082633C"/>
    <w:rsid w:val="008264B4"/>
    <w:rsid w:val="00826A45"/>
    <w:rsid w:val="00827641"/>
    <w:rsid w:val="00827DF7"/>
    <w:rsid w:val="00830C56"/>
    <w:rsid w:val="00831ACD"/>
    <w:rsid w:val="0083236F"/>
    <w:rsid w:val="00832A11"/>
    <w:rsid w:val="0083303C"/>
    <w:rsid w:val="008341AE"/>
    <w:rsid w:val="0083447F"/>
    <w:rsid w:val="00836159"/>
    <w:rsid w:val="0083799A"/>
    <w:rsid w:val="00837DE8"/>
    <w:rsid w:val="0084005A"/>
    <w:rsid w:val="008411CD"/>
    <w:rsid w:val="008413F5"/>
    <w:rsid w:val="0084265C"/>
    <w:rsid w:val="008431B4"/>
    <w:rsid w:val="00844BF5"/>
    <w:rsid w:val="00846099"/>
    <w:rsid w:val="00846B1C"/>
    <w:rsid w:val="00846DF2"/>
    <w:rsid w:val="008474BB"/>
    <w:rsid w:val="00847A02"/>
    <w:rsid w:val="00847CBA"/>
    <w:rsid w:val="0085090F"/>
    <w:rsid w:val="00850A33"/>
    <w:rsid w:val="00850AF1"/>
    <w:rsid w:val="0085106B"/>
    <w:rsid w:val="008517E1"/>
    <w:rsid w:val="008526D0"/>
    <w:rsid w:val="00853445"/>
    <w:rsid w:val="00853452"/>
    <w:rsid w:val="00853AA2"/>
    <w:rsid w:val="00853B1A"/>
    <w:rsid w:val="00853FEE"/>
    <w:rsid w:val="00854320"/>
    <w:rsid w:val="00860BAC"/>
    <w:rsid w:val="00860C94"/>
    <w:rsid w:val="00860F4E"/>
    <w:rsid w:val="00860F93"/>
    <w:rsid w:val="0086198B"/>
    <w:rsid w:val="008622B3"/>
    <w:rsid w:val="00863850"/>
    <w:rsid w:val="00863FF3"/>
    <w:rsid w:val="008645BF"/>
    <w:rsid w:val="00864B69"/>
    <w:rsid w:val="00864FE2"/>
    <w:rsid w:val="008657E5"/>
    <w:rsid w:val="00865CFF"/>
    <w:rsid w:val="008661F6"/>
    <w:rsid w:val="00866A82"/>
    <w:rsid w:val="0086715A"/>
    <w:rsid w:val="008702B1"/>
    <w:rsid w:val="008704B0"/>
    <w:rsid w:val="00870A4B"/>
    <w:rsid w:val="00871827"/>
    <w:rsid w:val="00871FA8"/>
    <w:rsid w:val="008720F3"/>
    <w:rsid w:val="00872E3E"/>
    <w:rsid w:val="008738A1"/>
    <w:rsid w:val="00875C7E"/>
    <w:rsid w:val="008772BD"/>
    <w:rsid w:val="00877F43"/>
    <w:rsid w:val="0088033B"/>
    <w:rsid w:val="0088228F"/>
    <w:rsid w:val="00884531"/>
    <w:rsid w:val="00884A19"/>
    <w:rsid w:val="00884B72"/>
    <w:rsid w:val="008850F5"/>
    <w:rsid w:val="0088599E"/>
    <w:rsid w:val="0088620C"/>
    <w:rsid w:val="008865B9"/>
    <w:rsid w:val="0088665C"/>
    <w:rsid w:val="00886753"/>
    <w:rsid w:val="00886C23"/>
    <w:rsid w:val="0089024D"/>
    <w:rsid w:val="008907A3"/>
    <w:rsid w:val="00890A25"/>
    <w:rsid w:val="00890D3F"/>
    <w:rsid w:val="0089105E"/>
    <w:rsid w:val="0089270F"/>
    <w:rsid w:val="00892C5F"/>
    <w:rsid w:val="00893E51"/>
    <w:rsid w:val="00894728"/>
    <w:rsid w:val="008948E8"/>
    <w:rsid w:val="00894E06"/>
    <w:rsid w:val="00897D79"/>
    <w:rsid w:val="008A005B"/>
    <w:rsid w:val="008A00DF"/>
    <w:rsid w:val="008A0910"/>
    <w:rsid w:val="008A3377"/>
    <w:rsid w:val="008A3685"/>
    <w:rsid w:val="008A450C"/>
    <w:rsid w:val="008A48DD"/>
    <w:rsid w:val="008A6DE0"/>
    <w:rsid w:val="008A75DA"/>
    <w:rsid w:val="008A7619"/>
    <w:rsid w:val="008B09B8"/>
    <w:rsid w:val="008B0E56"/>
    <w:rsid w:val="008B140F"/>
    <w:rsid w:val="008B1664"/>
    <w:rsid w:val="008B25BB"/>
    <w:rsid w:val="008B3223"/>
    <w:rsid w:val="008B4483"/>
    <w:rsid w:val="008B49E0"/>
    <w:rsid w:val="008B548D"/>
    <w:rsid w:val="008B55B0"/>
    <w:rsid w:val="008B5F79"/>
    <w:rsid w:val="008B5F8C"/>
    <w:rsid w:val="008B614F"/>
    <w:rsid w:val="008B7715"/>
    <w:rsid w:val="008B7BB7"/>
    <w:rsid w:val="008C0151"/>
    <w:rsid w:val="008C0460"/>
    <w:rsid w:val="008C10CE"/>
    <w:rsid w:val="008C151A"/>
    <w:rsid w:val="008C40C4"/>
    <w:rsid w:val="008C6021"/>
    <w:rsid w:val="008C6987"/>
    <w:rsid w:val="008C6E5E"/>
    <w:rsid w:val="008C7339"/>
    <w:rsid w:val="008C79F8"/>
    <w:rsid w:val="008D0C8C"/>
    <w:rsid w:val="008D2810"/>
    <w:rsid w:val="008D2D4D"/>
    <w:rsid w:val="008D4921"/>
    <w:rsid w:val="008D495B"/>
    <w:rsid w:val="008D5261"/>
    <w:rsid w:val="008D7222"/>
    <w:rsid w:val="008D744A"/>
    <w:rsid w:val="008D7638"/>
    <w:rsid w:val="008D7719"/>
    <w:rsid w:val="008E01F2"/>
    <w:rsid w:val="008E062C"/>
    <w:rsid w:val="008E1C8D"/>
    <w:rsid w:val="008E4A60"/>
    <w:rsid w:val="008E5C10"/>
    <w:rsid w:val="008E659C"/>
    <w:rsid w:val="008E7E43"/>
    <w:rsid w:val="008F059F"/>
    <w:rsid w:val="008F12C2"/>
    <w:rsid w:val="008F14B9"/>
    <w:rsid w:val="008F28B3"/>
    <w:rsid w:val="008F2C5D"/>
    <w:rsid w:val="008F2DDE"/>
    <w:rsid w:val="008F363E"/>
    <w:rsid w:val="008F629E"/>
    <w:rsid w:val="008F6420"/>
    <w:rsid w:val="008F6514"/>
    <w:rsid w:val="008F6DDB"/>
    <w:rsid w:val="008F6E69"/>
    <w:rsid w:val="008F737C"/>
    <w:rsid w:val="008F7477"/>
    <w:rsid w:val="008F780C"/>
    <w:rsid w:val="0090049F"/>
    <w:rsid w:val="009008E2"/>
    <w:rsid w:val="00900FFD"/>
    <w:rsid w:val="0090121B"/>
    <w:rsid w:val="009016E8"/>
    <w:rsid w:val="00902B1F"/>
    <w:rsid w:val="00902C8A"/>
    <w:rsid w:val="0090521E"/>
    <w:rsid w:val="009055B1"/>
    <w:rsid w:val="00905A75"/>
    <w:rsid w:val="009065CC"/>
    <w:rsid w:val="009071AA"/>
    <w:rsid w:val="009079BF"/>
    <w:rsid w:val="00912F0E"/>
    <w:rsid w:val="0091341D"/>
    <w:rsid w:val="00915DB5"/>
    <w:rsid w:val="00917746"/>
    <w:rsid w:val="009179AF"/>
    <w:rsid w:val="00920B6C"/>
    <w:rsid w:val="00921B90"/>
    <w:rsid w:val="00921DCA"/>
    <w:rsid w:val="00921E0F"/>
    <w:rsid w:val="0092232B"/>
    <w:rsid w:val="009228A9"/>
    <w:rsid w:val="00922F47"/>
    <w:rsid w:val="009235C7"/>
    <w:rsid w:val="009238DD"/>
    <w:rsid w:val="00924312"/>
    <w:rsid w:val="00924BEA"/>
    <w:rsid w:val="00925040"/>
    <w:rsid w:val="009256F0"/>
    <w:rsid w:val="00925A23"/>
    <w:rsid w:val="00927026"/>
    <w:rsid w:val="009307A9"/>
    <w:rsid w:val="009309D1"/>
    <w:rsid w:val="009318FA"/>
    <w:rsid w:val="00931FB9"/>
    <w:rsid w:val="0093241E"/>
    <w:rsid w:val="0093311A"/>
    <w:rsid w:val="009334CA"/>
    <w:rsid w:val="00933A11"/>
    <w:rsid w:val="009343C7"/>
    <w:rsid w:val="0093537B"/>
    <w:rsid w:val="009353E4"/>
    <w:rsid w:val="009354E6"/>
    <w:rsid w:val="009360B4"/>
    <w:rsid w:val="00937090"/>
    <w:rsid w:val="009373D7"/>
    <w:rsid w:val="00937994"/>
    <w:rsid w:val="009422B1"/>
    <w:rsid w:val="00942875"/>
    <w:rsid w:val="00942AC4"/>
    <w:rsid w:val="009430CA"/>
    <w:rsid w:val="009433AE"/>
    <w:rsid w:val="009437E7"/>
    <w:rsid w:val="009440D8"/>
    <w:rsid w:val="00944D0E"/>
    <w:rsid w:val="00944DBF"/>
    <w:rsid w:val="00945240"/>
    <w:rsid w:val="0094652D"/>
    <w:rsid w:val="0094683B"/>
    <w:rsid w:val="00947315"/>
    <w:rsid w:val="00947AE4"/>
    <w:rsid w:val="009505B8"/>
    <w:rsid w:val="0095095C"/>
    <w:rsid w:val="00951782"/>
    <w:rsid w:val="0095194F"/>
    <w:rsid w:val="00952CCD"/>
    <w:rsid w:val="00953164"/>
    <w:rsid w:val="00953EAE"/>
    <w:rsid w:val="0095406F"/>
    <w:rsid w:val="009549CF"/>
    <w:rsid w:val="009556CA"/>
    <w:rsid w:val="00955C1D"/>
    <w:rsid w:val="00957D79"/>
    <w:rsid w:val="00960372"/>
    <w:rsid w:val="00962C50"/>
    <w:rsid w:val="00963027"/>
    <w:rsid w:val="00963191"/>
    <w:rsid w:val="00963C02"/>
    <w:rsid w:val="00964091"/>
    <w:rsid w:val="00964CA1"/>
    <w:rsid w:val="009651E5"/>
    <w:rsid w:val="009657E4"/>
    <w:rsid w:val="009658D3"/>
    <w:rsid w:val="00965BE0"/>
    <w:rsid w:val="0097028B"/>
    <w:rsid w:val="009704B4"/>
    <w:rsid w:val="009712C4"/>
    <w:rsid w:val="0097158C"/>
    <w:rsid w:val="00971DE1"/>
    <w:rsid w:val="009729A0"/>
    <w:rsid w:val="00973053"/>
    <w:rsid w:val="00973357"/>
    <w:rsid w:val="00974685"/>
    <w:rsid w:val="009748A6"/>
    <w:rsid w:val="00974A39"/>
    <w:rsid w:val="0097511E"/>
    <w:rsid w:val="00975249"/>
    <w:rsid w:val="00976163"/>
    <w:rsid w:val="00976401"/>
    <w:rsid w:val="00976550"/>
    <w:rsid w:val="00977816"/>
    <w:rsid w:val="00977E53"/>
    <w:rsid w:val="00980310"/>
    <w:rsid w:val="00981668"/>
    <w:rsid w:val="00981A3A"/>
    <w:rsid w:val="009835CA"/>
    <w:rsid w:val="0098374E"/>
    <w:rsid w:val="00985222"/>
    <w:rsid w:val="00985B34"/>
    <w:rsid w:val="00986594"/>
    <w:rsid w:val="0098753C"/>
    <w:rsid w:val="0098761E"/>
    <w:rsid w:val="00987982"/>
    <w:rsid w:val="009903A9"/>
    <w:rsid w:val="009936EE"/>
    <w:rsid w:val="00993B95"/>
    <w:rsid w:val="00994696"/>
    <w:rsid w:val="00995FDF"/>
    <w:rsid w:val="00996003"/>
    <w:rsid w:val="00997567"/>
    <w:rsid w:val="009A02C6"/>
    <w:rsid w:val="009A0826"/>
    <w:rsid w:val="009A098A"/>
    <w:rsid w:val="009A0B6E"/>
    <w:rsid w:val="009A11FB"/>
    <w:rsid w:val="009A2215"/>
    <w:rsid w:val="009A28E2"/>
    <w:rsid w:val="009A324B"/>
    <w:rsid w:val="009A3AF0"/>
    <w:rsid w:val="009A411F"/>
    <w:rsid w:val="009A57CA"/>
    <w:rsid w:val="009A713E"/>
    <w:rsid w:val="009A7802"/>
    <w:rsid w:val="009A7BD9"/>
    <w:rsid w:val="009B0077"/>
    <w:rsid w:val="009B0B55"/>
    <w:rsid w:val="009B11E3"/>
    <w:rsid w:val="009B1882"/>
    <w:rsid w:val="009B24B8"/>
    <w:rsid w:val="009B2D86"/>
    <w:rsid w:val="009B3603"/>
    <w:rsid w:val="009B477D"/>
    <w:rsid w:val="009B5744"/>
    <w:rsid w:val="009B5EE2"/>
    <w:rsid w:val="009B6339"/>
    <w:rsid w:val="009B667D"/>
    <w:rsid w:val="009B6C3B"/>
    <w:rsid w:val="009B7087"/>
    <w:rsid w:val="009B767E"/>
    <w:rsid w:val="009C163F"/>
    <w:rsid w:val="009C1887"/>
    <w:rsid w:val="009C1C8A"/>
    <w:rsid w:val="009C2E21"/>
    <w:rsid w:val="009C318C"/>
    <w:rsid w:val="009C32BE"/>
    <w:rsid w:val="009C3957"/>
    <w:rsid w:val="009C3F72"/>
    <w:rsid w:val="009C4A37"/>
    <w:rsid w:val="009C7B4D"/>
    <w:rsid w:val="009D0464"/>
    <w:rsid w:val="009D1572"/>
    <w:rsid w:val="009D3081"/>
    <w:rsid w:val="009D3A16"/>
    <w:rsid w:val="009D3BA6"/>
    <w:rsid w:val="009D4041"/>
    <w:rsid w:val="009D4E1F"/>
    <w:rsid w:val="009D5A15"/>
    <w:rsid w:val="009D5CEC"/>
    <w:rsid w:val="009D730F"/>
    <w:rsid w:val="009D79A2"/>
    <w:rsid w:val="009D7DCF"/>
    <w:rsid w:val="009E04B1"/>
    <w:rsid w:val="009E05EE"/>
    <w:rsid w:val="009E34FD"/>
    <w:rsid w:val="009E3F9B"/>
    <w:rsid w:val="009E4D79"/>
    <w:rsid w:val="009E5763"/>
    <w:rsid w:val="009E6A87"/>
    <w:rsid w:val="009E6D68"/>
    <w:rsid w:val="009E711D"/>
    <w:rsid w:val="009E7358"/>
    <w:rsid w:val="009E74C1"/>
    <w:rsid w:val="009F017B"/>
    <w:rsid w:val="009F24E5"/>
    <w:rsid w:val="009F2D75"/>
    <w:rsid w:val="009F2FD7"/>
    <w:rsid w:val="009F3466"/>
    <w:rsid w:val="009F3BF7"/>
    <w:rsid w:val="009F5FEB"/>
    <w:rsid w:val="009F67C1"/>
    <w:rsid w:val="009F7CA3"/>
    <w:rsid w:val="00A0087D"/>
    <w:rsid w:val="00A008D6"/>
    <w:rsid w:val="00A00C7D"/>
    <w:rsid w:val="00A0244F"/>
    <w:rsid w:val="00A026B2"/>
    <w:rsid w:val="00A02941"/>
    <w:rsid w:val="00A02FE1"/>
    <w:rsid w:val="00A03109"/>
    <w:rsid w:val="00A03CB0"/>
    <w:rsid w:val="00A03F8A"/>
    <w:rsid w:val="00A04003"/>
    <w:rsid w:val="00A059F5"/>
    <w:rsid w:val="00A070D4"/>
    <w:rsid w:val="00A105D0"/>
    <w:rsid w:val="00A10A65"/>
    <w:rsid w:val="00A10B92"/>
    <w:rsid w:val="00A13774"/>
    <w:rsid w:val="00A141FC"/>
    <w:rsid w:val="00A164FB"/>
    <w:rsid w:val="00A16AA5"/>
    <w:rsid w:val="00A176C0"/>
    <w:rsid w:val="00A2025F"/>
    <w:rsid w:val="00A209C8"/>
    <w:rsid w:val="00A20D51"/>
    <w:rsid w:val="00A21B9B"/>
    <w:rsid w:val="00A21EDC"/>
    <w:rsid w:val="00A223BE"/>
    <w:rsid w:val="00A22F96"/>
    <w:rsid w:val="00A243BB"/>
    <w:rsid w:val="00A24BE9"/>
    <w:rsid w:val="00A24EE9"/>
    <w:rsid w:val="00A26008"/>
    <w:rsid w:val="00A2618D"/>
    <w:rsid w:val="00A26CA9"/>
    <w:rsid w:val="00A27E7C"/>
    <w:rsid w:val="00A3050E"/>
    <w:rsid w:val="00A30C86"/>
    <w:rsid w:val="00A310B6"/>
    <w:rsid w:val="00A319B8"/>
    <w:rsid w:val="00A31A32"/>
    <w:rsid w:val="00A31C6F"/>
    <w:rsid w:val="00A32277"/>
    <w:rsid w:val="00A32EEE"/>
    <w:rsid w:val="00A33620"/>
    <w:rsid w:val="00A33BE3"/>
    <w:rsid w:val="00A34497"/>
    <w:rsid w:val="00A348C7"/>
    <w:rsid w:val="00A3569C"/>
    <w:rsid w:val="00A35AE1"/>
    <w:rsid w:val="00A3623A"/>
    <w:rsid w:val="00A40513"/>
    <w:rsid w:val="00A4083B"/>
    <w:rsid w:val="00A43114"/>
    <w:rsid w:val="00A43A04"/>
    <w:rsid w:val="00A43B30"/>
    <w:rsid w:val="00A44010"/>
    <w:rsid w:val="00A44B4D"/>
    <w:rsid w:val="00A44FBA"/>
    <w:rsid w:val="00A456E5"/>
    <w:rsid w:val="00A46326"/>
    <w:rsid w:val="00A46CFC"/>
    <w:rsid w:val="00A50223"/>
    <w:rsid w:val="00A50790"/>
    <w:rsid w:val="00A50DE4"/>
    <w:rsid w:val="00A51C46"/>
    <w:rsid w:val="00A5511A"/>
    <w:rsid w:val="00A55132"/>
    <w:rsid w:val="00A55E4C"/>
    <w:rsid w:val="00A55E90"/>
    <w:rsid w:val="00A60365"/>
    <w:rsid w:val="00A62002"/>
    <w:rsid w:val="00A624DD"/>
    <w:rsid w:val="00A63F4A"/>
    <w:rsid w:val="00A640E0"/>
    <w:rsid w:val="00A65A7C"/>
    <w:rsid w:val="00A65C59"/>
    <w:rsid w:val="00A65F84"/>
    <w:rsid w:val="00A66223"/>
    <w:rsid w:val="00A66339"/>
    <w:rsid w:val="00A665B2"/>
    <w:rsid w:val="00A66D86"/>
    <w:rsid w:val="00A6774F"/>
    <w:rsid w:val="00A67BBA"/>
    <w:rsid w:val="00A67D52"/>
    <w:rsid w:val="00A70314"/>
    <w:rsid w:val="00A7072E"/>
    <w:rsid w:val="00A7086A"/>
    <w:rsid w:val="00A70FAC"/>
    <w:rsid w:val="00A71BC5"/>
    <w:rsid w:val="00A72163"/>
    <w:rsid w:val="00A72F8A"/>
    <w:rsid w:val="00A7349E"/>
    <w:rsid w:val="00A73C12"/>
    <w:rsid w:val="00A742D8"/>
    <w:rsid w:val="00A743D6"/>
    <w:rsid w:val="00A74D93"/>
    <w:rsid w:val="00A75AF5"/>
    <w:rsid w:val="00A75CAD"/>
    <w:rsid w:val="00A770FB"/>
    <w:rsid w:val="00A77318"/>
    <w:rsid w:val="00A77AB6"/>
    <w:rsid w:val="00A805DF"/>
    <w:rsid w:val="00A80C5B"/>
    <w:rsid w:val="00A81139"/>
    <w:rsid w:val="00A81729"/>
    <w:rsid w:val="00A8343B"/>
    <w:rsid w:val="00A83CB3"/>
    <w:rsid w:val="00A855B3"/>
    <w:rsid w:val="00A85957"/>
    <w:rsid w:val="00A85BF8"/>
    <w:rsid w:val="00A85E6E"/>
    <w:rsid w:val="00A86E2C"/>
    <w:rsid w:val="00A871B2"/>
    <w:rsid w:val="00A87BB8"/>
    <w:rsid w:val="00A907B8"/>
    <w:rsid w:val="00A91F60"/>
    <w:rsid w:val="00A92073"/>
    <w:rsid w:val="00A92AED"/>
    <w:rsid w:val="00A931D8"/>
    <w:rsid w:val="00A944F0"/>
    <w:rsid w:val="00A94640"/>
    <w:rsid w:val="00A958B6"/>
    <w:rsid w:val="00A95E84"/>
    <w:rsid w:val="00A964CC"/>
    <w:rsid w:val="00A971F3"/>
    <w:rsid w:val="00A978F0"/>
    <w:rsid w:val="00A97D56"/>
    <w:rsid w:val="00AA0063"/>
    <w:rsid w:val="00AA0760"/>
    <w:rsid w:val="00AA0E2A"/>
    <w:rsid w:val="00AA210F"/>
    <w:rsid w:val="00AA2926"/>
    <w:rsid w:val="00AA38B6"/>
    <w:rsid w:val="00AA5605"/>
    <w:rsid w:val="00AA5D47"/>
    <w:rsid w:val="00AA6004"/>
    <w:rsid w:val="00AB0EFE"/>
    <w:rsid w:val="00AB10D9"/>
    <w:rsid w:val="00AB1203"/>
    <w:rsid w:val="00AB1AC4"/>
    <w:rsid w:val="00AB225D"/>
    <w:rsid w:val="00AB2403"/>
    <w:rsid w:val="00AB28B1"/>
    <w:rsid w:val="00AB2B7C"/>
    <w:rsid w:val="00AB2CDA"/>
    <w:rsid w:val="00AB44CC"/>
    <w:rsid w:val="00AB52EE"/>
    <w:rsid w:val="00AB6298"/>
    <w:rsid w:val="00AB6ED4"/>
    <w:rsid w:val="00AC098A"/>
    <w:rsid w:val="00AC1DE3"/>
    <w:rsid w:val="00AC20C9"/>
    <w:rsid w:val="00AC258D"/>
    <w:rsid w:val="00AC5A9A"/>
    <w:rsid w:val="00AC6236"/>
    <w:rsid w:val="00AC7FC4"/>
    <w:rsid w:val="00AD3B75"/>
    <w:rsid w:val="00AD412C"/>
    <w:rsid w:val="00AD41F2"/>
    <w:rsid w:val="00AD47E1"/>
    <w:rsid w:val="00AD4EA1"/>
    <w:rsid w:val="00AD5A06"/>
    <w:rsid w:val="00AD6729"/>
    <w:rsid w:val="00AD7259"/>
    <w:rsid w:val="00AE0577"/>
    <w:rsid w:val="00AE066E"/>
    <w:rsid w:val="00AE07C0"/>
    <w:rsid w:val="00AE2DF2"/>
    <w:rsid w:val="00AE33F6"/>
    <w:rsid w:val="00AE44B2"/>
    <w:rsid w:val="00AE4B90"/>
    <w:rsid w:val="00AE4EC6"/>
    <w:rsid w:val="00AE6CB1"/>
    <w:rsid w:val="00AE7C38"/>
    <w:rsid w:val="00AF03CE"/>
    <w:rsid w:val="00AF06FB"/>
    <w:rsid w:val="00AF0FD1"/>
    <w:rsid w:val="00AF10B0"/>
    <w:rsid w:val="00AF22BE"/>
    <w:rsid w:val="00AF3A69"/>
    <w:rsid w:val="00AF43E1"/>
    <w:rsid w:val="00AF5C73"/>
    <w:rsid w:val="00AF5CD6"/>
    <w:rsid w:val="00AF5FBE"/>
    <w:rsid w:val="00B0024D"/>
    <w:rsid w:val="00B015A0"/>
    <w:rsid w:val="00B02604"/>
    <w:rsid w:val="00B026B0"/>
    <w:rsid w:val="00B02FC4"/>
    <w:rsid w:val="00B04778"/>
    <w:rsid w:val="00B0489F"/>
    <w:rsid w:val="00B05864"/>
    <w:rsid w:val="00B06E35"/>
    <w:rsid w:val="00B10ADD"/>
    <w:rsid w:val="00B124F2"/>
    <w:rsid w:val="00B1293D"/>
    <w:rsid w:val="00B13A27"/>
    <w:rsid w:val="00B13CCB"/>
    <w:rsid w:val="00B13D0B"/>
    <w:rsid w:val="00B14547"/>
    <w:rsid w:val="00B1486D"/>
    <w:rsid w:val="00B1503D"/>
    <w:rsid w:val="00B17D81"/>
    <w:rsid w:val="00B17E39"/>
    <w:rsid w:val="00B202F5"/>
    <w:rsid w:val="00B234BB"/>
    <w:rsid w:val="00B234C9"/>
    <w:rsid w:val="00B23CA3"/>
    <w:rsid w:val="00B23DAD"/>
    <w:rsid w:val="00B24324"/>
    <w:rsid w:val="00B252F2"/>
    <w:rsid w:val="00B255C6"/>
    <w:rsid w:val="00B25658"/>
    <w:rsid w:val="00B26492"/>
    <w:rsid w:val="00B26BCF"/>
    <w:rsid w:val="00B26D65"/>
    <w:rsid w:val="00B279D0"/>
    <w:rsid w:val="00B30C8C"/>
    <w:rsid w:val="00B3203B"/>
    <w:rsid w:val="00B32788"/>
    <w:rsid w:val="00B3378B"/>
    <w:rsid w:val="00B339FC"/>
    <w:rsid w:val="00B34352"/>
    <w:rsid w:val="00B351E8"/>
    <w:rsid w:val="00B35F34"/>
    <w:rsid w:val="00B36489"/>
    <w:rsid w:val="00B36FF0"/>
    <w:rsid w:val="00B3702F"/>
    <w:rsid w:val="00B37114"/>
    <w:rsid w:val="00B37C2A"/>
    <w:rsid w:val="00B37C35"/>
    <w:rsid w:val="00B37D63"/>
    <w:rsid w:val="00B40767"/>
    <w:rsid w:val="00B422DB"/>
    <w:rsid w:val="00B43314"/>
    <w:rsid w:val="00B434E0"/>
    <w:rsid w:val="00B437EB"/>
    <w:rsid w:val="00B44C59"/>
    <w:rsid w:val="00B450D7"/>
    <w:rsid w:val="00B4599B"/>
    <w:rsid w:val="00B45F8D"/>
    <w:rsid w:val="00B4618D"/>
    <w:rsid w:val="00B46223"/>
    <w:rsid w:val="00B463AF"/>
    <w:rsid w:val="00B4687D"/>
    <w:rsid w:val="00B468C3"/>
    <w:rsid w:val="00B47F2E"/>
    <w:rsid w:val="00B505BA"/>
    <w:rsid w:val="00B519C3"/>
    <w:rsid w:val="00B51AF5"/>
    <w:rsid w:val="00B51F5E"/>
    <w:rsid w:val="00B52231"/>
    <w:rsid w:val="00B52FDF"/>
    <w:rsid w:val="00B545F3"/>
    <w:rsid w:val="00B54D62"/>
    <w:rsid w:val="00B555A4"/>
    <w:rsid w:val="00B557B7"/>
    <w:rsid w:val="00B55EBF"/>
    <w:rsid w:val="00B56162"/>
    <w:rsid w:val="00B56472"/>
    <w:rsid w:val="00B56AC6"/>
    <w:rsid w:val="00B57887"/>
    <w:rsid w:val="00B6026D"/>
    <w:rsid w:val="00B62349"/>
    <w:rsid w:val="00B62775"/>
    <w:rsid w:val="00B632FA"/>
    <w:rsid w:val="00B637AD"/>
    <w:rsid w:val="00B64947"/>
    <w:rsid w:val="00B659A3"/>
    <w:rsid w:val="00B66FEC"/>
    <w:rsid w:val="00B706E9"/>
    <w:rsid w:val="00B708C9"/>
    <w:rsid w:val="00B73152"/>
    <w:rsid w:val="00B738C0"/>
    <w:rsid w:val="00B74554"/>
    <w:rsid w:val="00B76A92"/>
    <w:rsid w:val="00B77B52"/>
    <w:rsid w:val="00B81FDC"/>
    <w:rsid w:val="00B82F9B"/>
    <w:rsid w:val="00B834E8"/>
    <w:rsid w:val="00B83BC3"/>
    <w:rsid w:val="00B83F61"/>
    <w:rsid w:val="00B84684"/>
    <w:rsid w:val="00B859A9"/>
    <w:rsid w:val="00B86FAF"/>
    <w:rsid w:val="00B8795F"/>
    <w:rsid w:val="00B87EF5"/>
    <w:rsid w:val="00B906AD"/>
    <w:rsid w:val="00B91007"/>
    <w:rsid w:val="00B91043"/>
    <w:rsid w:val="00B912B3"/>
    <w:rsid w:val="00B914D9"/>
    <w:rsid w:val="00B929FA"/>
    <w:rsid w:val="00B96287"/>
    <w:rsid w:val="00B96A22"/>
    <w:rsid w:val="00BA056E"/>
    <w:rsid w:val="00BA0811"/>
    <w:rsid w:val="00BA1AF1"/>
    <w:rsid w:val="00BA298A"/>
    <w:rsid w:val="00BA2F59"/>
    <w:rsid w:val="00BA4EFD"/>
    <w:rsid w:val="00BA5F57"/>
    <w:rsid w:val="00BA6E27"/>
    <w:rsid w:val="00BB0B3D"/>
    <w:rsid w:val="00BB233E"/>
    <w:rsid w:val="00BB27EF"/>
    <w:rsid w:val="00BB3DD8"/>
    <w:rsid w:val="00BB42E0"/>
    <w:rsid w:val="00BB6390"/>
    <w:rsid w:val="00BB6F3B"/>
    <w:rsid w:val="00BB70D8"/>
    <w:rsid w:val="00BC0399"/>
    <w:rsid w:val="00BC0406"/>
    <w:rsid w:val="00BC265D"/>
    <w:rsid w:val="00BC3797"/>
    <w:rsid w:val="00BC39D1"/>
    <w:rsid w:val="00BC6ECB"/>
    <w:rsid w:val="00BC6F16"/>
    <w:rsid w:val="00BC7093"/>
    <w:rsid w:val="00BC7E30"/>
    <w:rsid w:val="00BD030E"/>
    <w:rsid w:val="00BD063A"/>
    <w:rsid w:val="00BD0C2F"/>
    <w:rsid w:val="00BD10AD"/>
    <w:rsid w:val="00BD1279"/>
    <w:rsid w:val="00BD2A9E"/>
    <w:rsid w:val="00BD310D"/>
    <w:rsid w:val="00BD4D7C"/>
    <w:rsid w:val="00BD4DF7"/>
    <w:rsid w:val="00BD5120"/>
    <w:rsid w:val="00BD5478"/>
    <w:rsid w:val="00BD584E"/>
    <w:rsid w:val="00BD6585"/>
    <w:rsid w:val="00BD7034"/>
    <w:rsid w:val="00BD726C"/>
    <w:rsid w:val="00BD7E04"/>
    <w:rsid w:val="00BE01F1"/>
    <w:rsid w:val="00BE04B1"/>
    <w:rsid w:val="00BE066B"/>
    <w:rsid w:val="00BE2B02"/>
    <w:rsid w:val="00BE3CF8"/>
    <w:rsid w:val="00BE5CA2"/>
    <w:rsid w:val="00BE5F80"/>
    <w:rsid w:val="00BE6DFF"/>
    <w:rsid w:val="00BE76AC"/>
    <w:rsid w:val="00BE7E31"/>
    <w:rsid w:val="00BF022F"/>
    <w:rsid w:val="00BF095E"/>
    <w:rsid w:val="00BF1A31"/>
    <w:rsid w:val="00BF2A48"/>
    <w:rsid w:val="00BF3235"/>
    <w:rsid w:val="00BF5A30"/>
    <w:rsid w:val="00BF5C2A"/>
    <w:rsid w:val="00BF6AE5"/>
    <w:rsid w:val="00BF728A"/>
    <w:rsid w:val="00BF76EB"/>
    <w:rsid w:val="00BF7CD0"/>
    <w:rsid w:val="00C00791"/>
    <w:rsid w:val="00C00D0E"/>
    <w:rsid w:val="00C01F10"/>
    <w:rsid w:val="00C02504"/>
    <w:rsid w:val="00C0269F"/>
    <w:rsid w:val="00C02CF2"/>
    <w:rsid w:val="00C03642"/>
    <w:rsid w:val="00C042A0"/>
    <w:rsid w:val="00C04DF1"/>
    <w:rsid w:val="00C0543E"/>
    <w:rsid w:val="00C05593"/>
    <w:rsid w:val="00C0645B"/>
    <w:rsid w:val="00C06BF8"/>
    <w:rsid w:val="00C10CE1"/>
    <w:rsid w:val="00C1242D"/>
    <w:rsid w:val="00C136E2"/>
    <w:rsid w:val="00C14255"/>
    <w:rsid w:val="00C142A8"/>
    <w:rsid w:val="00C147A0"/>
    <w:rsid w:val="00C16207"/>
    <w:rsid w:val="00C16260"/>
    <w:rsid w:val="00C17532"/>
    <w:rsid w:val="00C20A1E"/>
    <w:rsid w:val="00C2371D"/>
    <w:rsid w:val="00C24461"/>
    <w:rsid w:val="00C25F32"/>
    <w:rsid w:val="00C261C1"/>
    <w:rsid w:val="00C26614"/>
    <w:rsid w:val="00C26B71"/>
    <w:rsid w:val="00C26F48"/>
    <w:rsid w:val="00C27825"/>
    <w:rsid w:val="00C31056"/>
    <w:rsid w:val="00C319FF"/>
    <w:rsid w:val="00C31E59"/>
    <w:rsid w:val="00C32565"/>
    <w:rsid w:val="00C3324B"/>
    <w:rsid w:val="00C35515"/>
    <w:rsid w:val="00C36C32"/>
    <w:rsid w:val="00C37B00"/>
    <w:rsid w:val="00C40B20"/>
    <w:rsid w:val="00C40D86"/>
    <w:rsid w:val="00C40E96"/>
    <w:rsid w:val="00C4151C"/>
    <w:rsid w:val="00C41896"/>
    <w:rsid w:val="00C42FB5"/>
    <w:rsid w:val="00C438F1"/>
    <w:rsid w:val="00C44CE2"/>
    <w:rsid w:val="00C45193"/>
    <w:rsid w:val="00C461A9"/>
    <w:rsid w:val="00C47431"/>
    <w:rsid w:val="00C47F85"/>
    <w:rsid w:val="00C51346"/>
    <w:rsid w:val="00C51A36"/>
    <w:rsid w:val="00C51E0E"/>
    <w:rsid w:val="00C52A25"/>
    <w:rsid w:val="00C52CBF"/>
    <w:rsid w:val="00C52D25"/>
    <w:rsid w:val="00C53A80"/>
    <w:rsid w:val="00C53CD5"/>
    <w:rsid w:val="00C547D0"/>
    <w:rsid w:val="00C5560A"/>
    <w:rsid w:val="00C5578C"/>
    <w:rsid w:val="00C5597C"/>
    <w:rsid w:val="00C55DAE"/>
    <w:rsid w:val="00C60236"/>
    <w:rsid w:val="00C644FF"/>
    <w:rsid w:val="00C648BF"/>
    <w:rsid w:val="00C64C2A"/>
    <w:rsid w:val="00C64E26"/>
    <w:rsid w:val="00C65054"/>
    <w:rsid w:val="00C65B3F"/>
    <w:rsid w:val="00C66F3A"/>
    <w:rsid w:val="00C66F3B"/>
    <w:rsid w:val="00C70F62"/>
    <w:rsid w:val="00C7138C"/>
    <w:rsid w:val="00C71D1B"/>
    <w:rsid w:val="00C72640"/>
    <w:rsid w:val="00C72ECD"/>
    <w:rsid w:val="00C73D97"/>
    <w:rsid w:val="00C745B7"/>
    <w:rsid w:val="00C768E9"/>
    <w:rsid w:val="00C8195B"/>
    <w:rsid w:val="00C81A01"/>
    <w:rsid w:val="00C81A8A"/>
    <w:rsid w:val="00C81B42"/>
    <w:rsid w:val="00C82EB5"/>
    <w:rsid w:val="00C82F3B"/>
    <w:rsid w:val="00C830F5"/>
    <w:rsid w:val="00C8315A"/>
    <w:rsid w:val="00C83F43"/>
    <w:rsid w:val="00C84113"/>
    <w:rsid w:val="00C847B3"/>
    <w:rsid w:val="00C84A1E"/>
    <w:rsid w:val="00C84C94"/>
    <w:rsid w:val="00C854AC"/>
    <w:rsid w:val="00C85AA0"/>
    <w:rsid w:val="00C87899"/>
    <w:rsid w:val="00C908B0"/>
    <w:rsid w:val="00C91928"/>
    <w:rsid w:val="00C91FBE"/>
    <w:rsid w:val="00C93462"/>
    <w:rsid w:val="00C9371B"/>
    <w:rsid w:val="00C93D91"/>
    <w:rsid w:val="00C94487"/>
    <w:rsid w:val="00C9490F"/>
    <w:rsid w:val="00C94AA3"/>
    <w:rsid w:val="00C94AC8"/>
    <w:rsid w:val="00C94FBF"/>
    <w:rsid w:val="00C95A3C"/>
    <w:rsid w:val="00C95B04"/>
    <w:rsid w:val="00C95C6A"/>
    <w:rsid w:val="00C9640F"/>
    <w:rsid w:val="00CA09A2"/>
    <w:rsid w:val="00CA0C8C"/>
    <w:rsid w:val="00CA0CBA"/>
    <w:rsid w:val="00CA20C0"/>
    <w:rsid w:val="00CA3664"/>
    <w:rsid w:val="00CA3B30"/>
    <w:rsid w:val="00CA43D6"/>
    <w:rsid w:val="00CA5DEA"/>
    <w:rsid w:val="00CA6B85"/>
    <w:rsid w:val="00CA7BDF"/>
    <w:rsid w:val="00CA7EF2"/>
    <w:rsid w:val="00CB102E"/>
    <w:rsid w:val="00CB1361"/>
    <w:rsid w:val="00CB2660"/>
    <w:rsid w:val="00CB2C50"/>
    <w:rsid w:val="00CB4702"/>
    <w:rsid w:val="00CB4EB2"/>
    <w:rsid w:val="00CB4EE0"/>
    <w:rsid w:val="00CB51FA"/>
    <w:rsid w:val="00CB5929"/>
    <w:rsid w:val="00CB64EA"/>
    <w:rsid w:val="00CB7790"/>
    <w:rsid w:val="00CB7DBE"/>
    <w:rsid w:val="00CC1F9A"/>
    <w:rsid w:val="00CC380E"/>
    <w:rsid w:val="00CC3A45"/>
    <w:rsid w:val="00CC451C"/>
    <w:rsid w:val="00CC4DC6"/>
    <w:rsid w:val="00CC566B"/>
    <w:rsid w:val="00CC585A"/>
    <w:rsid w:val="00CC5876"/>
    <w:rsid w:val="00CC5E5C"/>
    <w:rsid w:val="00CC76CA"/>
    <w:rsid w:val="00CD0B5A"/>
    <w:rsid w:val="00CD0CE7"/>
    <w:rsid w:val="00CD0FC1"/>
    <w:rsid w:val="00CD1187"/>
    <w:rsid w:val="00CD2006"/>
    <w:rsid w:val="00CD34B7"/>
    <w:rsid w:val="00CD3CE2"/>
    <w:rsid w:val="00CD4A9E"/>
    <w:rsid w:val="00CD4FF4"/>
    <w:rsid w:val="00CD6E50"/>
    <w:rsid w:val="00CD7220"/>
    <w:rsid w:val="00CD7744"/>
    <w:rsid w:val="00CD7AC7"/>
    <w:rsid w:val="00CD7FE3"/>
    <w:rsid w:val="00CE28AC"/>
    <w:rsid w:val="00CE2AE5"/>
    <w:rsid w:val="00CE2B4F"/>
    <w:rsid w:val="00CE55BF"/>
    <w:rsid w:val="00CE7FB1"/>
    <w:rsid w:val="00CF0BF3"/>
    <w:rsid w:val="00CF1C5F"/>
    <w:rsid w:val="00CF21EB"/>
    <w:rsid w:val="00CF27BF"/>
    <w:rsid w:val="00CF3974"/>
    <w:rsid w:val="00CF57FB"/>
    <w:rsid w:val="00CF6680"/>
    <w:rsid w:val="00CF6CD2"/>
    <w:rsid w:val="00D000BA"/>
    <w:rsid w:val="00D006CF"/>
    <w:rsid w:val="00D0097C"/>
    <w:rsid w:val="00D00DBE"/>
    <w:rsid w:val="00D0152A"/>
    <w:rsid w:val="00D01F00"/>
    <w:rsid w:val="00D027D2"/>
    <w:rsid w:val="00D0337A"/>
    <w:rsid w:val="00D035CD"/>
    <w:rsid w:val="00D045F3"/>
    <w:rsid w:val="00D0504B"/>
    <w:rsid w:val="00D05334"/>
    <w:rsid w:val="00D060F8"/>
    <w:rsid w:val="00D0753A"/>
    <w:rsid w:val="00D07F5E"/>
    <w:rsid w:val="00D10529"/>
    <w:rsid w:val="00D10637"/>
    <w:rsid w:val="00D10814"/>
    <w:rsid w:val="00D11027"/>
    <w:rsid w:val="00D112C4"/>
    <w:rsid w:val="00D11522"/>
    <w:rsid w:val="00D1306E"/>
    <w:rsid w:val="00D136EE"/>
    <w:rsid w:val="00D13FDE"/>
    <w:rsid w:val="00D1402E"/>
    <w:rsid w:val="00D14D27"/>
    <w:rsid w:val="00D14FAA"/>
    <w:rsid w:val="00D150E1"/>
    <w:rsid w:val="00D15564"/>
    <w:rsid w:val="00D15720"/>
    <w:rsid w:val="00D16151"/>
    <w:rsid w:val="00D1641C"/>
    <w:rsid w:val="00D1773D"/>
    <w:rsid w:val="00D205D6"/>
    <w:rsid w:val="00D20BFA"/>
    <w:rsid w:val="00D21988"/>
    <w:rsid w:val="00D21E2E"/>
    <w:rsid w:val="00D232A9"/>
    <w:rsid w:val="00D25627"/>
    <w:rsid w:val="00D26884"/>
    <w:rsid w:val="00D268FC"/>
    <w:rsid w:val="00D276D2"/>
    <w:rsid w:val="00D32683"/>
    <w:rsid w:val="00D329A5"/>
    <w:rsid w:val="00D335C9"/>
    <w:rsid w:val="00D34081"/>
    <w:rsid w:val="00D345C4"/>
    <w:rsid w:val="00D34D65"/>
    <w:rsid w:val="00D35060"/>
    <w:rsid w:val="00D35C2F"/>
    <w:rsid w:val="00D36D53"/>
    <w:rsid w:val="00D379FB"/>
    <w:rsid w:val="00D37F0A"/>
    <w:rsid w:val="00D404CF"/>
    <w:rsid w:val="00D40927"/>
    <w:rsid w:val="00D40C28"/>
    <w:rsid w:val="00D4117A"/>
    <w:rsid w:val="00D41219"/>
    <w:rsid w:val="00D422D3"/>
    <w:rsid w:val="00D42CD3"/>
    <w:rsid w:val="00D439E9"/>
    <w:rsid w:val="00D43F9E"/>
    <w:rsid w:val="00D43FD7"/>
    <w:rsid w:val="00D44546"/>
    <w:rsid w:val="00D4471B"/>
    <w:rsid w:val="00D45103"/>
    <w:rsid w:val="00D456F2"/>
    <w:rsid w:val="00D46236"/>
    <w:rsid w:val="00D46D45"/>
    <w:rsid w:val="00D46FB9"/>
    <w:rsid w:val="00D4758E"/>
    <w:rsid w:val="00D50D4E"/>
    <w:rsid w:val="00D51BF1"/>
    <w:rsid w:val="00D542D5"/>
    <w:rsid w:val="00D543FE"/>
    <w:rsid w:val="00D55501"/>
    <w:rsid w:val="00D55B84"/>
    <w:rsid w:val="00D55E2E"/>
    <w:rsid w:val="00D563D8"/>
    <w:rsid w:val="00D56615"/>
    <w:rsid w:val="00D56718"/>
    <w:rsid w:val="00D56D41"/>
    <w:rsid w:val="00D56FC0"/>
    <w:rsid w:val="00D57D57"/>
    <w:rsid w:val="00D60598"/>
    <w:rsid w:val="00D61AAE"/>
    <w:rsid w:val="00D630AE"/>
    <w:rsid w:val="00D6395E"/>
    <w:rsid w:val="00D644A1"/>
    <w:rsid w:val="00D64DAF"/>
    <w:rsid w:val="00D658B4"/>
    <w:rsid w:val="00D66C29"/>
    <w:rsid w:val="00D674F4"/>
    <w:rsid w:val="00D67950"/>
    <w:rsid w:val="00D67B48"/>
    <w:rsid w:val="00D67C22"/>
    <w:rsid w:val="00D70E1E"/>
    <w:rsid w:val="00D722F8"/>
    <w:rsid w:val="00D724B1"/>
    <w:rsid w:val="00D72910"/>
    <w:rsid w:val="00D72AFD"/>
    <w:rsid w:val="00D7308D"/>
    <w:rsid w:val="00D740CC"/>
    <w:rsid w:val="00D749E3"/>
    <w:rsid w:val="00D75CB6"/>
    <w:rsid w:val="00D75E42"/>
    <w:rsid w:val="00D75EAD"/>
    <w:rsid w:val="00D770F3"/>
    <w:rsid w:val="00D778A0"/>
    <w:rsid w:val="00D81798"/>
    <w:rsid w:val="00D82838"/>
    <w:rsid w:val="00D83554"/>
    <w:rsid w:val="00D84C17"/>
    <w:rsid w:val="00D85361"/>
    <w:rsid w:val="00D8542D"/>
    <w:rsid w:val="00D863EF"/>
    <w:rsid w:val="00D8640D"/>
    <w:rsid w:val="00D86D7B"/>
    <w:rsid w:val="00D86E71"/>
    <w:rsid w:val="00D87020"/>
    <w:rsid w:val="00D87B4F"/>
    <w:rsid w:val="00D90AD5"/>
    <w:rsid w:val="00D91AA1"/>
    <w:rsid w:val="00D91DF8"/>
    <w:rsid w:val="00D9220F"/>
    <w:rsid w:val="00D930A6"/>
    <w:rsid w:val="00D933D2"/>
    <w:rsid w:val="00D939A0"/>
    <w:rsid w:val="00D93E19"/>
    <w:rsid w:val="00D960ED"/>
    <w:rsid w:val="00D9749B"/>
    <w:rsid w:val="00D9786A"/>
    <w:rsid w:val="00DA0077"/>
    <w:rsid w:val="00DA0144"/>
    <w:rsid w:val="00DA0858"/>
    <w:rsid w:val="00DA0EAC"/>
    <w:rsid w:val="00DA16A2"/>
    <w:rsid w:val="00DA2EE9"/>
    <w:rsid w:val="00DA3869"/>
    <w:rsid w:val="00DA4072"/>
    <w:rsid w:val="00DA4E81"/>
    <w:rsid w:val="00DA58B7"/>
    <w:rsid w:val="00DA5E55"/>
    <w:rsid w:val="00DA6062"/>
    <w:rsid w:val="00DA6824"/>
    <w:rsid w:val="00DA6A0E"/>
    <w:rsid w:val="00DA6B57"/>
    <w:rsid w:val="00DA77F1"/>
    <w:rsid w:val="00DB0689"/>
    <w:rsid w:val="00DB14B4"/>
    <w:rsid w:val="00DB1954"/>
    <w:rsid w:val="00DB2788"/>
    <w:rsid w:val="00DB2953"/>
    <w:rsid w:val="00DB2D73"/>
    <w:rsid w:val="00DB33BF"/>
    <w:rsid w:val="00DB3EEA"/>
    <w:rsid w:val="00DB431E"/>
    <w:rsid w:val="00DB44DA"/>
    <w:rsid w:val="00DB45FE"/>
    <w:rsid w:val="00DB574F"/>
    <w:rsid w:val="00DB6659"/>
    <w:rsid w:val="00DB6A30"/>
    <w:rsid w:val="00DB7E84"/>
    <w:rsid w:val="00DC0198"/>
    <w:rsid w:val="00DC0A3B"/>
    <w:rsid w:val="00DC0EB4"/>
    <w:rsid w:val="00DC1619"/>
    <w:rsid w:val="00DC1C0E"/>
    <w:rsid w:val="00DC20F1"/>
    <w:rsid w:val="00DC33B5"/>
    <w:rsid w:val="00DC3F22"/>
    <w:rsid w:val="00DC4F54"/>
    <w:rsid w:val="00DC57DC"/>
    <w:rsid w:val="00DC59B3"/>
    <w:rsid w:val="00DC5AF1"/>
    <w:rsid w:val="00DC7995"/>
    <w:rsid w:val="00DD227F"/>
    <w:rsid w:val="00DD2E2F"/>
    <w:rsid w:val="00DD3510"/>
    <w:rsid w:val="00DD4484"/>
    <w:rsid w:val="00DD5391"/>
    <w:rsid w:val="00DD550D"/>
    <w:rsid w:val="00DD59BB"/>
    <w:rsid w:val="00DD6D72"/>
    <w:rsid w:val="00DD7481"/>
    <w:rsid w:val="00DD7500"/>
    <w:rsid w:val="00DD79B8"/>
    <w:rsid w:val="00DD7B49"/>
    <w:rsid w:val="00DD7DBF"/>
    <w:rsid w:val="00DE13F4"/>
    <w:rsid w:val="00DE1536"/>
    <w:rsid w:val="00DE2A73"/>
    <w:rsid w:val="00DE37E2"/>
    <w:rsid w:val="00DE455A"/>
    <w:rsid w:val="00DE513D"/>
    <w:rsid w:val="00DE53B4"/>
    <w:rsid w:val="00DE59BF"/>
    <w:rsid w:val="00DE65A6"/>
    <w:rsid w:val="00DE750E"/>
    <w:rsid w:val="00DE76C3"/>
    <w:rsid w:val="00DE79FE"/>
    <w:rsid w:val="00DE7C47"/>
    <w:rsid w:val="00DE7DF2"/>
    <w:rsid w:val="00DF04CE"/>
    <w:rsid w:val="00DF078F"/>
    <w:rsid w:val="00DF19AA"/>
    <w:rsid w:val="00DF1F27"/>
    <w:rsid w:val="00DF38A8"/>
    <w:rsid w:val="00DF3B1E"/>
    <w:rsid w:val="00DF4476"/>
    <w:rsid w:val="00DF5B35"/>
    <w:rsid w:val="00DF65E0"/>
    <w:rsid w:val="00DF6B4C"/>
    <w:rsid w:val="00DF6F74"/>
    <w:rsid w:val="00DF7855"/>
    <w:rsid w:val="00DF7A7B"/>
    <w:rsid w:val="00DF7F64"/>
    <w:rsid w:val="00E025E6"/>
    <w:rsid w:val="00E04385"/>
    <w:rsid w:val="00E04C1C"/>
    <w:rsid w:val="00E050B0"/>
    <w:rsid w:val="00E05AE1"/>
    <w:rsid w:val="00E0698D"/>
    <w:rsid w:val="00E06CFA"/>
    <w:rsid w:val="00E078CB"/>
    <w:rsid w:val="00E07BD4"/>
    <w:rsid w:val="00E1003C"/>
    <w:rsid w:val="00E13ABA"/>
    <w:rsid w:val="00E14514"/>
    <w:rsid w:val="00E14E84"/>
    <w:rsid w:val="00E1753B"/>
    <w:rsid w:val="00E17E5D"/>
    <w:rsid w:val="00E2018D"/>
    <w:rsid w:val="00E204C0"/>
    <w:rsid w:val="00E211B8"/>
    <w:rsid w:val="00E22C24"/>
    <w:rsid w:val="00E23206"/>
    <w:rsid w:val="00E24076"/>
    <w:rsid w:val="00E243FC"/>
    <w:rsid w:val="00E24645"/>
    <w:rsid w:val="00E24A1F"/>
    <w:rsid w:val="00E24D9D"/>
    <w:rsid w:val="00E25BF9"/>
    <w:rsid w:val="00E260E1"/>
    <w:rsid w:val="00E263CE"/>
    <w:rsid w:val="00E267FD"/>
    <w:rsid w:val="00E27410"/>
    <w:rsid w:val="00E31F7E"/>
    <w:rsid w:val="00E3484B"/>
    <w:rsid w:val="00E35744"/>
    <w:rsid w:val="00E35974"/>
    <w:rsid w:val="00E3615E"/>
    <w:rsid w:val="00E3618E"/>
    <w:rsid w:val="00E36B5C"/>
    <w:rsid w:val="00E37996"/>
    <w:rsid w:val="00E37F3A"/>
    <w:rsid w:val="00E402CE"/>
    <w:rsid w:val="00E403B5"/>
    <w:rsid w:val="00E42CDF"/>
    <w:rsid w:val="00E42E70"/>
    <w:rsid w:val="00E452DC"/>
    <w:rsid w:val="00E46532"/>
    <w:rsid w:val="00E4718B"/>
    <w:rsid w:val="00E504EF"/>
    <w:rsid w:val="00E51685"/>
    <w:rsid w:val="00E53AB9"/>
    <w:rsid w:val="00E543B7"/>
    <w:rsid w:val="00E55A18"/>
    <w:rsid w:val="00E55AF4"/>
    <w:rsid w:val="00E55FD7"/>
    <w:rsid w:val="00E57049"/>
    <w:rsid w:val="00E61B1D"/>
    <w:rsid w:val="00E62308"/>
    <w:rsid w:val="00E6296B"/>
    <w:rsid w:val="00E62C79"/>
    <w:rsid w:val="00E631F8"/>
    <w:rsid w:val="00E6490B"/>
    <w:rsid w:val="00E64CF3"/>
    <w:rsid w:val="00E64DCC"/>
    <w:rsid w:val="00E6622F"/>
    <w:rsid w:val="00E66702"/>
    <w:rsid w:val="00E66A1A"/>
    <w:rsid w:val="00E67166"/>
    <w:rsid w:val="00E67FEA"/>
    <w:rsid w:val="00E702FF"/>
    <w:rsid w:val="00E70710"/>
    <w:rsid w:val="00E70899"/>
    <w:rsid w:val="00E712A4"/>
    <w:rsid w:val="00E72E30"/>
    <w:rsid w:val="00E72F50"/>
    <w:rsid w:val="00E73731"/>
    <w:rsid w:val="00E75A92"/>
    <w:rsid w:val="00E7634E"/>
    <w:rsid w:val="00E7772F"/>
    <w:rsid w:val="00E77B88"/>
    <w:rsid w:val="00E808E6"/>
    <w:rsid w:val="00E82661"/>
    <w:rsid w:val="00E82F3C"/>
    <w:rsid w:val="00E837BE"/>
    <w:rsid w:val="00E8443C"/>
    <w:rsid w:val="00E84E4C"/>
    <w:rsid w:val="00E85839"/>
    <w:rsid w:val="00E860F9"/>
    <w:rsid w:val="00E864CC"/>
    <w:rsid w:val="00E86674"/>
    <w:rsid w:val="00E86B90"/>
    <w:rsid w:val="00E8731A"/>
    <w:rsid w:val="00E90067"/>
    <w:rsid w:val="00E90719"/>
    <w:rsid w:val="00E90CE9"/>
    <w:rsid w:val="00E91981"/>
    <w:rsid w:val="00E91AA0"/>
    <w:rsid w:val="00E9279B"/>
    <w:rsid w:val="00E93405"/>
    <w:rsid w:val="00E93D53"/>
    <w:rsid w:val="00E94EA8"/>
    <w:rsid w:val="00E953C1"/>
    <w:rsid w:val="00EA040B"/>
    <w:rsid w:val="00EA06AD"/>
    <w:rsid w:val="00EA0FBF"/>
    <w:rsid w:val="00EA1E53"/>
    <w:rsid w:val="00EA201F"/>
    <w:rsid w:val="00EA3FE2"/>
    <w:rsid w:val="00EA487B"/>
    <w:rsid w:val="00EA5F88"/>
    <w:rsid w:val="00EB0B58"/>
    <w:rsid w:val="00EB0B63"/>
    <w:rsid w:val="00EB1115"/>
    <w:rsid w:val="00EB1684"/>
    <w:rsid w:val="00EB26EF"/>
    <w:rsid w:val="00EB2C6D"/>
    <w:rsid w:val="00EB463E"/>
    <w:rsid w:val="00EB4788"/>
    <w:rsid w:val="00EB4E9A"/>
    <w:rsid w:val="00EB4F9A"/>
    <w:rsid w:val="00EB565D"/>
    <w:rsid w:val="00EB5C51"/>
    <w:rsid w:val="00EB5C5B"/>
    <w:rsid w:val="00EB61F4"/>
    <w:rsid w:val="00EB76D1"/>
    <w:rsid w:val="00EC18DC"/>
    <w:rsid w:val="00EC1EF1"/>
    <w:rsid w:val="00EC27F0"/>
    <w:rsid w:val="00EC2D47"/>
    <w:rsid w:val="00EC313E"/>
    <w:rsid w:val="00ED0CD5"/>
    <w:rsid w:val="00ED12A9"/>
    <w:rsid w:val="00ED1AF4"/>
    <w:rsid w:val="00ED3EBC"/>
    <w:rsid w:val="00ED422F"/>
    <w:rsid w:val="00EE014B"/>
    <w:rsid w:val="00EE0155"/>
    <w:rsid w:val="00EE05A9"/>
    <w:rsid w:val="00EE21D7"/>
    <w:rsid w:val="00EE2C4C"/>
    <w:rsid w:val="00EE4A2A"/>
    <w:rsid w:val="00EE6E82"/>
    <w:rsid w:val="00EE6EF3"/>
    <w:rsid w:val="00EE7971"/>
    <w:rsid w:val="00EE79FC"/>
    <w:rsid w:val="00EF2982"/>
    <w:rsid w:val="00EF380A"/>
    <w:rsid w:val="00EF4B1D"/>
    <w:rsid w:val="00EF4BC3"/>
    <w:rsid w:val="00EF4E7A"/>
    <w:rsid w:val="00EF4EA7"/>
    <w:rsid w:val="00EF516D"/>
    <w:rsid w:val="00EF5956"/>
    <w:rsid w:val="00EF63E0"/>
    <w:rsid w:val="00EF653E"/>
    <w:rsid w:val="00EF6CD6"/>
    <w:rsid w:val="00EF7354"/>
    <w:rsid w:val="00EF786A"/>
    <w:rsid w:val="00EF7F2E"/>
    <w:rsid w:val="00F0059B"/>
    <w:rsid w:val="00F011CD"/>
    <w:rsid w:val="00F01886"/>
    <w:rsid w:val="00F0327E"/>
    <w:rsid w:val="00F037D9"/>
    <w:rsid w:val="00F03B44"/>
    <w:rsid w:val="00F04F57"/>
    <w:rsid w:val="00F05346"/>
    <w:rsid w:val="00F05520"/>
    <w:rsid w:val="00F05851"/>
    <w:rsid w:val="00F05AEF"/>
    <w:rsid w:val="00F05B46"/>
    <w:rsid w:val="00F0608D"/>
    <w:rsid w:val="00F06486"/>
    <w:rsid w:val="00F07808"/>
    <w:rsid w:val="00F10736"/>
    <w:rsid w:val="00F10BF6"/>
    <w:rsid w:val="00F11982"/>
    <w:rsid w:val="00F12619"/>
    <w:rsid w:val="00F12BB9"/>
    <w:rsid w:val="00F13140"/>
    <w:rsid w:val="00F1354C"/>
    <w:rsid w:val="00F143E3"/>
    <w:rsid w:val="00F15652"/>
    <w:rsid w:val="00F234EB"/>
    <w:rsid w:val="00F23AE0"/>
    <w:rsid w:val="00F24191"/>
    <w:rsid w:val="00F2455C"/>
    <w:rsid w:val="00F24832"/>
    <w:rsid w:val="00F25871"/>
    <w:rsid w:val="00F26C0F"/>
    <w:rsid w:val="00F26C44"/>
    <w:rsid w:val="00F30626"/>
    <w:rsid w:val="00F31B1F"/>
    <w:rsid w:val="00F323CF"/>
    <w:rsid w:val="00F32924"/>
    <w:rsid w:val="00F33097"/>
    <w:rsid w:val="00F333D5"/>
    <w:rsid w:val="00F33ACB"/>
    <w:rsid w:val="00F3556B"/>
    <w:rsid w:val="00F36270"/>
    <w:rsid w:val="00F36655"/>
    <w:rsid w:val="00F3674E"/>
    <w:rsid w:val="00F36969"/>
    <w:rsid w:val="00F41B89"/>
    <w:rsid w:val="00F42495"/>
    <w:rsid w:val="00F4449A"/>
    <w:rsid w:val="00F447DA"/>
    <w:rsid w:val="00F44C9F"/>
    <w:rsid w:val="00F459FD"/>
    <w:rsid w:val="00F460D0"/>
    <w:rsid w:val="00F465A4"/>
    <w:rsid w:val="00F46930"/>
    <w:rsid w:val="00F47185"/>
    <w:rsid w:val="00F474FB"/>
    <w:rsid w:val="00F4789D"/>
    <w:rsid w:val="00F47CCC"/>
    <w:rsid w:val="00F508E5"/>
    <w:rsid w:val="00F52111"/>
    <w:rsid w:val="00F53473"/>
    <w:rsid w:val="00F53815"/>
    <w:rsid w:val="00F539D0"/>
    <w:rsid w:val="00F53C9B"/>
    <w:rsid w:val="00F5409A"/>
    <w:rsid w:val="00F54133"/>
    <w:rsid w:val="00F54DFC"/>
    <w:rsid w:val="00F55439"/>
    <w:rsid w:val="00F5552B"/>
    <w:rsid w:val="00F55B55"/>
    <w:rsid w:val="00F57E4C"/>
    <w:rsid w:val="00F6014E"/>
    <w:rsid w:val="00F601F8"/>
    <w:rsid w:val="00F60B87"/>
    <w:rsid w:val="00F63012"/>
    <w:rsid w:val="00F633D5"/>
    <w:rsid w:val="00F63843"/>
    <w:rsid w:val="00F63C06"/>
    <w:rsid w:val="00F6404F"/>
    <w:rsid w:val="00F648E0"/>
    <w:rsid w:val="00F66195"/>
    <w:rsid w:val="00F66212"/>
    <w:rsid w:val="00F6665D"/>
    <w:rsid w:val="00F66714"/>
    <w:rsid w:val="00F66BA0"/>
    <w:rsid w:val="00F6763D"/>
    <w:rsid w:val="00F70104"/>
    <w:rsid w:val="00F70153"/>
    <w:rsid w:val="00F70CFE"/>
    <w:rsid w:val="00F713A8"/>
    <w:rsid w:val="00F718DF"/>
    <w:rsid w:val="00F761F9"/>
    <w:rsid w:val="00F76374"/>
    <w:rsid w:val="00F76AA3"/>
    <w:rsid w:val="00F80D05"/>
    <w:rsid w:val="00F80D82"/>
    <w:rsid w:val="00F83FEE"/>
    <w:rsid w:val="00F84A8A"/>
    <w:rsid w:val="00F865F1"/>
    <w:rsid w:val="00F87FE7"/>
    <w:rsid w:val="00F90686"/>
    <w:rsid w:val="00F90B47"/>
    <w:rsid w:val="00F90D32"/>
    <w:rsid w:val="00F91DF4"/>
    <w:rsid w:val="00F92D62"/>
    <w:rsid w:val="00F93761"/>
    <w:rsid w:val="00F93A9F"/>
    <w:rsid w:val="00F94B89"/>
    <w:rsid w:val="00F951A5"/>
    <w:rsid w:val="00F97DF6"/>
    <w:rsid w:val="00F97FA1"/>
    <w:rsid w:val="00FA0454"/>
    <w:rsid w:val="00FA1D77"/>
    <w:rsid w:val="00FA3080"/>
    <w:rsid w:val="00FA3C78"/>
    <w:rsid w:val="00FA3D43"/>
    <w:rsid w:val="00FA444C"/>
    <w:rsid w:val="00FA4E6C"/>
    <w:rsid w:val="00FA5016"/>
    <w:rsid w:val="00FA534A"/>
    <w:rsid w:val="00FA5B99"/>
    <w:rsid w:val="00FA603C"/>
    <w:rsid w:val="00FA6123"/>
    <w:rsid w:val="00FA7EB9"/>
    <w:rsid w:val="00FB0240"/>
    <w:rsid w:val="00FB1143"/>
    <w:rsid w:val="00FB2E99"/>
    <w:rsid w:val="00FB35A3"/>
    <w:rsid w:val="00FB44C7"/>
    <w:rsid w:val="00FB4EEF"/>
    <w:rsid w:val="00FB57B6"/>
    <w:rsid w:val="00FB6A67"/>
    <w:rsid w:val="00FB73B4"/>
    <w:rsid w:val="00FB7431"/>
    <w:rsid w:val="00FB7459"/>
    <w:rsid w:val="00FB747F"/>
    <w:rsid w:val="00FB7F92"/>
    <w:rsid w:val="00FC1418"/>
    <w:rsid w:val="00FC186C"/>
    <w:rsid w:val="00FC3924"/>
    <w:rsid w:val="00FC3BA6"/>
    <w:rsid w:val="00FC5F25"/>
    <w:rsid w:val="00FC701A"/>
    <w:rsid w:val="00FC7381"/>
    <w:rsid w:val="00FC7820"/>
    <w:rsid w:val="00FD03B8"/>
    <w:rsid w:val="00FD2774"/>
    <w:rsid w:val="00FD2A89"/>
    <w:rsid w:val="00FD2F46"/>
    <w:rsid w:val="00FD3296"/>
    <w:rsid w:val="00FD3CCA"/>
    <w:rsid w:val="00FD4B65"/>
    <w:rsid w:val="00FD5A12"/>
    <w:rsid w:val="00FD6D10"/>
    <w:rsid w:val="00FD70D5"/>
    <w:rsid w:val="00FD7490"/>
    <w:rsid w:val="00FD762D"/>
    <w:rsid w:val="00FD7BFB"/>
    <w:rsid w:val="00FE03BB"/>
    <w:rsid w:val="00FE0AAF"/>
    <w:rsid w:val="00FE1D72"/>
    <w:rsid w:val="00FE3224"/>
    <w:rsid w:val="00FE3356"/>
    <w:rsid w:val="00FE4A61"/>
    <w:rsid w:val="00FE75D3"/>
    <w:rsid w:val="00FF0357"/>
    <w:rsid w:val="00FF1333"/>
    <w:rsid w:val="00FF19DD"/>
    <w:rsid w:val="00FF1B74"/>
    <w:rsid w:val="00FF1DFE"/>
    <w:rsid w:val="00FF226C"/>
    <w:rsid w:val="00FF38C3"/>
    <w:rsid w:val="00FF3DAD"/>
    <w:rsid w:val="00FF3F92"/>
    <w:rsid w:val="00FF51AE"/>
    <w:rsid w:val="00FF571F"/>
    <w:rsid w:val="00FF5E75"/>
    <w:rsid w:val="00FF62AD"/>
    <w:rsid w:val="00FF6B4F"/>
    <w:rsid w:val="00FF74BD"/>
    <w:rsid w:val="00FF7603"/>
    <w:rsid w:val="0117DF03"/>
    <w:rsid w:val="01404EBA"/>
    <w:rsid w:val="0190A21B"/>
    <w:rsid w:val="01C66D69"/>
    <w:rsid w:val="024F2DCA"/>
    <w:rsid w:val="024F3450"/>
    <w:rsid w:val="025CB40A"/>
    <w:rsid w:val="026E8BA0"/>
    <w:rsid w:val="0281ED24"/>
    <w:rsid w:val="0282C273"/>
    <w:rsid w:val="02D0E467"/>
    <w:rsid w:val="02F93FEC"/>
    <w:rsid w:val="0382DD82"/>
    <w:rsid w:val="03C01916"/>
    <w:rsid w:val="03D00C69"/>
    <w:rsid w:val="0411C119"/>
    <w:rsid w:val="04982359"/>
    <w:rsid w:val="04C683FA"/>
    <w:rsid w:val="04F7DB9B"/>
    <w:rsid w:val="052BB8F5"/>
    <w:rsid w:val="05398AF8"/>
    <w:rsid w:val="053C6607"/>
    <w:rsid w:val="055155CD"/>
    <w:rsid w:val="0583808B"/>
    <w:rsid w:val="05B4F325"/>
    <w:rsid w:val="05CD7FA2"/>
    <w:rsid w:val="05D6BED9"/>
    <w:rsid w:val="063C02EB"/>
    <w:rsid w:val="065284FE"/>
    <w:rsid w:val="06789F02"/>
    <w:rsid w:val="06A460DE"/>
    <w:rsid w:val="070B0C20"/>
    <w:rsid w:val="07523601"/>
    <w:rsid w:val="07569E22"/>
    <w:rsid w:val="079DDC2A"/>
    <w:rsid w:val="07D4049D"/>
    <w:rsid w:val="07F347D6"/>
    <w:rsid w:val="0820EC9E"/>
    <w:rsid w:val="087E4FCF"/>
    <w:rsid w:val="08909438"/>
    <w:rsid w:val="08C1BC44"/>
    <w:rsid w:val="09120E1E"/>
    <w:rsid w:val="0926F436"/>
    <w:rsid w:val="09397CD0"/>
    <w:rsid w:val="0999FE2A"/>
    <w:rsid w:val="09C17CE4"/>
    <w:rsid w:val="09FBB677"/>
    <w:rsid w:val="0A1E2388"/>
    <w:rsid w:val="0A473B25"/>
    <w:rsid w:val="0A63FA0A"/>
    <w:rsid w:val="0A950D9C"/>
    <w:rsid w:val="0A97DFCA"/>
    <w:rsid w:val="0AA8AB2F"/>
    <w:rsid w:val="0AB43B68"/>
    <w:rsid w:val="0AED52CA"/>
    <w:rsid w:val="0B246139"/>
    <w:rsid w:val="0B35D7BD"/>
    <w:rsid w:val="0B79D93B"/>
    <w:rsid w:val="0BC22D5B"/>
    <w:rsid w:val="0BCF3580"/>
    <w:rsid w:val="0C047D67"/>
    <w:rsid w:val="0C0F3461"/>
    <w:rsid w:val="0C3C5467"/>
    <w:rsid w:val="0C526FB1"/>
    <w:rsid w:val="0C56E69B"/>
    <w:rsid w:val="0C6DC3BC"/>
    <w:rsid w:val="0C7293E4"/>
    <w:rsid w:val="0C779E61"/>
    <w:rsid w:val="0CA42162"/>
    <w:rsid w:val="0CAABDF0"/>
    <w:rsid w:val="0CB9E6B1"/>
    <w:rsid w:val="0CBFC0DF"/>
    <w:rsid w:val="0CC743E9"/>
    <w:rsid w:val="0CE3C0E3"/>
    <w:rsid w:val="0CF432F2"/>
    <w:rsid w:val="0D129EAF"/>
    <w:rsid w:val="0D163743"/>
    <w:rsid w:val="0D6CB9A1"/>
    <w:rsid w:val="0D7A5671"/>
    <w:rsid w:val="0DBE833D"/>
    <w:rsid w:val="0DC84A26"/>
    <w:rsid w:val="0E083FE7"/>
    <w:rsid w:val="0E11C6A1"/>
    <w:rsid w:val="0E2F68F0"/>
    <w:rsid w:val="0EAEBC25"/>
    <w:rsid w:val="0F542A07"/>
    <w:rsid w:val="10BBDAE4"/>
    <w:rsid w:val="10CE6078"/>
    <w:rsid w:val="110B25B3"/>
    <w:rsid w:val="11527F4E"/>
    <w:rsid w:val="11675BD6"/>
    <w:rsid w:val="118BFB4F"/>
    <w:rsid w:val="11A455CA"/>
    <w:rsid w:val="11AA3E58"/>
    <w:rsid w:val="11D06F35"/>
    <w:rsid w:val="126289EF"/>
    <w:rsid w:val="127F4729"/>
    <w:rsid w:val="1281DBD8"/>
    <w:rsid w:val="12C6EFEB"/>
    <w:rsid w:val="1314DD2E"/>
    <w:rsid w:val="131E8B0B"/>
    <w:rsid w:val="1320BFFF"/>
    <w:rsid w:val="135BE4B0"/>
    <w:rsid w:val="139621FB"/>
    <w:rsid w:val="13A697A8"/>
    <w:rsid w:val="1408BD1F"/>
    <w:rsid w:val="14320D0D"/>
    <w:rsid w:val="14660A3D"/>
    <w:rsid w:val="149B5644"/>
    <w:rsid w:val="14AF7514"/>
    <w:rsid w:val="14C4D148"/>
    <w:rsid w:val="14EC4BE8"/>
    <w:rsid w:val="14FFADD4"/>
    <w:rsid w:val="150AD159"/>
    <w:rsid w:val="152AE1AA"/>
    <w:rsid w:val="152B8B26"/>
    <w:rsid w:val="157BD39F"/>
    <w:rsid w:val="1584530D"/>
    <w:rsid w:val="15869435"/>
    <w:rsid w:val="15ABBB9D"/>
    <w:rsid w:val="15B0066C"/>
    <w:rsid w:val="15F0C74C"/>
    <w:rsid w:val="16086A4F"/>
    <w:rsid w:val="161EA29F"/>
    <w:rsid w:val="16216958"/>
    <w:rsid w:val="1638B00B"/>
    <w:rsid w:val="164A7889"/>
    <w:rsid w:val="16689A01"/>
    <w:rsid w:val="16695585"/>
    <w:rsid w:val="16A03FC2"/>
    <w:rsid w:val="16A44FA6"/>
    <w:rsid w:val="16C4C175"/>
    <w:rsid w:val="16D4500A"/>
    <w:rsid w:val="16D6C5BD"/>
    <w:rsid w:val="16F0DD1F"/>
    <w:rsid w:val="175E1938"/>
    <w:rsid w:val="17DC628B"/>
    <w:rsid w:val="1832C949"/>
    <w:rsid w:val="18541819"/>
    <w:rsid w:val="190A1005"/>
    <w:rsid w:val="192638B3"/>
    <w:rsid w:val="194B941E"/>
    <w:rsid w:val="1971933F"/>
    <w:rsid w:val="1987BF06"/>
    <w:rsid w:val="198CD429"/>
    <w:rsid w:val="19902EB7"/>
    <w:rsid w:val="19EB16C1"/>
    <w:rsid w:val="1A4CC6C5"/>
    <w:rsid w:val="1A86702B"/>
    <w:rsid w:val="1AB877E4"/>
    <w:rsid w:val="1AC98345"/>
    <w:rsid w:val="1AF489AD"/>
    <w:rsid w:val="1B0D2DDD"/>
    <w:rsid w:val="1B1802C7"/>
    <w:rsid w:val="1B2A8866"/>
    <w:rsid w:val="1B78EF0C"/>
    <w:rsid w:val="1BD7EC7C"/>
    <w:rsid w:val="1BF42B4E"/>
    <w:rsid w:val="1C118509"/>
    <w:rsid w:val="1C88E4D0"/>
    <w:rsid w:val="1CB19796"/>
    <w:rsid w:val="1CB6C2A6"/>
    <w:rsid w:val="1CE12A23"/>
    <w:rsid w:val="1CF8C919"/>
    <w:rsid w:val="1CFADC2E"/>
    <w:rsid w:val="1D275CBC"/>
    <w:rsid w:val="1D372973"/>
    <w:rsid w:val="1D556C1E"/>
    <w:rsid w:val="1D9951E0"/>
    <w:rsid w:val="1DC11B4E"/>
    <w:rsid w:val="1DE53A31"/>
    <w:rsid w:val="1E4C2AAC"/>
    <w:rsid w:val="1EBA3F00"/>
    <w:rsid w:val="1EFF3D63"/>
    <w:rsid w:val="1F03AA8B"/>
    <w:rsid w:val="1F1C1839"/>
    <w:rsid w:val="1F4DBD16"/>
    <w:rsid w:val="1F69C591"/>
    <w:rsid w:val="1F9CCB4A"/>
    <w:rsid w:val="1FAD196C"/>
    <w:rsid w:val="1FBAD20D"/>
    <w:rsid w:val="201ABF26"/>
    <w:rsid w:val="2088B22D"/>
    <w:rsid w:val="2089E4B4"/>
    <w:rsid w:val="208D1B10"/>
    <w:rsid w:val="209F3164"/>
    <w:rsid w:val="20EDF755"/>
    <w:rsid w:val="20F0DFA3"/>
    <w:rsid w:val="20FC6A2A"/>
    <w:rsid w:val="218A8237"/>
    <w:rsid w:val="219CE1E7"/>
    <w:rsid w:val="21C436F9"/>
    <w:rsid w:val="21C82FE0"/>
    <w:rsid w:val="21EC4F4B"/>
    <w:rsid w:val="22C2EC54"/>
    <w:rsid w:val="22EB6BDE"/>
    <w:rsid w:val="230E6918"/>
    <w:rsid w:val="233445F8"/>
    <w:rsid w:val="2376B1F8"/>
    <w:rsid w:val="23794059"/>
    <w:rsid w:val="238F03F6"/>
    <w:rsid w:val="239603A9"/>
    <w:rsid w:val="239D0608"/>
    <w:rsid w:val="239FE2C8"/>
    <w:rsid w:val="23D44C9E"/>
    <w:rsid w:val="24788FAD"/>
    <w:rsid w:val="2491F853"/>
    <w:rsid w:val="24D2DB64"/>
    <w:rsid w:val="24E87A60"/>
    <w:rsid w:val="24ED0080"/>
    <w:rsid w:val="256B4185"/>
    <w:rsid w:val="25938918"/>
    <w:rsid w:val="26173E1F"/>
    <w:rsid w:val="262FAD28"/>
    <w:rsid w:val="26F16BEA"/>
    <w:rsid w:val="26F430DE"/>
    <w:rsid w:val="279909EB"/>
    <w:rsid w:val="27A2E175"/>
    <w:rsid w:val="27B7E977"/>
    <w:rsid w:val="2805DE51"/>
    <w:rsid w:val="28812C9F"/>
    <w:rsid w:val="28977A11"/>
    <w:rsid w:val="29831E6D"/>
    <w:rsid w:val="2985B364"/>
    <w:rsid w:val="29A88B21"/>
    <w:rsid w:val="29C08558"/>
    <w:rsid w:val="29C5CAB7"/>
    <w:rsid w:val="29D8CBAF"/>
    <w:rsid w:val="2A316F00"/>
    <w:rsid w:val="2A78D5E8"/>
    <w:rsid w:val="2B0B740E"/>
    <w:rsid w:val="2B0D91A4"/>
    <w:rsid w:val="2B1A4324"/>
    <w:rsid w:val="2B2E331C"/>
    <w:rsid w:val="2B326269"/>
    <w:rsid w:val="2B684AC1"/>
    <w:rsid w:val="2B8FA8C5"/>
    <w:rsid w:val="2BFC6C45"/>
    <w:rsid w:val="2C44D7D9"/>
    <w:rsid w:val="2C71D0AD"/>
    <w:rsid w:val="2C954780"/>
    <w:rsid w:val="2D5C5863"/>
    <w:rsid w:val="2D7D5ED6"/>
    <w:rsid w:val="2D84D1D3"/>
    <w:rsid w:val="2E0F7070"/>
    <w:rsid w:val="2E35E3F3"/>
    <w:rsid w:val="2E69807C"/>
    <w:rsid w:val="2E87DD0F"/>
    <w:rsid w:val="2EC81D9F"/>
    <w:rsid w:val="2ED21606"/>
    <w:rsid w:val="2F3217FB"/>
    <w:rsid w:val="2F3BFC24"/>
    <w:rsid w:val="2F98545D"/>
    <w:rsid w:val="2FABDBD8"/>
    <w:rsid w:val="2FC70E23"/>
    <w:rsid w:val="2FD51BBC"/>
    <w:rsid w:val="2FEF0B45"/>
    <w:rsid w:val="306B3180"/>
    <w:rsid w:val="306EE8D4"/>
    <w:rsid w:val="308197C8"/>
    <w:rsid w:val="30CA5D59"/>
    <w:rsid w:val="30EA0C14"/>
    <w:rsid w:val="317EAA2B"/>
    <w:rsid w:val="31B8E34E"/>
    <w:rsid w:val="31E7EBCC"/>
    <w:rsid w:val="320BCE82"/>
    <w:rsid w:val="32617C90"/>
    <w:rsid w:val="3282ED29"/>
    <w:rsid w:val="32A4AE04"/>
    <w:rsid w:val="32A51A0B"/>
    <w:rsid w:val="3318C8F7"/>
    <w:rsid w:val="33781EF1"/>
    <w:rsid w:val="33C28B30"/>
    <w:rsid w:val="34204930"/>
    <w:rsid w:val="34283AD8"/>
    <w:rsid w:val="34A830A8"/>
    <w:rsid w:val="34D9A002"/>
    <w:rsid w:val="350EA745"/>
    <w:rsid w:val="351141B8"/>
    <w:rsid w:val="3593F77A"/>
    <w:rsid w:val="35D951D8"/>
    <w:rsid w:val="36044C14"/>
    <w:rsid w:val="3621E2AE"/>
    <w:rsid w:val="362494AD"/>
    <w:rsid w:val="36270BEF"/>
    <w:rsid w:val="365A6B71"/>
    <w:rsid w:val="366FD702"/>
    <w:rsid w:val="36A47796"/>
    <w:rsid w:val="36CEE6F5"/>
    <w:rsid w:val="36EAF0AA"/>
    <w:rsid w:val="374CC91C"/>
    <w:rsid w:val="3765E488"/>
    <w:rsid w:val="37944947"/>
    <w:rsid w:val="37FF8462"/>
    <w:rsid w:val="388E67B0"/>
    <w:rsid w:val="38AECDF9"/>
    <w:rsid w:val="38E7DFEE"/>
    <w:rsid w:val="38F60714"/>
    <w:rsid w:val="392AF2AA"/>
    <w:rsid w:val="3936F3BD"/>
    <w:rsid w:val="395D361B"/>
    <w:rsid w:val="3998EB97"/>
    <w:rsid w:val="39EB2574"/>
    <w:rsid w:val="3A60C53D"/>
    <w:rsid w:val="3A85FC74"/>
    <w:rsid w:val="3A954215"/>
    <w:rsid w:val="3ADA0D17"/>
    <w:rsid w:val="3AE3DF61"/>
    <w:rsid w:val="3B1EC499"/>
    <w:rsid w:val="3B53B0BF"/>
    <w:rsid w:val="3B7963D9"/>
    <w:rsid w:val="3BD14D24"/>
    <w:rsid w:val="3BD26E76"/>
    <w:rsid w:val="3C0456E1"/>
    <w:rsid w:val="3C1E35F9"/>
    <w:rsid w:val="3C593A3D"/>
    <w:rsid w:val="3C6B0E4F"/>
    <w:rsid w:val="3C962D08"/>
    <w:rsid w:val="3CAFEBAD"/>
    <w:rsid w:val="3CC3413A"/>
    <w:rsid w:val="3D2148EB"/>
    <w:rsid w:val="3D85B51B"/>
    <w:rsid w:val="3E0BCFA9"/>
    <w:rsid w:val="3E5802FE"/>
    <w:rsid w:val="3E8DBC88"/>
    <w:rsid w:val="3EB09231"/>
    <w:rsid w:val="3F029B37"/>
    <w:rsid w:val="3F03B4D4"/>
    <w:rsid w:val="3F14FC97"/>
    <w:rsid w:val="406111EF"/>
    <w:rsid w:val="4079C2C4"/>
    <w:rsid w:val="4086CDEE"/>
    <w:rsid w:val="40A91DE3"/>
    <w:rsid w:val="40C5366E"/>
    <w:rsid w:val="40D6F549"/>
    <w:rsid w:val="40DE03C9"/>
    <w:rsid w:val="4145228F"/>
    <w:rsid w:val="415B24C1"/>
    <w:rsid w:val="419E0CFA"/>
    <w:rsid w:val="41B041EA"/>
    <w:rsid w:val="41C85511"/>
    <w:rsid w:val="4213E130"/>
    <w:rsid w:val="427C0934"/>
    <w:rsid w:val="428C574F"/>
    <w:rsid w:val="42922815"/>
    <w:rsid w:val="42E28C2F"/>
    <w:rsid w:val="42E55243"/>
    <w:rsid w:val="43706283"/>
    <w:rsid w:val="43842683"/>
    <w:rsid w:val="43A97788"/>
    <w:rsid w:val="43C95063"/>
    <w:rsid w:val="441A0439"/>
    <w:rsid w:val="445C99ED"/>
    <w:rsid w:val="449BBA9E"/>
    <w:rsid w:val="460BDCE7"/>
    <w:rsid w:val="462C33DD"/>
    <w:rsid w:val="465AE401"/>
    <w:rsid w:val="465E7A67"/>
    <w:rsid w:val="4661BFBC"/>
    <w:rsid w:val="469B2768"/>
    <w:rsid w:val="46A5DDDF"/>
    <w:rsid w:val="46AA1B33"/>
    <w:rsid w:val="46D3A6A7"/>
    <w:rsid w:val="471A6920"/>
    <w:rsid w:val="472825EC"/>
    <w:rsid w:val="4747C496"/>
    <w:rsid w:val="4768F676"/>
    <w:rsid w:val="4780F046"/>
    <w:rsid w:val="47B64F22"/>
    <w:rsid w:val="47B93B16"/>
    <w:rsid w:val="47E005E6"/>
    <w:rsid w:val="48181085"/>
    <w:rsid w:val="48F3A227"/>
    <w:rsid w:val="48FEE6FA"/>
    <w:rsid w:val="490AF384"/>
    <w:rsid w:val="4926C555"/>
    <w:rsid w:val="49386C22"/>
    <w:rsid w:val="4974948D"/>
    <w:rsid w:val="498CFCF4"/>
    <w:rsid w:val="49BEA982"/>
    <w:rsid w:val="49CD12F5"/>
    <w:rsid w:val="49E70FC8"/>
    <w:rsid w:val="4A1462BF"/>
    <w:rsid w:val="4A531A2E"/>
    <w:rsid w:val="4A8584F7"/>
    <w:rsid w:val="4AA21E7E"/>
    <w:rsid w:val="4AB0F74C"/>
    <w:rsid w:val="4BB6901C"/>
    <w:rsid w:val="4BCFFD6C"/>
    <w:rsid w:val="4BDBE83C"/>
    <w:rsid w:val="4BE8258A"/>
    <w:rsid w:val="4C860DE8"/>
    <w:rsid w:val="4D051313"/>
    <w:rsid w:val="4D90D1CE"/>
    <w:rsid w:val="4D91C669"/>
    <w:rsid w:val="4DAF85B3"/>
    <w:rsid w:val="4DD1DED0"/>
    <w:rsid w:val="4E03F728"/>
    <w:rsid w:val="4E663598"/>
    <w:rsid w:val="4E773E91"/>
    <w:rsid w:val="4E914793"/>
    <w:rsid w:val="4E99E0C5"/>
    <w:rsid w:val="4F2C78FF"/>
    <w:rsid w:val="4F5BE5AD"/>
    <w:rsid w:val="4FE5FED1"/>
    <w:rsid w:val="4FFE6FBE"/>
    <w:rsid w:val="5062C5E0"/>
    <w:rsid w:val="506D4EA7"/>
    <w:rsid w:val="508FA3A1"/>
    <w:rsid w:val="50B4404E"/>
    <w:rsid w:val="50B6A5E5"/>
    <w:rsid w:val="50DBDE16"/>
    <w:rsid w:val="519A2A82"/>
    <w:rsid w:val="51EAC164"/>
    <w:rsid w:val="51F0A2B1"/>
    <w:rsid w:val="520CF13F"/>
    <w:rsid w:val="52279865"/>
    <w:rsid w:val="52D3ADFA"/>
    <w:rsid w:val="53063C4E"/>
    <w:rsid w:val="530D4470"/>
    <w:rsid w:val="53261666"/>
    <w:rsid w:val="53B22A30"/>
    <w:rsid w:val="53B6855D"/>
    <w:rsid w:val="53BC78F4"/>
    <w:rsid w:val="54192574"/>
    <w:rsid w:val="5428458C"/>
    <w:rsid w:val="544A6214"/>
    <w:rsid w:val="54645E10"/>
    <w:rsid w:val="54BF7775"/>
    <w:rsid w:val="54E6612B"/>
    <w:rsid w:val="54FAA12F"/>
    <w:rsid w:val="558887B9"/>
    <w:rsid w:val="55D4845B"/>
    <w:rsid w:val="55EF0C4A"/>
    <w:rsid w:val="566747C1"/>
    <w:rsid w:val="56725B61"/>
    <w:rsid w:val="568ED24C"/>
    <w:rsid w:val="5696FBC2"/>
    <w:rsid w:val="56C10A28"/>
    <w:rsid w:val="573A29C8"/>
    <w:rsid w:val="57411B99"/>
    <w:rsid w:val="575A1BD8"/>
    <w:rsid w:val="575F34AA"/>
    <w:rsid w:val="57CF9AE5"/>
    <w:rsid w:val="57F4FDE4"/>
    <w:rsid w:val="57F68E40"/>
    <w:rsid w:val="58E1E9F5"/>
    <w:rsid w:val="5913C653"/>
    <w:rsid w:val="595FC674"/>
    <w:rsid w:val="597AC0D4"/>
    <w:rsid w:val="598A3FBA"/>
    <w:rsid w:val="59971BF2"/>
    <w:rsid w:val="59980029"/>
    <w:rsid w:val="59F1DDBC"/>
    <w:rsid w:val="5A1BC74F"/>
    <w:rsid w:val="5A4625C3"/>
    <w:rsid w:val="5A5272EE"/>
    <w:rsid w:val="5A8EF5A2"/>
    <w:rsid w:val="5A93044D"/>
    <w:rsid w:val="5A96785F"/>
    <w:rsid w:val="5AF9973A"/>
    <w:rsid w:val="5B0F65F0"/>
    <w:rsid w:val="5B31AA30"/>
    <w:rsid w:val="5B7ECFAB"/>
    <w:rsid w:val="5B8FA54B"/>
    <w:rsid w:val="5BCFB2FC"/>
    <w:rsid w:val="5C13DAFD"/>
    <w:rsid w:val="5C155D68"/>
    <w:rsid w:val="5C608115"/>
    <w:rsid w:val="5CCA92D0"/>
    <w:rsid w:val="5D09FD60"/>
    <w:rsid w:val="5D2C4750"/>
    <w:rsid w:val="5D5655E4"/>
    <w:rsid w:val="5D7040FB"/>
    <w:rsid w:val="5D85621E"/>
    <w:rsid w:val="5D9A8A78"/>
    <w:rsid w:val="5DA83210"/>
    <w:rsid w:val="5DDBEE3F"/>
    <w:rsid w:val="5DFF4D52"/>
    <w:rsid w:val="5E063843"/>
    <w:rsid w:val="5E0CF1AE"/>
    <w:rsid w:val="5E2EF07E"/>
    <w:rsid w:val="5E916335"/>
    <w:rsid w:val="5F4AC62A"/>
    <w:rsid w:val="5F4C8C92"/>
    <w:rsid w:val="5F9F256F"/>
    <w:rsid w:val="5FEC93AC"/>
    <w:rsid w:val="600787A5"/>
    <w:rsid w:val="60289205"/>
    <w:rsid w:val="602BFF4F"/>
    <w:rsid w:val="603B0EE0"/>
    <w:rsid w:val="6047A772"/>
    <w:rsid w:val="605AF757"/>
    <w:rsid w:val="605FE85A"/>
    <w:rsid w:val="6061FBA9"/>
    <w:rsid w:val="60A39FA1"/>
    <w:rsid w:val="60DCEA41"/>
    <w:rsid w:val="60F8BDEC"/>
    <w:rsid w:val="61447DC1"/>
    <w:rsid w:val="61599970"/>
    <w:rsid w:val="6164B51A"/>
    <w:rsid w:val="619B53B4"/>
    <w:rsid w:val="62305D72"/>
    <w:rsid w:val="626C8147"/>
    <w:rsid w:val="62BD4353"/>
    <w:rsid w:val="634EAD42"/>
    <w:rsid w:val="63CCC93D"/>
    <w:rsid w:val="6408D710"/>
    <w:rsid w:val="640A33D0"/>
    <w:rsid w:val="64562396"/>
    <w:rsid w:val="64625880"/>
    <w:rsid w:val="6469FA95"/>
    <w:rsid w:val="6474D345"/>
    <w:rsid w:val="648F1848"/>
    <w:rsid w:val="648FBA72"/>
    <w:rsid w:val="64A03A66"/>
    <w:rsid w:val="64D3305F"/>
    <w:rsid w:val="6512749C"/>
    <w:rsid w:val="65602E65"/>
    <w:rsid w:val="6576BE29"/>
    <w:rsid w:val="658EF022"/>
    <w:rsid w:val="65972269"/>
    <w:rsid w:val="65A2D1BC"/>
    <w:rsid w:val="65A7D3DD"/>
    <w:rsid w:val="65CB42B3"/>
    <w:rsid w:val="65F67136"/>
    <w:rsid w:val="65FA3253"/>
    <w:rsid w:val="6606A599"/>
    <w:rsid w:val="66B0627C"/>
    <w:rsid w:val="66C219A8"/>
    <w:rsid w:val="66D53850"/>
    <w:rsid w:val="677A8E5C"/>
    <w:rsid w:val="68182D85"/>
    <w:rsid w:val="681839E6"/>
    <w:rsid w:val="68687A84"/>
    <w:rsid w:val="6894E508"/>
    <w:rsid w:val="68CD5133"/>
    <w:rsid w:val="693D7A31"/>
    <w:rsid w:val="697634E0"/>
    <w:rsid w:val="69EA5BF9"/>
    <w:rsid w:val="6A1786C1"/>
    <w:rsid w:val="6A5D9E09"/>
    <w:rsid w:val="6A605A29"/>
    <w:rsid w:val="6A9244B0"/>
    <w:rsid w:val="6AB67C3A"/>
    <w:rsid w:val="6AB9ABD9"/>
    <w:rsid w:val="6ACB1E6B"/>
    <w:rsid w:val="6AD9BC4C"/>
    <w:rsid w:val="6B22AB66"/>
    <w:rsid w:val="6B29ECE5"/>
    <w:rsid w:val="6B589596"/>
    <w:rsid w:val="6BA4AA68"/>
    <w:rsid w:val="6BDE9CFC"/>
    <w:rsid w:val="6C0D2A1F"/>
    <w:rsid w:val="6C103ED6"/>
    <w:rsid w:val="6CACD30C"/>
    <w:rsid w:val="6CC40628"/>
    <w:rsid w:val="6CF7FAB4"/>
    <w:rsid w:val="6D55A169"/>
    <w:rsid w:val="6DB86680"/>
    <w:rsid w:val="6DCD8DA1"/>
    <w:rsid w:val="6DE7877C"/>
    <w:rsid w:val="6E55E87C"/>
    <w:rsid w:val="6E5CE353"/>
    <w:rsid w:val="6E7835B8"/>
    <w:rsid w:val="6E99570B"/>
    <w:rsid w:val="6F2C3DD4"/>
    <w:rsid w:val="6F48A151"/>
    <w:rsid w:val="6F4C4ABB"/>
    <w:rsid w:val="6F734A9F"/>
    <w:rsid w:val="6F91812D"/>
    <w:rsid w:val="6FC16F51"/>
    <w:rsid w:val="70352106"/>
    <w:rsid w:val="7077C512"/>
    <w:rsid w:val="70FB15C7"/>
    <w:rsid w:val="713259F5"/>
    <w:rsid w:val="71375B0C"/>
    <w:rsid w:val="71A57D34"/>
    <w:rsid w:val="71ABB468"/>
    <w:rsid w:val="71EDE78B"/>
    <w:rsid w:val="721DCFA8"/>
    <w:rsid w:val="72267F2A"/>
    <w:rsid w:val="730B9A10"/>
    <w:rsid w:val="730FC73F"/>
    <w:rsid w:val="732A4BC8"/>
    <w:rsid w:val="736AEA0D"/>
    <w:rsid w:val="73C0BE5F"/>
    <w:rsid w:val="73D7E09C"/>
    <w:rsid w:val="73EB3A29"/>
    <w:rsid w:val="7425F813"/>
    <w:rsid w:val="7449FDF0"/>
    <w:rsid w:val="748B7118"/>
    <w:rsid w:val="748E89FB"/>
    <w:rsid w:val="74E0DF57"/>
    <w:rsid w:val="752FC3EB"/>
    <w:rsid w:val="75A33D66"/>
    <w:rsid w:val="75EBA1C5"/>
    <w:rsid w:val="764A6A72"/>
    <w:rsid w:val="766D7FBE"/>
    <w:rsid w:val="766FFCB9"/>
    <w:rsid w:val="7682F91B"/>
    <w:rsid w:val="7699FC42"/>
    <w:rsid w:val="77081506"/>
    <w:rsid w:val="770AB7C5"/>
    <w:rsid w:val="77164676"/>
    <w:rsid w:val="7738ED0C"/>
    <w:rsid w:val="776584EB"/>
    <w:rsid w:val="778617EC"/>
    <w:rsid w:val="77CC0635"/>
    <w:rsid w:val="7811E585"/>
    <w:rsid w:val="78253F52"/>
    <w:rsid w:val="78D92545"/>
    <w:rsid w:val="78F46431"/>
    <w:rsid w:val="7946C18D"/>
    <w:rsid w:val="794AC453"/>
    <w:rsid w:val="79A0275B"/>
    <w:rsid w:val="7A23C346"/>
    <w:rsid w:val="7A286F98"/>
    <w:rsid w:val="7A89EE2C"/>
    <w:rsid w:val="7A9BE20F"/>
    <w:rsid w:val="7B2B794C"/>
    <w:rsid w:val="7B4B1253"/>
    <w:rsid w:val="7B6DD552"/>
    <w:rsid w:val="7B88FD59"/>
    <w:rsid w:val="7BF46BB0"/>
    <w:rsid w:val="7C0409F8"/>
    <w:rsid w:val="7C3D9BE7"/>
    <w:rsid w:val="7C50A8D3"/>
    <w:rsid w:val="7C5EA04B"/>
    <w:rsid w:val="7C6500C4"/>
    <w:rsid w:val="7C79CDAA"/>
    <w:rsid w:val="7C7BADCF"/>
    <w:rsid w:val="7C852E6D"/>
    <w:rsid w:val="7C9BB80B"/>
    <w:rsid w:val="7C9EDB7A"/>
    <w:rsid w:val="7CF79189"/>
    <w:rsid w:val="7D766715"/>
    <w:rsid w:val="7D766B26"/>
    <w:rsid w:val="7E12A0EA"/>
    <w:rsid w:val="7E9E6E56"/>
    <w:rsid w:val="7EB94D52"/>
    <w:rsid w:val="7ECCB81B"/>
    <w:rsid w:val="7F237B16"/>
    <w:rsid w:val="7F78F1A3"/>
    <w:rsid w:val="7F7CF107"/>
    <w:rsid w:val="7F86147F"/>
    <w:rsid w:val="7F9C6B42"/>
    <w:rsid w:val="7FE8F5F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BC09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AU" w:eastAsia="en-AU"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9F9"/>
    <w:pPr>
      <w:spacing w:line="280" w:lineRule="atLeast"/>
    </w:pPr>
    <w:rPr>
      <w:rFonts w:asciiTheme="minorHAnsi" w:eastAsiaTheme="majorEastAsia" w:hAnsiTheme="minorHAnsi" w:cs="Calibri"/>
      <w:color w:val="000000" w:themeColor="text1"/>
      <w:szCs w:val="24"/>
    </w:rPr>
  </w:style>
  <w:style w:type="paragraph" w:styleId="Heading1">
    <w:name w:val="heading 1"/>
    <w:basedOn w:val="Normal"/>
    <w:next w:val="Normal"/>
    <w:link w:val="Heading1Char"/>
    <w:uiPriority w:val="9"/>
    <w:qFormat/>
    <w:rsid w:val="003A5075"/>
    <w:pPr>
      <w:pBdr>
        <w:bottom w:val="single" w:sz="4" w:space="1" w:color="1D336D" w:themeColor="background2"/>
      </w:pBdr>
      <w:spacing w:before="240"/>
      <w:outlineLvl w:val="0"/>
    </w:pPr>
    <w:rPr>
      <w:bCs/>
      <w:iCs/>
      <w:caps/>
      <w:color w:val="1D336D" w:themeColor="background2"/>
      <w:sz w:val="32"/>
      <w:szCs w:val="28"/>
    </w:rPr>
  </w:style>
  <w:style w:type="paragraph" w:styleId="Heading2">
    <w:name w:val="heading 2"/>
    <w:basedOn w:val="Heading1"/>
    <w:next w:val="Normal"/>
    <w:link w:val="Heading2Char"/>
    <w:uiPriority w:val="9"/>
    <w:unhideWhenUsed/>
    <w:qFormat/>
    <w:rsid w:val="003A5075"/>
    <w:pPr>
      <w:numPr>
        <w:ilvl w:val="1"/>
      </w:numPr>
      <w:pBdr>
        <w:bottom w:val="none" w:sz="0" w:space="0" w:color="auto"/>
      </w:pBdr>
      <w:outlineLvl w:val="1"/>
    </w:pPr>
    <w:rPr>
      <w:b/>
      <w:color w:val="C9C9CA" w:themeColor="accent2"/>
      <w:sz w:val="28"/>
      <w:szCs w:val="26"/>
    </w:rPr>
  </w:style>
  <w:style w:type="paragraph" w:styleId="Heading3">
    <w:name w:val="heading 3"/>
    <w:basedOn w:val="Heading1"/>
    <w:next w:val="Normal"/>
    <w:link w:val="Heading3Char"/>
    <w:uiPriority w:val="9"/>
    <w:unhideWhenUsed/>
    <w:qFormat/>
    <w:rsid w:val="003A5075"/>
    <w:pPr>
      <w:keepNext/>
      <w:numPr>
        <w:ilvl w:val="2"/>
      </w:numPr>
      <w:pBdr>
        <w:bottom w:val="none" w:sz="0" w:space="0" w:color="auto"/>
      </w:pBdr>
      <w:outlineLvl w:val="2"/>
    </w:pPr>
    <w:rPr>
      <w:b/>
      <w:bCs w:val="0"/>
      <w:caps w:val="0"/>
      <w:color w:val="507CB9"/>
      <w:sz w:val="24"/>
      <w:szCs w:val="26"/>
    </w:rPr>
  </w:style>
  <w:style w:type="paragraph" w:styleId="Heading4">
    <w:name w:val="heading 4"/>
    <w:basedOn w:val="Heading3"/>
    <w:next w:val="Normal"/>
    <w:link w:val="Heading4Char"/>
    <w:uiPriority w:val="9"/>
    <w:semiHidden/>
    <w:unhideWhenUsed/>
    <w:qFormat/>
    <w:rsid w:val="00100070"/>
    <w:pPr>
      <w:outlineLvl w:val="3"/>
    </w:pPr>
    <w:rPr>
      <w:rFonts w:eastAsia="Century Gothic"/>
      <w:sz w:val="20"/>
    </w:rPr>
  </w:style>
  <w:style w:type="paragraph" w:styleId="Heading5">
    <w:name w:val="heading 5"/>
    <w:basedOn w:val="Normal"/>
    <w:next w:val="Normal"/>
    <w:link w:val="Heading5Char"/>
    <w:uiPriority w:val="1"/>
    <w:semiHidden/>
    <w:unhideWhenUsed/>
    <w:qFormat/>
    <w:rsid w:val="00100070"/>
    <w:pPr>
      <w:keepNext/>
      <w:keepLines/>
      <w:spacing w:before="40" w:after="0"/>
      <w:outlineLvl w:val="4"/>
    </w:pPr>
    <w:rPr>
      <w:rFonts w:asciiTheme="majorHAnsi" w:hAnsiTheme="majorHAnsi" w:cstheme="majorBidi"/>
      <w:color w:val="585858" w:themeColor="text2"/>
    </w:rPr>
  </w:style>
  <w:style w:type="paragraph" w:styleId="Heading6">
    <w:name w:val="heading 6"/>
    <w:basedOn w:val="Normal"/>
    <w:next w:val="Normal"/>
    <w:link w:val="Heading6Char"/>
    <w:uiPriority w:val="9"/>
    <w:semiHidden/>
    <w:unhideWhenUsed/>
    <w:qFormat/>
    <w:rsid w:val="00100070"/>
    <w:pPr>
      <w:keepNext/>
      <w:keepLines/>
      <w:spacing w:before="40" w:after="0"/>
      <w:outlineLvl w:val="5"/>
    </w:pPr>
    <w:rPr>
      <w:rFonts w:asciiTheme="majorHAnsi" w:hAnsiTheme="majorHAnsi" w:cstheme="majorBidi"/>
      <w:color w:val="1D336D" w:themeColor="background2"/>
    </w:rPr>
  </w:style>
  <w:style w:type="paragraph" w:styleId="Heading7">
    <w:name w:val="heading 7"/>
    <w:basedOn w:val="Normal"/>
    <w:next w:val="Normal"/>
    <w:link w:val="Heading7Char"/>
    <w:uiPriority w:val="1"/>
    <w:semiHidden/>
    <w:qFormat/>
    <w:rsid w:val="00100070"/>
    <w:pPr>
      <w:keepNext/>
      <w:keepLines/>
      <w:spacing w:before="40" w:after="0"/>
      <w:outlineLvl w:val="6"/>
    </w:pPr>
    <w:rPr>
      <w:rFonts w:asciiTheme="majorHAnsi" w:hAnsiTheme="majorHAnsi" w:cstheme="majorBidi"/>
      <w:i/>
      <w:iCs/>
      <w:color w:val="585858" w:themeColor="text2"/>
    </w:rPr>
  </w:style>
  <w:style w:type="paragraph" w:styleId="Heading8">
    <w:name w:val="heading 8"/>
    <w:basedOn w:val="Normal"/>
    <w:next w:val="Normal"/>
    <w:link w:val="Heading8Char"/>
    <w:uiPriority w:val="1"/>
    <w:semiHidden/>
    <w:qFormat/>
    <w:rsid w:val="00100070"/>
    <w:pPr>
      <w:keepNext/>
      <w:keepLines/>
      <w:spacing w:before="240"/>
      <w:outlineLvl w:val="7"/>
    </w:pPr>
    <w:rPr>
      <w:rFonts w:asciiTheme="majorHAnsi" w:hAnsiTheme="majorHAnsi" w:cstheme="majorBidi"/>
      <w:i/>
      <w:color w:val="1D336D" w:themeColor="background2"/>
      <w:szCs w:val="21"/>
    </w:rPr>
  </w:style>
  <w:style w:type="paragraph" w:styleId="Heading9">
    <w:name w:val="heading 9"/>
    <w:basedOn w:val="Normal"/>
    <w:next w:val="Normal"/>
    <w:link w:val="Heading9Char"/>
    <w:uiPriority w:val="1"/>
    <w:semiHidden/>
    <w:qFormat/>
    <w:rsid w:val="00100070"/>
    <w:pPr>
      <w:keepNext/>
      <w:keepLines/>
      <w:spacing w:before="240"/>
      <w:outlineLvl w:val="8"/>
    </w:pPr>
    <w:rPr>
      <w:rFonts w:asciiTheme="majorHAnsi" w:hAnsiTheme="majorHAnsi" w:cstheme="majorBidi"/>
      <w:i/>
      <w:iCs/>
      <w:color w:val="00000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uiPriority w:val="10"/>
    <w:qFormat/>
    <w:rsid w:val="005509F9"/>
    <w:pPr>
      <w:spacing w:line="240" w:lineRule="auto"/>
    </w:pPr>
    <w:rPr>
      <w:caps/>
      <w:color w:val="1D336D" w:themeColor="background2"/>
      <w:sz w:val="72"/>
      <w:szCs w:val="72"/>
    </w:rPr>
  </w:style>
  <w:style w:type="table" w:styleId="TableGrid">
    <w:name w:val="Table Grid"/>
    <w:aliases w:val="表格样式,epos-table1 top bottom 1"/>
    <w:basedOn w:val="TableNormal"/>
    <w:uiPriority w:val="39"/>
    <w:rsid w:val="00827C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29"/>
    <w:semiHidden/>
    <w:rsid w:val="00BD2E72"/>
    <w:pPr>
      <w:spacing w:after="0" w:line="240" w:lineRule="auto"/>
    </w:pPr>
    <w:rPr>
      <w:color w:val="FFFFFF"/>
    </w:rPr>
  </w:style>
  <w:style w:type="character" w:customStyle="1" w:styleId="HeaderChar">
    <w:name w:val="Header Char"/>
    <w:basedOn w:val="DefaultParagraphFont"/>
    <w:link w:val="Header"/>
    <w:uiPriority w:val="29"/>
    <w:semiHidden/>
    <w:rsid w:val="00310B3A"/>
    <w:rPr>
      <w:rFonts w:asciiTheme="minorHAnsi" w:eastAsiaTheme="majorEastAsia" w:hAnsiTheme="minorHAnsi" w:cs="Calibri"/>
      <w:color w:val="FFFFFF"/>
      <w:szCs w:val="24"/>
    </w:rPr>
  </w:style>
  <w:style w:type="paragraph" w:styleId="Footer">
    <w:name w:val="footer"/>
    <w:basedOn w:val="Normal"/>
    <w:link w:val="FooterChar"/>
    <w:uiPriority w:val="99"/>
    <w:qFormat/>
    <w:rsid w:val="00145656"/>
    <w:pPr>
      <w:spacing w:after="0" w:line="240" w:lineRule="auto"/>
    </w:pPr>
    <w:rPr>
      <w:color w:val="1D336D" w:themeColor="background2"/>
      <w:sz w:val="18"/>
    </w:rPr>
  </w:style>
  <w:style w:type="character" w:customStyle="1" w:styleId="FooterChar">
    <w:name w:val="Footer Char"/>
    <w:basedOn w:val="DefaultParagraphFont"/>
    <w:link w:val="Footer"/>
    <w:uiPriority w:val="99"/>
    <w:rsid w:val="00145656"/>
    <w:rPr>
      <w:rFonts w:asciiTheme="minorHAnsi" w:eastAsiaTheme="majorEastAsia" w:hAnsiTheme="minorHAnsi" w:cs="Calibri"/>
      <w:color w:val="1D336D" w:themeColor="background2"/>
      <w:sz w:val="18"/>
      <w:szCs w:val="24"/>
    </w:rPr>
  </w:style>
  <w:style w:type="paragraph" w:styleId="BalloonText">
    <w:name w:val="Balloon Text"/>
    <w:basedOn w:val="Normal"/>
    <w:link w:val="BalloonTextChar"/>
    <w:uiPriority w:val="29"/>
    <w:semiHidden/>
    <w:rsid w:val="006753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29"/>
    <w:semiHidden/>
    <w:rsid w:val="00E4514E"/>
    <w:rPr>
      <w:rFonts w:ascii="Tahoma" w:hAnsi="Tahoma" w:cs="Tahoma"/>
      <w:sz w:val="16"/>
      <w:szCs w:val="16"/>
    </w:rPr>
  </w:style>
  <w:style w:type="paragraph" w:customStyle="1" w:styleId="Detail">
    <w:name w:val="Detail"/>
    <w:basedOn w:val="Normal"/>
    <w:uiPriority w:val="50"/>
    <w:semiHidden/>
    <w:rsid w:val="00A67C11"/>
  </w:style>
  <w:style w:type="paragraph" w:styleId="ListNumber">
    <w:name w:val="List Number"/>
    <w:basedOn w:val="Normal"/>
    <w:link w:val="ListNumberChar"/>
    <w:uiPriority w:val="3"/>
    <w:qFormat/>
    <w:rsid w:val="0052767B"/>
    <w:pPr>
      <w:numPr>
        <w:numId w:val="22"/>
      </w:numPr>
      <w:spacing w:after="120"/>
    </w:pPr>
    <w:rPr>
      <w:rFonts w:eastAsia="Century Gothic" w:cstheme="minorBidi"/>
      <w:szCs w:val="20"/>
      <w:lang w:eastAsia="en-US"/>
    </w:rPr>
  </w:style>
  <w:style w:type="paragraph" w:styleId="ListBullet">
    <w:name w:val="List Bullet"/>
    <w:basedOn w:val="Normal"/>
    <w:uiPriority w:val="3"/>
    <w:qFormat/>
    <w:rsid w:val="00A209C8"/>
    <w:pPr>
      <w:numPr>
        <w:numId w:val="16"/>
      </w:numPr>
      <w:spacing w:after="120" w:line="260" w:lineRule="auto"/>
    </w:pPr>
    <w:rPr>
      <w:rFonts w:eastAsia="Century Gothic" w:cstheme="minorBidi"/>
      <w:szCs w:val="20"/>
      <w:lang w:val="en-US" w:eastAsia="en-US"/>
    </w:rPr>
  </w:style>
  <w:style w:type="paragraph" w:styleId="Date">
    <w:name w:val="Date"/>
    <w:basedOn w:val="Normal"/>
    <w:next w:val="Normal"/>
    <w:link w:val="DateChar"/>
    <w:uiPriority w:val="49"/>
    <w:semiHidden/>
    <w:rsid w:val="00F958EC"/>
    <w:pPr>
      <w:spacing w:after="0" w:line="240" w:lineRule="auto"/>
    </w:pPr>
    <w:rPr>
      <w:rFonts w:ascii="Corpid C1 SCd Regular" w:hAnsi="Corpid C1 SCd Regular"/>
      <w:color w:val="FFFFFF"/>
    </w:rPr>
  </w:style>
  <w:style w:type="character" w:customStyle="1" w:styleId="DateChar">
    <w:name w:val="Date Char"/>
    <w:basedOn w:val="DefaultParagraphFont"/>
    <w:link w:val="Date"/>
    <w:uiPriority w:val="49"/>
    <w:semiHidden/>
    <w:rsid w:val="00310B3A"/>
    <w:rPr>
      <w:rFonts w:ascii="Corpid C1 SCd Regular" w:eastAsiaTheme="majorEastAsia" w:hAnsi="Corpid C1 SCd Regular" w:cs="Calibri"/>
      <w:color w:val="FFFFFF"/>
      <w:szCs w:val="24"/>
    </w:rPr>
  </w:style>
  <w:style w:type="character" w:styleId="PlaceholderText">
    <w:name w:val="Placeholder Text"/>
    <w:basedOn w:val="DefaultParagraphFont"/>
    <w:uiPriority w:val="99"/>
    <w:semiHidden/>
    <w:rsid w:val="00415976"/>
    <w:rPr>
      <w:vanish w:val="0"/>
      <w:color w:val="FF0000"/>
    </w:rPr>
  </w:style>
  <w:style w:type="numbering" w:customStyle="1" w:styleId="AlphaList">
    <w:name w:val="_Alpha List"/>
    <w:uiPriority w:val="99"/>
    <w:rsid w:val="00581230"/>
  </w:style>
  <w:style w:type="character" w:customStyle="1" w:styleId="Heading5Char">
    <w:name w:val="Heading 5 Char"/>
    <w:basedOn w:val="DefaultParagraphFont"/>
    <w:link w:val="Heading5"/>
    <w:uiPriority w:val="1"/>
    <w:semiHidden/>
    <w:rsid w:val="000E3939"/>
    <w:rPr>
      <w:rFonts w:asciiTheme="majorHAnsi" w:eastAsiaTheme="majorEastAsia" w:hAnsiTheme="majorHAnsi" w:cstheme="majorBidi"/>
      <w:color w:val="585858" w:themeColor="text2"/>
      <w:szCs w:val="24"/>
    </w:rPr>
  </w:style>
  <w:style w:type="paragraph" w:customStyle="1" w:styleId="TableHeading">
    <w:name w:val="Table Heading"/>
    <w:basedOn w:val="Normal"/>
    <w:link w:val="TableHeadingChar"/>
    <w:uiPriority w:val="9"/>
    <w:qFormat/>
    <w:rsid w:val="00885AF8"/>
    <w:pPr>
      <w:numPr>
        <w:numId w:val="11"/>
      </w:numPr>
      <w:spacing w:before="20" w:after="20" w:line="240" w:lineRule="auto"/>
    </w:pPr>
    <w:rPr>
      <w:rFonts w:eastAsia="Century Gothic"/>
      <w:b/>
      <w:bCs/>
      <w:color w:val="FFFFFF"/>
      <w:lang w:eastAsia="en-US"/>
    </w:rPr>
  </w:style>
  <w:style w:type="character" w:customStyle="1" w:styleId="TitleChar">
    <w:name w:val="Title Char"/>
    <w:basedOn w:val="DefaultParagraphFont"/>
    <w:link w:val="Title"/>
    <w:uiPriority w:val="10"/>
    <w:rsid w:val="005509F9"/>
    <w:rPr>
      <w:rFonts w:asciiTheme="minorHAnsi" w:eastAsiaTheme="majorEastAsia" w:hAnsiTheme="minorHAnsi" w:cs="Calibri"/>
      <w:caps/>
      <w:color w:val="1D336D" w:themeColor="background2"/>
      <w:sz w:val="72"/>
      <w:szCs w:val="72"/>
    </w:rPr>
  </w:style>
  <w:style w:type="table" w:styleId="ListTable3-Accent1">
    <w:name w:val="List Table 3 Accent 1"/>
    <w:basedOn w:val="TableNormal"/>
    <w:uiPriority w:val="98"/>
    <w:semiHidden/>
    <w:rsid w:val="007E01F1"/>
    <w:rPr>
      <w:rFonts w:asciiTheme="minorHAnsi" w:eastAsia="Century Gothic" w:hAnsiTheme="minorHAnsi" w:cstheme="minorBidi"/>
      <w:lang w:eastAsia="en-US"/>
    </w:rPr>
    <w:tblPr>
      <w:tblStyleRowBandSize w:val="1"/>
      <w:tblStyleColBandSize w:val="1"/>
      <w:tblInd w:w="57" w:type="dxa"/>
      <w:tblBorders>
        <w:top w:val="single" w:sz="4" w:space="0" w:color="63D0DF" w:themeColor="accent1"/>
        <w:left w:val="single" w:sz="4" w:space="0" w:color="63D0DF" w:themeColor="accent1"/>
        <w:bottom w:val="single" w:sz="4" w:space="0" w:color="63D0DF" w:themeColor="accent1"/>
        <w:right w:val="single" w:sz="4" w:space="0" w:color="63D0DF" w:themeColor="accent1"/>
      </w:tblBorders>
      <w:tblCellMar>
        <w:top w:w="57" w:type="dxa"/>
        <w:left w:w="57" w:type="dxa"/>
        <w:bottom w:w="57" w:type="dxa"/>
        <w:right w:w="57" w:type="dxa"/>
      </w:tblCellMar>
    </w:tblPr>
    <w:tblStylePr w:type="firstRow">
      <w:rPr>
        <w:b/>
        <w:bCs/>
        <w:color w:val="FFFFFF" w:themeColor="background1"/>
      </w:rPr>
      <w:tblPr/>
      <w:tcPr>
        <w:shd w:val="clear" w:color="auto" w:fill="63D0DF" w:themeFill="accent1"/>
      </w:tcPr>
    </w:tblStylePr>
    <w:tblStylePr w:type="lastRow">
      <w:rPr>
        <w:b/>
        <w:bCs/>
      </w:rPr>
      <w:tblPr/>
      <w:tcPr>
        <w:tcBorders>
          <w:top w:val="double" w:sz="4" w:space="0" w:color="63D0D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D0DF" w:themeColor="accent1"/>
          <w:right w:val="single" w:sz="4" w:space="0" w:color="63D0DF" w:themeColor="accent1"/>
        </w:tcBorders>
      </w:tcPr>
    </w:tblStylePr>
    <w:tblStylePr w:type="band1Horz">
      <w:tblPr/>
      <w:tcPr>
        <w:tcBorders>
          <w:top w:val="single" w:sz="4" w:space="0" w:color="63D0DF" w:themeColor="accent1"/>
          <w:bottom w:val="single" w:sz="4" w:space="0" w:color="63D0D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D0DF" w:themeColor="accent1"/>
          <w:left w:val="nil"/>
        </w:tcBorders>
      </w:tcPr>
    </w:tblStylePr>
    <w:tblStylePr w:type="swCell">
      <w:tblPr/>
      <w:tcPr>
        <w:tcBorders>
          <w:top w:val="double" w:sz="4" w:space="0" w:color="63D0DF" w:themeColor="accent1"/>
          <w:right w:val="nil"/>
        </w:tcBorders>
      </w:tcPr>
    </w:tblStylePr>
  </w:style>
  <w:style w:type="numbering" w:customStyle="1" w:styleId="Bullets">
    <w:name w:val="_Bullets"/>
    <w:uiPriority w:val="99"/>
    <w:rsid w:val="00847E29"/>
  </w:style>
  <w:style w:type="numbering" w:customStyle="1" w:styleId="NumberedList">
    <w:name w:val="_Numbered List"/>
    <w:uiPriority w:val="99"/>
    <w:rsid w:val="0091567C"/>
  </w:style>
  <w:style w:type="paragraph" w:styleId="List">
    <w:name w:val="List"/>
    <w:basedOn w:val="Normal"/>
    <w:uiPriority w:val="3"/>
    <w:qFormat/>
    <w:rsid w:val="00581230"/>
    <w:pPr>
      <w:numPr>
        <w:numId w:val="14"/>
      </w:numPr>
    </w:pPr>
    <w:rPr>
      <w:rFonts w:eastAsia="Century Gothic" w:cstheme="minorBidi"/>
      <w:szCs w:val="20"/>
      <w:lang w:eastAsia="en-US"/>
    </w:rPr>
  </w:style>
  <w:style w:type="paragraph" w:styleId="List2">
    <w:name w:val="List 2"/>
    <w:basedOn w:val="Normal"/>
    <w:uiPriority w:val="3"/>
    <w:unhideWhenUsed/>
    <w:rsid w:val="00581230"/>
    <w:pPr>
      <w:numPr>
        <w:ilvl w:val="1"/>
        <w:numId w:val="14"/>
      </w:numPr>
    </w:pPr>
    <w:rPr>
      <w:rFonts w:eastAsia="Century Gothic" w:cstheme="minorBidi"/>
      <w:szCs w:val="20"/>
      <w:lang w:eastAsia="en-US"/>
    </w:rPr>
  </w:style>
  <w:style w:type="paragraph" w:styleId="List3">
    <w:name w:val="List 3"/>
    <w:basedOn w:val="Normal"/>
    <w:uiPriority w:val="3"/>
    <w:unhideWhenUsed/>
    <w:rsid w:val="00581230"/>
    <w:pPr>
      <w:numPr>
        <w:ilvl w:val="2"/>
        <w:numId w:val="14"/>
      </w:numPr>
      <w:spacing w:after="233" w:line="240" w:lineRule="auto"/>
    </w:pPr>
    <w:rPr>
      <w:rFonts w:eastAsia="Century Gothic" w:cstheme="minorBidi"/>
      <w:szCs w:val="20"/>
      <w:lang w:eastAsia="en-US"/>
    </w:rPr>
  </w:style>
  <w:style w:type="paragraph" w:styleId="ListNumber2">
    <w:name w:val="List Number 2"/>
    <w:basedOn w:val="Normal"/>
    <w:uiPriority w:val="3"/>
    <w:rsid w:val="00D4310E"/>
    <w:pPr>
      <w:numPr>
        <w:ilvl w:val="1"/>
        <w:numId w:val="22"/>
      </w:numPr>
      <w:spacing w:after="120"/>
    </w:pPr>
    <w:rPr>
      <w:rFonts w:eastAsia="Century Gothic" w:cstheme="minorBidi"/>
      <w:szCs w:val="20"/>
      <w:lang w:eastAsia="en-US"/>
    </w:rPr>
  </w:style>
  <w:style w:type="paragraph" w:styleId="ListNumber3">
    <w:name w:val="List Number 3"/>
    <w:basedOn w:val="Normal"/>
    <w:uiPriority w:val="3"/>
    <w:rsid w:val="00D4310E"/>
    <w:pPr>
      <w:numPr>
        <w:ilvl w:val="2"/>
        <w:numId w:val="22"/>
      </w:numPr>
      <w:spacing w:after="120"/>
    </w:pPr>
    <w:rPr>
      <w:rFonts w:eastAsia="Century Gothic" w:cstheme="minorBidi"/>
      <w:szCs w:val="20"/>
      <w:lang w:eastAsia="en-US"/>
    </w:rPr>
  </w:style>
  <w:style w:type="paragraph" w:styleId="ListNumber4">
    <w:name w:val="List Number 4"/>
    <w:basedOn w:val="Normal"/>
    <w:uiPriority w:val="50"/>
    <w:semiHidden/>
    <w:rsid w:val="0091567C"/>
    <w:pPr>
      <w:spacing w:after="100" w:line="240" w:lineRule="auto"/>
      <w:contextualSpacing/>
    </w:pPr>
    <w:rPr>
      <w:rFonts w:eastAsia="Century Gothic" w:cstheme="minorBidi"/>
      <w:szCs w:val="20"/>
      <w:lang w:eastAsia="en-US"/>
    </w:rPr>
  </w:style>
  <w:style w:type="paragraph" w:styleId="ListNumber5">
    <w:name w:val="List Number 5"/>
    <w:basedOn w:val="Normal"/>
    <w:uiPriority w:val="50"/>
    <w:semiHidden/>
    <w:rsid w:val="0091567C"/>
    <w:pPr>
      <w:spacing w:after="100" w:line="240" w:lineRule="auto"/>
      <w:contextualSpacing/>
    </w:pPr>
    <w:rPr>
      <w:rFonts w:eastAsia="Century Gothic" w:cstheme="minorBidi"/>
      <w:szCs w:val="20"/>
      <w:lang w:eastAsia="en-US"/>
    </w:rPr>
  </w:style>
  <w:style w:type="table" w:styleId="GridTable1Light">
    <w:name w:val="Grid Table 1 Light"/>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57" w:type="dxa"/>
        <w:left w:w="57" w:type="dxa"/>
        <w:bottom w:w="57" w:type="dxa"/>
        <w:right w:w="57"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C0ECF2" w:themeColor="accent1" w:themeTint="66"/>
        <w:left w:val="single" w:sz="4" w:space="0" w:color="C0ECF2" w:themeColor="accent1" w:themeTint="66"/>
        <w:bottom w:val="single" w:sz="4" w:space="0" w:color="C0ECF2" w:themeColor="accent1" w:themeTint="66"/>
        <w:right w:val="single" w:sz="4" w:space="0" w:color="C0ECF2" w:themeColor="accent1" w:themeTint="66"/>
        <w:insideH w:val="single" w:sz="4" w:space="0" w:color="C0ECF2" w:themeColor="accent1" w:themeTint="66"/>
        <w:insideV w:val="single" w:sz="4" w:space="0" w:color="C0ECF2" w:themeColor="accent1" w:themeTint="66"/>
      </w:tblBorders>
      <w:tblCellMar>
        <w:top w:w="57" w:type="dxa"/>
        <w:left w:w="57" w:type="dxa"/>
        <w:bottom w:w="57" w:type="dxa"/>
        <w:right w:w="57" w:type="dxa"/>
      </w:tblCellMar>
    </w:tblPr>
    <w:tblStylePr w:type="firstRow">
      <w:rPr>
        <w:b/>
        <w:bCs/>
      </w:rPr>
      <w:tblPr/>
      <w:tcPr>
        <w:tcBorders>
          <w:bottom w:val="single" w:sz="12" w:space="0" w:color="A1E2EB" w:themeColor="accent1" w:themeTint="99"/>
        </w:tcBorders>
      </w:tcPr>
    </w:tblStylePr>
    <w:tblStylePr w:type="lastRow">
      <w:rPr>
        <w:b/>
        <w:bCs/>
      </w:rPr>
      <w:tblPr/>
      <w:tcPr>
        <w:tcBorders>
          <w:top w:val="double" w:sz="2" w:space="0" w:color="A1E2E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E9E9E9" w:themeColor="accent2" w:themeTint="66"/>
        <w:left w:val="single" w:sz="4" w:space="0" w:color="E9E9E9" w:themeColor="accent2" w:themeTint="66"/>
        <w:bottom w:val="single" w:sz="4" w:space="0" w:color="E9E9E9" w:themeColor="accent2" w:themeTint="66"/>
        <w:right w:val="single" w:sz="4" w:space="0" w:color="E9E9E9" w:themeColor="accent2" w:themeTint="66"/>
        <w:insideH w:val="single" w:sz="4" w:space="0" w:color="E9E9E9" w:themeColor="accent2" w:themeTint="66"/>
        <w:insideV w:val="single" w:sz="4" w:space="0" w:color="E9E9E9" w:themeColor="accent2" w:themeTint="66"/>
      </w:tblBorders>
      <w:tblCellMar>
        <w:top w:w="57" w:type="dxa"/>
        <w:left w:w="57" w:type="dxa"/>
        <w:bottom w:w="57" w:type="dxa"/>
        <w:right w:w="57" w:type="dxa"/>
      </w:tblCellMar>
    </w:tblPr>
    <w:tblStylePr w:type="firstRow">
      <w:rPr>
        <w:b/>
        <w:bCs/>
      </w:rPr>
      <w:tblPr/>
      <w:tcPr>
        <w:tcBorders>
          <w:bottom w:val="single" w:sz="12" w:space="0" w:color="DEDEDF" w:themeColor="accent2" w:themeTint="99"/>
        </w:tcBorders>
      </w:tcPr>
    </w:tblStylePr>
    <w:tblStylePr w:type="lastRow">
      <w:rPr>
        <w:b/>
        <w:bCs/>
      </w:rPr>
      <w:tblPr/>
      <w:tcPr>
        <w:tcBorders>
          <w:top w:val="double" w:sz="2" w:space="0" w:color="DEDED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0ECF2" w:themeColor="accent3" w:themeTint="66"/>
        <w:left w:val="single" w:sz="4" w:space="0" w:color="C0ECF2" w:themeColor="accent3" w:themeTint="66"/>
        <w:bottom w:val="single" w:sz="4" w:space="0" w:color="C0ECF2" w:themeColor="accent3" w:themeTint="66"/>
        <w:right w:val="single" w:sz="4" w:space="0" w:color="C0ECF2" w:themeColor="accent3" w:themeTint="66"/>
        <w:insideH w:val="single" w:sz="4" w:space="0" w:color="C0ECF2" w:themeColor="accent3" w:themeTint="66"/>
        <w:insideV w:val="single" w:sz="4" w:space="0" w:color="C0ECF2" w:themeColor="accent3" w:themeTint="66"/>
      </w:tblBorders>
      <w:tblCellMar>
        <w:top w:w="57" w:type="dxa"/>
        <w:left w:w="57" w:type="dxa"/>
        <w:bottom w:w="57" w:type="dxa"/>
        <w:right w:w="57" w:type="dxa"/>
      </w:tblCellMar>
    </w:tblPr>
    <w:tblStylePr w:type="firstRow">
      <w:rPr>
        <w:b/>
        <w:bCs/>
      </w:rPr>
      <w:tblPr/>
      <w:tcPr>
        <w:tcBorders>
          <w:bottom w:val="single" w:sz="12" w:space="0" w:color="A1E2EB" w:themeColor="accent3" w:themeTint="99"/>
        </w:tcBorders>
      </w:tcPr>
    </w:tblStylePr>
    <w:tblStylePr w:type="lastRow">
      <w:rPr>
        <w:b/>
        <w:bCs/>
      </w:rPr>
      <w:tblPr/>
      <w:tcPr>
        <w:tcBorders>
          <w:top w:val="double" w:sz="2" w:space="0" w:color="A1E2E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9D9D9" w:themeColor="accent4" w:themeTint="66"/>
        <w:left w:val="single" w:sz="4" w:space="0" w:color="D9D9D9" w:themeColor="accent4" w:themeTint="66"/>
        <w:bottom w:val="single" w:sz="4" w:space="0" w:color="D9D9D9" w:themeColor="accent4" w:themeTint="66"/>
        <w:right w:val="single" w:sz="4" w:space="0" w:color="D9D9D9" w:themeColor="accent4" w:themeTint="66"/>
        <w:insideH w:val="single" w:sz="4" w:space="0" w:color="D9D9D9" w:themeColor="accent4" w:themeTint="66"/>
        <w:insideV w:val="single" w:sz="4" w:space="0" w:color="D9D9D9" w:themeColor="accent4" w:themeTint="66"/>
      </w:tblBorders>
      <w:tblCellMar>
        <w:top w:w="57" w:type="dxa"/>
        <w:left w:w="57" w:type="dxa"/>
        <w:bottom w:w="57" w:type="dxa"/>
        <w:right w:w="57" w:type="dxa"/>
      </w:tblCellMar>
    </w:tblPr>
    <w:tblStylePr w:type="firstRow">
      <w:rPr>
        <w:b/>
        <w:bCs/>
      </w:rPr>
      <w:tblPr/>
      <w:tcPr>
        <w:tcBorders>
          <w:bottom w:val="single" w:sz="12" w:space="0" w:color="C6C6C6" w:themeColor="accent4" w:themeTint="99"/>
        </w:tcBorders>
      </w:tcPr>
    </w:tblStylePr>
    <w:tblStylePr w:type="lastRow">
      <w:rPr>
        <w:b/>
        <w:bCs/>
      </w:rPr>
      <w:tblPr/>
      <w:tcPr>
        <w:tcBorders>
          <w:top w:val="double" w:sz="2" w:space="0" w:color="C6C6C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0ECF2" w:themeColor="accent5" w:themeTint="66"/>
        <w:left w:val="single" w:sz="4" w:space="0" w:color="C0ECF2" w:themeColor="accent5" w:themeTint="66"/>
        <w:bottom w:val="single" w:sz="4" w:space="0" w:color="C0ECF2" w:themeColor="accent5" w:themeTint="66"/>
        <w:right w:val="single" w:sz="4" w:space="0" w:color="C0ECF2" w:themeColor="accent5" w:themeTint="66"/>
        <w:insideH w:val="single" w:sz="4" w:space="0" w:color="C0ECF2" w:themeColor="accent5" w:themeTint="66"/>
        <w:insideV w:val="single" w:sz="4" w:space="0" w:color="C0ECF2" w:themeColor="accent5" w:themeTint="66"/>
      </w:tblBorders>
      <w:tblCellMar>
        <w:top w:w="57" w:type="dxa"/>
        <w:left w:w="57" w:type="dxa"/>
        <w:bottom w:w="57" w:type="dxa"/>
        <w:right w:w="57" w:type="dxa"/>
      </w:tblCellMar>
    </w:tblPr>
    <w:tblStylePr w:type="firstRow">
      <w:rPr>
        <w:b/>
        <w:bCs/>
      </w:rPr>
      <w:tblPr/>
      <w:tcPr>
        <w:tcBorders>
          <w:bottom w:val="single" w:sz="12" w:space="0" w:color="A1E2EB" w:themeColor="accent5" w:themeTint="99"/>
        </w:tcBorders>
      </w:tcPr>
    </w:tblStylePr>
    <w:tblStylePr w:type="lastRow">
      <w:rPr>
        <w:b/>
        <w:bCs/>
      </w:rPr>
      <w:tblPr/>
      <w:tcPr>
        <w:tcBorders>
          <w:top w:val="double" w:sz="2" w:space="0" w:color="A1E2E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9D9D9" w:themeColor="accent6" w:themeTint="66"/>
        <w:left w:val="single" w:sz="4" w:space="0" w:color="D9D9D9" w:themeColor="accent6" w:themeTint="66"/>
        <w:bottom w:val="single" w:sz="4" w:space="0" w:color="D9D9D9" w:themeColor="accent6" w:themeTint="66"/>
        <w:right w:val="single" w:sz="4" w:space="0" w:color="D9D9D9" w:themeColor="accent6" w:themeTint="66"/>
        <w:insideH w:val="single" w:sz="4" w:space="0" w:color="D9D9D9" w:themeColor="accent6" w:themeTint="66"/>
        <w:insideV w:val="single" w:sz="4" w:space="0" w:color="D9D9D9" w:themeColor="accent6" w:themeTint="66"/>
      </w:tblBorders>
      <w:tblCellMar>
        <w:top w:w="57" w:type="dxa"/>
        <w:left w:w="57" w:type="dxa"/>
        <w:bottom w:w="57" w:type="dxa"/>
        <w:right w:w="57" w:type="dxa"/>
      </w:tblCellMar>
    </w:tblPr>
    <w:tblStylePr w:type="firstRow">
      <w:rPr>
        <w:b/>
        <w:bCs/>
      </w:rPr>
      <w:tblPr/>
      <w:tcPr>
        <w:tcBorders>
          <w:bottom w:val="single" w:sz="12" w:space="0" w:color="C6C6C6" w:themeColor="accent6" w:themeTint="99"/>
        </w:tcBorders>
      </w:tcPr>
    </w:tblStylePr>
    <w:tblStylePr w:type="lastRow">
      <w:rPr>
        <w:b/>
        <w:bCs/>
      </w:rPr>
      <w:tblPr/>
      <w:tcPr>
        <w:tcBorders>
          <w:top w:val="double" w:sz="2" w:space="0" w:color="C6C6C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57" w:type="dxa"/>
        <w:left w:w="57" w:type="dxa"/>
        <w:bottom w:w="57" w:type="dxa"/>
        <w:right w:w="57"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A1E2EB" w:themeColor="accent1" w:themeTint="99"/>
        <w:bottom w:val="single" w:sz="2" w:space="0" w:color="A1E2EB" w:themeColor="accent1" w:themeTint="99"/>
        <w:insideH w:val="single" w:sz="2" w:space="0" w:color="A1E2EB" w:themeColor="accent1" w:themeTint="99"/>
        <w:insideV w:val="single" w:sz="2" w:space="0" w:color="A1E2EB" w:themeColor="accent1" w:themeTint="99"/>
      </w:tblBorders>
      <w:tblCellMar>
        <w:top w:w="57" w:type="dxa"/>
        <w:left w:w="57" w:type="dxa"/>
        <w:bottom w:w="57" w:type="dxa"/>
        <w:right w:w="57" w:type="dxa"/>
      </w:tblCellMar>
    </w:tblPr>
    <w:tblStylePr w:type="firstRow">
      <w:rPr>
        <w:b/>
        <w:bCs/>
      </w:rPr>
      <w:tblPr/>
      <w:tcPr>
        <w:tcBorders>
          <w:top w:val="nil"/>
          <w:bottom w:val="single" w:sz="12" w:space="0" w:color="A1E2EB" w:themeColor="accent1" w:themeTint="99"/>
          <w:insideH w:val="nil"/>
          <w:insideV w:val="nil"/>
        </w:tcBorders>
        <w:shd w:val="clear" w:color="auto" w:fill="FFFFFF" w:themeFill="background1"/>
      </w:tcPr>
    </w:tblStylePr>
    <w:tblStylePr w:type="lastRow">
      <w:rPr>
        <w:b/>
        <w:bCs/>
      </w:rPr>
      <w:tblPr/>
      <w:tcPr>
        <w:tcBorders>
          <w:top w:val="double" w:sz="2" w:space="0" w:color="A1E2E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GridTable2-Accent2">
    <w:name w:val="Grid Table 2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DEDEDF" w:themeColor="accent2" w:themeTint="99"/>
        <w:bottom w:val="single" w:sz="2" w:space="0" w:color="DEDEDF" w:themeColor="accent2" w:themeTint="99"/>
        <w:insideH w:val="single" w:sz="2" w:space="0" w:color="DEDEDF" w:themeColor="accent2" w:themeTint="99"/>
        <w:insideV w:val="single" w:sz="2" w:space="0" w:color="DEDEDF" w:themeColor="accent2" w:themeTint="99"/>
      </w:tblBorders>
      <w:tblCellMar>
        <w:top w:w="57" w:type="dxa"/>
        <w:left w:w="57" w:type="dxa"/>
        <w:bottom w:w="57" w:type="dxa"/>
        <w:right w:w="57" w:type="dxa"/>
      </w:tblCellMar>
    </w:tblPr>
    <w:tblStylePr w:type="firstRow">
      <w:rPr>
        <w:b/>
        <w:bCs/>
      </w:rPr>
      <w:tblPr/>
      <w:tcPr>
        <w:tcBorders>
          <w:top w:val="nil"/>
          <w:bottom w:val="single" w:sz="12" w:space="0" w:color="DEDEDF" w:themeColor="accent2" w:themeTint="99"/>
          <w:insideH w:val="nil"/>
          <w:insideV w:val="nil"/>
        </w:tcBorders>
        <w:shd w:val="clear" w:color="auto" w:fill="FFFFFF" w:themeFill="background1"/>
      </w:tcPr>
    </w:tblStylePr>
    <w:tblStylePr w:type="lastRow">
      <w:rPr>
        <w:b/>
        <w:bCs/>
      </w:rPr>
      <w:tblPr/>
      <w:tcPr>
        <w:tcBorders>
          <w:top w:val="double" w:sz="2" w:space="0" w:color="DEDED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GridTable2-Accent3">
    <w:name w:val="Grid Table 2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A1E2EB" w:themeColor="accent3" w:themeTint="99"/>
        <w:bottom w:val="single" w:sz="2" w:space="0" w:color="A1E2EB" w:themeColor="accent3" w:themeTint="99"/>
        <w:insideH w:val="single" w:sz="2" w:space="0" w:color="A1E2EB" w:themeColor="accent3" w:themeTint="99"/>
        <w:insideV w:val="single" w:sz="2" w:space="0" w:color="A1E2EB" w:themeColor="accent3" w:themeTint="99"/>
      </w:tblBorders>
      <w:tblCellMar>
        <w:top w:w="57" w:type="dxa"/>
        <w:left w:w="57" w:type="dxa"/>
        <w:bottom w:w="57" w:type="dxa"/>
        <w:right w:w="57" w:type="dxa"/>
      </w:tblCellMar>
    </w:tblPr>
    <w:tblStylePr w:type="firstRow">
      <w:rPr>
        <w:b/>
        <w:bCs/>
      </w:rPr>
      <w:tblPr/>
      <w:tcPr>
        <w:tcBorders>
          <w:top w:val="nil"/>
          <w:bottom w:val="single" w:sz="12" w:space="0" w:color="A1E2EB" w:themeColor="accent3" w:themeTint="99"/>
          <w:insideH w:val="nil"/>
          <w:insideV w:val="nil"/>
        </w:tcBorders>
        <w:shd w:val="clear" w:color="auto" w:fill="FFFFFF" w:themeFill="background1"/>
      </w:tcPr>
    </w:tblStylePr>
    <w:tblStylePr w:type="lastRow">
      <w:rPr>
        <w:b/>
        <w:bCs/>
      </w:rPr>
      <w:tblPr/>
      <w:tcPr>
        <w:tcBorders>
          <w:top w:val="double" w:sz="2" w:space="0" w:color="A1E2E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GridTable2-Accent4">
    <w:name w:val="Grid Table 2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C6C6C6" w:themeColor="accent4" w:themeTint="99"/>
        <w:bottom w:val="single" w:sz="2" w:space="0" w:color="C6C6C6" w:themeColor="accent4" w:themeTint="99"/>
        <w:insideH w:val="single" w:sz="2" w:space="0" w:color="C6C6C6" w:themeColor="accent4" w:themeTint="99"/>
        <w:insideV w:val="single" w:sz="2" w:space="0" w:color="C6C6C6" w:themeColor="accent4" w:themeTint="99"/>
      </w:tblBorders>
      <w:tblCellMar>
        <w:top w:w="57" w:type="dxa"/>
        <w:left w:w="57" w:type="dxa"/>
        <w:bottom w:w="57" w:type="dxa"/>
        <w:right w:w="57" w:type="dxa"/>
      </w:tblCellMar>
    </w:tblPr>
    <w:tblStylePr w:type="firstRow">
      <w:rPr>
        <w:b/>
        <w:bCs/>
      </w:rPr>
      <w:tblPr/>
      <w:tcPr>
        <w:tcBorders>
          <w:top w:val="nil"/>
          <w:bottom w:val="single" w:sz="12" w:space="0" w:color="C6C6C6" w:themeColor="accent4" w:themeTint="99"/>
          <w:insideH w:val="nil"/>
          <w:insideV w:val="nil"/>
        </w:tcBorders>
        <w:shd w:val="clear" w:color="auto" w:fill="FFFFFF" w:themeFill="background1"/>
      </w:tcPr>
    </w:tblStylePr>
    <w:tblStylePr w:type="lastRow">
      <w:rPr>
        <w:b/>
        <w:bCs/>
      </w:rPr>
      <w:tblPr/>
      <w:tcPr>
        <w:tcBorders>
          <w:top w:val="double" w:sz="2" w:space="0" w:color="C6C6C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GridTable2-Accent5">
    <w:name w:val="Grid Table 2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A1E2EB" w:themeColor="accent5" w:themeTint="99"/>
        <w:bottom w:val="single" w:sz="2" w:space="0" w:color="A1E2EB" w:themeColor="accent5" w:themeTint="99"/>
        <w:insideH w:val="single" w:sz="2" w:space="0" w:color="A1E2EB" w:themeColor="accent5" w:themeTint="99"/>
        <w:insideV w:val="single" w:sz="2" w:space="0" w:color="A1E2EB" w:themeColor="accent5" w:themeTint="99"/>
      </w:tblBorders>
      <w:tblCellMar>
        <w:top w:w="57" w:type="dxa"/>
        <w:left w:w="57" w:type="dxa"/>
        <w:bottom w:w="57" w:type="dxa"/>
        <w:right w:w="57" w:type="dxa"/>
      </w:tblCellMar>
    </w:tblPr>
    <w:tblStylePr w:type="firstRow">
      <w:rPr>
        <w:b/>
        <w:bCs/>
      </w:rPr>
      <w:tblPr/>
      <w:tcPr>
        <w:tcBorders>
          <w:top w:val="nil"/>
          <w:bottom w:val="single" w:sz="12" w:space="0" w:color="A1E2EB" w:themeColor="accent5" w:themeTint="99"/>
          <w:insideH w:val="nil"/>
          <w:insideV w:val="nil"/>
        </w:tcBorders>
        <w:shd w:val="clear" w:color="auto" w:fill="FFFFFF" w:themeFill="background1"/>
      </w:tcPr>
    </w:tblStylePr>
    <w:tblStylePr w:type="lastRow">
      <w:rPr>
        <w:b/>
        <w:bCs/>
      </w:rPr>
      <w:tblPr/>
      <w:tcPr>
        <w:tcBorders>
          <w:top w:val="double" w:sz="2" w:space="0" w:color="A1E2E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GridTable2-Accent6">
    <w:name w:val="Grid Table 2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C6C6C6" w:themeColor="accent6" w:themeTint="99"/>
        <w:bottom w:val="single" w:sz="2" w:space="0" w:color="C6C6C6" w:themeColor="accent6" w:themeTint="99"/>
        <w:insideH w:val="single" w:sz="2" w:space="0" w:color="C6C6C6" w:themeColor="accent6" w:themeTint="99"/>
        <w:insideV w:val="single" w:sz="2" w:space="0" w:color="C6C6C6" w:themeColor="accent6" w:themeTint="99"/>
      </w:tblBorders>
      <w:tblCellMar>
        <w:top w:w="57" w:type="dxa"/>
        <w:left w:w="57" w:type="dxa"/>
        <w:bottom w:w="57" w:type="dxa"/>
        <w:right w:w="57" w:type="dxa"/>
      </w:tblCellMar>
    </w:tblPr>
    <w:tblStylePr w:type="firstRow">
      <w:rPr>
        <w:b/>
        <w:bCs/>
      </w:rPr>
      <w:tblPr/>
      <w:tcPr>
        <w:tcBorders>
          <w:top w:val="nil"/>
          <w:bottom w:val="single" w:sz="12" w:space="0" w:color="C6C6C6" w:themeColor="accent6" w:themeTint="99"/>
          <w:insideH w:val="nil"/>
          <w:insideV w:val="nil"/>
        </w:tcBorders>
        <w:shd w:val="clear" w:color="auto" w:fill="FFFFFF" w:themeFill="background1"/>
      </w:tcPr>
    </w:tblStylePr>
    <w:tblStylePr w:type="lastRow">
      <w:rPr>
        <w:b/>
        <w:bCs/>
      </w:rPr>
      <w:tblPr/>
      <w:tcPr>
        <w:tcBorders>
          <w:top w:val="double" w:sz="2" w:space="0" w:color="C6C6C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GridTable3">
    <w:name w:val="Grid Table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insideV w:val="single" w:sz="4" w:space="0" w:color="A1E2EB" w:themeColor="accen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1" w:themeFillTint="33"/>
      </w:tcPr>
    </w:tblStylePr>
    <w:tblStylePr w:type="band1Horz">
      <w:tblPr/>
      <w:tcPr>
        <w:shd w:val="clear" w:color="auto" w:fill="DFF5F8" w:themeFill="accent1" w:themeFillTint="33"/>
      </w:tcPr>
    </w:tblStylePr>
    <w:tblStylePr w:type="neCell">
      <w:tblPr/>
      <w:tcPr>
        <w:tcBorders>
          <w:bottom w:val="single" w:sz="4" w:space="0" w:color="A1E2EB" w:themeColor="accent1" w:themeTint="99"/>
        </w:tcBorders>
      </w:tcPr>
    </w:tblStylePr>
    <w:tblStylePr w:type="nwCell">
      <w:tblPr/>
      <w:tcPr>
        <w:tcBorders>
          <w:bottom w:val="single" w:sz="4" w:space="0" w:color="A1E2EB" w:themeColor="accent1" w:themeTint="99"/>
        </w:tcBorders>
      </w:tcPr>
    </w:tblStylePr>
    <w:tblStylePr w:type="seCell">
      <w:tblPr/>
      <w:tcPr>
        <w:tcBorders>
          <w:top w:val="single" w:sz="4" w:space="0" w:color="A1E2EB" w:themeColor="accent1" w:themeTint="99"/>
        </w:tcBorders>
      </w:tcPr>
    </w:tblStylePr>
    <w:tblStylePr w:type="swCell">
      <w:tblPr/>
      <w:tcPr>
        <w:tcBorders>
          <w:top w:val="single" w:sz="4" w:space="0" w:color="A1E2EB" w:themeColor="accent1" w:themeTint="99"/>
        </w:tcBorders>
      </w:tcPr>
    </w:tblStylePr>
  </w:style>
  <w:style w:type="table" w:styleId="GridTable3-Accent2">
    <w:name w:val="Grid Table 3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insideV w:val="single" w:sz="4" w:space="0" w:color="DEDEDF" w:themeColor="accent2"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2" w:themeFillTint="33"/>
      </w:tcPr>
    </w:tblStylePr>
    <w:tblStylePr w:type="band1Horz">
      <w:tblPr/>
      <w:tcPr>
        <w:shd w:val="clear" w:color="auto" w:fill="F4F4F4" w:themeFill="accent2" w:themeFillTint="33"/>
      </w:tcPr>
    </w:tblStylePr>
    <w:tblStylePr w:type="neCell">
      <w:tblPr/>
      <w:tcPr>
        <w:tcBorders>
          <w:bottom w:val="single" w:sz="4" w:space="0" w:color="DEDEDF" w:themeColor="accent2" w:themeTint="99"/>
        </w:tcBorders>
      </w:tcPr>
    </w:tblStylePr>
    <w:tblStylePr w:type="nwCell">
      <w:tblPr/>
      <w:tcPr>
        <w:tcBorders>
          <w:bottom w:val="single" w:sz="4" w:space="0" w:color="DEDEDF" w:themeColor="accent2" w:themeTint="99"/>
        </w:tcBorders>
      </w:tcPr>
    </w:tblStylePr>
    <w:tblStylePr w:type="seCell">
      <w:tblPr/>
      <w:tcPr>
        <w:tcBorders>
          <w:top w:val="single" w:sz="4" w:space="0" w:color="DEDEDF" w:themeColor="accent2" w:themeTint="99"/>
        </w:tcBorders>
      </w:tcPr>
    </w:tblStylePr>
    <w:tblStylePr w:type="swCell">
      <w:tblPr/>
      <w:tcPr>
        <w:tcBorders>
          <w:top w:val="single" w:sz="4" w:space="0" w:color="DEDEDF" w:themeColor="accent2" w:themeTint="99"/>
        </w:tcBorders>
      </w:tcPr>
    </w:tblStylePr>
  </w:style>
  <w:style w:type="table" w:styleId="GridTable3-Accent3">
    <w:name w:val="Grid Table 3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insideV w:val="single" w:sz="4" w:space="0" w:color="A1E2EB" w:themeColor="accent3"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3" w:themeFillTint="33"/>
      </w:tcPr>
    </w:tblStylePr>
    <w:tblStylePr w:type="band1Horz">
      <w:tblPr/>
      <w:tcPr>
        <w:shd w:val="clear" w:color="auto" w:fill="DFF5F8" w:themeFill="accent3" w:themeFillTint="33"/>
      </w:tcPr>
    </w:tblStylePr>
    <w:tblStylePr w:type="neCell">
      <w:tblPr/>
      <w:tcPr>
        <w:tcBorders>
          <w:bottom w:val="single" w:sz="4" w:space="0" w:color="A1E2EB" w:themeColor="accent3" w:themeTint="99"/>
        </w:tcBorders>
      </w:tcPr>
    </w:tblStylePr>
    <w:tblStylePr w:type="nwCell">
      <w:tblPr/>
      <w:tcPr>
        <w:tcBorders>
          <w:bottom w:val="single" w:sz="4" w:space="0" w:color="A1E2EB" w:themeColor="accent3" w:themeTint="99"/>
        </w:tcBorders>
      </w:tcPr>
    </w:tblStylePr>
    <w:tblStylePr w:type="seCell">
      <w:tblPr/>
      <w:tcPr>
        <w:tcBorders>
          <w:top w:val="single" w:sz="4" w:space="0" w:color="A1E2EB" w:themeColor="accent3" w:themeTint="99"/>
        </w:tcBorders>
      </w:tcPr>
    </w:tblStylePr>
    <w:tblStylePr w:type="swCell">
      <w:tblPr/>
      <w:tcPr>
        <w:tcBorders>
          <w:top w:val="single" w:sz="4" w:space="0" w:color="A1E2EB" w:themeColor="accent3" w:themeTint="99"/>
        </w:tcBorders>
      </w:tcPr>
    </w:tblStylePr>
  </w:style>
  <w:style w:type="table" w:styleId="GridTable3-Accent4">
    <w:name w:val="Grid Table 3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insideV w:val="single" w:sz="4" w:space="0" w:color="C6C6C6" w:themeColor="accent4"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CEC" w:themeFill="accent4" w:themeFillTint="33"/>
      </w:tcPr>
    </w:tblStylePr>
    <w:tblStylePr w:type="band1Horz">
      <w:tblPr/>
      <w:tcPr>
        <w:shd w:val="clear" w:color="auto" w:fill="ECECEC" w:themeFill="accent4" w:themeFillTint="33"/>
      </w:tcPr>
    </w:tblStylePr>
    <w:tblStylePr w:type="neCell">
      <w:tblPr/>
      <w:tcPr>
        <w:tcBorders>
          <w:bottom w:val="single" w:sz="4" w:space="0" w:color="C6C6C6" w:themeColor="accent4" w:themeTint="99"/>
        </w:tcBorders>
      </w:tcPr>
    </w:tblStylePr>
    <w:tblStylePr w:type="nwCell">
      <w:tblPr/>
      <w:tcPr>
        <w:tcBorders>
          <w:bottom w:val="single" w:sz="4" w:space="0" w:color="C6C6C6" w:themeColor="accent4" w:themeTint="99"/>
        </w:tcBorders>
      </w:tcPr>
    </w:tblStylePr>
    <w:tblStylePr w:type="seCell">
      <w:tblPr/>
      <w:tcPr>
        <w:tcBorders>
          <w:top w:val="single" w:sz="4" w:space="0" w:color="C6C6C6" w:themeColor="accent4" w:themeTint="99"/>
        </w:tcBorders>
      </w:tcPr>
    </w:tblStylePr>
    <w:tblStylePr w:type="swCell">
      <w:tblPr/>
      <w:tcPr>
        <w:tcBorders>
          <w:top w:val="single" w:sz="4" w:space="0" w:color="C6C6C6" w:themeColor="accent4" w:themeTint="99"/>
        </w:tcBorders>
      </w:tcPr>
    </w:tblStylePr>
  </w:style>
  <w:style w:type="table" w:styleId="GridTable3-Accent5">
    <w:name w:val="Grid Table 3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insideV w:val="single" w:sz="4" w:space="0" w:color="A1E2EB" w:themeColor="accent5"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5" w:themeFillTint="33"/>
      </w:tcPr>
    </w:tblStylePr>
    <w:tblStylePr w:type="band1Horz">
      <w:tblPr/>
      <w:tcPr>
        <w:shd w:val="clear" w:color="auto" w:fill="DFF5F8" w:themeFill="accent5" w:themeFillTint="33"/>
      </w:tcPr>
    </w:tblStylePr>
    <w:tblStylePr w:type="neCell">
      <w:tblPr/>
      <w:tcPr>
        <w:tcBorders>
          <w:bottom w:val="single" w:sz="4" w:space="0" w:color="A1E2EB" w:themeColor="accent5" w:themeTint="99"/>
        </w:tcBorders>
      </w:tcPr>
    </w:tblStylePr>
    <w:tblStylePr w:type="nwCell">
      <w:tblPr/>
      <w:tcPr>
        <w:tcBorders>
          <w:bottom w:val="single" w:sz="4" w:space="0" w:color="A1E2EB" w:themeColor="accent5" w:themeTint="99"/>
        </w:tcBorders>
      </w:tcPr>
    </w:tblStylePr>
    <w:tblStylePr w:type="seCell">
      <w:tblPr/>
      <w:tcPr>
        <w:tcBorders>
          <w:top w:val="single" w:sz="4" w:space="0" w:color="A1E2EB" w:themeColor="accent5" w:themeTint="99"/>
        </w:tcBorders>
      </w:tcPr>
    </w:tblStylePr>
    <w:tblStylePr w:type="swCell">
      <w:tblPr/>
      <w:tcPr>
        <w:tcBorders>
          <w:top w:val="single" w:sz="4" w:space="0" w:color="A1E2EB" w:themeColor="accent5" w:themeTint="99"/>
        </w:tcBorders>
      </w:tcPr>
    </w:tblStylePr>
  </w:style>
  <w:style w:type="table" w:styleId="GridTable3-Accent6">
    <w:name w:val="Grid Table 3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insideV w:val="single" w:sz="4" w:space="0" w:color="C6C6C6" w:themeColor="accent6"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CEC" w:themeFill="accent6" w:themeFillTint="33"/>
      </w:tcPr>
    </w:tblStylePr>
    <w:tblStylePr w:type="band1Horz">
      <w:tblPr/>
      <w:tcPr>
        <w:shd w:val="clear" w:color="auto" w:fill="ECECEC" w:themeFill="accent6" w:themeFillTint="33"/>
      </w:tcPr>
    </w:tblStylePr>
    <w:tblStylePr w:type="neCell">
      <w:tblPr/>
      <w:tcPr>
        <w:tcBorders>
          <w:bottom w:val="single" w:sz="4" w:space="0" w:color="C6C6C6" w:themeColor="accent6" w:themeTint="99"/>
        </w:tcBorders>
      </w:tcPr>
    </w:tblStylePr>
    <w:tblStylePr w:type="nwCell">
      <w:tblPr/>
      <w:tcPr>
        <w:tcBorders>
          <w:bottom w:val="single" w:sz="4" w:space="0" w:color="C6C6C6" w:themeColor="accent6" w:themeTint="99"/>
        </w:tcBorders>
      </w:tcPr>
    </w:tblStylePr>
    <w:tblStylePr w:type="seCell">
      <w:tblPr/>
      <w:tcPr>
        <w:tcBorders>
          <w:top w:val="single" w:sz="4" w:space="0" w:color="C6C6C6" w:themeColor="accent6" w:themeTint="99"/>
        </w:tcBorders>
      </w:tcPr>
    </w:tblStylePr>
    <w:tblStylePr w:type="swCell">
      <w:tblPr/>
      <w:tcPr>
        <w:tcBorders>
          <w:top w:val="single" w:sz="4" w:space="0" w:color="C6C6C6" w:themeColor="accent6" w:themeTint="99"/>
        </w:tcBorders>
      </w:tcPr>
    </w:tblStylePr>
  </w:style>
  <w:style w:type="table" w:styleId="GridTable4">
    <w:name w:val="Grid Table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insideV w:val="single" w:sz="4" w:space="0" w:color="A1E2EB" w:themeColor="accen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1"/>
          <w:left w:val="single" w:sz="4" w:space="0" w:color="63D0DF" w:themeColor="accent1"/>
          <w:bottom w:val="single" w:sz="4" w:space="0" w:color="63D0DF" w:themeColor="accent1"/>
          <w:right w:val="single" w:sz="4" w:space="0" w:color="63D0DF" w:themeColor="accent1"/>
          <w:insideH w:val="nil"/>
          <w:insideV w:val="nil"/>
        </w:tcBorders>
        <w:shd w:val="clear" w:color="auto" w:fill="63D0DF" w:themeFill="accent1"/>
      </w:tcPr>
    </w:tblStylePr>
    <w:tblStylePr w:type="lastRow">
      <w:rPr>
        <w:b/>
        <w:bCs/>
      </w:rPr>
      <w:tblPr/>
      <w:tcPr>
        <w:tcBorders>
          <w:top w:val="double" w:sz="4" w:space="0" w:color="63D0DF" w:themeColor="accent1"/>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GridTable4-Accent2">
    <w:name w:val="Grid Table 4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insideV w:val="single" w:sz="4" w:space="0" w:color="DEDED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C9C9CA" w:themeColor="accent2"/>
          <w:left w:val="single" w:sz="4" w:space="0" w:color="C9C9CA" w:themeColor="accent2"/>
          <w:bottom w:val="single" w:sz="4" w:space="0" w:color="C9C9CA" w:themeColor="accent2"/>
          <w:right w:val="single" w:sz="4" w:space="0" w:color="C9C9CA" w:themeColor="accent2"/>
          <w:insideH w:val="nil"/>
          <w:insideV w:val="nil"/>
        </w:tcBorders>
        <w:shd w:val="clear" w:color="auto" w:fill="C9C9CA" w:themeFill="accent2"/>
      </w:tcPr>
    </w:tblStylePr>
    <w:tblStylePr w:type="lastRow">
      <w:rPr>
        <w:b/>
        <w:bCs/>
      </w:rPr>
      <w:tblPr/>
      <w:tcPr>
        <w:tcBorders>
          <w:top w:val="double" w:sz="4" w:space="0" w:color="C9C9CA" w:themeColor="accent2"/>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GridTable4-Accent3">
    <w:name w:val="Grid Table 4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insideV w:val="single" w:sz="4" w:space="0" w:color="A1E2EB" w:themeColor="accent3"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3"/>
          <w:left w:val="single" w:sz="4" w:space="0" w:color="63D0DF" w:themeColor="accent3"/>
          <w:bottom w:val="single" w:sz="4" w:space="0" w:color="63D0DF" w:themeColor="accent3"/>
          <w:right w:val="single" w:sz="4" w:space="0" w:color="63D0DF" w:themeColor="accent3"/>
          <w:insideH w:val="nil"/>
          <w:insideV w:val="nil"/>
        </w:tcBorders>
        <w:shd w:val="clear" w:color="auto" w:fill="63D0DF" w:themeFill="accent3"/>
      </w:tcPr>
    </w:tblStylePr>
    <w:tblStylePr w:type="lastRow">
      <w:rPr>
        <w:b/>
        <w:bCs/>
      </w:rPr>
      <w:tblPr/>
      <w:tcPr>
        <w:tcBorders>
          <w:top w:val="double" w:sz="4" w:space="0" w:color="63D0DF" w:themeColor="accent3"/>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GridTable4-Accent4">
    <w:name w:val="Grid Table 4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insideV w:val="single" w:sz="4" w:space="0" w:color="C6C6C6" w:themeColor="accent4"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A1A1A1" w:themeColor="accent4"/>
          <w:left w:val="single" w:sz="4" w:space="0" w:color="A1A1A1" w:themeColor="accent4"/>
          <w:bottom w:val="single" w:sz="4" w:space="0" w:color="A1A1A1" w:themeColor="accent4"/>
          <w:right w:val="single" w:sz="4" w:space="0" w:color="A1A1A1" w:themeColor="accent4"/>
          <w:insideH w:val="nil"/>
          <w:insideV w:val="nil"/>
        </w:tcBorders>
        <w:shd w:val="clear" w:color="auto" w:fill="A1A1A1" w:themeFill="accent4"/>
      </w:tcPr>
    </w:tblStylePr>
    <w:tblStylePr w:type="lastRow">
      <w:rPr>
        <w:b/>
        <w:bCs/>
      </w:rPr>
      <w:tblPr/>
      <w:tcPr>
        <w:tcBorders>
          <w:top w:val="double" w:sz="4" w:space="0" w:color="A1A1A1" w:themeColor="accent4"/>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GridTable4-Accent5">
    <w:name w:val="Grid Table 4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insideV w:val="single" w:sz="4" w:space="0" w:color="A1E2EB" w:themeColor="accent5"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5"/>
          <w:left w:val="single" w:sz="4" w:space="0" w:color="63D0DF" w:themeColor="accent5"/>
          <w:bottom w:val="single" w:sz="4" w:space="0" w:color="63D0DF" w:themeColor="accent5"/>
          <w:right w:val="single" w:sz="4" w:space="0" w:color="63D0DF" w:themeColor="accent5"/>
          <w:insideH w:val="nil"/>
          <w:insideV w:val="nil"/>
        </w:tcBorders>
        <w:shd w:val="clear" w:color="auto" w:fill="63D0DF" w:themeFill="accent5"/>
      </w:tcPr>
    </w:tblStylePr>
    <w:tblStylePr w:type="lastRow">
      <w:rPr>
        <w:b/>
        <w:bCs/>
      </w:rPr>
      <w:tblPr/>
      <w:tcPr>
        <w:tcBorders>
          <w:top w:val="double" w:sz="4" w:space="0" w:color="63D0DF" w:themeColor="accent5"/>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GridTable4-Accent6">
    <w:name w:val="Grid Table 4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insideV w:val="single" w:sz="4" w:space="0" w:color="C6C6C6" w:themeColor="accent6"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A1A1A1" w:themeColor="accent6"/>
          <w:left w:val="single" w:sz="4" w:space="0" w:color="A1A1A1" w:themeColor="accent6"/>
          <w:bottom w:val="single" w:sz="4" w:space="0" w:color="A1A1A1" w:themeColor="accent6"/>
          <w:right w:val="single" w:sz="4" w:space="0" w:color="A1A1A1" w:themeColor="accent6"/>
          <w:insideH w:val="nil"/>
          <w:insideV w:val="nil"/>
        </w:tcBorders>
        <w:shd w:val="clear" w:color="auto" w:fill="A1A1A1" w:themeFill="accent6"/>
      </w:tcPr>
    </w:tblStylePr>
    <w:tblStylePr w:type="lastRow">
      <w:rPr>
        <w:b/>
        <w:bCs/>
      </w:rPr>
      <w:tblPr/>
      <w:tcPr>
        <w:tcBorders>
          <w:top w:val="double" w:sz="4" w:space="0" w:color="A1A1A1" w:themeColor="accent6"/>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GridTable5Dark">
    <w:name w:val="Grid Table 5 Dark"/>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DFF5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D0D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D0D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D0D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D0DF" w:themeFill="accent1"/>
      </w:tcPr>
    </w:tblStylePr>
    <w:tblStylePr w:type="band1Vert">
      <w:tblPr/>
      <w:tcPr>
        <w:shd w:val="clear" w:color="auto" w:fill="C0ECF2" w:themeFill="accent1" w:themeFillTint="66"/>
      </w:tcPr>
    </w:tblStylePr>
    <w:tblStylePr w:type="band1Horz">
      <w:tblPr/>
      <w:tcPr>
        <w:shd w:val="clear" w:color="auto" w:fill="C0ECF2" w:themeFill="accent1" w:themeFillTint="66"/>
      </w:tcPr>
    </w:tblStylePr>
  </w:style>
  <w:style w:type="table" w:styleId="GridTable5Dark-Accent2">
    <w:name w:val="Grid Table 5 Dark Accent 2"/>
    <w:basedOn w:val="TableNormal"/>
    <w:uiPriority w:val="50"/>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F4F4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9C9C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9C9C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9C9C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9C9CA" w:themeFill="accent2"/>
      </w:tcPr>
    </w:tblStylePr>
    <w:tblStylePr w:type="band1Vert">
      <w:tblPr/>
      <w:tcPr>
        <w:shd w:val="clear" w:color="auto" w:fill="E9E9E9" w:themeFill="accent2" w:themeFillTint="66"/>
      </w:tcPr>
    </w:tblStylePr>
    <w:tblStylePr w:type="band1Horz">
      <w:tblPr/>
      <w:tcPr>
        <w:shd w:val="clear" w:color="auto" w:fill="E9E9E9" w:themeFill="accent2" w:themeFillTint="66"/>
      </w:tcPr>
    </w:tblStylePr>
  </w:style>
  <w:style w:type="table" w:styleId="GridTable5Dark-Accent3">
    <w:name w:val="Grid Table 5 Dark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DFF5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D0D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D0D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D0D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D0DF" w:themeFill="accent3"/>
      </w:tcPr>
    </w:tblStylePr>
    <w:tblStylePr w:type="band1Vert">
      <w:tblPr/>
      <w:tcPr>
        <w:shd w:val="clear" w:color="auto" w:fill="C0ECF2" w:themeFill="accent3" w:themeFillTint="66"/>
      </w:tcPr>
    </w:tblStylePr>
    <w:tblStylePr w:type="band1Horz">
      <w:tblPr/>
      <w:tcPr>
        <w:shd w:val="clear" w:color="auto" w:fill="C0ECF2" w:themeFill="accent3" w:themeFillTint="66"/>
      </w:tcPr>
    </w:tblStylePr>
  </w:style>
  <w:style w:type="table" w:styleId="GridTable5Dark-Accent4">
    <w:name w:val="Grid Table 5 Dark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ECEC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1A1A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1A1A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1A1A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1A1A1" w:themeFill="accent4"/>
      </w:tcPr>
    </w:tblStylePr>
    <w:tblStylePr w:type="band1Vert">
      <w:tblPr/>
      <w:tcPr>
        <w:shd w:val="clear" w:color="auto" w:fill="D9D9D9" w:themeFill="accent4" w:themeFillTint="66"/>
      </w:tcPr>
    </w:tblStylePr>
    <w:tblStylePr w:type="band1Horz">
      <w:tblPr/>
      <w:tcPr>
        <w:shd w:val="clear" w:color="auto" w:fill="D9D9D9" w:themeFill="accent4" w:themeFillTint="66"/>
      </w:tcPr>
    </w:tblStylePr>
  </w:style>
  <w:style w:type="table" w:styleId="GridTable5Dark-Accent5">
    <w:name w:val="Grid Table 5 Dark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DFF5F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D0D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D0D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D0D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D0DF" w:themeFill="accent5"/>
      </w:tcPr>
    </w:tblStylePr>
    <w:tblStylePr w:type="band1Vert">
      <w:tblPr/>
      <w:tcPr>
        <w:shd w:val="clear" w:color="auto" w:fill="C0ECF2" w:themeFill="accent5" w:themeFillTint="66"/>
      </w:tcPr>
    </w:tblStylePr>
    <w:tblStylePr w:type="band1Horz">
      <w:tblPr/>
      <w:tcPr>
        <w:shd w:val="clear" w:color="auto" w:fill="C0ECF2" w:themeFill="accent5" w:themeFillTint="66"/>
      </w:tcPr>
    </w:tblStylePr>
  </w:style>
  <w:style w:type="table" w:styleId="GridTable5Dark-Accent6">
    <w:name w:val="Grid Table 5 Dark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ECEC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1A1A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1A1A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1A1A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1A1A1" w:themeFill="accent6"/>
      </w:tcPr>
    </w:tblStylePr>
    <w:tblStylePr w:type="band1Vert">
      <w:tblPr/>
      <w:tcPr>
        <w:shd w:val="clear" w:color="auto" w:fill="D9D9D9" w:themeFill="accent6" w:themeFillTint="66"/>
      </w:tcPr>
    </w:tblStylePr>
    <w:tblStylePr w:type="band1Horz">
      <w:tblPr/>
      <w:tcPr>
        <w:shd w:val="clear" w:color="auto" w:fill="D9D9D9" w:themeFill="accent6" w:themeFillTint="66"/>
      </w:tcPr>
    </w:tblStylePr>
  </w:style>
  <w:style w:type="table" w:styleId="GridTable6Colorful">
    <w:name w:val="Grid Table 6 Colorful"/>
    <w:basedOn w:val="TableNormal"/>
    <w:uiPriority w:val="98"/>
    <w:semiHidden/>
    <w:rsid w:val="00573428"/>
    <w:rPr>
      <w:rFonts w:asciiTheme="minorHAnsi" w:eastAsia="Century Gothic" w:hAnsiTheme="minorHAnsi" w:cstheme="minorBid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57"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98"/>
    <w:semiHidden/>
    <w:rsid w:val="00573428"/>
    <w:rPr>
      <w:rFonts w:asciiTheme="minorHAnsi" w:eastAsia="Century Gothic" w:hAnsiTheme="minorHAnsi" w:cstheme="minorBidi"/>
      <w:color w:val="29B4C7" w:themeColor="accent1" w:themeShade="BF"/>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insideV w:val="single" w:sz="4" w:space="0" w:color="A1E2EB" w:themeColor="accent1" w:themeTint="99"/>
      </w:tblBorders>
      <w:tblCellMar>
        <w:top w:w="57" w:type="dxa"/>
        <w:left w:w="57" w:type="dxa"/>
        <w:bottom w:w="57" w:type="dxa"/>
        <w:right w:w="57" w:type="dxa"/>
      </w:tblCellMar>
    </w:tblPr>
    <w:tblStylePr w:type="firstRow">
      <w:rPr>
        <w:b/>
        <w:bCs/>
      </w:rPr>
      <w:tblPr/>
      <w:tcPr>
        <w:tcBorders>
          <w:bottom w:val="single" w:sz="12" w:space="0" w:color="A1E2EB" w:themeColor="accent1" w:themeTint="99"/>
        </w:tcBorders>
      </w:tcPr>
    </w:tblStylePr>
    <w:tblStylePr w:type="lastRow">
      <w:rPr>
        <w:b/>
        <w:bCs/>
      </w:rPr>
      <w:tblPr/>
      <w:tcPr>
        <w:tcBorders>
          <w:top w:val="double" w:sz="4" w:space="0" w:color="A1E2EB" w:themeColor="accent1" w:themeTint="99"/>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GridTable6Colorful-Accent2">
    <w:name w:val="Grid Table 6 Colorful Accent 2"/>
    <w:basedOn w:val="TableNormal"/>
    <w:uiPriority w:val="98"/>
    <w:semiHidden/>
    <w:rsid w:val="00573428"/>
    <w:rPr>
      <w:rFonts w:asciiTheme="minorHAnsi" w:eastAsia="Century Gothic" w:hAnsiTheme="minorHAnsi" w:cstheme="minorBidi"/>
      <w:color w:val="959597" w:themeColor="accent2" w:themeShade="BF"/>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insideV w:val="single" w:sz="4" w:space="0" w:color="DEDEDF" w:themeColor="accent2" w:themeTint="99"/>
      </w:tblBorders>
      <w:tblCellMar>
        <w:top w:w="57" w:type="dxa"/>
        <w:left w:w="57" w:type="dxa"/>
        <w:bottom w:w="57" w:type="dxa"/>
        <w:right w:w="57" w:type="dxa"/>
      </w:tblCellMar>
    </w:tblPr>
    <w:tblStylePr w:type="firstRow">
      <w:rPr>
        <w:b/>
        <w:bCs/>
      </w:rPr>
      <w:tblPr/>
      <w:tcPr>
        <w:tcBorders>
          <w:bottom w:val="single" w:sz="12" w:space="0" w:color="DEDEDF" w:themeColor="accent2" w:themeTint="99"/>
        </w:tcBorders>
      </w:tcPr>
    </w:tblStylePr>
    <w:tblStylePr w:type="lastRow">
      <w:rPr>
        <w:b/>
        <w:bCs/>
      </w:rPr>
      <w:tblPr/>
      <w:tcPr>
        <w:tcBorders>
          <w:top w:val="double" w:sz="4" w:space="0" w:color="DEDEDF" w:themeColor="accent2" w:themeTint="99"/>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GridTable6Colorful-Accent3">
    <w:name w:val="Grid Table 6 Colorful Accent 3"/>
    <w:basedOn w:val="TableNormal"/>
    <w:uiPriority w:val="98"/>
    <w:semiHidden/>
    <w:rsid w:val="00573428"/>
    <w:rPr>
      <w:rFonts w:asciiTheme="minorHAnsi" w:eastAsia="Century Gothic" w:hAnsiTheme="minorHAnsi" w:cstheme="minorBidi"/>
      <w:color w:val="29B4C7" w:themeColor="accent3" w:themeShade="BF"/>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insideV w:val="single" w:sz="4" w:space="0" w:color="A1E2EB" w:themeColor="accent3" w:themeTint="99"/>
      </w:tblBorders>
      <w:tblCellMar>
        <w:top w:w="57" w:type="dxa"/>
        <w:left w:w="57" w:type="dxa"/>
        <w:bottom w:w="57" w:type="dxa"/>
        <w:right w:w="57" w:type="dxa"/>
      </w:tblCellMar>
    </w:tblPr>
    <w:tblStylePr w:type="firstRow">
      <w:rPr>
        <w:b/>
        <w:bCs/>
      </w:rPr>
      <w:tblPr/>
      <w:tcPr>
        <w:tcBorders>
          <w:bottom w:val="single" w:sz="12" w:space="0" w:color="A1E2EB" w:themeColor="accent3" w:themeTint="99"/>
        </w:tcBorders>
      </w:tcPr>
    </w:tblStylePr>
    <w:tblStylePr w:type="lastRow">
      <w:rPr>
        <w:b/>
        <w:bCs/>
      </w:rPr>
      <w:tblPr/>
      <w:tcPr>
        <w:tcBorders>
          <w:top w:val="double" w:sz="4" w:space="0" w:color="A1E2EB" w:themeColor="accent3" w:themeTint="99"/>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GridTable6Colorful-Accent4">
    <w:name w:val="Grid Table 6 Colorful Accent 4"/>
    <w:basedOn w:val="TableNormal"/>
    <w:uiPriority w:val="98"/>
    <w:semiHidden/>
    <w:rsid w:val="00573428"/>
    <w:rPr>
      <w:rFonts w:asciiTheme="minorHAnsi" w:eastAsia="Century Gothic" w:hAnsiTheme="minorHAnsi" w:cstheme="minorBidi"/>
      <w:color w:val="787878" w:themeColor="accent4" w:themeShade="BF"/>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insideV w:val="single" w:sz="4" w:space="0" w:color="C6C6C6" w:themeColor="accent4" w:themeTint="99"/>
      </w:tblBorders>
      <w:tblCellMar>
        <w:top w:w="57" w:type="dxa"/>
        <w:left w:w="57" w:type="dxa"/>
        <w:bottom w:w="57" w:type="dxa"/>
        <w:right w:w="57" w:type="dxa"/>
      </w:tblCellMar>
    </w:tblPr>
    <w:tblStylePr w:type="firstRow">
      <w:rPr>
        <w:b/>
        <w:bCs/>
      </w:rPr>
      <w:tblPr/>
      <w:tcPr>
        <w:tcBorders>
          <w:bottom w:val="single" w:sz="12" w:space="0" w:color="C6C6C6" w:themeColor="accent4" w:themeTint="99"/>
        </w:tcBorders>
      </w:tcPr>
    </w:tblStylePr>
    <w:tblStylePr w:type="lastRow">
      <w:rPr>
        <w:b/>
        <w:bCs/>
      </w:rPr>
      <w:tblPr/>
      <w:tcPr>
        <w:tcBorders>
          <w:top w:val="double" w:sz="4" w:space="0" w:color="C6C6C6" w:themeColor="accent4" w:themeTint="99"/>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GridTable6Colorful-Accent5">
    <w:name w:val="Grid Table 6 Colorful Accent 5"/>
    <w:basedOn w:val="TableNormal"/>
    <w:uiPriority w:val="98"/>
    <w:semiHidden/>
    <w:rsid w:val="00573428"/>
    <w:rPr>
      <w:rFonts w:asciiTheme="minorHAnsi" w:eastAsia="Century Gothic" w:hAnsiTheme="minorHAnsi" w:cstheme="minorBidi"/>
      <w:color w:val="29B4C7" w:themeColor="accent5" w:themeShade="BF"/>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insideV w:val="single" w:sz="4" w:space="0" w:color="A1E2EB" w:themeColor="accent5" w:themeTint="99"/>
      </w:tblBorders>
      <w:tblCellMar>
        <w:top w:w="57" w:type="dxa"/>
        <w:left w:w="57" w:type="dxa"/>
        <w:bottom w:w="57" w:type="dxa"/>
        <w:right w:w="57" w:type="dxa"/>
      </w:tblCellMar>
    </w:tblPr>
    <w:tblStylePr w:type="firstRow">
      <w:rPr>
        <w:b/>
        <w:bCs/>
      </w:rPr>
      <w:tblPr/>
      <w:tcPr>
        <w:tcBorders>
          <w:bottom w:val="single" w:sz="12" w:space="0" w:color="A1E2EB" w:themeColor="accent5" w:themeTint="99"/>
        </w:tcBorders>
      </w:tcPr>
    </w:tblStylePr>
    <w:tblStylePr w:type="lastRow">
      <w:rPr>
        <w:b/>
        <w:bCs/>
      </w:rPr>
      <w:tblPr/>
      <w:tcPr>
        <w:tcBorders>
          <w:top w:val="double" w:sz="4" w:space="0" w:color="A1E2EB" w:themeColor="accent5" w:themeTint="99"/>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GridTable6Colorful-Accent6">
    <w:name w:val="Grid Table 6 Colorful Accent 6"/>
    <w:basedOn w:val="TableNormal"/>
    <w:uiPriority w:val="98"/>
    <w:semiHidden/>
    <w:rsid w:val="00573428"/>
    <w:rPr>
      <w:rFonts w:asciiTheme="minorHAnsi" w:eastAsia="Century Gothic" w:hAnsiTheme="minorHAnsi" w:cstheme="minorBidi"/>
      <w:color w:val="787878" w:themeColor="accent6" w:themeShade="BF"/>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insideV w:val="single" w:sz="4" w:space="0" w:color="C6C6C6" w:themeColor="accent6" w:themeTint="99"/>
      </w:tblBorders>
      <w:tblCellMar>
        <w:top w:w="57" w:type="dxa"/>
        <w:left w:w="57" w:type="dxa"/>
        <w:bottom w:w="57" w:type="dxa"/>
        <w:right w:w="57" w:type="dxa"/>
      </w:tblCellMar>
    </w:tblPr>
    <w:tblStylePr w:type="firstRow">
      <w:rPr>
        <w:b/>
        <w:bCs/>
      </w:rPr>
      <w:tblPr/>
      <w:tcPr>
        <w:tcBorders>
          <w:bottom w:val="single" w:sz="12" w:space="0" w:color="C6C6C6" w:themeColor="accent6" w:themeTint="99"/>
        </w:tcBorders>
      </w:tcPr>
    </w:tblStylePr>
    <w:tblStylePr w:type="lastRow">
      <w:rPr>
        <w:b/>
        <w:bCs/>
      </w:rPr>
      <w:tblPr/>
      <w:tcPr>
        <w:tcBorders>
          <w:top w:val="double" w:sz="4" w:space="0" w:color="C6C6C6" w:themeColor="accent6" w:themeTint="99"/>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GridTable7Colorful">
    <w:name w:val="Grid Table 7 Colorful"/>
    <w:basedOn w:val="TableNormal"/>
    <w:uiPriority w:val="98"/>
    <w:semiHidden/>
    <w:rsid w:val="00573428"/>
    <w:rPr>
      <w:rFonts w:asciiTheme="minorHAnsi" w:eastAsia="Century Gothic" w:hAnsiTheme="minorHAnsi" w:cstheme="minorBid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98"/>
    <w:semiHidden/>
    <w:rsid w:val="00573428"/>
    <w:rPr>
      <w:rFonts w:asciiTheme="minorHAnsi" w:eastAsia="Century Gothic" w:hAnsiTheme="minorHAnsi" w:cstheme="minorBidi"/>
      <w:color w:val="29B4C7" w:themeColor="accent1" w:themeShade="BF"/>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insideV w:val="single" w:sz="4" w:space="0" w:color="A1E2EB" w:themeColor="accen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1" w:themeFillTint="33"/>
      </w:tcPr>
    </w:tblStylePr>
    <w:tblStylePr w:type="band1Horz">
      <w:tblPr/>
      <w:tcPr>
        <w:shd w:val="clear" w:color="auto" w:fill="DFF5F8" w:themeFill="accent1" w:themeFillTint="33"/>
      </w:tcPr>
    </w:tblStylePr>
    <w:tblStylePr w:type="neCell">
      <w:tblPr/>
      <w:tcPr>
        <w:tcBorders>
          <w:bottom w:val="single" w:sz="4" w:space="0" w:color="A1E2EB" w:themeColor="accent1" w:themeTint="99"/>
        </w:tcBorders>
      </w:tcPr>
    </w:tblStylePr>
    <w:tblStylePr w:type="nwCell">
      <w:tblPr/>
      <w:tcPr>
        <w:tcBorders>
          <w:bottom w:val="single" w:sz="4" w:space="0" w:color="A1E2EB" w:themeColor="accent1" w:themeTint="99"/>
        </w:tcBorders>
      </w:tcPr>
    </w:tblStylePr>
    <w:tblStylePr w:type="seCell">
      <w:tblPr/>
      <w:tcPr>
        <w:tcBorders>
          <w:top w:val="single" w:sz="4" w:space="0" w:color="A1E2EB" w:themeColor="accent1" w:themeTint="99"/>
        </w:tcBorders>
      </w:tcPr>
    </w:tblStylePr>
    <w:tblStylePr w:type="swCell">
      <w:tblPr/>
      <w:tcPr>
        <w:tcBorders>
          <w:top w:val="single" w:sz="4" w:space="0" w:color="A1E2EB" w:themeColor="accent1" w:themeTint="99"/>
        </w:tcBorders>
      </w:tcPr>
    </w:tblStylePr>
  </w:style>
  <w:style w:type="table" w:styleId="GridTable7Colorful-Accent2">
    <w:name w:val="Grid Table 7 Colorful Accent 2"/>
    <w:basedOn w:val="TableNormal"/>
    <w:uiPriority w:val="98"/>
    <w:semiHidden/>
    <w:rsid w:val="00573428"/>
    <w:rPr>
      <w:rFonts w:asciiTheme="minorHAnsi" w:eastAsia="Century Gothic" w:hAnsiTheme="minorHAnsi" w:cstheme="minorBidi"/>
      <w:color w:val="959597" w:themeColor="accent2" w:themeShade="BF"/>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insideV w:val="single" w:sz="4" w:space="0" w:color="DEDEDF" w:themeColor="accent2"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2" w:themeFillTint="33"/>
      </w:tcPr>
    </w:tblStylePr>
    <w:tblStylePr w:type="band1Horz">
      <w:tblPr/>
      <w:tcPr>
        <w:shd w:val="clear" w:color="auto" w:fill="F4F4F4" w:themeFill="accent2" w:themeFillTint="33"/>
      </w:tcPr>
    </w:tblStylePr>
    <w:tblStylePr w:type="neCell">
      <w:tblPr/>
      <w:tcPr>
        <w:tcBorders>
          <w:bottom w:val="single" w:sz="4" w:space="0" w:color="DEDEDF" w:themeColor="accent2" w:themeTint="99"/>
        </w:tcBorders>
      </w:tcPr>
    </w:tblStylePr>
    <w:tblStylePr w:type="nwCell">
      <w:tblPr/>
      <w:tcPr>
        <w:tcBorders>
          <w:bottom w:val="single" w:sz="4" w:space="0" w:color="DEDEDF" w:themeColor="accent2" w:themeTint="99"/>
        </w:tcBorders>
      </w:tcPr>
    </w:tblStylePr>
    <w:tblStylePr w:type="seCell">
      <w:tblPr/>
      <w:tcPr>
        <w:tcBorders>
          <w:top w:val="single" w:sz="4" w:space="0" w:color="DEDEDF" w:themeColor="accent2" w:themeTint="99"/>
        </w:tcBorders>
      </w:tcPr>
    </w:tblStylePr>
    <w:tblStylePr w:type="swCell">
      <w:tblPr/>
      <w:tcPr>
        <w:tcBorders>
          <w:top w:val="single" w:sz="4" w:space="0" w:color="DEDEDF" w:themeColor="accent2" w:themeTint="99"/>
        </w:tcBorders>
      </w:tcPr>
    </w:tblStylePr>
  </w:style>
  <w:style w:type="table" w:styleId="GridTable7Colorful-Accent3">
    <w:name w:val="Grid Table 7 Colorful Accent 3"/>
    <w:basedOn w:val="TableNormal"/>
    <w:uiPriority w:val="98"/>
    <w:semiHidden/>
    <w:rsid w:val="00573428"/>
    <w:rPr>
      <w:rFonts w:asciiTheme="minorHAnsi" w:eastAsia="Century Gothic" w:hAnsiTheme="minorHAnsi" w:cstheme="minorBidi"/>
      <w:color w:val="29B4C7" w:themeColor="accent3" w:themeShade="BF"/>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insideV w:val="single" w:sz="4" w:space="0" w:color="A1E2EB" w:themeColor="accent3"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3" w:themeFillTint="33"/>
      </w:tcPr>
    </w:tblStylePr>
    <w:tblStylePr w:type="band1Horz">
      <w:tblPr/>
      <w:tcPr>
        <w:shd w:val="clear" w:color="auto" w:fill="DFF5F8" w:themeFill="accent3" w:themeFillTint="33"/>
      </w:tcPr>
    </w:tblStylePr>
    <w:tblStylePr w:type="neCell">
      <w:tblPr/>
      <w:tcPr>
        <w:tcBorders>
          <w:bottom w:val="single" w:sz="4" w:space="0" w:color="A1E2EB" w:themeColor="accent3" w:themeTint="99"/>
        </w:tcBorders>
      </w:tcPr>
    </w:tblStylePr>
    <w:tblStylePr w:type="nwCell">
      <w:tblPr/>
      <w:tcPr>
        <w:tcBorders>
          <w:bottom w:val="single" w:sz="4" w:space="0" w:color="A1E2EB" w:themeColor="accent3" w:themeTint="99"/>
        </w:tcBorders>
      </w:tcPr>
    </w:tblStylePr>
    <w:tblStylePr w:type="seCell">
      <w:tblPr/>
      <w:tcPr>
        <w:tcBorders>
          <w:top w:val="single" w:sz="4" w:space="0" w:color="A1E2EB" w:themeColor="accent3" w:themeTint="99"/>
        </w:tcBorders>
      </w:tcPr>
    </w:tblStylePr>
    <w:tblStylePr w:type="swCell">
      <w:tblPr/>
      <w:tcPr>
        <w:tcBorders>
          <w:top w:val="single" w:sz="4" w:space="0" w:color="A1E2EB" w:themeColor="accent3" w:themeTint="99"/>
        </w:tcBorders>
      </w:tcPr>
    </w:tblStylePr>
  </w:style>
  <w:style w:type="table" w:styleId="GridTable7Colorful-Accent4">
    <w:name w:val="Grid Table 7 Colorful Accent 4"/>
    <w:basedOn w:val="TableNormal"/>
    <w:uiPriority w:val="98"/>
    <w:semiHidden/>
    <w:rsid w:val="00573428"/>
    <w:rPr>
      <w:rFonts w:asciiTheme="minorHAnsi" w:eastAsia="Century Gothic" w:hAnsiTheme="minorHAnsi" w:cstheme="minorBidi"/>
      <w:color w:val="787878" w:themeColor="accent4" w:themeShade="BF"/>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insideV w:val="single" w:sz="4" w:space="0" w:color="C6C6C6" w:themeColor="accent4"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CEC" w:themeFill="accent4" w:themeFillTint="33"/>
      </w:tcPr>
    </w:tblStylePr>
    <w:tblStylePr w:type="band1Horz">
      <w:tblPr/>
      <w:tcPr>
        <w:shd w:val="clear" w:color="auto" w:fill="ECECEC" w:themeFill="accent4" w:themeFillTint="33"/>
      </w:tcPr>
    </w:tblStylePr>
    <w:tblStylePr w:type="neCell">
      <w:tblPr/>
      <w:tcPr>
        <w:tcBorders>
          <w:bottom w:val="single" w:sz="4" w:space="0" w:color="C6C6C6" w:themeColor="accent4" w:themeTint="99"/>
        </w:tcBorders>
      </w:tcPr>
    </w:tblStylePr>
    <w:tblStylePr w:type="nwCell">
      <w:tblPr/>
      <w:tcPr>
        <w:tcBorders>
          <w:bottom w:val="single" w:sz="4" w:space="0" w:color="C6C6C6" w:themeColor="accent4" w:themeTint="99"/>
        </w:tcBorders>
      </w:tcPr>
    </w:tblStylePr>
    <w:tblStylePr w:type="seCell">
      <w:tblPr/>
      <w:tcPr>
        <w:tcBorders>
          <w:top w:val="single" w:sz="4" w:space="0" w:color="C6C6C6" w:themeColor="accent4" w:themeTint="99"/>
        </w:tcBorders>
      </w:tcPr>
    </w:tblStylePr>
    <w:tblStylePr w:type="swCell">
      <w:tblPr/>
      <w:tcPr>
        <w:tcBorders>
          <w:top w:val="single" w:sz="4" w:space="0" w:color="C6C6C6" w:themeColor="accent4" w:themeTint="99"/>
        </w:tcBorders>
      </w:tcPr>
    </w:tblStylePr>
  </w:style>
  <w:style w:type="table" w:styleId="GridTable7Colorful-Accent5">
    <w:name w:val="Grid Table 7 Colorful Accent 5"/>
    <w:basedOn w:val="TableNormal"/>
    <w:uiPriority w:val="98"/>
    <w:semiHidden/>
    <w:rsid w:val="00573428"/>
    <w:rPr>
      <w:rFonts w:asciiTheme="minorHAnsi" w:eastAsia="Century Gothic" w:hAnsiTheme="minorHAnsi" w:cstheme="minorBidi"/>
      <w:color w:val="29B4C7" w:themeColor="accent5" w:themeShade="BF"/>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insideV w:val="single" w:sz="4" w:space="0" w:color="A1E2EB" w:themeColor="accent5"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5" w:themeFillTint="33"/>
      </w:tcPr>
    </w:tblStylePr>
    <w:tblStylePr w:type="band1Horz">
      <w:tblPr/>
      <w:tcPr>
        <w:shd w:val="clear" w:color="auto" w:fill="DFF5F8" w:themeFill="accent5" w:themeFillTint="33"/>
      </w:tcPr>
    </w:tblStylePr>
    <w:tblStylePr w:type="neCell">
      <w:tblPr/>
      <w:tcPr>
        <w:tcBorders>
          <w:bottom w:val="single" w:sz="4" w:space="0" w:color="A1E2EB" w:themeColor="accent5" w:themeTint="99"/>
        </w:tcBorders>
      </w:tcPr>
    </w:tblStylePr>
    <w:tblStylePr w:type="nwCell">
      <w:tblPr/>
      <w:tcPr>
        <w:tcBorders>
          <w:bottom w:val="single" w:sz="4" w:space="0" w:color="A1E2EB" w:themeColor="accent5" w:themeTint="99"/>
        </w:tcBorders>
      </w:tcPr>
    </w:tblStylePr>
    <w:tblStylePr w:type="seCell">
      <w:tblPr/>
      <w:tcPr>
        <w:tcBorders>
          <w:top w:val="single" w:sz="4" w:space="0" w:color="A1E2EB" w:themeColor="accent5" w:themeTint="99"/>
        </w:tcBorders>
      </w:tcPr>
    </w:tblStylePr>
    <w:tblStylePr w:type="swCell">
      <w:tblPr/>
      <w:tcPr>
        <w:tcBorders>
          <w:top w:val="single" w:sz="4" w:space="0" w:color="A1E2EB" w:themeColor="accent5" w:themeTint="99"/>
        </w:tcBorders>
      </w:tcPr>
    </w:tblStylePr>
  </w:style>
  <w:style w:type="table" w:styleId="GridTable7Colorful-Accent6">
    <w:name w:val="Grid Table 7 Colorful Accent 6"/>
    <w:basedOn w:val="TableNormal"/>
    <w:uiPriority w:val="98"/>
    <w:semiHidden/>
    <w:rsid w:val="00573428"/>
    <w:rPr>
      <w:rFonts w:asciiTheme="minorHAnsi" w:eastAsia="Century Gothic" w:hAnsiTheme="minorHAnsi" w:cstheme="minorBidi"/>
      <w:color w:val="787878" w:themeColor="accent6" w:themeShade="BF"/>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insideV w:val="single" w:sz="4" w:space="0" w:color="C6C6C6" w:themeColor="accent6"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CEC" w:themeFill="accent6" w:themeFillTint="33"/>
      </w:tcPr>
    </w:tblStylePr>
    <w:tblStylePr w:type="band1Horz">
      <w:tblPr/>
      <w:tcPr>
        <w:shd w:val="clear" w:color="auto" w:fill="ECECEC" w:themeFill="accent6" w:themeFillTint="33"/>
      </w:tcPr>
    </w:tblStylePr>
    <w:tblStylePr w:type="neCell">
      <w:tblPr/>
      <w:tcPr>
        <w:tcBorders>
          <w:bottom w:val="single" w:sz="4" w:space="0" w:color="C6C6C6" w:themeColor="accent6" w:themeTint="99"/>
        </w:tcBorders>
      </w:tcPr>
    </w:tblStylePr>
    <w:tblStylePr w:type="nwCell">
      <w:tblPr/>
      <w:tcPr>
        <w:tcBorders>
          <w:bottom w:val="single" w:sz="4" w:space="0" w:color="C6C6C6" w:themeColor="accent6" w:themeTint="99"/>
        </w:tcBorders>
      </w:tcPr>
    </w:tblStylePr>
    <w:tblStylePr w:type="seCell">
      <w:tblPr/>
      <w:tcPr>
        <w:tcBorders>
          <w:top w:val="single" w:sz="4" w:space="0" w:color="C6C6C6" w:themeColor="accent6" w:themeTint="99"/>
        </w:tcBorders>
      </w:tcPr>
    </w:tblStylePr>
    <w:tblStylePr w:type="swCell">
      <w:tblPr/>
      <w:tcPr>
        <w:tcBorders>
          <w:top w:val="single" w:sz="4" w:space="0" w:color="C6C6C6" w:themeColor="accent6" w:themeTint="99"/>
        </w:tcBorders>
      </w:tcPr>
    </w:tblStylePr>
  </w:style>
  <w:style w:type="table" w:styleId="ListTable1Light">
    <w:name w:val="List Table 1 Light"/>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A1E2EB" w:themeColor="accent1" w:themeTint="99"/>
        </w:tcBorders>
      </w:tcPr>
    </w:tblStylePr>
    <w:tblStylePr w:type="lastRow">
      <w:rPr>
        <w:b/>
        <w:bCs/>
      </w:rPr>
      <w:tblPr/>
      <w:tcPr>
        <w:tcBorders>
          <w:top w:val="single" w:sz="4" w:space="0" w:color="A1E2EB" w:themeColor="accent1" w:themeTint="99"/>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ListTable1Light-Accent2">
    <w:name w:val="List Table 1 Light Accent 2"/>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DEDEDF" w:themeColor="accent2" w:themeTint="99"/>
        </w:tcBorders>
      </w:tcPr>
    </w:tblStylePr>
    <w:tblStylePr w:type="lastRow">
      <w:rPr>
        <w:b/>
        <w:bCs/>
      </w:rPr>
      <w:tblPr/>
      <w:tcPr>
        <w:tcBorders>
          <w:top w:val="single" w:sz="4" w:space="0" w:color="DEDEDF" w:themeColor="accent2" w:themeTint="99"/>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ListTable1Light-Accent3">
    <w:name w:val="List Table 1 Light Accent 3"/>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A1E2EB" w:themeColor="accent3" w:themeTint="99"/>
        </w:tcBorders>
      </w:tcPr>
    </w:tblStylePr>
    <w:tblStylePr w:type="lastRow">
      <w:rPr>
        <w:b/>
        <w:bCs/>
      </w:rPr>
      <w:tblPr/>
      <w:tcPr>
        <w:tcBorders>
          <w:top w:val="single" w:sz="4" w:space="0" w:color="A1E2EB" w:themeColor="accent3" w:themeTint="99"/>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ListTable1Light-Accent4">
    <w:name w:val="List Table 1 Light Accent 4"/>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C6C6C6" w:themeColor="accent4" w:themeTint="99"/>
        </w:tcBorders>
      </w:tcPr>
    </w:tblStylePr>
    <w:tblStylePr w:type="lastRow">
      <w:rPr>
        <w:b/>
        <w:bCs/>
      </w:rPr>
      <w:tblPr/>
      <w:tcPr>
        <w:tcBorders>
          <w:top w:val="single" w:sz="4" w:space="0" w:color="C6C6C6" w:themeColor="accent4" w:themeTint="99"/>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ListTable1Light-Accent5">
    <w:name w:val="List Table 1 Light Accent 5"/>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A1E2EB" w:themeColor="accent5" w:themeTint="99"/>
        </w:tcBorders>
      </w:tcPr>
    </w:tblStylePr>
    <w:tblStylePr w:type="lastRow">
      <w:rPr>
        <w:b/>
        <w:bCs/>
      </w:rPr>
      <w:tblPr/>
      <w:tcPr>
        <w:tcBorders>
          <w:top w:val="single" w:sz="4" w:space="0" w:color="A1E2EB" w:themeColor="accent5" w:themeTint="99"/>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ListTable1Light-Accent6">
    <w:name w:val="List Table 1 Light Accent 6"/>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C6C6C6" w:themeColor="accent6" w:themeTint="99"/>
        </w:tcBorders>
      </w:tcPr>
    </w:tblStylePr>
    <w:tblStylePr w:type="lastRow">
      <w:rPr>
        <w:b/>
        <w:bCs/>
      </w:rPr>
      <w:tblPr/>
      <w:tcPr>
        <w:tcBorders>
          <w:top w:val="single" w:sz="4" w:space="0" w:color="C6C6C6" w:themeColor="accent6" w:themeTint="99"/>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ListTable2">
    <w:name w:val="List Table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1" w:themeTint="99"/>
        <w:bottom w:val="single" w:sz="4" w:space="0" w:color="A1E2EB" w:themeColor="accent1" w:themeTint="99"/>
        <w:insideH w:val="single" w:sz="4" w:space="0" w:color="A1E2EB" w:themeColor="accent1"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ListTable2-Accent2">
    <w:name w:val="List Table 2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EDEDF" w:themeColor="accent2" w:themeTint="99"/>
        <w:bottom w:val="single" w:sz="4" w:space="0" w:color="DEDEDF" w:themeColor="accent2" w:themeTint="99"/>
        <w:insideH w:val="single" w:sz="4" w:space="0" w:color="DEDEDF" w:themeColor="accent2"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ListTable2-Accent3">
    <w:name w:val="List Table 2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3" w:themeTint="99"/>
        <w:bottom w:val="single" w:sz="4" w:space="0" w:color="A1E2EB" w:themeColor="accent3" w:themeTint="99"/>
        <w:insideH w:val="single" w:sz="4" w:space="0" w:color="A1E2EB" w:themeColor="accent3"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ListTable2-Accent4">
    <w:name w:val="List Table 2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4" w:themeTint="99"/>
        <w:bottom w:val="single" w:sz="4" w:space="0" w:color="C6C6C6" w:themeColor="accent4" w:themeTint="99"/>
        <w:insideH w:val="single" w:sz="4" w:space="0" w:color="C6C6C6" w:themeColor="accent4"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ListTable2-Accent5">
    <w:name w:val="List Table 2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5" w:themeTint="99"/>
        <w:bottom w:val="single" w:sz="4" w:space="0" w:color="A1E2EB" w:themeColor="accent5" w:themeTint="99"/>
        <w:insideH w:val="single" w:sz="4" w:space="0" w:color="A1E2EB" w:themeColor="accent5"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ListTable2-Accent6">
    <w:name w:val="List Table 2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6" w:themeTint="99"/>
        <w:bottom w:val="single" w:sz="4" w:space="0" w:color="C6C6C6" w:themeColor="accent6" w:themeTint="99"/>
        <w:insideH w:val="single" w:sz="4" w:space="0" w:color="C6C6C6" w:themeColor="accent6"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ListTable3">
    <w:name w:val="List Table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57" w:type="dxa"/>
        <w:left w:w="57" w:type="dxa"/>
        <w:bottom w:w="57" w:type="dxa"/>
        <w:right w:w="57"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2">
    <w:name w:val="List Table 3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9C9CA" w:themeColor="accent2"/>
        <w:left w:val="single" w:sz="4" w:space="0" w:color="C9C9CA" w:themeColor="accent2"/>
        <w:bottom w:val="single" w:sz="4" w:space="0" w:color="C9C9CA" w:themeColor="accent2"/>
        <w:right w:val="single" w:sz="4" w:space="0" w:color="C9C9CA" w:themeColor="accent2"/>
      </w:tblBorders>
      <w:tblCellMar>
        <w:top w:w="57" w:type="dxa"/>
        <w:left w:w="57" w:type="dxa"/>
        <w:bottom w:w="57" w:type="dxa"/>
        <w:right w:w="57" w:type="dxa"/>
      </w:tblCellMar>
    </w:tblPr>
    <w:tblStylePr w:type="firstRow">
      <w:rPr>
        <w:b/>
        <w:bCs/>
        <w:color w:val="FFFFFF" w:themeColor="background1"/>
      </w:rPr>
      <w:tblPr/>
      <w:tcPr>
        <w:shd w:val="clear" w:color="auto" w:fill="C9C9CA" w:themeFill="accent2"/>
      </w:tcPr>
    </w:tblStylePr>
    <w:tblStylePr w:type="lastRow">
      <w:rPr>
        <w:b/>
        <w:bCs/>
      </w:rPr>
      <w:tblPr/>
      <w:tcPr>
        <w:tcBorders>
          <w:top w:val="double" w:sz="4" w:space="0" w:color="C9C9C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9C9CA" w:themeColor="accent2"/>
          <w:right w:val="single" w:sz="4" w:space="0" w:color="C9C9CA" w:themeColor="accent2"/>
        </w:tcBorders>
      </w:tcPr>
    </w:tblStylePr>
    <w:tblStylePr w:type="band1Horz">
      <w:tblPr/>
      <w:tcPr>
        <w:tcBorders>
          <w:top w:val="single" w:sz="4" w:space="0" w:color="C9C9CA" w:themeColor="accent2"/>
          <w:bottom w:val="single" w:sz="4" w:space="0" w:color="C9C9C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9C9CA" w:themeColor="accent2"/>
          <w:left w:val="nil"/>
        </w:tcBorders>
      </w:tcPr>
    </w:tblStylePr>
    <w:tblStylePr w:type="swCell">
      <w:tblPr/>
      <w:tcPr>
        <w:tcBorders>
          <w:top w:val="double" w:sz="4" w:space="0" w:color="C9C9CA" w:themeColor="accent2"/>
          <w:right w:val="nil"/>
        </w:tcBorders>
      </w:tcPr>
    </w:tblStylePr>
  </w:style>
  <w:style w:type="table" w:styleId="ListTable3-Accent3">
    <w:name w:val="List Table 3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3D0DF" w:themeColor="accent3"/>
        <w:left w:val="single" w:sz="4" w:space="0" w:color="63D0DF" w:themeColor="accent3"/>
        <w:bottom w:val="single" w:sz="4" w:space="0" w:color="63D0DF" w:themeColor="accent3"/>
        <w:right w:val="single" w:sz="4" w:space="0" w:color="63D0DF" w:themeColor="accent3"/>
      </w:tblBorders>
      <w:tblCellMar>
        <w:top w:w="57" w:type="dxa"/>
        <w:left w:w="57" w:type="dxa"/>
        <w:bottom w:w="57" w:type="dxa"/>
        <w:right w:w="57" w:type="dxa"/>
      </w:tblCellMar>
    </w:tblPr>
    <w:tblStylePr w:type="firstRow">
      <w:rPr>
        <w:b/>
        <w:bCs/>
        <w:color w:val="FFFFFF" w:themeColor="background1"/>
      </w:rPr>
      <w:tblPr/>
      <w:tcPr>
        <w:shd w:val="clear" w:color="auto" w:fill="63D0DF" w:themeFill="accent3"/>
      </w:tcPr>
    </w:tblStylePr>
    <w:tblStylePr w:type="lastRow">
      <w:rPr>
        <w:b/>
        <w:bCs/>
      </w:rPr>
      <w:tblPr/>
      <w:tcPr>
        <w:tcBorders>
          <w:top w:val="double" w:sz="4" w:space="0" w:color="63D0D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D0DF" w:themeColor="accent3"/>
          <w:right w:val="single" w:sz="4" w:space="0" w:color="63D0DF" w:themeColor="accent3"/>
        </w:tcBorders>
      </w:tcPr>
    </w:tblStylePr>
    <w:tblStylePr w:type="band1Horz">
      <w:tblPr/>
      <w:tcPr>
        <w:tcBorders>
          <w:top w:val="single" w:sz="4" w:space="0" w:color="63D0DF" w:themeColor="accent3"/>
          <w:bottom w:val="single" w:sz="4" w:space="0" w:color="63D0D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D0DF" w:themeColor="accent3"/>
          <w:left w:val="nil"/>
        </w:tcBorders>
      </w:tcPr>
    </w:tblStylePr>
    <w:tblStylePr w:type="swCell">
      <w:tblPr/>
      <w:tcPr>
        <w:tcBorders>
          <w:top w:val="double" w:sz="4" w:space="0" w:color="63D0DF" w:themeColor="accent3"/>
          <w:right w:val="nil"/>
        </w:tcBorders>
      </w:tcPr>
    </w:tblStylePr>
  </w:style>
  <w:style w:type="table" w:styleId="ListTable3-Accent4">
    <w:name w:val="List Table 3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A1A1" w:themeColor="accent4"/>
        <w:left w:val="single" w:sz="4" w:space="0" w:color="A1A1A1" w:themeColor="accent4"/>
        <w:bottom w:val="single" w:sz="4" w:space="0" w:color="A1A1A1" w:themeColor="accent4"/>
        <w:right w:val="single" w:sz="4" w:space="0" w:color="A1A1A1" w:themeColor="accent4"/>
      </w:tblBorders>
      <w:tblCellMar>
        <w:top w:w="57" w:type="dxa"/>
        <w:left w:w="57" w:type="dxa"/>
        <w:bottom w:w="57" w:type="dxa"/>
        <w:right w:w="57" w:type="dxa"/>
      </w:tblCellMar>
    </w:tblPr>
    <w:tblStylePr w:type="firstRow">
      <w:rPr>
        <w:b/>
        <w:bCs/>
        <w:color w:val="FFFFFF" w:themeColor="background1"/>
      </w:rPr>
      <w:tblPr/>
      <w:tcPr>
        <w:shd w:val="clear" w:color="auto" w:fill="A1A1A1" w:themeFill="accent4"/>
      </w:tcPr>
    </w:tblStylePr>
    <w:tblStylePr w:type="lastRow">
      <w:rPr>
        <w:b/>
        <w:bCs/>
      </w:rPr>
      <w:tblPr/>
      <w:tcPr>
        <w:tcBorders>
          <w:top w:val="double" w:sz="4" w:space="0" w:color="A1A1A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1A1A1" w:themeColor="accent4"/>
          <w:right w:val="single" w:sz="4" w:space="0" w:color="A1A1A1" w:themeColor="accent4"/>
        </w:tcBorders>
      </w:tcPr>
    </w:tblStylePr>
    <w:tblStylePr w:type="band1Horz">
      <w:tblPr/>
      <w:tcPr>
        <w:tcBorders>
          <w:top w:val="single" w:sz="4" w:space="0" w:color="A1A1A1" w:themeColor="accent4"/>
          <w:bottom w:val="single" w:sz="4" w:space="0" w:color="A1A1A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1A1A1" w:themeColor="accent4"/>
          <w:left w:val="nil"/>
        </w:tcBorders>
      </w:tcPr>
    </w:tblStylePr>
    <w:tblStylePr w:type="swCell">
      <w:tblPr/>
      <w:tcPr>
        <w:tcBorders>
          <w:top w:val="double" w:sz="4" w:space="0" w:color="A1A1A1" w:themeColor="accent4"/>
          <w:right w:val="nil"/>
        </w:tcBorders>
      </w:tcPr>
    </w:tblStylePr>
  </w:style>
  <w:style w:type="table" w:styleId="ListTable3-Accent5">
    <w:name w:val="List Table 3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3D0DF" w:themeColor="accent5"/>
        <w:left w:val="single" w:sz="4" w:space="0" w:color="63D0DF" w:themeColor="accent5"/>
        <w:bottom w:val="single" w:sz="4" w:space="0" w:color="63D0DF" w:themeColor="accent5"/>
        <w:right w:val="single" w:sz="4" w:space="0" w:color="63D0DF" w:themeColor="accent5"/>
      </w:tblBorders>
      <w:tblCellMar>
        <w:top w:w="57" w:type="dxa"/>
        <w:left w:w="57" w:type="dxa"/>
        <w:bottom w:w="57" w:type="dxa"/>
        <w:right w:w="57" w:type="dxa"/>
      </w:tblCellMar>
    </w:tblPr>
    <w:tblStylePr w:type="firstRow">
      <w:rPr>
        <w:b/>
        <w:bCs/>
        <w:color w:val="FFFFFF" w:themeColor="background1"/>
      </w:rPr>
      <w:tblPr/>
      <w:tcPr>
        <w:shd w:val="clear" w:color="auto" w:fill="63D0DF" w:themeFill="accent5"/>
      </w:tcPr>
    </w:tblStylePr>
    <w:tblStylePr w:type="lastRow">
      <w:rPr>
        <w:b/>
        <w:bCs/>
      </w:rPr>
      <w:tblPr/>
      <w:tcPr>
        <w:tcBorders>
          <w:top w:val="double" w:sz="4" w:space="0" w:color="63D0D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D0DF" w:themeColor="accent5"/>
          <w:right w:val="single" w:sz="4" w:space="0" w:color="63D0DF" w:themeColor="accent5"/>
        </w:tcBorders>
      </w:tcPr>
    </w:tblStylePr>
    <w:tblStylePr w:type="band1Horz">
      <w:tblPr/>
      <w:tcPr>
        <w:tcBorders>
          <w:top w:val="single" w:sz="4" w:space="0" w:color="63D0DF" w:themeColor="accent5"/>
          <w:bottom w:val="single" w:sz="4" w:space="0" w:color="63D0D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D0DF" w:themeColor="accent5"/>
          <w:left w:val="nil"/>
        </w:tcBorders>
      </w:tcPr>
    </w:tblStylePr>
    <w:tblStylePr w:type="swCell">
      <w:tblPr/>
      <w:tcPr>
        <w:tcBorders>
          <w:top w:val="double" w:sz="4" w:space="0" w:color="63D0DF" w:themeColor="accent5"/>
          <w:right w:val="nil"/>
        </w:tcBorders>
      </w:tcPr>
    </w:tblStylePr>
  </w:style>
  <w:style w:type="table" w:styleId="ListTable3-Accent6">
    <w:name w:val="List Table 3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A1A1" w:themeColor="accent6"/>
        <w:left w:val="single" w:sz="4" w:space="0" w:color="A1A1A1" w:themeColor="accent6"/>
        <w:bottom w:val="single" w:sz="4" w:space="0" w:color="A1A1A1" w:themeColor="accent6"/>
        <w:right w:val="single" w:sz="4" w:space="0" w:color="A1A1A1" w:themeColor="accent6"/>
      </w:tblBorders>
      <w:tblCellMar>
        <w:top w:w="57" w:type="dxa"/>
        <w:left w:w="57" w:type="dxa"/>
        <w:bottom w:w="57" w:type="dxa"/>
        <w:right w:w="57" w:type="dxa"/>
      </w:tblCellMar>
    </w:tblPr>
    <w:tblStylePr w:type="firstRow">
      <w:rPr>
        <w:b/>
        <w:bCs/>
        <w:color w:val="FFFFFF" w:themeColor="background1"/>
      </w:rPr>
      <w:tblPr/>
      <w:tcPr>
        <w:shd w:val="clear" w:color="auto" w:fill="A1A1A1" w:themeFill="accent6"/>
      </w:tcPr>
    </w:tblStylePr>
    <w:tblStylePr w:type="lastRow">
      <w:rPr>
        <w:b/>
        <w:bCs/>
      </w:rPr>
      <w:tblPr/>
      <w:tcPr>
        <w:tcBorders>
          <w:top w:val="double" w:sz="4" w:space="0" w:color="A1A1A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1A1A1" w:themeColor="accent6"/>
          <w:right w:val="single" w:sz="4" w:space="0" w:color="A1A1A1" w:themeColor="accent6"/>
        </w:tcBorders>
      </w:tcPr>
    </w:tblStylePr>
    <w:tblStylePr w:type="band1Horz">
      <w:tblPr/>
      <w:tcPr>
        <w:tcBorders>
          <w:top w:val="single" w:sz="4" w:space="0" w:color="A1A1A1" w:themeColor="accent6"/>
          <w:bottom w:val="single" w:sz="4" w:space="0" w:color="A1A1A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1A1A1" w:themeColor="accent6"/>
          <w:left w:val="nil"/>
        </w:tcBorders>
      </w:tcPr>
    </w:tblStylePr>
    <w:tblStylePr w:type="swCell">
      <w:tblPr/>
      <w:tcPr>
        <w:tcBorders>
          <w:top w:val="double" w:sz="4" w:space="0" w:color="A1A1A1" w:themeColor="accent6"/>
          <w:right w:val="nil"/>
        </w:tcBorders>
      </w:tcPr>
    </w:tblStylePr>
  </w:style>
  <w:style w:type="table" w:styleId="ListTable4">
    <w:name w:val="List Table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1"/>
          <w:left w:val="single" w:sz="4" w:space="0" w:color="63D0DF" w:themeColor="accent1"/>
          <w:bottom w:val="single" w:sz="4" w:space="0" w:color="63D0DF" w:themeColor="accent1"/>
          <w:right w:val="single" w:sz="4" w:space="0" w:color="63D0DF" w:themeColor="accent1"/>
          <w:insideH w:val="nil"/>
        </w:tcBorders>
        <w:shd w:val="clear" w:color="auto" w:fill="63D0DF" w:themeFill="accent1"/>
      </w:tcPr>
    </w:tblStylePr>
    <w:tblStylePr w:type="lastRow">
      <w:rPr>
        <w:b/>
        <w:bCs/>
      </w:rPr>
      <w:tblPr/>
      <w:tcPr>
        <w:tcBorders>
          <w:top w:val="double" w:sz="4" w:space="0" w:color="A1E2EB" w:themeColor="accent1" w:themeTint="99"/>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ListTable4-Accent2">
    <w:name w:val="List Table 4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C9C9CA" w:themeColor="accent2"/>
          <w:left w:val="single" w:sz="4" w:space="0" w:color="C9C9CA" w:themeColor="accent2"/>
          <w:bottom w:val="single" w:sz="4" w:space="0" w:color="C9C9CA" w:themeColor="accent2"/>
          <w:right w:val="single" w:sz="4" w:space="0" w:color="C9C9CA" w:themeColor="accent2"/>
          <w:insideH w:val="nil"/>
        </w:tcBorders>
        <w:shd w:val="clear" w:color="auto" w:fill="C9C9CA" w:themeFill="accent2"/>
      </w:tcPr>
    </w:tblStylePr>
    <w:tblStylePr w:type="lastRow">
      <w:rPr>
        <w:b/>
        <w:bCs/>
      </w:rPr>
      <w:tblPr/>
      <w:tcPr>
        <w:tcBorders>
          <w:top w:val="double" w:sz="4" w:space="0" w:color="DEDEDF" w:themeColor="accent2" w:themeTint="99"/>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ListTable4-Accent3">
    <w:name w:val="List Table 4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3"/>
          <w:left w:val="single" w:sz="4" w:space="0" w:color="63D0DF" w:themeColor="accent3"/>
          <w:bottom w:val="single" w:sz="4" w:space="0" w:color="63D0DF" w:themeColor="accent3"/>
          <w:right w:val="single" w:sz="4" w:space="0" w:color="63D0DF" w:themeColor="accent3"/>
          <w:insideH w:val="nil"/>
        </w:tcBorders>
        <w:shd w:val="clear" w:color="auto" w:fill="63D0DF" w:themeFill="accent3"/>
      </w:tcPr>
    </w:tblStylePr>
    <w:tblStylePr w:type="lastRow">
      <w:rPr>
        <w:b/>
        <w:bCs/>
      </w:rPr>
      <w:tblPr/>
      <w:tcPr>
        <w:tcBorders>
          <w:top w:val="double" w:sz="4" w:space="0" w:color="A1E2EB" w:themeColor="accent3" w:themeTint="99"/>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ListTable4-Accent4">
    <w:name w:val="List Table 4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A1A1A1" w:themeColor="accent4"/>
          <w:left w:val="single" w:sz="4" w:space="0" w:color="A1A1A1" w:themeColor="accent4"/>
          <w:bottom w:val="single" w:sz="4" w:space="0" w:color="A1A1A1" w:themeColor="accent4"/>
          <w:right w:val="single" w:sz="4" w:space="0" w:color="A1A1A1" w:themeColor="accent4"/>
          <w:insideH w:val="nil"/>
        </w:tcBorders>
        <w:shd w:val="clear" w:color="auto" w:fill="A1A1A1" w:themeFill="accent4"/>
      </w:tcPr>
    </w:tblStylePr>
    <w:tblStylePr w:type="lastRow">
      <w:rPr>
        <w:b/>
        <w:bCs/>
      </w:rPr>
      <w:tblPr/>
      <w:tcPr>
        <w:tcBorders>
          <w:top w:val="double" w:sz="4" w:space="0" w:color="C6C6C6" w:themeColor="accent4" w:themeTint="99"/>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ListTable4-Accent5">
    <w:name w:val="List Table 4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5"/>
          <w:left w:val="single" w:sz="4" w:space="0" w:color="63D0DF" w:themeColor="accent5"/>
          <w:bottom w:val="single" w:sz="4" w:space="0" w:color="63D0DF" w:themeColor="accent5"/>
          <w:right w:val="single" w:sz="4" w:space="0" w:color="63D0DF" w:themeColor="accent5"/>
          <w:insideH w:val="nil"/>
        </w:tcBorders>
        <w:shd w:val="clear" w:color="auto" w:fill="63D0DF" w:themeFill="accent5"/>
      </w:tcPr>
    </w:tblStylePr>
    <w:tblStylePr w:type="lastRow">
      <w:rPr>
        <w:b/>
        <w:bCs/>
      </w:rPr>
      <w:tblPr/>
      <w:tcPr>
        <w:tcBorders>
          <w:top w:val="double" w:sz="4" w:space="0" w:color="A1E2EB" w:themeColor="accent5" w:themeTint="99"/>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ListTable4-Accent6">
    <w:name w:val="List Table 4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A1A1A1" w:themeColor="accent6"/>
          <w:left w:val="single" w:sz="4" w:space="0" w:color="A1A1A1" w:themeColor="accent6"/>
          <w:bottom w:val="single" w:sz="4" w:space="0" w:color="A1A1A1" w:themeColor="accent6"/>
          <w:right w:val="single" w:sz="4" w:space="0" w:color="A1A1A1" w:themeColor="accent6"/>
          <w:insideH w:val="nil"/>
        </w:tcBorders>
        <w:shd w:val="clear" w:color="auto" w:fill="A1A1A1" w:themeFill="accent6"/>
      </w:tcPr>
    </w:tblStylePr>
    <w:tblStylePr w:type="lastRow">
      <w:rPr>
        <w:b/>
        <w:bCs/>
      </w:rPr>
      <w:tblPr/>
      <w:tcPr>
        <w:tcBorders>
          <w:top w:val="double" w:sz="4" w:space="0" w:color="C6C6C6" w:themeColor="accent6" w:themeTint="99"/>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ListTable5Dark">
    <w:name w:val="List Table 5 Dark"/>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85" w:type="dxa"/>
        <w:left w:w="85" w:type="dxa"/>
        <w:bottom w:w="85" w:type="dxa"/>
        <w:right w:w="85"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63D0DF" w:themeColor="accent1"/>
        <w:left w:val="single" w:sz="24" w:space="0" w:color="63D0DF" w:themeColor="accent1"/>
        <w:bottom w:val="single" w:sz="24" w:space="0" w:color="63D0DF" w:themeColor="accent1"/>
        <w:right w:val="single" w:sz="24" w:space="0" w:color="63D0DF" w:themeColor="accent1"/>
      </w:tblBorders>
      <w:tblCellMar>
        <w:top w:w="85" w:type="dxa"/>
        <w:left w:w="85" w:type="dxa"/>
        <w:bottom w:w="85" w:type="dxa"/>
        <w:right w:w="85" w:type="dxa"/>
      </w:tblCellMar>
    </w:tblPr>
    <w:tcPr>
      <w:shd w:val="clear" w:color="auto" w:fill="63D0D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C9C9CA" w:themeColor="accent2"/>
        <w:left w:val="single" w:sz="24" w:space="0" w:color="C9C9CA" w:themeColor="accent2"/>
        <w:bottom w:val="single" w:sz="24" w:space="0" w:color="C9C9CA" w:themeColor="accent2"/>
        <w:right w:val="single" w:sz="24" w:space="0" w:color="C9C9CA" w:themeColor="accent2"/>
      </w:tblBorders>
      <w:tblCellMar>
        <w:top w:w="85" w:type="dxa"/>
        <w:left w:w="85" w:type="dxa"/>
        <w:bottom w:w="85" w:type="dxa"/>
        <w:right w:w="85" w:type="dxa"/>
      </w:tblCellMar>
    </w:tblPr>
    <w:tcPr>
      <w:shd w:val="clear" w:color="auto" w:fill="C9C9C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63D0DF" w:themeColor="accent3"/>
        <w:left w:val="single" w:sz="24" w:space="0" w:color="63D0DF" w:themeColor="accent3"/>
        <w:bottom w:val="single" w:sz="24" w:space="0" w:color="63D0DF" w:themeColor="accent3"/>
        <w:right w:val="single" w:sz="24" w:space="0" w:color="63D0DF" w:themeColor="accent3"/>
      </w:tblBorders>
      <w:tblCellMar>
        <w:top w:w="85" w:type="dxa"/>
        <w:left w:w="85" w:type="dxa"/>
        <w:bottom w:w="85" w:type="dxa"/>
        <w:right w:w="85" w:type="dxa"/>
      </w:tblCellMar>
    </w:tblPr>
    <w:tcPr>
      <w:shd w:val="clear" w:color="auto" w:fill="63D0D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A1A1A1" w:themeColor="accent4"/>
        <w:left w:val="single" w:sz="24" w:space="0" w:color="A1A1A1" w:themeColor="accent4"/>
        <w:bottom w:val="single" w:sz="24" w:space="0" w:color="A1A1A1" w:themeColor="accent4"/>
        <w:right w:val="single" w:sz="24" w:space="0" w:color="A1A1A1" w:themeColor="accent4"/>
      </w:tblBorders>
      <w:tblCellMar>
        <w:top w:w="85" w:type="dxa"/>
        <w:left w:w="85" w:type="dxa"/>
        <w:bottom w:w="85" w:type="dxa"/>
        <w:right w:w="85" w:type="dxa"/>
      </w:tblCellMar>
    </w:tblPr>
    <w:tcPr>
      <w:shd w:val="clear" w:color="auto" w:fill="A1A1A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63D0DF" w:themeColor="accent5"/>
        <w:left w:val="single" w:sz="24" w:space="0" w:color="63D0DF" w:themeColor="accent5"/>
        <w:bottom w:val="single" w:sz="24" w:space="0" w:color="63D0DF" w:themeColor="accent5"/>
        <w:right w:val="single" w:sz="24" w:space="0" w:color="63D0DF" w:themeColor="accent5"/>
      </w:tblBorders>
      <w:tblCellMar>
        <w:top w:w="85" w:type="dxa"/>
        <w:left w:w="85" w:type="dxa"/>
        <w:bottom w:w="85" w:type="dxa"/>
        <w:right w:w="85" w:type="dxa"/>
      </w:tblCellMar>
    </w:tblPr>
    <w:tcPr>
      <w:shd w:val="clear" w:color="auto" w:fill="63D0D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A1A1A1" w:themeColor="accent6"/>
        <w:left w:val="single" w:sz="24" w:space="0" w:color="A1A1A1" w:themeColor="accent6"/>
        <w:bottom w:val="single" w:sz="24" w:space="0" w:color="A1A1A1" w:themeColor="accent6"/>
        <w:right w:val="single" w:sz="24" w:space="0" w:color="A1A1A1" w:themeColor="accent6"/>
      </w:tblBorders>
      <w:tblCellMar>
        <w:top w:w="85" w:type="dxa"/>
        <w:left w:w="85" w:type="dxa"/>
        <w:bottom w:w="85" w:type="dxa"/>
        <w:right w:w="85" w:type="dxa"/>
      </w:tblCellMar>
    </w:tblPr>
    <w:tcPr>
      <w:shd w:val="clear" w:color="auto" w:fill="A1A1A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98"/>
    <w:semiHidden/>
    <w:rsid w:val="00573428"/>
    <w:rPr>
      <w:rFonts w:asciiTheme="minorHAnsi" w:eastAsia="Century Gothic" w:hAnsiTheme="minorHAnsi" w:cstheme="minorBidi"/>
      <w:color w:val="000000" w:themeColor="text1"/>
      <w:lang w:eastAsia="en-US"/>
    </w:rPr>
    <w:tblPr>
      <w:tblStyleRowBandSize w:val="1"/>
      <w:tblStyleColBandSize w:val="1"/>
      <w:tblBorders>
        <w:top w:val="single" w:sz="4" w:space="0" w:color="000000" w:themeColor="text1"/>
        <w:bottom w:val="single" w:sz="4" w:space="0" w:color="000000" w:themeColor="text1"/>
      </w:tblBorders>
      <w:tblCellMar>
        <w:top w:w="57" w:type="dxa"/>
        <w:left w:w="57" w:type="dxa"/>
        <w:bottom w:w="57" w:type="dxa"/>
        <w:right w:w="57"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98"/>
    <w:semiHidden/>
    <w:rsid w:val="00573428"/>
    <w:rPr>
      <w:rFonts w:asciiTheme="minorHAnsi" w:eastAsia="Century Gothic" w:hAnsiTheme="minorHAnsi" w:cstheme="minorBidi"/>
      <w:color w:val="29B4C7" w:themeColor="accent1" w:themeShade="BF"/>
      <w:lang w:eastAsia="en-US"/>
    </w:rPr>
    <w:tblPr>
      <w:tblStyleRowBandSize w:val="1"/>
      <w:tblStyleColBandSize w:val="1"/>
      <w:tblBorders>
        <w:top w:val="single" w:sz="4" w:space="0" w:color="63D0DF" w:themeColor="accent1"/>
        <w:bottom w:val="single" w:sz="4" w:space="0" w:color="63D0DF" w:themeColor="accent1"/>
      </w:tblBorders>
      <w:tblCellMar>
        <w:top w:w="57" w:type="dxa"/>
        <w:left w:w="57" w:type="dxa"/>
        <w:bottom w:w="57" w:type="dxa"/>
        <w:right w:w="57" w:type="dxa"/>
      </w:tblCellMar>
    </w:tblPr>
    <w:tblStylePr w:type="firstRow">
      <w:rPr>
        <w:b/>
        <w:bCs/>
      </w:rPr>
      <w:tblPr/>
      <w:tcPr>
        <w:tcBorders>
          <w:bottom w:val="single" w:sz="4" w:space="0" w:color="63D0DF" w:themeColor="accent1"/>
        </w:tcBorders>
      </w:tcPr>
    </w:tblStylePr>
    <w:tblStylePr w:type="lastRow">
      <w:rPr>
        <w:b/>
        <w:bCs/>
      </w:rPr>
      <w:tblPr/>
      <w:tcPr>
        <w:tcBorders>
          <w:top w:val="double" w:sz="4" w:space="0" w:color="63D0DF" w:themeColor="accent1"/>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ListTable6Colorful-Accent2">
    <w:name w:val="List Table 6 Colorful Accent 2"/>
    <w:basedOn w:val="TableNormal"/>
    <w:uiPriority w:val="98"/>
    <w:semiHidden/>
    <w:rsid w:val="00573428"/>
    <w:rPr>
      <w:rFonts w:asciiTheme="minorHAnsi" w:eastAsia="Century Gothic" w:hAnsiTheme="minorHAnsi" w:cstheme="minorBidi"/>
      <w:color w:val="959597" w:themeColor="accent2" w:themeShade="BF"/>
      <w:lang w:eastAsia="en-US"/>
    </w:rPr>
    <w:tblPr>
      <w:tblStyleRowBandSize w:val="1"/>
      <w:tblStyleColBandSize w:val="1"/>
      <w:tblBorders>
        <w:top w:val="single" w:sz="4" w:space="0" w:color="C9C9CA" w:themeColor="accent2"/>
        <w:bottom w:val="single" w:sz="4" w:space="0" w:color="C9C9CA" w:themeColor="accent2"/>
      </w:tblBorders>
      <w:tblCellMar>
        <w:top w:w="57" w:type="dxa"/>
        <w:left w:w="57" w:type="dxa"/>
        <w:bottom w:w="57" w:type="dxa"/>
        <w:right w:w="57" w:type="dxa"/>
      </w:tblCellMar>
    </w:tblPr>
    <w:tblStylePr w:type="firstRow">
      <w:rPr>
        <w:b/>
        <w:bCs/>
      </w:rPr>
      <w:tblPr/>
      <w:tcPr>
        <w:tcBorders>
          <w:bottom w:val="single" w:sz="4" w:space="0" w:color="C9C9CA" w:themeColor="accent2"/>
        </w:tcBorders>
      </w:tcPr>
    </w:tblStylePr>
    <w:tblStylePr w:type="lastRow">
      <w:rPr>
        <w:b/>
        <w:bCs/>
      </w:rPr>
      <w:tblPr/>
      <w:tcPr>
        <w:tcBorders>
          <w:top w:val="double" w:sz="4" w:space="0" w:color="C9C9CA" w:themeColor="accent2"/>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ListTable6Colorful-Accent3">
    <w:name w:val="List Table 6 Colorful Accent 3"/>
    <w:basedOn w:val="TableNormal"/>
    <w:uiPriority w:val="98"/>
    <w:semiHidden/>
    <w:rsid w:val="00573428"/>
    <w:rPr>
      <w:rFonts w:asciiTheme="minorHAnsi" w:eastAsia="Century Gothic" w:hAnsiTheme="minorHAnsi" w:cstheme="minorBidi"/>
      <w:color w:val="29B4C7" w:themeColor="accent3" w:themeShade="BF"/>
      <w:lang w:eastAsia="en-US"/>
    </w:rPr>
    <w:tblPr>
      <w:tblStyleRowBandSize w:val="1"/>
      <w:tblStyleColBandSize w:val="1"/>
      <w:tblBorders>
        <w:top w:val="single" w:sz="4" w:space="0" w:color="63D0DF" w:themeColor="accent3"/>
        <w:bottom w:val="single" w:sz="4" w:space="0" w:color="63D0DF" w:themeColor="accent3"/>
      </w:tblBorders>
      <w:tblCellMar>
        <w:top w:w="57" w:type="dxa"/>
        <w:left w:w="57" w:type="dxa"/>
        <w:bottom w:w="57" w:type="dxa"/>
        <w:right w:w="57" w:type="dxa"/>
      </w:tblCellMar>
    </w:tblPr>
    <w:tblStylePr w:type="firstRow">
      <w:rPr>
        <w:b/>
        <w:bCs/>
      </w:rPr>
      <w:tblPr/>
      <w:tcPr>
        <w:tcBorders>
          <w:bottom w:val="single" w:sz="4" w:space="0" w:color="63D0DF" w:themeColor="accent3"/>
        </w:tcBorders>
      </w:tcPr>
    </w:tblStylePr>
    <w:tblStylePr w:type="lastRow">
      <w:rPr>
        <w:b/>
        <w:bCs/>
      </w:rPr>
      <w:tblPr/>
      <w:tcPr>
        <w:tcBorders>
          <w:top w:val="double" w:sz="4" w:space="0" w:color="63D0DF" w:themeColor="accent3"/>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ListTable6Colorful-Accent4">
    <w:name w:val="List Table 6 Colorful Accent 4"/>
    <w:basedOn w:val="TableNormal"/>
    <w:uiPriority w:val="98"/>
    <w:semiHidden/>
    <w:rsid w:val="00573428"/>
    <w:rPr>
      <w:rFonts w:asciiTheme="minorHAnsi" w:eastAsia="Century Gothic" w:hAnsiTheme="minorHAnsi" w:cstheme="minorBidi"/>
      <w:color w:val="787878" w:themeColor="accent4" w:themeShade="BF"/>
      <w:lang w:eastAsia="en-US"/>
    </w:rPr>
    <w:tblPr>
      <w:tblStyleRowBandSize w:val="1"/>
      <w:tblStyleColBandSize w:val="1"/>
      <w:tblBorders>
        <w:top w:val="single" w:sz="4" w:space="0" w:color="A1A1A1" w:themeColor="accent4"/>
        <w:bottom w:val="single" w:sz="4" w:space="0" w:color="A1A1A1" w:themeColor="accent4"/>
      </w:tblBorders>
      <w:tblCellMar>
        <w:top w:w="57" w:type="dxa"/>
        <w:left w:w="57" w:type="dxa"/>
        <w:bottom w:w="57" w:type="dxa"/>
        <w:right w:w="57" w:type="dxa"/>
      </w:tblCellMar>
    </w:tblPr>
    <w:tblStylePr w:type="firstRow">
      <w:rPr>
        <w:b/>
        <w:bCs/>
      </w:rPr>
      <w:tblPr/>
      <w:tcPr>
        <w:tcBorders>
          <w:bottom w:val="single" w:sz="4" w:space="0" w:color="A1A1A1" w:themeColor="accent4"/>
        </w:tcBorders>
      </w:tcPr>
    </w:tblStylePr>
    <w:tblStylePr w:type="lastRow">
      <w:rPr>
        <w:b/>
        <w:bCs/>
      </w:rPr>
      <w:tblPr/>
      <w:tcPr>
        <w:tcBorders>
          <w:top w:val="double" w:sz="4" w:space="0" w:color="A1A1A1" w:themeColor="accent4"/>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ListTable6Colorful-Accent5">
    <w:name w:val="List Table 6 Colorful Accent 5"/>
    <w:basedOn w:val="TableNormal"/>
    <w:uiPriority w:val="98"/>
    <w:semiHidden/>
    <w:rsid w:val="00573428"/>
    <w:rPr>
      <w:rFonts w:asciiTheme="minorHAnsi" w:eastAsia="Century Gothic" w:hAnsiTheme="minorHAnsi" w:cstheme="minorBidi"/>
      <w:color w:val="29B4C7" w:themeColor="accent5" w:themeShade="BF"/>
      <w:lang w:eastAsia="en-US"/>
    </w:rPr>
    <w:tblPr>
      <w:tblStyleRowBandSize w:val="1"/>
      <w:tblStyleColBandSize w:val="1"/>
      <w:tblBorders>
        <w:top w:val="single" w:sz="4" w:space="0" w:color="63D0DF" w:themeColor="accent5"/>
        <w:bottom w:val="single" w:sz="4" w:space="0" w:color="63D0DF" w:themeColor="accent5"/>
      </w:tblBorders>
      <w:tblCellMar>
        <w:top w:w="57" w:type="dxa"/>
        <w:left w:w="57" w:type="dxa"/>
        <w:bottom w:w="57" w:type="dxa"/>
        <w:right w:w="57" w:type="dxa"/>
      </w:tblCellMar>
    </w:tblPr>
    <w:tblStylePr w:type="firstRow">
      <w:rPr>
        <w:b/>
        <w:bCs/>
      </w:rPr>
      <w:tblPr/>
      <w:tcPr>
        <w:tcBorders>
          <w:bottom w:val="single" w:sz="4" w:space="0" w:color="63D0DF" w:themeColor="accent5"/>
        </w:tcBorders>
      </w:tcPr>
    </w:tblStylePr>
    <w:tblStylePr w:type="lastRow">
      <w:rPr>
        <w:b/>
        <w:bCs/>
      </w:rPr>
      <w:tblPr/>
      <w:tcPr>
        <w:tcBorders>
          <w:top w:val="double" w:sz="4" w:space="0" w:color="63D0DF" w:themeColor="accent5"/>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ListTable6Colorful-Accent6">
    <w:name w:val="List Table 6 Colorful Accent 6"/>
    <w:basedOn w:val="TableNormal"/>
    <w:uiPriority w:val="98"/>
    <w:semiHidden/>
    <w:rsid w:val="00573428"/>
    <w:rPr>
      <w:rFonts w:asciiTheme="minorHAnsi" w:eastAsia="Century Gothic" w:hAnsiTheme="minorHAnsi" w:cstheme="minorBidi"/>
      <w:color w:val="787878" w:themeColor="accent6" w:themeShade="BF"/>
      <w:lang w:eastAsia="en-US"/>
    </w:rPr>
    <w:tblPr>
      <w:tblStyleRowBandSize w:val="1"/>
      <w:tblStyleColBandSize w:val="1"/>
      <w:tblBorders>
        <w:top w:val="single" w:sz="4" w:space="0" w:color="A1A1A1" w:themeColor="accent6"/>
        <w:bottom w:val="single" w:sz="4" w:space="0" w:color="A1A1A1" w:themeColor="accent6"/>
      </w:tblBorders>
      <w:tblCellMar>
        <w:top w:w="57" w:type="dxa"/>
        <w:left w:w="57" w:type="dxa"/>
        <w:bottom w:w="57" w:type="dxa"/>
        <w:right w:w="57" w:type="dxa"/>
      </w:tblCellMar>
    </w:tblPr>
    <w:tblStylePr w:type="firstRow">
      <w:rPr>
        <w:b/>
        <w:bCs/>
      </w:rPr>
      <w:tblPr/>
      <w:tcPr>
        <w:tcBorders>
          <w:bottom w:val="single" w:sz="4" w:space="0" w:color="A1A1A1" w:themeColor="accent6"/>
        </w:tcBorders>
      </w:tcPr>
    </w:tblStylePr>
    <w:tblStylePr w:type="lastRow">
      <w:rPr>
        <w:b/>
        <w:bCs/>
      </w:rPr>
      <w:tblPr/>
      <w:tcPr>
        <w:tcBorders>
          <w:top w:val="double" w:sz="4" w:space="0" w:color="A1A1A1" w:themeColor="accent6"/>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ListTable7Colorful">
    <w:name w:val="List Table 7 Colorful"/>
    <w:basedOn w:val="TableNormal"/>
    <w:uiPriority w:val="98"/>
    <w:semiHidden/>
    <w:rsid w:val="00573428"/>
    <w:rPr>
      <w:rFonts w:asciiTheme="minorHAnsi" w:eastAsia="Century Gothic" w:hAnsiTheme="minorHAnsi" w:cstheme="minorBidi"/>
      <w:color w:val="000000" w:themeColor="text1"/>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98"/>
    <w:semiHidden/>
    <w:rsid w:val="00573428"/>
    <w:rPr>
      <w:rFonts w:asciiTheme="minorHAnsi" w:eastAsia="Century Gothic" w:hAnsiTheme="minorHAnsi" w:cstheme="minorBidi"/>
      <w:color w:val="29B4C7" w:themeColor="accent1"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63D0D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D0D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D0D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D0DF" w:themeColor="accent1"/>
        </w:tcBorders>
        <w:shd w:val="clear" w:color="auto" w:fill="FFFFFF" w:themeFill="background1"/>
      </w:tcPr>
    </w:tblStylePr>
    <w:tblStylePr w:type="band1Vert">
      <w:tblPr/>
      <w:tcPr>
        <w:shd w:val="clear" w:color="auto" w:fill="DFF5F8" w:themeFill="accent1" w:themeFillTint="33"/>
      </w:tcPr>
    </w:tblStylePr>
    <w:tblStylePr w:type="band1Horz">
      <w:tblPr/>
      <w:tcPr>
        <w:shd w:val="clear" w:color="auto" w:fill="DFF5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98"/>
    <w:semiHidden/>
    <w:rsid w:val="00573428"/>
    <w:rPr>
      <w:rFonts w:asciiTheme="minorHAnsi" w:eastAsia="Century Gothic" w:hAnsiTheme="minorHAnsi" w:cstheme="minorBidi"/>
      <w:color w:val="959597" w:themeColor="accent2"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C9C9C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9C9C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9C9C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9C9CA" w:themeColor="accent2"/>
        </w:tcBorders>
        <w:shd w:val="clear" w:color="auto" w:fill="FFFFFF" w:themeFill="background1"/>
      </w:tcPr>
    </w:tblStylePr>
    <w:tblStylePr w:type="band1Vert">
      <w:tblPr/>
      <w:tcPr>
        <w:shd w:val="clear" w:color="auto" w:fill="F4F4F4" w:themeFill="accent2" w:themeFillTint="33"/>
      </w:tcPr>
    </w:tblStylePr>
    <w:tblStylePr w:type="band1Horz">
      <w:tblPr/>
      <w:tcPr>
        <w:shd w:val="clear" w:color="auto" w:fill="F4F4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98"/>
    <w:semiHidden/>
    <w:rsid w:val="00573428"/>
    <w:rPr>
      <w:rFonts w:asciiTheme="minorHAnsi" w:eastAsia="Century Gothic" w:hAnsiTheme="minorHAnsi" w:cstheme="minorBidi"/>
      <w:color w:val="29B4C7" w:themeColor="accent3"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63D0D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D0D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D0D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D0DF" w:themeColor="accent3"/>
        </w:tcBorders>
        <w:shd w:val="clear" w:color="auto" w:fill="FFFFFF" w:themeFill="background1"/>
      </w:tcPr>
    </w:tblStylePr>
    <w:tblStylePr w:type="band1Vert">
      <w:tblPr/>
      <w:tcPr>
        <w:shd w:val="clear" w:color="auto" w:fill="DFF5F8" w:themeFill="accent3" w:themeFillTint="33"/>
      </w:tcPr>
    </w:tblStylePr>
    <w:tblStylePr w:type="band1Horz">
      <w:tblPr/>
      <w:tcPr>
        <w:shd w:val="clear" w:color="auto" w:fill="DFF5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98"/>
    <w:semiHidden/>
    <w:rsid w:val="00573428"/>
    <w:rPr>
      <w:rFonts w:asciiTheme="minorHAnsi" w:eastAsia="Century Gothic" w:hAnsiTheme="minorHAnsi" w:cstheme="minorBidi"/>
      <w:color w:val="787878" w:themeColor="accent4"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A1A1A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1A1A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1A1A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1A1A1" w:themeColor="accent4"/>
        </w:tcBorders>
        <w:shd w:val="clear" w:color="auto" w:fill="FFFFFF" w:themeFill="background1"/>
      </w:tcPr>
    </w:tblStylePr>
    <w:tblStylePr w:type="band1Vert">
      <w:tblPr/>
      <w:tcPr>
        <w:shd w:val="clear" w:color="auto" w:fill="ECECEC" w:themeFill="accent4" w:themeFillTint="33"/>
      </w:tcPr>
    </w:tblStylePr>
    <w:tblStylePr w:type="band1Horz">
      <w:tblPr/>
      <w:tcPr>
        <w:shd w:val="clear" w:color="auto" w:fill="ECEC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98"/>
    <w:semiHidden/>
    <w:rsid w:val="00573428"/>
    <w:rPr>
      <w:rFonts w:asciiTheme="minorHAnsi" w:eastAsia="Century Gothic" w:hAnsiTheme="minorHAnsi" w:cstheme="minorBidi"/>
      <w:color w:val="29B4C7" w:themeColor="accent5"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63D0D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D0D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D0D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D0DF" w:themeColor="accent5"/>
        </w:tcBorders>
        <w:shd w:val="clear" w:color="auto" w:fill="FFFFFF" w:themeFill="background1"/>
      </w:tcPr>
    </w:tblStylePr>
    <w:tblStylePr w:type="band1Vert">
      <w:tblPr/>
      <w:tcPr>
        <w:shd w:val="clear" w:color="auto" w:fill="DFF5F8" w:themeFill="accent5" w:themeFillTint="33"/>
      </w:tcPr>
    </w:tblStylePr>
    <w:tblStylePr w:type="band1Horz">
      <w:tblPr/>
      <w:tcPr>
        <w:shd w:val="clear" w:color="auto" w:fill="DFF5F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57" w:type="dxa"/>
        <w:bottom w:w="57" w:type="dxa"/>
        <w:right w:w="57"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7F7F7F" w:themeColor="text1" w:themeTint="80"/>
        <w:bottom w:val="single" w:sz="4" w:space="0" w:color="7F7F7F" w:themeColor="text1" w:themeTint="80"/>
      </w:tblBorders>
      <w:tblCellMar>
        <w:top w:w="57" w:type="dxa"/>
        <w:left w:w="57" w:type="dxa"/>
        <w:bottom w:w="57" w:type="dxa"/>
        <w:right w:w="5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113"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Bullet2">
    <w:name w:val="List Bullet 2"/>
    <w:basedOn w:val="Normal"/>
    <w:uiPriority w:val="3"/>
    <w:rsid w:val="00596177"/>
    <w:pPr>
      <w:tabs>
        <w:tab w:val="num" w:pos="567"/>
      </w:tabs>
      <w:spacing w:after="120"/>
      <w:ind w:left="568" w:hanging="284"/>
    </w:pPr>
    <w:rPr>
      <w:rFonts w:eastAsia="Century Gothic" w:cstheme="minorBidi"/>
      <w:szCs w:val="20"/>
      <w:lang w:eastAsia="en-US"/>
    </w:rPr>
  </w:style>
  <w:style w:type="paragraph" w:styleId="ListBullet3">
    <w:name w:val="List Bullet 3"/>
    <w:basedOn w:val="Normal"/>
    <w:uiPriority w:val="3"/>
    <w:rsid w:val="00596177"/>
    <w:pPr>
      <w:tabs>
        <w:tab w:val="num" w:pos="851"/>
      </w:tabs>
      <w:spacing w:after="120"/>
      <w:ind w:left="852" w:hanging="284"/>
    </w:pPr>
    <w:rPr>
      <w:rFonts w:eastAsia="Century Gothic" w:cstheme="minorBidi"/>
      <w:szCs w:val="20"/>
      <w:lang w:eastAsia="en-US"/>
    </w:rPr>
  </w:style>
  <w:style w:type="paragraph" w:styleId="ListBullet4">
    <w:name w:val="List Bullet 4"/>
    <w:basedOn w:val="Normal"/>
    <w:uiPriority w:val="3"/>
    <w:semiHidden/>
    <w:unhideWhenUsed/>
    <w:rsid w:val="00B664EA"/>
    <w:pPr>
      <w:numPr>
        <w:ilvl w:val="3"/>
        <w:numId w:val="8"/>
      </w:numPr>
      <w:spacing w:after="100" w:line="240" w:lineRule="auto"/>
      <w:contextualSpacing/>
    </w:pPr>
    <w:rPr>
      <w:rFonts w:eastAsia="Century Gothic" w:cstheme="minorBidi"/>
      <w:szCs w:val="20"/>
      <w:lang w:eastAsia="en-US"/>
    </w:rPr>
  </w:style>
  <w:style w:type="paragraph" w:styleId="ListBullet5">
    <w:name w:val="List Bullet 5"/>
    <w:basedOn w:val="Normal"/>
    <w:uiPriority w:val="3"/>
    <w:semiHidden/>
    <w:unhideWhenUsed/>
    <w:rsid w:val="00B664EA"/>
    <w:pPr>
      <w:numPr>
        <w:ilvl w:val="4"/>
        <w:numId w:val="9"/>
      </w:numPr>
      <w:spacing w:after="100" w:line="240" w:lineRule="auto"/>
      <w:contextualSpacing/>
    </w:pPr>
    <w:rPr>
      <w:rFonts w:eastAsia="Century Gothic" w:cstheme="minorBidi"/>
      <w:szCs w:val="20"/>
      <w:lang w:eastAsia="en-US"/>
    </w:rPr>
  </w:style>
  <w:style w:type="character" w:customStyle="1" w:styleId="Heading1Char">
    <w:name w:val="Heading 1 Char"/>
    <w:basedOn w:val="DefaultParagraphFont"/>
    <w:link w:val="Heading1"/>
    <w:uiPriority w:val="1"/>
    <w:rsid w:val="003A5075"/>
    <w:rPr>
      <w:rFonts w:asciiTheme="minorHAnsi" w:eastAsiaTheme="majorEastAsia" w:hAnsiTheme="minorHAnsi" w:cs="Calibri"/>
      <w:bCs/>
      <w:iCs/>
      <w:caps/>
      <w:color w:val="1D336D" w:themeColor="background2"/>
      <w:sz w:val="32"/>
      <w:szCs w:val="28"/>
    </w:rPr>
  </w:style>
  <w:style w:type="paragraph" w:customStyle="1" w:styleId="TableText">
    <w:name w:val="Table Text"/>
    <w:basedOn w:val="Normal"/>
    <w:uiPriority w:val="9"/>
    <w:qFormat/>
    <w:rsid w:val="00C4534E"/>
    <w:pPr>
      <w:spacing w:before="40" w:after="40" w:line="240" w:lineRule="atLeast"/>
    </w:pPr>
    <w:rPr>
      <w:rFonts w:eastAsia="Century Gothic"/>
      <w:lang w:eastAsia="en-US"/>
    </w:rPr>
  </w:style>
  <w:style w:type="character" w:styleId="Hyperlink">
    <w:name w:val="Hyperlink"/>
    <w:basedOn w:val="DefaultParagraphFont"/>
    <w:uiPriority w:val="99"/>
    <w:unhideWhenUsed/>
    <w:rsid w:val="00950440"/>
    <w:rPr>
      <w:color w:val="1D336D" w:themeColor="background2"/>
      <w:u w:val="single"/>
    </w:rPr>
  </w:style>
  <w:style w:type="character" w:styleId="UnresolvedMention">
    <w:name w:val="Unresolved Mention"/>
    <w:basedOn w:val="DefaultParagraphFont"/>
    <w:uiPriority w:val="99"/>
    <w:semiHidden/>
    <w:unhideWhenUsed/>
    <w:rsid w:val="009442D8"/>
    <w:rPr>
      <w:color w:val="605E5C"/>
      <w:shd w:val="clear" w:color="auto" w:fill="E1DFDD"/>
    </w:rPr>
  </w:style>
  <w:style w:type="paragraph" w:styleId="TOC2">
    <w:name w:val="toc 2"/>
    <w:basedOn w:val="TOC1"/>
    <w:next w:val="Normal"/>
    <w:uiPriority w:val="39"/>
    <w:rsid w:val="00145656"/>
    <w:pPr>
      <w:spacing w:before="40"/>
      <w:ind w:left="170" w:firstLine="0"/>
    </w:pPr>
    <w:rPr>
      <w:b w:val="0"/>
      <w:caps w:val="0"/>
      <w:color w:val="000000" w:themeColor="text1"/>
    </w:rPr>
  </w:style>
  <w:style w:type="paragraph" w:styleId="TOC1">
    <w:name w:val="toc 1"/>
    <w:basedOn w:val="Normal"/>
    <w:next w:val="Normal"/>
    <w:uiPriority w:val="39"/>
    <w:rsid w:val="00C40E5E"/>
    <w:pPr>
      <w:tabs>
        <w:tab w:val="left" w:pos="567"/>
        <w:tab w:val="right" w:leader="dot" w:pos="9638"/>
      </w:tabs>
      <w:spacing w:before="240" w:after="40" w:line="240" w:lineRule="auto"/>
      <w:ind w:left="567" w:hanging="567"/>
    </w:pPr>
    <w:rPr>
      <w:b/>
      <w:caps/>
      <w:color w:val="1D336D" w:themeColor="background2"/>
    </w:rPr>
  </w:style>
  <w:style w:type="paragraph" w:styleId="NoSpacing">
    <w:name w:val="No Spacing"/>
    <w:uiPriority w:val="50"/>
    <w:semiHidden/>
    <w:rsid w:val="00F87FD2"/>
    <w:rPr>
      <w:rFonts w:asciiTheme="minorHAnsi" w:hAnsiTheme="minorHAnsi" w:cs="Calibri"/>
      <w:sz w:val="18"/>
      <w:szCs w:val="24"/>
    </w:rPr>
  </w:style>
  <w:style w:type="numbering" w:customStyle="1" w:styleId="Headings">
    <w:name w:val="Headings"/>
    <w:uiPriority w:val="99"/>
    <w:rsid w:val="00D4310E"/>
    <w:pPr>
      <w:numPr>
        <w:numId w:val="17"/>
      </w:numPr>
    </w:pPr>
  </w:style>
  <w:style w:type="character" w:customStyle="1" w:styleId="Heading6Char">
    <w:name w:val="Heading 6 Char"/>
    <w:basedOn w:val="DefaultParagraphFont"/>
    <w:link w:val="Heading6"/>
    <w:uiPriority w:val="1"/>
    <w:semiHidden/>
    <w:rsid w:val="000E3939"/>
    <w:rPr>
      <w:rFonts w:asciiTheme="majorHAnsi" w:eastAsiaTheme="majorEastAsia" w:hAnsiTheme="majorHAnsi" w:cstheme="majorBidi"/>
      <w:color w:val="1D336D" w:themeColor="background2"/>
      <w:szCs w:val="24"/>
    </w:rPr>
  </w:style>
  <w:style w:type="character" w:customStyle="1" w:styleId="Heading7Char">
    <w:name w:val="Heading 7 Char"/>
    <w:basedOn w:val="DefaultParagraphFont"/>
    <w:link w:val="Heading7"/>
    <w:uiPriority w:val="1"/>
    <w:semiHidden/>
    <w:rsid w:val="000E3939"/>
    <w:rPr>
      <w:rFonts w:asciiTheme="majorHAnsi" w:eastAsiaTheme="majorEastAsia" w:hAnsiTheme="majorHAnsi" w:cstheme="majorBidi"/>
      <w:i/>
      <w:iCs/>
      <w:color w:val="585858" w:themeColor="text2"/>
      <w:szCs w:val="24"/>
    </w:rPr>
  </w:style>
  <w:style w:type="paragraph" w:styleId="TOC3">
    <w:name w:val="toc 3"/>
    <w:basedOn w:val="Normal"/>
    <w:next w:val="Normal"/>
    <w:uiPriority w:val="39"/>
    <w:rsid w:val="00DD016A"/>
    <w:pPr>
      <w:tabs>
        <w:tab w:val="left" w:pos="454"/>
        <w:tab w:val="right" w:leader="dot" w:pos="9638"/>
      </w:tabs>
      <w:spacing w:after="100" w:line="200" w:lineRule="atLeast"/>
      <w:ind w:left="340"/>
      <w:contextualSpacing/>
    </w:pPr>
    <w:rPr>
      <w:sz w:val="18"/>
    </w:rPr>
  </w:style>
  <w:style w:type="paragraph" w:customStyle="1" w:styleId="NormalBold">
    <w:name w:val="Normal Bold"/>
    <w:basedOn w:val="Normal"/>
    <w:link w:val="NormalBoldChar"/>
    <w:uiPriority w:val="50"/>
    <w:semiHidden/>
    <w:qFormat/>
    <w:rsid w:val="00542C98"/>
    <w:rPr>
      <w:b/>
    </w:rPr>
  </w:style>
  <w:style w:type="paragraph" w:customStyle="1" w:styleId="TableTextItalic">
    <w:name w:val="Table Text Italic"/>
    <w:basedOn w:val="TableText"/>
    <w:uiPriority w:val="9"/>
    <w:qFormat/>
    <w:rsid w:val="00A45B75"/>
    <w:rPr>
      <w:i/>
      <w:iCs/>
    </w:rPr>
  </w:style>
  <w:style w:type="character" w:customStyle="1" w:styleId="NormalBoldChar">
    <w:name w:val="Normal Bold Char"/>
    <w:basedOn w:val="DefaultParagraphFont"/>
    <w:link w:val="NormalBold"/>
    <w:uiPriority w:val="50"/>
    <w:semiHidden/>
    <w:rsid w:val="00310B3A"/>
    <w:rPr>
      <w:rFonts w:asciiTheme="minorHAnsi" w:eastAsiaTheme="majorEastAsia" w:hAnsiTheme="minorHAnsi" w:cs="Calibri"/>
      <w:b/>
      <w:color w:val="000000" w:themeColor="text1"/>
      <w:szCs w:val="24"/>
    </w:rPr>
  </w:style>
  <w:style w:type="character" w:customStyle="1" w:styleId="Heading4Char">
    <w:name w:val="Heading 4 Char"/>
    <w:basedOn w:val="DefaultParagraphFont"/>
    <w:link w:val="Heading4"/>
    <w:uiPriority w:val="1"/>
    <w:rsid w:val="00CE5C62"/>
    <w:rPr>
      <w:rFonts w:asciiTheme="minorHAnsi" w:eastAsia="Century Gothic" w:hAnsiTheme="minorHAnsi" w:cs="Calibri"/>
      <w:b/>
      <w:iCs/>
      <w:color w:val="000000"/>
      <w:szCs w:val="26"/>
    </w:rPr>
  </w:style>
  <w:style w:type="paragraph" w:styleId="TOC4">
    <w:name w:val="toc 4"/>
    <w:basedOn w:val="Normal"/>
    <w:next w:val="Normal"/>
    <w:uiPriority w:val="39"/>
    <w:semiHidden/>
    <w:rsid w:val="00FE707F"/>
    <w:pPr>
      <w:tabs>
        <w:tab w:val="right" w:leader="dot" w:pos="9638"/>
      </w:tabs>
      <w:spacing w:before="20" w:after="20"/>
      <w:ind w:left="1134" w:hanging="567"/>
      <w:contextualSpacing/>
    </w:pPr>
  </w:style>
  <w:style w:type="paragraph" w:styleId="Subtitle">
    <w:name w:val="Subtitle"/>
    <w:basedOn w:val="Normal"/>
    <w:next w:val="Normal"/>
    <w:link w:val="SubtitleChar"/>
    <w:uiPriority w:val="11"/>
    <w:qFormat/>
    <w:rsid w:val="005509F9"/>
    <w:rPr>
      <w:b/>
      <w:bCs/>
      <w:iCs/>
      <w:caps/>
      <w:color w:val="1D336D" w:themeColor="background2"/>
      <w:sz w:val="52"/>
      <w:szCs w:val="52"/>
    </w:rPr>
  </w:style>
  <w:style w:type="character" w:customStyle="1" w:styleId="SubtitleChar">
    <w:name w:val="Subtitle Char"/>
    <w:basedOn w:val="DefaultParagraphFont"/>
    <w:link w:val="Subtitle"/>
    <w:uiPriority w:val="11"/>
    <w:rsid w:val="005509F9"/>
    <w:rPr>
      <w:rFonts w:asciiTheme="minorHAnsi" w:eastAsiaTheme="majorEastAsia" w:hAnsiTheme="minorHAnsi" w:cs="Calibri"/>
      <w:b/>
      <w:bCs/>
      <w:iCs/>
      <w:caps/>
      <w:color w:val="1D336D" w:themeColor="background2"/>
      <w:sz w:val="52"/>
      <w:szCs w:val="52"/>
    </w:rPr>
  </w:style>
  <w:style w:type="table" w:customStyle="1" w:styleId="DefaultTable">
    <w:name w:val="_Default Table"/>
    <w:basedOn w:val="TableNormal"/>
    <w:uiPriority w:val="99"/>
    <w:rsid w:val="00635C95"/>
    <w:rPr>
      <w:rFonts w:asciiTheme="minorHAnsi" w:hAnsiTheme="minorHAnsi"/>
      <w:color w:val="000000" w:themeColor="text1"/>
    </w:rPr>
    <w:tblPr>
      <w:tblStyleRowBandSize w:val="1"/>
      <w:tblStyleColBandSize w:val="1"/>
      <w:tblBorders>
        <w:top w:val="single" w:sz="4" w:space="0" w:color="1D336D" w:themeColor="background2"/>
        <w:left w:val="single" w:sz="4" w:space="0" w:color="1D336D" w:themeColor="background2"/>
        <w:bottom w:val="single" w:sz="4" w:space="0" w:color="1D336D" w:themeColor="background2"/>
        <w:right w:val="single" w:sz="4" w:space="0" w:color="1D336D" w:themeColor="background2"/>
        <w:insideH w:val="single" w:sz="4" w:space="0" w:color="1D336D" w:themeColor="background2"/>
        <w:insideV w:val="single" w:sz="4" w:space="0" w:color="1D336D" w:themeColor="background2"/>
      </w:tblBorders>
      <w:tblCellMar>
        <w:top w:w="113" w:type="dxa"/>
        <w:left w:w="113" w:type="dxa"/>
        <w:bottom w:w="113" w:type="dxa"/>
        <w:right w:w="113" w:type="dxa"/>
      </w:tblCellMar>
    </w:tblPr>
    <w:tcPr>
      <w:shd w:val="clear" w:color="auto" w:fill="auto"/>
    </w:tcPr>
    <w:tblStylePr w:type="firstRow">
      <w:rPr>
        <w:b w:val="0"/>
        <w:color w:val="1D336D" w:themeColor="background2"/>
      </w:rPr>
      <w:tblPr/>
      <w:tcPr>
        <w:tcBorders>
          <w:top w:val="single" w:sz="4" w:space="0" w:color="1D336D" w:themeColor="background2"/>
          <w:left w:val="single" w:sz="4" w:space="0" w:color="1D336D" w:themeColor="background2"/>
          <w:bottom w:val="single" w:sz="4" w:space="0" w:color="1D336D" w:themeColor="background2"/>
          <w:right w:val="single" w:sz="4" w:space="0" w:color="1D336D" w:themeColor="background2"/>
          <w:insideH w:val="single" w:sz="4" w:space="0" w:color="1D336D" w:themeColor="background2"/>
          <w:insideV w:val="single" w:sz="4" w:space="0" w:color="1D336D" w:themeColor="background2"/>
        </w:tcBorders>
        <w:shd w:val="clear" w:color="auto" w:fill="1D336D" w:themeFill="background2"/>
      </w:tcPr>
    </w:tblStylePr>
    <w:tblStylePr w:type="lastRow">
      <w:tblPr/>
      <w:tcPr>
        <w:tcBorders>
          <w:top w:val="single" w:sz="12" w:space="0" w:color="1D336D" w:themeColor="background2"/>
          <w:left w:val="nil"/>
          <w:bottom w:val="single" w:sz="12" w:space="0" w:color="1D336D" w:themeColor="background2"/>
          <w:right w:val="nil"/>
          <w:insideH w:val="nil"/>
          <w:insideV w:val="nil"/>
          <w:tl2br w:val="nil"/>
          <w:tr2bl w:val="nil"/>
        </w:tcBorders>
        <w:shd w:val="clear" w:color="auto" w:fill="FFFFFF" w:themeFill="background1"/>
      </w:tcPr>
    </w:tblStylePr>
    <w:tblStylePr w:type="firstCol">
      <w:rPr>
        <w:color w:val="FFFFFF" w:themeColor="background1"/>
      </w:rPr>
      <w:tblPr/>
      <w:tcPr>
        <w:shd w:val="clear" w:color="auto" w:fill="C4CFEF" w:themeFill="background2" w:themeFillTint="33"/>
      </w:tcPr>
    </w:tblStylePr>
    <w:tblStylePr w:type="lastCol">
      <w:rPr>
        <w:color w:val="FFFFFF" w:themeColor="background1"/>
      </w:rPr>
      <w:tblPr/>
      <w:tcPr>
        <w:tcBorders>
          <w:top w:val="nil"/>
          <w:left w:val="nil"/>
          <w:bottom w:val="nil"/>
          <w:right w:val="nil"/>
          <w:insideH w:val="nil"/>
          <w:insideV w:val="nil"/>
          <w:tl2br w:val="nil"/>
          <w:tr2bl w:val="nil"/>
        </w:tcBorders>
        <w:shd w:val="clear" w:color="auto" w:fill="1D336D" w:themeFill="background2"/>
      </w:tcPr>
    </w:tblStylePr>
    <w:tblStylePr w:type="band2Vert">
      <w:tblPr/>
      <w:tcPr>
        <w:shd w:val="clear" w:color="auto" w:fill="DEE4F6"/>
      </w:tcPr>
    </w:tblStylePr>
    <w:tblStylePr w:type="band2Horz">
      <w:tblPr/>
      <w:tcPr>
        <w:shd w:val="clear" w:color="auto" w:fill="DEE4F6"/>
      </w:tcPr>
    </w:tblStylePr>
  </w:style>
  <w:style w:type="paragraph" w:customStyle="1" w:styleId="CoverTitle">
    <w:name w:val="Cover Title"/>
    <w:uiPriority w:val="19"/>
    <w:semiHidden/>
    <w:qFormat/>
    <w:rsid w:val="0081223D"/>
    <w:rPr>
      <w:rFonts w:asciiTheme="minorHAnsi" w:eastAsiaTheme="majorEastAsia" w:hAnsiTheme="minorHAnsi" w:cs="Calibri"/>
      <w:bCs/>
      <w:iCs/>
      <w:color w:val="1D336D" w:themeColor="background2"/>
      <w:sz w:val="72"/>
      <w:szCs w:val="28"/>
    </w:rPr>
  </w:style>
  <w:style w:type="table" w:customStyle="1" w:styleId="PlainGridBlack">
    <w:name w:val="_Plain Grid Black"/>
    <w:basedOn w:val="TableNormal"/>
    <w:uiPriority w:val="99"/>
    <w:rsid w:val="001F6DC1"/>
    <w:rPr>
      <w:rFonts w:asciiTheme="minorHAnsi" w:hAnsiTheme="minorHAnsi"/>
      <w:color w:val="63D0DF" w:themeColor="accen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table" w:styleId="ColorfulGrid">
    <w:name w:val="Colorful Grid"/>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DFF5F8" w:themeFill="accent1" w:themeFillTint="33"/>
    </w:tcPr>
    <w:tblStylePr w:type="firstRow">
      <w:rPr>
        <w:b/>
        <w:bCs/>
      </w:rPr>
      <w:tblPr/>
      <w:tcPr>
        <w:shd w:val="clear" w:color="auto" w:fill="C0ECF2" w:themeFill="accent1" w:themeFillTint="66"/>
      </w:tcPr>
    </w:tblStylePr>
    <w:tblStylePr w:type="lastRow">
      <w:rPr>
        <w:b/>
        <w:bCs/>
        <w:color w:val="000000" w:themeColor="text1"/>
      </w:rPr>
      <w:tblPr/>
      <w:tcPr>
        <w:shd w:val="clear" w:color="auto" w:fill="C0ECF2" w:themeFill="accent1" w:themeFillTint="66"/>
      </w:tcPr>
    </w:tblStylePr>
    <w:tblStylePr w:type="firstCol">
      <w:rPr>
        <w:color w:val="FFFFFF" w:themeColor="background1"/>
      </w:rPr>
      <w:tblPr/>
      <w:tcPr>
        <w:shd w:val="clear" w:color="auto" w:fill="29B4C7" w:themeFill="accent1" w:themeFillShade="BF"/>
      </w:tcPr>
    </w:tblStylePr>
    <w:tblStylePr w:type="lastCol">
      <w:rPr>
        <w:color w:val="FFFFFF" w:themeColor="background1"/>
      </w:rPr>
      <w:tblPr/>
      <w:tcPr>
        <w:shd w:val="clear" w:color="auto" w:fill="29B4C7" w:themeFill="accent1" w:themeFillShade="BF"/>
      </w:tcPr>
    </w:tblStylePr>
    <w:tblStylePr w:type="band1Vert">
      <w:tblPr/>
      <w:tcPr>
        <w:shd w:val="clear" w:color="auto" w:fill="B1E7EF" w:themeFill="accent1" w:themeFillTint="7F"/>
      </w:tcPr>
    </w:tblStylePr>
    <w:tblStylePr w:type="band1Horz">
      <w:tblPr/>
      <w:tcPr>
        <w:shd w:val="clear" w:color="auto" w:fill="B1E7EF" w:themeFill="accent1" w:themeFillTint="7F"/>
      </w:tcPr>
    </w:tblStylePr>
  </w:style>
  <w:style w:type="table" w:styleId="ColorfulGrid-Accent2">
    <w:name w:val="Colorful Grid Accent 2"/>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F4F4F4" w:themeFill="accent2" w:themeFillTint="33"/>
    </w:tcPr>
    <w:tblStylePr w:type="firstRow">
      <w:rPr>
        <w:b/>
        <w:bCs/>
      </w:rPr>
      <w:tblPr/>
      <w:tcPr>
        <w:shd w:val="clear" w:color="auto" w:fill="E9E9E9" w:themeFill="accent2" w:themeFillTint="66"/>
      </w:tcPr>
    </w:tblStylePr>
    <w:tblStylePr w:type="lastRow">
      <w:rPr>
        <w:b/>
        <w:bCs/>
        <w:color w:val="000000" w:themeColor="text1"/>
      </w:rPr>
      <w:tblPr/>
      <w:tcPr>
        <w:shd w:val="clear" w:color="auto" w:fill="E9E9E9" w:themeFill="accent2" w:themeFillTint="66"/>
      </w:tcPr>
    </w:tblStylePr>
    <w:tblStylePr w:type="firstCol">
      <w:rPr>
        <w:color w:val="FFFFFF" w:themeColor="background1"/>
      </w:rPr>
      <w:tblPr/>
      <w:tcPr>
        <w:shd w:val="clear" w:color="auto" w:fill="959597" w:themeFill="accent2" w:themeFillShade="BF"/>
      </w:tcPr>
    </w:tblStylePr>
    <w:tblStylePr w:type="lastCol">
      <w:rPr>
        <w:color w:val="FFFFFF" w:themeColor="background1"/>
      </w:rPr>
      <w:tblPr/>
      <w:tcPr>
        <w:shd w:val="clear" w:color="auto" w:fill="959597" w:themeFill="accent2" w:themeFillShade="BF"/>
      </w:tcPr>
    </w:tblStylePr>
    <w:tblStylePr w:type="band1Vert">
      <w:tblPr/>
      <w:tcPr>
        <w:shd w:val="clear" w:color="auto" w:fill="E4E4E4" w:themeFill="accent2" w:themeFillTint="7F"/>
      </w:tcPr>
    </w:tblStylePr>
    <w:tblStylePr w:type="band1Horz">
      <w:tblPr/>
      <w:tcPr>
        <w:shd w:val="clear" w:color="auto" w:fill="E4E4E4" w:themeFill="accent2" w:themeFillTint="7F"/>
      </w:tcPr>
    </w:tblStylePr>
  </w:style>
  <w:style w:type="table" w:styleId="ColorfulGrid-Accent3">
    <w:name w:val="Colorful Grid Accent 3"/>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DFF5F8" w:themeFill="accent3" w:themeFillTint="33"/>
    </w:tcPr>
    <w:tblStylePr w:type="firstRow">
      <w:rPr>
        <w:b/>
        <w:bCs/>
      </w:rPr>
      <w:tblPr/>
      <w:tcPr>
        <w:shd w:val="clear" w:color="auto" w:fill="C0ECF2" w:themeFill="accent3" w:themeFillTint="66"/>
      </w:tcPr>
    </w:tblStylePr>
    <w:tblStylePr w:type="lastRow">
      <w:rPr>
        <w:b/>
        <w:bCs/>
        <w:color w:val="000000" w:themeColor="text1"/>
      </w:rPr>
      <w:tblPr/>
      <w:tcPr>
        <w:shd w:val="clear" w:color="auto" w:fill="C0ECF2" w:themeFill="accent3" w:themeFillTint="66"/>
      </w:tcPr>
    </w:tblStylePr>
    <w:tblStylePr w:type="firstCol">
      <w:rPr>
        <w:color w:val="FFFFFF" w:themeColor="background1"/>
      </w:rPr>
      <w:tblPr/>
      <w:tcPr>
        <w:shd w:val="clear" w:color="auto" w:fill="29B4C7" w:themeFill="accent3" w:themeFillShade="BF"/>
      </w:tcPr>
    </w:tblStylePr>
    <w:tblStylePr w:type="lastCol">
      <w:rPr>
        <w:color w:val="FFFFFF" w:themeColor="background1"/>
      </w:rPr>
      <w:tblPr/>
      <w:tcPr>
        <w:shd w:val="clear" w:color="auto" w:fill="29B4C7" w:themeFill="accent3" w:themeFillShade="BF"/>
      </w:tcPr>
    </w:tblStylePr>
    <w:tblStylePr w:type="band1Vert">
      <w:tblPr/>
      <w:tcPr>
        <w:shd w:val="clear" w:color="auto" w:fill="B1E7EF" w:themeFill="accent3" w:themeFillTint="7F"/>
      </w:tcPr>
    </w:tblStylePr>
    <w:tblStylePr w:type="band1Horz">
      <w:tblPr/>
      <w:tcPr>
        <w:shd w:val="clear" w:color="auto" w:fill="B1E7EF" w:themeFill="accent3" w:themeFillTint="7F"/>
      </w:tcPr>
    </w:tblStylePr>
  </w:style>
  <w:style w:type="table" w:styleId="ColorfulGrid-Accent4">
    <w:name w:val="Colorful Grid Accent 4"/>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ECECEC" w:themeFill="accent4" w:themeFillTint="33"/>
    </w:tcPr>
    <w:tblStylePr w:type="firstRow">
      <w:rPr>
        <w:b/>
        <w:bCs/>
      </w:rPr>
      <w:tblPr/>
      <w:tcPr>
        <w:shd w:val="clear" w:color="auto" w:fill="D9D9D9" w:themeFill="accent4" w:themeFillTint="66"/>
      </w:tcPr>
    </w:tblStylePr>
    <w:tblStylePr w:type="lastRow">
      <w:rPr>
        <w:b/>
        <w:bCs/>
        <w:color w:val="000000" w:themeColor="text1"/>
      </w:rPr>
      <w:tblPr/>
      <w:tcPr>
        <w:shd w:val="clear" w:color="auto" w:fill="D9D9D9" w:themeFill="accent4" w:themeFillTint="66"/>
      </w:tcPr>
    </w:tblStylePr>
    <w:tblStylePr w:type="firstCol">
      <w:rPr>
        <w:color w:val="FFFFFF" w:themeColor="background1"/>
      </w:rPr>
      <w:tblPr/>
      <w:tcPr>
        <w:shd w:val="clear" w:color="auto" w:fill="787878" w:themeFill="accent4" w:themeFillShade="BF"/>
      </w:tcPr>
    </w:tblStylePr>
    <w:tblStylePr w:type="lastCol">
      <w:rPr>
        <w:color w:val="FFFFFF" w:themeColor="background1"/>
      </w:rPr>
      <w:tblPr/>
      <w:tcPr>
        <w:shd w:val="clear" w:color="auto" w:fill="787878" w:themeFill="accent4" w:themeFillShade="BF"/>
      </w:tcPr>
    </w:tblStylePr>
    <w:tblStylePr w:type="band1Vert">
      <w:tblPr/>
      <w:tcPr>
        <w:shd w:val="clear" w:color="auto" w:fill="D0D0D0" w:themeFill="accent4" w:themeFillTint="7F"/>
      </w:tcPr>
    </w:tblStylePr>
    <w:tblStylePr w:type="band1Horz">
      <w:tblPr/>
      <w:tcPr>
        <w:shd w:val="clear" w:color="auto" w:fill="D0D0D0" w:themeFill="accent4" w:themeFillTint="7F"/>
      </w:tcPr>
    </w:tblStylePr>
  </w:style>
  <w:style w:type="table" w:styleId="ColorfulGrid-Accent5">
    <w:name w:val="Colorful Grid Accent 5"/>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DFF5F8" w:themeFill="accent5" w:themeFillTint="33"/>
    </w:tcPr>
    <w:tblStylePr w:type="firstRow">
      <w:rPr>
        <w:b/>
        <w:bCs/>
      </w:rPr>
      <w:tblPr/>
      <w:tcPr>
        <w:shd w:val="clear" w:color="auto" w:fill="C0ECF2" w:themeFill="accent5" w:themeFillTint="66"/>
      </w:tcPr>
    </w:tblStylePr>
    <w:tblStylePr w:type="lastRow">
      <w:rPr>
        <w:b/>
        <w:bCs/>
        <w:color w:val="000000" w:themeColor="text1"/>
      </w:rPr>
      <w:tblPr/>
      <w:tcPr>
        <w:shd w:val="clear" w:color="auto" w:fill="C0ECF2" w:themeFill="accent5" w:themeFillTint="66"/>
      </w:tcPr>
    </w:tblStylePr>
    <w:tblStylePr w:type="firstCol">
      <w:rPr>
        <w:color w:val="FFFFFF" w:themeColor="background1"/>
      </w:rPr>
      <w:tblPr/>
      <w:tcPr>
        <w:shd w:val="clear" w:color="auto" w:fill="29B4C7" w:themeFill="accent5" w:themeFillShade="BF"/>
      </w:tcPr>
    </w:tblStylePr>
    <w:tblStylePr w:type="lastCol">
      <w:rPr>
        <w:color w:val="FFFFFF" w:themeColor="background1"/>
      </w:rPr>
      <w:tblPr/>
      <w:tcPr>
        <w:shd w:val="clear" w:color="auto" w:fill="29B4C7" w:themeFill="accent5" w:themeFillShade="BF"/>
      </w:tcPr>
    </w:tblStylePr>
    <w:tblStylePr w:type="band1Vert">
      <w:tblPr/>
      <w:tcPr>
        <w:shd w:val="clear" w:color="auto" w:fill="B1E7EF" w:themeFill="accent5" w:themeFillTint="7F"/>
      </w:tcPr>
    </w:tblStylePr>
    <w:tblStylePr w:type="band1Horz">
      <w:tblPr/>
      <w:tcPr>
        <w:shd w:val="clear" w:color="auto" w:fill="B1E7EF" w:themeFill="accent5" w:themeFillTint="7F"/>
      </w:tcPr>
    </w:tblStylePr>
  </w:style>
  <w:style w:type="table" w:styleId="ColorfulGrid-Accent6">
    <w:name w:val="Colorful Grid Accent 6"/>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ECECEC" w:themeFill="accent6" w:themeFillTint="33"/>
    </w:tcPr>
    <w:tblStylePr w:type="firstRow">
      <w:rPr>
        <w:b/>
        <w:bCs/>
      </w:rPr>
      <w:tblPr/>
      <w:tcPr>
        <w:shd w:val="clear" w:color="auto" w:fill="D9D9D9" w:themeFill="accent6" w:themeFillTint="66"/>
      </w:tcPr>
    </w:tblStylePr>
    <w:tblStylePr w:type="lastRow">
      <w:rPr>
        <w:b/>
        <w:bCs/>
        <w:color w:val="000000" w:themeColor="text1"/>
      </w:rPr>
      <w:tblPr/>
      <w:tcPr>
        <w:shd w:val="clear" w:color="auto" w:fill="D9D9D9" w:themeFill="accent6" w:themeFillTint="66"/>
      </w:tcPr>
    </w:tblStylePr>
    <w:tblStylePr w:type="firstCol">
      <w:rPr>
        <w:color w:val="FFFFFF" w:themeColor="background1"/>
      </w:rPr>
      <w:tblPr/>
      <w:tcPr>
        <w:shd w:val="clear" w:color="auto" w:fill="787878" w:themeFill="accent6" w:themeFillShade="BF"/>
      </w:tcPr>
    </w:tblStylePr>
    <w:tblStylePr w:type="lastCol">
      <w:rPr>
        <w:color w:val="FFFFFF" w:themeColor="background1"/>
      </w:rPr>
      <w:tblPr/>
      <w:tcPr>
        <w:shd w:val="clear" w:color="auto" w:fill="787878" w:themeFill="accent6" w:themeFillShade="BF"/>
      </w:tcPr>
    </w:tblStylePr>
    <w:tblStylePr w:type="band1Vert">
      <w:tblPr/>
      <w:tcPr>
        <w:shd w:val="clear" w:color="auto" w:fill="D0D0D0" w:themeFill="accent6" w:themeFillTint="7F"/>
      </w:tcPr>
    </w:tblStylePr>
    <w:tblStylePr w:type="band1Horz">
      <w:tblPr/>
      <w:tcPr>
        <w:shd w:val="clear" w:color="auto" w:fill="D0D0D0" w:themeFill="accent6" w:themeFillTint="7F"/>
      </w:tcPr>
    </w:tblStylePr>
  </w:style>
  <w:style w:type="table" w:styleId="ColorfulList">
    <w:name w:val="Colorful List"/>
    <w:basedOn w:val="TableNormal"/>
    <w:uiPriority w:val="98"/>
    <w:semiHidden/>
    <w:unhideWhenUsed/>
    <w:rsid w:val="001F6DC1"/>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0A0A2" w:themeFill="accent2" w:themeFillShade="CC"/>
      </w:tcPr>
    </w:tblStylePr>
    <w:tblStylePr w:type="lastRow">
      <w:rPr>
        <w:b/>
        <w:bCs/>
        <w:color w:val="A0A0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semiHidden/>
    <w:unhideWhenUsed/>
    <w:rsid w:val="001F6DC1"/>
    <w:rPr>
      <w:color w:val="000000" w:themeColor="text1"/>
    </w:rPr>
    <w:tblPr>
      <w:tblStyleRowBandSize w:val="1"/>
      <w:tblStyleColBandSize w:val="1"/>
    </w:tblPr>
    <w:tcPr>
      <w:shd w:val="clear" w:color="auto" w:fill="EFFAFB" w:themeFill="accent1" w:themeFillTint="19"/>
    </w:tcPr>
    <w:tblStylePr w:type="firstRow">
      <w:rPr>
        <w:b/>
        <w:bCs/>
        <w:color w:val="FFFFFF" w:themeColor="background1"/>
      </w:rPr>
      <w:tblPr/>
      <w:tcPr>
        <w:tcBorders>
          <w:bottom w:val="single" w:sz="12" w:space="0" w:color="FFFFFF" w:themeColor="background1"/>
        </w:tcBorders>
        <w:shd w:val="clear" w:color="auto" w:fill="A0A0A2" w:themeFill="accent2" w:themeFillShade="CC"/>
      </w:tcPr>
    </w:tblStylePr>
    <w:tblStylePr w:type="lastRow">
      <w:rPr>
        <w:b/>
        <w:bCs/>
        <w:color w:val="A0A0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3F7" w:themeFill="accent1" w:themeFillTint="3F"/>
      </w:tcPr>
    </w:tblStylePr>
    <w:tblStylePr w:type="band1Horz">
      <w:tblPr/>
      <w:tcPr>
        <w:shd w:val="clear" w:color="auto" w:fill="DFF5F8" w:themeFill="accent1" w:themeFillTint="33"/>
      </w:tcPr>
    </w:tblStylePr>
  </w:style>
  <w:style w:type="table" w:styleId="ColorfulList-Accent2">
    <w:name w:val="Colorful List Accent 2"/>
    <w:basedOn w:val="TableNormal"/>
    <w:uiPriority w:val="98"/>
    <w:semiHidden/>
    <w:unhideWhenUsed/>
    <w:rsid w:val="001F6DC1"/>
    <w:rPr>
      <w:color w:val="000000" w:themeColor="text1"/>
    </w:rPr>
    <w:tblPr>
      <w:tblStyleRowBandSize w:val="1"/>
      <w:tblStyleColBandSize w:val="1"/>
    </w:tblPr>
    <w:tcPr>
      <w:shd w:val="clear" w:color="auto" w:fill="F9F9F9" w:themeFill="accent2" w:themeFillTint="19"/>
    </w:tcPr>
    <w:tblStylePr w:type="firstRow">
      <w:rPr>
        <w:b/>
        <w:bCs/>
        <w:color w:val="FFFFFF" w:themeColor="background1"/>
      </w:rPr>
      <w:tblPr/>
      <w:tcPr>
        <w:tcBorders>
          <w:bottom w:val="single" w:sz="12" w:space="0" w:color="FFFFFF" w:themeColor="background1"/>
        </w:tcBorders>
        <w:shd w:val="clear" w:color="auto" w:fill="A0A0A2" w:themeFill="accent2" w:themeFillShade="CC"/>
      </w:tcPr>
    </w:tblStylePr>
    <w:tblStylePr w:type="lastRow">
      <w:rPr>
        <w:b/>
        <w:bCs/>
        <w:color w:val="A0A0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2" w:themeFillTint="3F"/>
      </w:tcPr>
    </w:tblStylePr>
    <w:tblStylePr w:type="band1Horz">
      <w:tblPr/>
      <w:tcPr>
        <w:shd w:val="clear" w:color="auto" w:fill="F4F4F4" w:themeFill="accent2" w:themeFillTint="33"/>
      </w:tcPr>
    </w:tblStylePr>
  </w:style>
  <w:style w:type="table" w:styleId="ColorfulList-Accent3">
    <w:name w:val="Colorful List Accent 3"/>
    <w:basedOn w:val="TableNormal"/>
    <w:uiPriority w:val="98"/>
    <w:semiHidden/>
    <w:unhideWhenUsed/>
    <w:rsid w:val="001F6DC1"/>
    <w:rPr>
      <w:color w:val="000000" w:themeColor="text1"/>
    </w:rPr>
    <w:tblPr>
      <w:tblStyleRowBandSize w:val="1"/>
      <w:tblStyleColBandSize w:val="1"/>
    </w:tblPr>
    <w:tcPr>
      <w:shd w:val="clear" w:color="auto" w:fill="EFFAFB" w:themeFill="accent3" w:themeFillTint="19"/>
    </w:tcPr>
    <w:tblStylePr w:type="firstRow">
      <w:rPr>
        <w:b/>
        <w:bCs/>
        <w:color w:val="FFFFFF" w:themeColor="background1"/>
      </w:rPr>
      <w:tblPr/>
      <w:tcPr>
        <w:tcBorders>
          <w:bottom w:val="single" w:sz="12" w:space="0" w:color="FFFFFF" w:themeColor="background1"/>
        </w:tcBorders>
        <w:shd w:val="clear" w:color="auto" w:fill="808080" w:themeFill="accent4" w:themeFillShade="CC"/>
      </w:tcPr>
    </w:tblStylePr>
    <w:tblStylePr w:type="lastRow">
      <w:rPr>
        <w:b/>
        <w:bCs/>
        <w:color w:val="80808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3F7" w:themeFill="accent3" w:themeFillTint="3F"/>
      </w:tcPr>
    </w:tblStylePr>
    <w:tblStylePr w:type="band1Horz">
      <w:tblPr/>
      <w:tcPr>
        <w:shd w:val="clear" w:color="auto" w:fill="DFF5F8" w:themeFill="accent3" w:themeFillTint="33"/>
      </w:tcPr>
    </w:tblStylePr>
  </w:style>
  <w:style w:type="table" w:styleId="ColorfulList-Accent4">
    <w:name w:val="Colorful List Accent 4"/>
    <w:basedOn w:val="TableNormal"/>
    <w:uiPriority w:val="98"/>
    <w:semiHidden/>
    <w:unhideWhenUsed/>
    <w:rsid w:val="001F6DC1"/>
    <w:rPr>
      <w:color w:val="000000" w:themeColor="text1"/>
    </w:rPr>
    <w:tblPr>
      <w:tblStyleRowBandSize w:val="1"/>
      <w:tblStyleColBandSize w:val="1"/>
    </w:tblPr>
    <w:tcPr>
      <w:shd w:val="clear" w:color="auto" w:fill="F5F5F5" w:themeFill="accent4" w:themeFillTint="19"/>
    </w:tcPr>
    <w:tblStylePr w:type="firstRow">
      <w:rPr>
        <w:b/>
        <w:bCs/>
        <w:color w:val="FFFFFF" w:themeColor="background1"/>
      </w:rPr>
      <w:tblPr/>
      <w:tcPr>
        <w:tcBorders>
          <w:bottom w:val="single" w:sz="12" w:space="0" w:color="FFFFFF" w:themeColor="background1"/>
        </w:tcBorders>
        <w:shd w:val="clear" w:color="auto" w:fill="2DBFD4" w:themeFill="accent3" w:themeFillShade="CC"/>
      </w:tcPr>
    </w:tblStylePr>
    <w:tblStylePr w:type="lastRow">
      <w:rPr>
        <w:b/>
        <w:bCs/>
        <w:color w:val="2DBFD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7E7" w:themeFill="accent4" w:themeFillTint="3F"/>
      </w:tcPr>
    </w:tblStylePr>
    <w:tblStylePr w:type="band1Horz">
      <w:tblPr/>
      <w:tcPr>
        <w:shd w:val="clear" w:color="auto" w:fill="ECECEC" w:themeFill="accent4" w:themeFillTint="33"/>
      </w:tcPr>
    </w:tblStylePr>
  </w:style>
  <w:style w:type="table" w:styleId="ColorfulList-Accent5">
    <w:name w:val="Colorful List Accent 5"/>
    <w:basedOn w:val="TableNormal"/>
    <w:uiPriority w:val="98"/>
    <w:semiHidden/>
    <w:unhideWhenUsed/>
    <w:rsid w:val="001F6DC1"/>
    <w:rPr>
      <w:color w:val="000000" w:themeColor="text1"/>
    </w:rPr>
    <w:tblPr>
      <w:tblStyleRowBandSize w:val="1"/>
      <w:tblStyleColBandSize w:val="1"/>
    </w:tblPr>
    <w:tcPr>
      <w:shd w:val="clear" w:color="auto" w:fill="EFFAFB" w:themeFill="accent5" w:themeFillTint="19"/>
    </w:tcPr>
    <w:tblStylePr w:type="firstRow">
      <w:rPr>
        <w:b/>
        <w:bCs/>
        <w:color w:val="FFFFFF" w:themeColor="background1"/>
      </w:rPr>
      <w:tblPr/>
      <w:tcPr>
        <w:tcBorders>
          <w:bottom w:val="single" w:sz="12" w:space="0" w:color="FFFFFF" w:themeColor="background1"/>
        </w:tcBorders>
        <w:shd w:val="clear" w:color="auto" w:fill="808080" w:themeFill="accent6" w:themeFillShade="CC"/>
      </w:tcPr>
    </w:tblStylePr>
    <w:tblStylePr w:type="lastRow">
      <w:rPr>
        <w:b/>
        <w:bCs/>
        <w:color w:val="80808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3F7" w:themeFill="accent5" w:themeFillTint="3F"/>
      </w:tcPr>
    </w:tblStylePr>
    <w:tblStylePr w:type="band1Horz">
      <w:tblPr/>
      <w:tcPr>
        <w:shd w:val="clear" w:color="auto" w:fill="DFF5F8" w:themeFill="accent5" w:themeFillTint="33"/>
      </w:tcPr>
    </w:tblStylePr>
  </w:style>
  <w:style w:type="table" w:styleId="ColorfulList-Accent6">
    <w:name w:val="Colorful List Accent 6"/>
    <w:basedOn w:val="TableNormal"/>
    <w:uiPriority w:val="98"/>
    <w:semiHidden/>
    <w:unhideWhenUsed/>
    <w:rsid w:val="001F6DC1"/>
    <w:rPr>
      <w:color w:val="000000" w:themeColor="text1"/>
    </w:rPr>
    <w:tblPr>
      <w:tblStyleRowBandSize w:val="1"/>
      <w:tblStyleColBandSize w:val="1"/>
    </w:tblPr>
    <w:tcPr>
      <w:shd w:val="clear" w:color="auto" w:fill="F5F5F5" w:themeFill="accent6" w:themeFillTint="19"/>
    </w:tcPr>
    <w:tblStylePr w:type="firstRow">
      <w:rPr>
        <w:b/>
        <w:bCs/>
        <w:color w:val="FFFFFF" w:themeColor="background1"/>
      </w:rPr>
      <w:tblPr/>
      <w:tcPr>
        <w:tcBorders>
          <w:bottom w:val="single" w:sz="12" w:space="0" w:color="FFFFFF" w:themeColor="background1"/>
        </w:tcBorders>
        <w:shd w:val="clear" w:color="auto" w:fill="2DBFD4" w:themeFill="accent5" w:themeFillShade="CC"/>
      </w:tcPr>
    </w:tblStylePr>
    <w:tblStylePr w:type="lastRow">
      <w:rPr>
        <w:b/>
        <w:bCs/>
        <w:color w:val="2DBFD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7E7" w:themeFill="accent6" w:themeFillTint="3F"/>
      </w:tcPr>
    </w:tblStylePr>
    <w:tblStylePr w:type="band1Horz">
      <w:tblPr/>
      <w:tcPr>
        <w:shd w:val="clear" w:color="auto" w:fill="ECECEC" w:themeFill="accent6" w:themeFillTint="33"/>
      </w:tcPr>
    </w:tblStylePr>
  </w:style>
  <w:style w:type="table" w:styleId="ColorfulShading">
    <w:name w:val="Colorful Shading"/>
    <w:basedOn w:val="TableNormal"/>
    <w:uiPriority w:val="98"/>
    <w:semiHidden/>
    <w:unhideWhenUsed/>
    <w:rsid w:val="001F6DC1"/>
    <w:rPr>
      <w:color w:val="000000" w:themeColor="text1"/>
    </w:rPr>
    <w:tblPr>
      <w:tblStyleRowBandSize w:val="1"/>
      <w:tblStyleColBandSize w:val="1"/>
      <w:tblBorders>
        <w:top w:val="single" w:sz="24" w:space="0" w:color="C9C9C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9C9C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semiHidden/>
    <w:unhideWhenUsed/>
    <w:rsid w:val="001F6DC1"/>
    <w:rPr>
      <w:color w:val="000000" w:themeColor="text1"/>
    </w:rPr>
    <w:tblPr>
      <w:tblStyleRowBandSize w:val="1"/>
      <w:tblStyleColBandSize w:val="1"/>
      <w:tblBorders>
        <w:top w:val="single" w:sz="24" w:space="0" w:color="C9C9CA" w:themeColor="accent2"/>
        <w:left w:val="single" w:sz="4" w:space="0" w:color="63D0DF" w:themeColor="accent1"/>
        <w:bottom w:val="single" w:sz="4" w:space="0" w:color="63D0DF" w:themeColor="accent1"/>
        <w:right w:val="single" w:sz="4" w:space="0" w:color="63D0DF" w:themeColor="accent1"/>
        <w:insideH w:val="single" w:sz="4" w:space="0" w:color="FFFFFF" w:themeColor="background1"/>
        <w:insideV w:val="single" w:sz="4" w:space="0" w:color="FFFFFF" w:themeColor="background1"/>
      </w:tblBorders>
    </w:tblPr>
    <w:tcPr>
      <w:shd w:val="clear" w:color="auto" w:fill="EFFAFB" w:themeFill="accent1" w:themeFillTint="19"/>
    </w:tcPr>
    <w:tblStylePr w:type="firstRow">
      <w:rPr>
        <w:b/>
        <w:bCs/>
      </w:rPr>
      <w:tblPr/>
      <w:tcPr>
        <w:tcBorders>
          <w:top w:val="nil"/>
          <w:left w:val="nil"/>
          <w:bottom w:val="single" w:sz="24" w:space="0" w:color="C9C9C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90A0" w:themeFill="accent1" w:themeFillShade="99"/>
      </w:tcPr>
    </w:tblStylePr>
    <w:tblStylePr w:type="firstCol">
      <w:rPr>
        <w:color w:val="FFFFFF" w:themeColor="background1"/>
      </w:rPr>
      <w:tblPr/>
      <w:tcPr>
        <w:tcBorders>
          <w:top w:val="nil"/>
          <w:left w:val="nil"/>
          <w:bottom w:val="nil"/>
          <w:right w:val="nil"/>
          <w:insideH w:val="single" w:sz="4" w:space="0" w:color="2190A0" w:themeColor="accent1" w:themeShade="99"/>
          <w:insideV w:val="nil"/>
        </w:tcBorders>
        <w:shd w:val="clear" w:color="auto" w:fill="2190A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190A0" w:themeFill="accent1" w:themeFillShade="99"/>
      </w:tcPr>
    </w:tblStylePr>
    <w:tblStylePr w:type="band1Vert">
      <w:tblPr/>
      <w:tcPr>
        <w:shd w:val="clear" w:color="auto" w:fill="C0ECF2" w:themeFill="accent1" w:themeFillTint="66"/>
      </w:tcPr>
    </w:tblStylePr>
    <w:tblStylePr w:type="band1Horz">
      <w:tblPr/>
      <w:tcPr>
        <w:shd w:val="clear" w:color="auto" w:fill="B1E7E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semiHidden/>
    <w:unhideWhenUsed/>
    <w:rsid w:val="001F6DC1"/>
    <w:rPr>
      <w:color w:val="000000" w:themeColor="text1"/>
    </w:rPr>
    <w:tblPr>
      <w:tblStyleRowBandSize w:val="1"/>
      <w:tblStyleColBandSize w:val="1"/>
      <w:tblBorders>
        <w:top w:val="single" w:sz="24" w:space="0" w:color="C9C9CA" w:themeColor="accent2"/>
        <w:left w:val="single" w:sz="4" w:space="0" w:color="C9C9CA" w:themeColor="accent2"/>
        <w:bottom w:val="single" w:sz="4" w:space="0" w:color="C9C9CA" w:themeColor="accent2"/>
        <w:right w:val="single" w:sz="4" w:space="0" w:color="C9C9CA" w:themeColor="accent2"/>
        <w:insideH w:val="single" w:sz="4" w:space="0" w:color="FFFFFF" w:themeColor="background1"/>
        <w:insideV w:val="single" w:sz="4" w:space="0" w:color="FFFFFF" w:themeColor="background1"/>
      </w:tblBorders>
    </w:tblPr>
    <w:tcPr>
      <w:shd w:val="clear" w:color="auto" w:fill="F9F9F9" w:themeFill="accent2" w:themeFillTint="19"/>
    </w:tcPr>
    <w:tblStylePr w:type="firstRow">
      <w:rPr>
        <w:b/>
        <w:bCs/>
      </w:rPr>
      <w:tblPr/>
      <w:tcPr>
        <w:tcBorders>
          <w:top w:val="nil"/>
          <w:left w:val="nil"/>
          <w:bottom w:val="single" w:sz="24" w:space="0" w:color="C9C9C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7779" w:themeFill="accent2" w:themeFillShade="99"/>
      </w:tcPr>
    </w:tblStylePr>
    <w:tblStylePr w:type="firstCol">
      <w:rPr>
        <w:color w:val="FFFFFF" w:themeColor="background1"/>
      </w:rPr>
      <w:tblPr/>
      <w:tcPr>
        <w:tcBorders>
          <w:top w:val="nil"/>
          <w:left w:val="nil"/>
          <w:bottom w:val="nil"/>
          <w:right w:val="nil"/>
          <w:insideH w:val="single" w:sz="4" w:space="0" w:color="777779" w:themeColor="accent2" w:themeShade="99"/>
          <w:insideV w:val="nil"/>
        </w:tcBorders>
        <w:shd w:val="clear" w:color="auto" w:fill="77777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7779" w:themeFill="accent2" w:themeFillShade="99"/>
      </w:tcPr>
    </w:tblStylePr>
    <w:tblStylePr w:type="band1Vert">
      <w:tblPr/>
      <w:tcPr>
        <w:shd w:val="clear" w:color="auto" w:fill="E9E9E9" w:themeFill="accent2" w:themeFillTint="66"/>
      </w:tcPr>
    </w:tblStylePr>
    <w:tblStylePr w:type="band1Horz">
      <w:tblPr/>
      <w:tcPr>
        <w:shd w:val="clear" w:color="auto" w:fill="E4E4E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semiHidden/>
    <w:unhideWhenUsed/>
    <w:rsid w:val="001F6DC1"/>
    <w:rPr>
      <w:color w:val="000000" w:themeColor="text1"/>
    </w:rPr>
    <w:tblPr>
      <w:tblStyleRowBandSize w:val="1"/>
      <w:tblStyleColBandSize w:val="1"/>
      <w:tblBorders>
        <w:top w:val="single" w:sz="24" w:space="0" w:color="A1A1A1" w:themeColor="accent4"/>
        <w:left w:val="single" w:sz="4" w:space="0" w:color="63D0DF" w:themeColor="accent3"/>
        <w:bottom w:val="single" w:sz="4" w:space="0" w:color="63D0DF" w:themeColor="accent3"/>
        <w:right w:val="single" w:sz="4" w:space="0" w:color="63D0DF" w:themeColor="accent3"/>
        <w:insideH w:val="single" w:sz="4" w:space="0" w:color="FFFFFF" w:themeColor="background1"/>
        <w:insideV w:val="single" w:sz="4" w:space="0" w:color="FFFFFF" w:themeColor="background1"/>
      </w:tblBorders>
    </w:tblPr>
    <w:tcPr>
      <w:shd w:val="clear" w:color="auto" w:fill="EFFAFB" w:themeFill="accent3" w:themeFillTint="19"/>
    </w:tcPr>
    <w:tblStylePr w:type="firstRow">
      <w:rPr>
        <w:b/>
        <w:bCs/>
      </w:rPr>
      <w:tblPr/>
      <w:tcPr>
        <w:tcBorders>
          <w:top w:val="nil"/>
          <w:left w:val="nil"/>
          <w:bottom w:val="single" w:sz="24" w:space="0" w:color="A1A1A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90A0" w:themeFill="accent3" w:themeFillShade="99"/>
      </w:tcPr>
    </w:tblStylePr>
    <w:tblStylePr w:type="firstCol">
      <w:rPr>
        <w:color w:val="FFFFFF" w:themeColor="background1"/>
      </w:rPr>
      <w:tblPr/>
      <w:tcPr>
        <w:tcBorders>
          <w:top w:val="nil"/>
          <w:left w:val="nil"/>
          <w:bottom w:val="nil"/>
          <w:right w:val="nil"/>
          <w:insideH w:val="single" w:sz="4" w:space="0" w:color="2190A0" w:themeColor="accent3" w:themeShade="99"/>
          <w:insideV w:val="nil"/>
        </w:tcBorders>
        <w:shd w:val="clear" w:color="auto" w:fill="2190A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190A0" w:themeFill="accent3" w:themeFillShade="99"/>
      </w:tcPr>
    </w:tblStylePr>
    <w:tblStylePr w:type="band1Vert">
      <w:tblPr/>
      <w:tcPr>
        <w:shd w:val="clear" w:color="auto" w:fill="C0ECF2" w:themeFill="accent3" w:themeFillTint="66"/>
      </w:tcPr>
    </w:tblStylePr>
    <w:tblStylePr w:type="band1Horz">
      <w:tblPr/>
      <w:tcPr>
        <w:shd w:val="clear" w:color="auto" w:fill="B1E7EF" w:themeFill="accent3" w:themeFillTint="7F"/>
      </w:tcPr>
    </w:tblStylePr>
  </w:style>
  <w:style w:type="table" w:styleId="ColorfulShading-Accent4">
    <w:name w:val="Colorful Shading Accent 4"/>
    <w:basedOn w:val="TableNormal"/>
    <w:uiPriority w:val="98"/>
    <w:semiHidden/>
    <w:unhideWhenUsed/>
    <w:rsid w:val="001F6DC1"/>
    <w:rPr>
      <w:color w:val="000000" w:themeColor="text1"/>
    </w:rPr>
    <w:tblPr>
      <w:tblStyleRowBandSize w:val="1"/>
      <w:tblStyleColBandSize w:val="1"/>
      <w:tblBorders>
        <w:top w:val="single" w:sz="24" w:space="0" w:color="63D0DF" w:themeColor="accent3"/>
        <w:left w:val="single" w:sz="4" w:space="0" w:color="A1A1A1" w:themeColor="accent4"/>
        <w:bottom w:val="single" w:sz="4" w:space="0" w:color="A1A1A1" w:themeColor="accent4"/>
        <w:right w:val="single" w:sz="4" w:space="0" w:color="A1A1A1" w:themeColor="accent4"/>
        <w:insideH w:val="single" w:sz="4" w:space="0" w:color="FFFFFF" w:themeColor="background1"/>
        <w:insideV w:val="single" w:sz="4" w:space="0" w:color="FFFFFF" w:themeColor="background1"/>
      </w:tblBorders>
    </w:tblPr>
    <w:tcPr>
      <w:shd w:val="clear" w:color="auto" w:fill="F5F5F5" w:themeFill="accent4" w:themeFillTint="19"/>
    </w:tcPr>
    <w:tblStylePr w:type="firstRow">
      <w:rPr>
        <w:b/>
        <w:bCs/>
      </w:rPr>
      <w:tblPr/>
      <w:tcPr>
        <w:tcBorders>
          <w:top w:val="nil"/>
          <w:left w:val="nil"/>
          <w:bottom w:val="single" w:sz="24" w:space="0" w:color="63D0D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6060" w:themeFill="accent4" w:themeFillShade="99"/>
      </w:tcPr>
    </w:tblStylePr>
    <w:tblStylePr w:type="firstCol">
      <w:rPr>
        <w:color w:val="FFFFFF" w:themeColor="background1"/>
      </w:rPr>
      <w:tblPr/>
      <w:tcPr>
        <w:tcBorders>
          <w:top w:val="nil"/>
          <w:left w:val="nil"/>
          <w:bottom w:val="nil"/>
          <w:right w:val="nil"/>
          <w:insideH w:val="single" w:sz="4" w:space="0" w:color="606060" w:themeColor="accent4" w:themeShade="99"/>
          <w:insideV w:val="nil"/>
        </w:tcBorders>
        <w:shd w:val="clear" w:color="auto" w:fill="60606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06060" w:themeFill="accent4" w:themeFillShade="99"/>
      </w:tcPr>
    </w:tblStylePr>
    <w:tblStylePr w:type="band1Vert">
      <w:tblPr/>
      <w:tcPr>
        <w:shd w:val="clear" w:color="auto" w:fill="D9D9D9" w:themeFill="accent4" w:themeFillTint="66"/>
      </w:tcPr>
    </w:tblStylePr>
    <w:tblStylePr w:type="band1Horz">
      <w:tblPr/>
      <w:tcPr>
        <w:shd w:val="clear" w:color="auto" w:fill="D0D0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semiHidden/>
    <w:unhideWhenUsed/>
    <w:rsid w:val="001F6DC1"/>
    <w:rPr>
      <w:color w:val="000000" w:themeColor="text1"/>
    </w:rPr>
    <w:tblPr>
      <w:tblStyleRowBandSize w:val="1"/>
      <w:tblStyleColBandSize w:val="1"/>
      <w:tblBorders>
        <w:top w:val="single" w:sz="24" w:space="0" w:color="A1A1A1" w:themeColor="accent6"/>
        <w:left w:val="single" w:sz="4" w:space="0" w:color="63D0DF" w:themeColor="accent5"/>
        <w:bottom w:val="single" w:sz="4" w:space="0" w:color="63D0DF" w:themeColor="accent5"/>
        <w:right w:val="single" w:sz="4" w:space="0" w:color="63D0DF" w:themeColor="accent5"/>
        <w:insideH w:val="single" w:sz="4" w:space="0" w:color="FFFFFF" w:themeColor="background1"/>
        <w:insideV w:val="single" w:sz="4" w:space="0" w:color="FFFFFF" w:themeColor="background1"/>
      </w:tblBorders>
    </w:tblPr>
    <w:tcPr>
      <w:shd w:val="clear" w:color="auto" w:fill="EFFAFB" w:themeFill="accent5" w:themeFillTint="19"/>
    </w:tcPr>
    <w:tblStylePr w:type="firstRow">
      <w:rPr>
        <w:b/>
        <w:bCs/>
      </w:rPr>
      <w:tblPr/>
      <w:tcPr>
        <w:tcBorders>
          <w:top w:val="nil"/>
          <w:left w:val="nil"/>
          <w:bottom w:val="single" w:sz="24" w:space="0" w:color="A1A1A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90A0" w:themeFill="accent5" w:themeFillShade="99"/>
      </w:tcPr>
    </w:tblStylePr>
    <w:tblStylePr w:type="firstCol">
      <w:rPr>
        <w:color w:val="FFFFFF" w:themeColor="background1"/>
      </w:rPr>
      <w:tblPr/>
      <w:tcPr>
        <w:tcBorders>
          <w:top w:val="nil"/>
          <w:left w:val="nil"/>
          <w:bottom w:val="nil"/>
          <w:right w:val="nil"/>
          <w:insideH w:val="single" w:sz="4" w:space="0" w:color="2190A0" w:themeColor="accent5" w:themeShade="99"/>
          <w:insideV w:val="nil"/>
        </w:tcBorders>
        <w:shd w:val="clear" w:color="auto" w:fill="2190A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190A0" w:themeFill="accent5" w:themeFillShade="99"/>
      </w:tcPr>
    </w:tblStylePr>
    <w:tblStylePr w:type="band1Vert">
      <w:tblPr/>
      <w:tcPr>
        <w:shd w:val="clear" w:color="auto" w:fill="C0ECF2" w:themeFill="accent5" w:themeFillTint="66"/>
      </w:tcPr>
    </w:tblStylePr>
    <w:tblStylePr w:type="band1Horz">
      <w:tblPr/>
      <w:tcPr>
        <w:shd w:val="clear" w:color="auto" w:fill="B1E7E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semiHidden/>
    <w:unhideWhenUsed/>
    <w:rsid w:val="001F6DC1"/>
    <w:rPr>
      <w:color w:val="000000" w:themeColor="text1"/>
    </w:rPr>
    <w:tblPr>
      <w:tblStyleRowBandSize w:val="1"/>
      <w:tblStyleColBandSize w:val="1"/>
      <w:tblBorders>
        <w:top w:val="single" w:sz="24" w:space="0" w:color="63D0DF" w:themeColor="accent5"/>
        <w:left w:val="single" w:sz="4" w:space="0" w:color="A1A1A1" w:themeColor="accent6"/>
        <w:bottom w:val="single" w:sz="4" w:space="0" w:color="A1A1A1" w:themeColor="accent6"/>
        <w:right w:val="single" w:sz="4" w:space="0" w:color="A1A1A1" w:themeColor="accent6"/>
        <w:insideH w:val="single" w:sz="4" w:space="0" w:color="FFFFFF" w:themeColor="background1"/>
        <w:insideV w:val="single" w:sz="4" w:space="0" w:color="FFFFFF" w:themeColor="background1"/>
      </w:tblBorders>
    </w:tblPr>
    <w:tcPr>
      <w:shd w:val="clear" w:color="auto" w:fill="F5F5F5" w:themeFill="accent6" w:themeFillTint="19"/>
    </w:tcPr>
    <w:tblStylePr w:type="firstRow">
      <w:rPr>
        <w:b/>
        <w:bCs/>
      </w:rPr>
      <w:tblPr/>
      <w:tcPr>
        <w:tcBorders>
          <w:top w:val="nil"/>
          <w:left w:val="nil"/>
          <w:bottom w:val="single" w:sz="24" w:space="0" w:color="63D0D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6060" w:themeFill="accent6" w:themeFillShade="99"/>
      </w:tcPr>
    </w:tblStylePr>
    <w:tblStylePr w:type="firstCol">
      <w:rPr>
        <w:color w:val="FFFFFF" w:themeColor="background1"/>
      </w:rPr>
      <w:tblPr/>
      <w:tcPr>
        <w:tcBorders>
          <w:top w:val="nil"/>
          <w:left w:val="nil"/>
          <w:bottom w:val="nil"/>
          <w:right w:val="nil"/>
          <w:insideH w:val="single" w:sz="4" w:space="0" w:color="606060" w:themeColor="accent6" w:themeShade="99"/>
          <w:insideV w:val="nil"/>
        </w:tcBorders>
        <w:shd w:val="clear" w:color="auto" w:fill="6060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6060" w:themeFill="accent6" w:themeFillShade="99"/>
      </w:tcPr>
    </w:tblStylePr>
    <w:tblStylePr w:type="band1Vert">
      <w:tblPr/>
      <w:tcPr>
        <w:shd w:val="clear" w:color="auto" w:fill="D9D9D9" w:themeFill="accent6" w:themeFillTint="66"/>
      </w:tcPr>
    </w:tblStylePr>
    <w:tblStylePr w:type="band1Horz">
      <w:tblPr/>
      <w:tcPr>
        <w:shd w:val="clear" w:color="auto" w:fill="D0D0D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98"/>
    <w:semiHidden/>
    <w:unhideWhenUsed/>
    <w:rsid w:val="001F6DC1"/>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semiHidden/>
    <w:unhideWhenUsed/>
    <w:rsid w:val="001F6DC1"/>
    <w:rPr>
      <w:color w:val="FFFFFF" w:themeColor="background1"/>
    </w:rPr>
    <w:tblPr>
      <w:tblStyleRowBandSize w:val="1"/>
      <w:tblStyleColBandSize w:val="1"/>
    </w:tblPr>
    <w:tcPr>
      <w:shd w:val="clear" w:color="auto" w:fill="63D0D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788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9B4C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9B4C7" w:themeFill="accent1" w:themeFillShade="BF"/>
      </w:tcPr>
    </w:tblStylePr>
    <w:tblStylePr w:type="band1Vert">
      <w:tblPr/>
      <w:tcPr>
        <w:tcBorders>
          <w:top w:val="nil"/>
          <w:left w:val="nil"/>
          <w:bottom w:val="nil"/>
          <w:right w:val="nil"/>
          <w:insideH w:val="nil"/>
          <w:insideV w:val="nil"/>
        </w:tcBorders>
        <w:shd w:val="clear" w:color="auto" w:fill="29B4C7" w:themeFill="accent1" w:themeFillShade="BF"/>
      </w:tcPr>
    </w:tblStylePr>
    <w:tblStylePr w:type="band1Horz">
      <w:tblPr/>
      <w:tcPr>
        <w:tcBorders>
          <w:top w:val="nil"/>
          <w:left w:val="nil"/>
          <w:bottom w:val="nil"/>
          <w:right w:val="nil"/>
          <w:insideH w:val="nil"/>
          <w:insideV w:val="nil"/>
        </w:tcBorders>
        <w:shd w:val="clear" w:color="auto" w:fill="29B4C7" w:themeFill="accent1" w:themeFillShade="BF"/>
      </w:tcPr>
    </w:tblStylePr>
  </w:style>
  <w:style w:type="table" w:styleId="DarkList-Accent2">
    <w:name w:val="Dark List Accent 2"/>
    <w:basedOn w:val="TableNormal"/>
    <w:uiPriority w:val="98"/>
    <w:semiHidden/>
    <w:unhideWhenUsed/>
    <w:rsid w:val="001F6DC1"/>
    <w:rPr>
      <w:color w:val="FFFFFF" w:themeColor="background1"/>
    </w:rPr>
    <w:tblPr>
      <w:tblStyleRowBandSize w:val="1"/>
      <w:tblStyleColBandSize w:val="1"/>
    </w:tblPr>
    <w:tcPr>
      <w:shd w:val="clear" w:color="auto" w:fill="C9C9C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5959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59597" w:themeFill="accent2" w:themeFillShade="BF"/>
      </w:tcPr>
    </w:tblStylePr>
    <w:tblStylePr w:type="band1Vert">
      <w:tblPr/>
      <w:tcPr>
        <w:tcBorders>
          <w:top w:val="nil"/>
          <w:left w:val="nil"/>
          <w:bottom w:val="nil"/>
          <w:right w:val="nil"/>
          <w:insideH w:val="nil"/>
          <w:insideV w:val="nil"/>
        </w:tcBorders>
        <w:shd w:val="clear" w:color="auto" w:fill="959597" w:themeFill="accent2" w:themeFillShade="BF"/>
      </w:tcPr>
    </w:tblStylePr>
    <w:tblStylePr w:type="band1Horz">
      <w:tblPr/>
      <w:tcPr>
        <w:tcBorders>
          <w:top w:val="nil"/>
          <w:left w:val="nil"/>
          <w:bottom w:val="nil"/>
          <w:right w:val="nil"/>
          <w:insideH w:val="nil"/>
          <w:insideV w:val="nil"/>
        </w:tcBorders>
        <w:shd w:val="clear" w:color="auto" w:fill="959597" w:themeFill="accent2" w:themeFillShade="BF"/>
      </w:tcPr>
    </w:tblStylePr>
  </w:style>
  <w:style w:type="table" w:styleId="DarkList-Accent3">
    <w:name w:val="Dark List Accent 3"/>
    <w:basedOn w:val="TableNormal"/>
    <w:uiPriority w:val="98"/>
    <w:semiHidden/>
    <w:unhideWhenUsed/>
    <w:rsid w:val="001F6DC1"/>
    <w:rPr>
      <w:color w:val="FFFFFF" w:themeColor="background1"/>
    </w:rPr>
    <w:tblPr>
      <w:tblStyleRowBandSize w:val="1"/>
      <w:tblStyleColBandSize w:val="1"/>
    </w:tblPr>
    <w:tcPr>
      <w:shd w:val="clear" w:color="auto" w:fill="63D0D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788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9B4C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9B4C7" w:themeFill="accent3" w:themeFillShade="BF"/>
      </w:tcPr>
    </w:tblStylePr>
    <w:tblStylePr w:type="band1Vert">
      <w:tblPr/>
      <w:tcPr>
        <w:tcBorders>
          <w:top w:val="nil"/>
          <w:left w:val="nil"/>
          <w:bottom w:val="nil"/>
          <w:right w:val="nil"/>
          <w:insideH w:val="nil"/>
          <w:insideV w:val="nil"/>
        </w:tcBorders>
        <w:shd w:val="clear" w:color="auto" w:fill="29B4C7" w:themeFill="accent3" w:themeFillShade="BF"/>
      </w:tcPr>
    </w:tblStylePr>
    <w:tblStylePr w:type="band1Horz">
      <w:tblPr/>
      <w:tcPr>
        <w:tcBorders>
          <w:top w:val="nil"/>
          <w:left w:val="nil"/>
          <w:bottom w:val="nil"/>
          <w:right w:val="nil"/>
          <w:insideH w:val="nil"/>
          <w:insideV w:val="nil"/>
        </w:tcBorders>
        <w:shd w:val="clear" w:color="auto" w:fill="29B4C7" w:themeFill="accent3" w:themeFillShade="BF"/>
      </w:tcPr>
    </w:tblStylePr>
  </w:style>
  <w:style w:type="table" w:styleId="DarkList-Accent4">
    <w:name w:val="Dark List Accent 4"/>
    <w:basedOn w:val="TableNormal"/>
    <w:uiPriority w:val="98"/>
    <w:semiHidden/>
    <w:unhideWhenUsed/>
    <w:rsid w:val="001F6DC1"/>
    <w:rPr>
      <w:color w:val="FFFFFF" w:themeColor="background1"/>
    </w:rPr>
    <w:tblPr>
      <w:tblStyleRowBandSize w:val="1"/>
      <w:tblStyleColBandSize w:val="1"/>
    </w:tblPr>
    <w:tcPr>
      <w:shd w:val="clear" w:color="auto" w:fill="A1A1A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0505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8787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87878" w:themeFill="accent4" w:themeFillShade="BF"/>
      </w:tcPr>
    </w:tblStylePr>
    <w:tblStylePr w:type="band1Vert">
      <w:tblPr/>
      <w:tcPr>
        <w:tcBorders>
          <w:top w:val="nil"/>
          <w:left w:val="nil"/>
          <w:bottom w:val="nil"/>
          <w:right w:val="nil"/>
          <w:insideH w:val="nil"/>
          <w:insideV w:val="nil"/>
        </w:tcBorders>
        <w:shd w:val="clear" w:color="auto" w:fill="787878" w:themeFill="accent4" w:themeFillShade="BF"/>
      </w:tcPr>
    </w:tblStylePr>
    <w:tblStylePr w:type="band1Horz">
      <w:tblPr/>
      <w:tcPr>
        <w:tcBorders>
          <w:top w:val="nil"/>
          <w:left w:val="nil"/>
          <w:bottom w:val="nil"/>
          <w:right w:val="nil"/>
          <w:insideH w:val="nil"/>
          <w:insideV w:val="nil"/>
        </w:tcBorders>
        <w:shd w:val="clear" w:color="auto" w:fill="787878" w:themeFill="accent4" w:themeFillShade="BF"/>
      </w:tcPr>
    </w:tblStylePr>
  </w:style>
  <w:style w:type="table" w:styleId="DarkList-Accent5">
    <w:name w:val="Dark List Accent 5"/>
    <w:basedOn w:val="TableNormal"/>
    <w:uiPriority w:val="98"/>
    <w:semiHidden/>
    <w:unhideWhenUsed/>
    <w:rsid w:val="001F6DC1"/>
    <w:rPr>
      <w:color w:val="FFFFFF" w:themeColor="background1"/>
    </w:rPr>
    <w:tblPr>
      <w:tblStyleRowBandSize w:val="1"/>
      <w:tblStyleColBandSize w:val="1"/>
    </w:tblPr>
    <w:tcPr>
      <w:shd w:val="clear" w:color="auto" w:fill="63D0D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788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9B4C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9B4C7" w:themeFill="accent5" w:themeFillShade="BF"/>
      </w:tcPr>
    </w:tblStylePr>
    <w:tblStylePr w:type="band1Vert">
      <w:tblPr/>
      <w:tcPr>
        <w:tcBorders>
          <w:top w:val="nil"/>
          <w:left w:val="nil"/>
          <w:bottom w:val="nil"/>
          <w:right w:val="nil"/>
          <w:insideH w:val="nil"/>
          <w:insideV w:val="nil"/>
        </w:tcBorders>
        <w:shd w:val="clear" w:color="auto" w:fill="29B4C7" w:themeFill="accent5" w:themeFillShade="BF"/>
      </w:tcPr>
    </w:tblStylePr>
    <w:tblStylePr w:type="band1Horz">
      <w:tblPr/>
      <w:tcPr>
        <w:tcBorders>
          <w:top w:val="nil"/>
          <w:left w:val="nil"/>
          <w:bottom w:val="nil"/>
          <w:right w:val="nil"/>
          <w:insideH w:val="nil"/>
          <w:insideV w:val="nil"/>
        </w:tcBorders>
        <w:shd w:val="clear" w:color="auto" w:fill="29B4C7" w:themeFill="accent5" w:themeFillShade="BF"/>
      </w:tcPr>
    </w:tblStylePr>
  </w:style>
  <w:style w:type="table" w:styleId="DarkList-Accent6">
    <w:name w:val="Dark List Accent 6"/>
    <w:basedOn w:val="TableNormal"/>
    <w:uiPriority w:val="98"/>
    <w:semiHidden/>
    <w:unhideWhenUsed/>
    <w:rsid w:val="001F6DC1"/>
    <w:rPr>
      <w:color w:val="FFFFFF" w:themeColor="background1"/>
    </w:rPr>
    <w:tblPr>
      <w:tblStyleRowBandSize w:val="1"/>
      <w:tblStyleColBandSize w:val="1"/>
    </w:tblPr>
    <w:tcPr>
      <w:shd w:val="clear" w:color="auto" w:fill="A1A1A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050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87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878" w:themeFill="accent6" w:themeFillShade="BF"/>
      </w:tcPr>
    </w:tblStylePr>
    <w:tblStylePr w:type="band1Vert">
      <w:tblPr/>
      <w:tcPr>
        <w:tcBorders>
          <w:top w:val="nil"/>
          <w:left w:val="nil"/>
          <w:bottom w:val="nil"/>
          <w:right w:val="nil"/>
          <w:insideH w:val="nil"/>
          <w:insideV w:val="nil"/>
        </w:tcBorders>
        <w:shd w:val="clear" w:color="auto" w:fill="787878" w:themeFill="accent6" w:themeFillShade="BF"/>
      </w:tcPr>
    </w:tblStylePr>
    <w:tblStylePr w:type="band1Horz">
      <w:tblPr/>
      <w:tcPr>
        <w:tcBorders>
          <w:top w:val="nil"/>
          <w:left w:val="nil"/>
          <w:bottom w:val="nil"/>
          <w:right w:val="nil"/>
          <w:insideH w:val="nil"/>
          <w:insideV w:val="nil"/>
        </w:tcBorders>
        <w:shd w:val="clear" w:color="auto" w:fill="787878" w:themeFill="accent6" w:themeFillShade="BF"/>
      </w:tcPr>
    </w:tblStylePr>
  </w:style>
  <w:style w:type="table" w:styleId="LightGrid">
    <w:name w:val="Light Grid"/>
    <w:basedOn w:val="TableNormal"/>
    <w:uiPriority w:val="98"/>
    <w:semiHidden/>
    <w:unhideWhenUsed/>
    <w:rsid w:val="001F6DC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semiHidden/>
    <w:unhideWhenUsed/>
    <w:rsid w:val="001F6DC1"/>
    <w:tblPr>
      <w:tblStyleRowBandSize w:val="1"/>
      <w:tblStyleColBandSize w:val="1"/>
      <w:tblBorders>
        <w:top w:val="single" w:sz="8" w:space="0" w:color="63D0DF" w:themeColor="accent1"/>
        <w:left w:val="single" w:sz="8" w:space="0" w:color="63D0DF" w:themeColor="accent1"/>
        <w:bottom w:val="single" w:sz="8" w:space="0" w:color="63D0DF" w:themeColor="accent1"/>
        <w:right w:val="single" w:sz="8" w:space="0" w:color="63D0DF" w:themeColor="accent1"/>
        <w:insideH w:val="single" w:sz="8" w:space="0" w:color="63D0DF" w:themeColor="accent1"/>
        <w:insideV w:val="single" w:sz="8" w:space="0" w:color="63D0D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D0DF" w:themeColor="accent1"/>
          <w:left w:val="single" w:sz="8" w:space="0" w:color="63D0DF" w:themeColor="accent1"/>
          <w:bottom w:val="single" w:sz="18" w:space="0" w:color="63D0DF" w:themeColor="accent1"/>
          <w:right w:val="single" w:sz="8" w:space="0" w:color="63D0DF" w:themeColor="accent1"/>
          <w:insideH w:val="nil"/>
          <w:insideV w:val="single" w:sz="8" w:space="0" w:color="63D0D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D0DF" w:themeColor="accent1"/>
          <w:left w:val="single" w:sz="8" w:space="0" w:color="63D0DF" w:themeColor="accent1"/>
          <w:bottom w:val="single" w:sz="8" w:space="0" w:color="63D0DF" w:themeColor="accent1"/>
          <w:right w:val="single" w:sz="8" w:space="0" w:color="63D0DF" w:themeColor="accent1"/>
          <w:insideH w:val="nil"/>
          <w:insideV w:val="single" w:sz="8" w:space="0" w:color="63D0D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D0DF" w:themeColor="accent1"/>
          <w:left w:val="single" w:sz="8" w:space="0" w:color="63D0DF" w:themeColor="accent1"/>
          <w:bottom w:val="single" w:sz="8" w:space="0" w:color="63D0DF" w:themeColor="accent1"/>
          <w:right w:val="single" w:sz="8" w:space="0" w:color="63D0DF" w:themeColor="accent1"/>
        </w:tcBorders>
      </w:tcPr>
    </w:tblStylePr>
    <w:tblStylePr w:type="band1Vert">
      <w:tblPr/>
      <w:tcPr>
        <w:tcBorders>
          <w:top w:val="single" w:sz="8" w:space="0" w:color="63D0DF" w:themeColor="accent1"/>
          <w:left w:val="single" w:sz="8" w:space="0" w:color="63D0DF" w:themeColor="accent1"/>
          <w:bottom w:val="single" w:sz="8" w:space="0" w:color="63D0DF" w:themeColor="accent1"/>
          <w:right w:val="single" w:sz="8" w:space="0" w:color="63D0DF" w:themeColor="accent1"/>
        </w:tcBorders>
        <w:shd w:val="clear" w:color="auto" w:fill="D8F3F7" w:themeFill="accent1" w:themeFillTint="3F"/>
      </w:tcPr>
    </w:tblStylePr>
    <w:tblStylePr w:type="band1Horz">
      <w:tblPr/>
      <w:tcPr>
        <w:tcBorders>
          <w:top w:val="single" w:sz="8" w:space="0" w:color="63D0DF" w:themeColor="accent1"/>
          <w:left w:val="single" w:sz="8" w:space="0" w:color="63D0DF" w:themeColor="accent1"/>
          <w:bottom w:val="single" w:sz="8" w:space="0" w:color="63D0DF" w:themeColor="accent1"/>
          <w:right w:val="single" w:sz="8" w:space="0" w:color="63D0DF" w:themeColor="accent1"/>
          <w:insideV w:val="single" w:sz="8" w:space="0" w:color="63D0DF" w:themeColor="accent1"/>
        </w:tcBorders>
        <w:shd w:val="clear" w:color="auto" w:fill="D8F3F7" w:themeFill="accent1" w:themeFillTint="3F"/>
      </w:tcPr>
    </w:tblStylePr>
    <w:tblStylePr w:type="band2Horz">
      <w:tblPr/>
      <w:tcPr>
        <w:tcBorders>
          <w:top w:val="single" w:sz="8" w:space="0" w:color="63D0DF" w:themeColor="accent1"/>
          <w:left w:val="single" w:sz="8" w:space="0" w:color="63D0DF" w:themeColor="accent1"/>
          <w:bottom w:val="single" w:sz="8" w:space="0" w:color="63D0DF" w:themeColor="accent1"/>
          <w:right w:val="single" w:sz="8" w:space="0" w:color="63D0DF" w:themeColor="accent1"/>
          <w:insideV w:val="single" w:sz="8" w:space="0" w:color="63D0DF" w:themeColor="accent1"/>
        </w:tcBorders>
      </w:tcPr>
    </w:tblStylePr>
  </w:style>
  <w:style w:type="table" w:styleId="LightGrid-Accent2">
    <w:name w:val="Light Grid Accent 2"/>
    <w:basedOn w:val="TableNormal"/>
    <w:uiPriority w:val="98"/>
    <w:semiHidden/>
    <w:unhideWhenUsed/>
    <w:rsid w:val="001F6DC1"/>
    <w:tblPr>
      <w:tblStyleRowBandSize w:val="1"/>
      <w:tblStyleColBandSize w:val="1"/>
      <w:tblBorders>
        <w:top w:val="single" w:sz="8" w:space="0" w:color="C9C9CA" w:themeColor="accent2"/>
        <w:left w:val="single" w:sz="8" w:space="0" w:color="C9C9CA" w:themeColor="accent2"/>
        <w:bottom w:val="single" w:sz="8" w:space="0" w:color="C9C9CA" w:themeColor="accent2"/>
        <w:right w:val="single" w:sz="8" w:space="0" w:color="C9C9CA" w:themeColor="accent2"/>
        <w:insideH w:val="single" w:sz="8" w:space="0" w:color="C9C9CA" w:themeColor="accent2"/>
        <w:insideV w:val="single" w:sz="8" w:space="0" w:color="C9C9C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9C9CA" w:themeColor="accent2"/>
          <w:left w:val="single" w:sz="8" w:space="0" w:color="C9C9CA" w:themeColor="accent2"/>
          <w:bottom w:val="single" w:sz="18" w:space="0" w:color="C9C9CA" w:themeColor="accent2"/>
          <w:right w:val="single" w:sz="8" w:space="0" w:color="C9C9CA" w:themeColor="accent2"/>
          <w:insideH w:val="nil"/>
          <w:insideV w:val="single" w:sz="8" w:space="0" w:color="C9C9C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9C9CA" w:themeColor="accent2"/>
          <w:left w:val="single" w:sz="8" w:space="0" w:color="C9C9CA" w:themeColor="accent2"/>
          <w:bottom w:val="single" w:sz="8" w:space="0" w:color="C9C9CA" w:themeColor="accent2"/>
          <w:right w:val="single" w:sz="8" w:space="0" w:color="C9C9CA" w:themeColor="accent2"/>
          <w:insideH w:val="nil"/>
          <w:insideV w:val="single" w:sz="8" w:space="0" w:color="C9C9C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9C9CA" w:themeColor="accent2"/>
          <w:left w:val="single" w:sz="8" w:space="0" w:color="C9C9CA" w:themeColor="accent2"/>
          <w:bottom w:val="single" w:sz="8" w:space="0" w:color="C9C9CA" w:themeColor="accent2"/>
          <w:right w:val="single" w:sz="8" w:space="0" w:color="C9C9CA" w:themeColor="accent2"/>
        </w:tcBorders>
      </w:tcPr>
    </w:tblStylePr>
    <w:tblStylePr w:type="band1Vert">
      <w:tblPr/>
      <w:tcPr>
        <w:tcBorders>
          <w:top w:val="single" w:sz="8" w:space="0" w:color="C9C9CA" w:themeColor="accent2"/>
          <w:left w:val="single" w:sz="8" w:space="0" w:color="C9C9CA" w:themeColor="accent2"/>
          <w:bottom w:val="single" w:sz="8" w:space="0" w:color="C9C9CA" w:themeColor="accent2"/>
          <w:right w:val="single" w:sz="8" w:space="0" w:color="C9C9CA" w:themeColor="accent2"/>
        </w:tcBorders>
        <w:shd w:val="clear" w:color="auto" w:fill="F1F1F1" w:themeFill="accent2" w:themeFillTint="3F"/>
      </w:tcPr>
    </w:tblStylePr>
    <w:tblStylePr w:type="band1Horz">
      <w:tblPr/>
      <w:tcPr>
        <w:tcBorders>
          <w:top w:val="single" w:sz="8" w:space="0" w:color="C9C9CA" w:themeColor="accent2"/>
          <w:left w:val="single" w:sz="8" w:space="0" w:color="C9C9CA" w:themeColor="accent2"/>
          <w:bottom w:val="single" w:sz="8" w:space="0" w:color="C9C9CA" w:themeColor="accent2"/>
          <w:right w:val="single" w:sz="8" w:space="0" w:color="C9C9CA" w:themeColor="accent2"/>
          <w:insideV w:val="single" w:sz="8" w:space="0" w:color="C9C9CA" w:themeColor="accent2"/>
        </w:tcBorders>
        <w:shd w:val="clear" w:color="auto" w:fill="F1F1F1" w:themeFill="accent2" w:themeFillTint="3F"/>
      </w:tcPr>
    </w:tblStylePr>
    <w:tblStylePr w:type="band2Horz">
      <w:tblPr/>
      <w:tcPr>
        <w:tcBorders>
          <w:top w:val="single" w:sz="8" w:space="0" w:color="C9C9CA" w:themeColor="accent2"/>
          <w:left w:val="single" w:sz="8" w:space="0" w:color="C9C9CA" w:themeColor="accent2"/>
          <w:bottom w:val="single" w:sz="8" w:space="0" w:color="C9C9CA" w:themeColor="accent2"/>
          <w:right w:val="single" w:sz="8" w:space="0" w:color="C9C9CA" w:themeColor="accent2"/>
          <w:insideV w:val="single" w:sz="8" w:space="0" w:color="C9C9CA" w:themeColor="accent2"/>
        </w:tcBorders>
      </w:tcPr>
    </w:tblStylePr>
  </w:style>
  <w:style w:type="table" w:styleId="LightGrid-Accent3">
    <w:name w:val="Light Grid Accent 3"/>
    <w:basedOn w:val="TableNormal"/>
    <w:uiPriority w:val="98"/>
    <w:semiHidden/>
    <w:unhideWhenUsed/>
    <w:rsid w:val="001F6DC1"/>
    <w:tblPr>
      <w:tblStyleRowBandSize w:val="1"/>
      <w:tblStyleColBandSize w:val="1"/>
      <w:tblBorders>
        <w:top w:val="single" w:sz="8" w:space="0" w:color="63D0DF" w:themeColor="accent3"/>
        <w:left w:val="single" w:sz="8" w:space="0" w:color="63D0DF" w:themeColor="accent3"/>
        <w:bottom w:val="single" w:sz="8" w:space="0" w:color="63D0DF" w:themeColor="accent3"/>
        <w:right w:val="single" w:sz="8" w:space="0" w:color="63D0DF" w:themeColor="accent3"/>
        <w:insideH w:val="single" w:sz="8" w:space="0" w:color="63D0DF" w:themeColor="accent3"/>
        <w:insideV w:val="single" w:sz="8" w:space="0" w:color="63D0D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D0DF" w:themeColor="accent3"/>
          <w:left w:val="single" w:sz="8" w:space="0" w:color="63D0DF" w:themeColor="accent3"/>
          <w:bottom w:val="single" w:sz="18" w:space="0" w:color="63D0DF" w:themeColor="accent3"/>
          <w:right w:val="single" w:sz="8" w:space="0" w:color="63D0DF" w:themeColor="accent3"/>
          <w:insideH w:val="nil"/>
          <w:insideV w:val="single" w:sz="8" w:space="0" w:color="63D0D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D0DF" w:themeColor="accent3"/>
          <w:left w:val="single" w:sz="8" w:space="0" w:color="63D0DF" w:themeColor="accent3"/>
          <w:bottom w:val="single" w:sz="8" w:space="0" w:color="63D0DF" w:themeColor="accent3"/>
          <w:right w:val="single" w:sz="8" w:space="0" w:color="63D0DF" w:themeColor="accent3"/>
          <w:insideH w:val="nil"/>
          <w:insideV w:val="single" w:sz="8" w:space="0" w:color="63D0D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D0DF" w:themeColor="accent3"/>
          <w:left w:val="single" w:sz="8" w:space="0" w:color="63D0DF" w:themeColor="accent3"/>
          <w:bottom w:val="single" w:sz="8" w:space="0" w:color="63D0DF" w:themeColor="accent3"/>
          <w:right w:val="single" w:sz="8" w:space="0" w:color="63D0DF" w:themeColor="accent3"/>
        </w:tcBorders>
      </w:tcPr>
    </w:tblStylePr>
    <w:tblStylePr w:type="band1Vert">
      <w:tblPr/>
      <w:tcPr>
        <w:tcBorders>
          <w:top w:val="single" w:sz="8" w:space="0" w:color="63D0DF" w:themeColor="accent3"/>
          <w:left w:val="single" w:sz="8" w:space="0" w:color="63D0DF" w:themeColor="accent3"/>
          <w:bottom w:val="single" w:sz="8" w:space="0" w:color="63D0DF" w:themeColor="accent3"/>
          <w:right w:val="single" w:sz="8" w:space="0" w:color="63D0DF" w:themeColor="accent3"/>
        </w:tcBorders>
        <w:shd w:val="clear" w:color="auto" w:fill="D8F3F7" w:themeFill="accent3" w:themeFillTint="3F"/>
      </w:tcPr>
    </w:tblStylePr>
    <w:tblStylePr w:type="band1Horz">
      <w:tblPr/>
      <w:tcPr>
        <w:tcBorders>
          <w:top w:val="single" w:sz="8" w:space="0" w:color="63D0DF" w:themeColor="accent3"/>
          <w:left w:val="single" w:sz="8" w:space="0" w:color="63D0DF" w:themeColor="accent3"/>
          <w:bottom w:val="single" w:sz="8" w:space="0" w:color="63D0DF" w:themeColor="accent3"/>
          <w:right w:val="single" w:sz="8" w:space="0" w:color="63D0DF" w:themeColor="accent3"/>
          <w:insideV w:val="single" w:sz="8" w:space="0" w:color="63D0DF" w:themeColor="accent3"/>
        </w:tcBorders>
        <w:shd w:val="clear" w:color="auto" w:fill="D8F3F7" w:themeFill="accent3" w:themeFillTint="3F"/>
      </w:tcPr>
    </w:tblStylePr>
    <w:tblStylePr w:type="band2Horz">
      <w:tblPr/>
      <w:tcPr>
        <w:tcBorders>
          <w:top w:val="single" w:sz="8" w:space="0" w:color="63D0DF" w:themeColor="accent3"/>
          <w:left w:val="single" w:sz="8" w:space="0" w:color="63D0DF" w:themeColor="accent3"/>
          <w:bottom w:val="single" w:sz="8" w:space="0" w:color="63D0DF" w:themeColor="accent3"/>
          <w:right w:val="single" w:sz="8" w:space="0" w:color="63D0DF" w:themeColor="accent3"/>
          <w:insideV w:val="single" w:sz="8" w:space="0" w:color="63D0DF" w:themeColor="accent3"/>
        </w:tcBorders>
      </w:tcPr>
    </w:tblStylePr>
  </w:style>
  <w:style w:type="table" w:styleId="LightGrid-Accent4">
    <w:name w:val="Light Grid Accent 4"/>
    <w:basedOn w:val="TableNormal"/>
    <w:uiPriority w:val="98"/>
    <w:semiHidden/>
    <w:unhideWhenUsed/>
    <w:rsid w:val="001F6DC1"/>
    <w:tblPr>
      <w:tblStyleRowBandSize w:val="1"/>
      <w:tblStyleColBandSize w:val="1"/>
      <w:tblBorders>
        <w:top w:val="single" w:sz="8" w:space="0" w:color="A1A1A1" w:themeColor="accent4"/>
        <w:left w:val="single" w:sz="8" w:space="0" w:color="A1A1A1" w:themeColor="accent4"/>
        <w:bottom w:val="single" w:sz="8" w:space="0" w:color="A1A1A1" w:themeColor="accent4"/>
        <w:right w:val="single" w:sz="8" w:space="0" w:color="A1A1A1" w:themeColor="accent4"/>
        <w:insideH w:val="single" w:sz="8" w:space="0" w:color="A1A1A1" w:themeColor="accent4"/>
        <w:insideV w:val="single" w:sz="8" w:space="0" w:color="A1A1A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A1A1" w:themeColor="accent4"/>
          <w:left w:val="single" w:sz="8" w:space="0" w:color="A1A1A1" w:themeColor="accent4"/>
          <w:bottom w:val="single" w:sz="18" w:space="0" w:color="A1A1A1" w:themeColor="accent4"/>
          <w:right w:val="single" w:sz="8" w:space="0" w:color="A1A1A1" w:themeColor="accent4"/>
          <w:insideH w:val="nil"/>
          <w:insideV w:val="single" w:sz="8" w:space="0" w:color="A1A1A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A1A1" w:themeColor="accent4"/>
          <w:left w:val="single" w:sz="8" w:space="0" w:color="A1A1A1" w:themeColor="accent4"/>
          <w:bottom w:val="single" w:sz="8" w:space="0" w:color="A1A1A1" w:themeColor="accent4"/>
          <w:right w:val="single" w:sz="8" w:space="0" w:color="A1A1A1" w:themeColor="accent4"/>
          <w:insideH w:val="nil"/>
          <w:insideV w:val="single" w:sz="8" w:space="0" w:color="A1A1A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A1A1" w:themeColor="accent4"/>
          <w:left w:val="single" w:sz="8" w:space="0" w:color="A1A1A1" w:themeColor="accent4"/>
          <w:bottom w:val="single" w:sz="8" w:space="0" w:color="A1A1A1" w:themeColor="accent4"/>
          <w:right w:val="single" w:sz="8" w:space="0" w:color="A1A1A1" w:themeColor="accent4"/>
        </w:tcBorders>
      </w:tcPr>
    </w:tblStylePr>
    <w:tblStylePr w:type="band1Vert">
      <w:tblPr/>
      <w:tcPr>
        <w:tcBorders>
          <w:top w:val="single" w:sz="8" w:space="0" w:color="A1A1A1" w:themeColor="accent4"/>
          <w:left w:val="single" w:sz="8" w:space="0" w:color="A1A1A1" w:themeColor="accent4"/>
          <w:bottom w:val="single" w:sz="8" w:space="0" w:color="A1A1A1" w:themeColor="accent4"/>
          <w:right w:val="single" w:sz="8" w:space="0" w:color="A1A1A1" w:themeColor="accent4"/>
        </w:tcBorders>
        <w:shd w:val="clear" w:color="auto" w:fill="E7E7E7" w:themeFill="accent4" w:themeFillTint="3F"/>
      </w:tcPr>
    </w:tblStylePr>
    <w:tblStylePr w:type="band1Horz">
      <w:tblPr/>
      <w:tcPr>
        <w:tcBorders>
          <w:top w:val="single" w:sz="8" w:space="0" w:color="A1A1A1" w:themeColor="accent4"/>
          <w:left w:val="single" w:sz="8" w:space="0" w:color="A1A1A1" w:themeColor="accent4"/>
          <w:bottom w:val="single" w:sz="8" w:space="0" w:color="A1A1A1" w:themeColor="accent4"/>
          <w:right w:val="single" w:sz="8" w:space="0" w:color="A1A1A1" w:themeColor="accent4"/>
          <w:insideV w:val="single" w:sz="8" w:space="0" w:color="A1A1A1" w:themeColor="accent4"/>
        </w:tcBorders>
        <w:shd w:val="clear" w:color="auto" w:fill="E7E7E7" w:themeFill="accent4" w:themeFillTint="3F"/>
      </w:tcPr>
    </w:tblStylePr>
    <w:tblStylePr w:type="band2Horz">
      <w:tblPr/>
      <w:tcPr>
        <w:tcBorders>
          <w:top w:val="single" w:sz="8" w:space="0" w:color="A1A1A1" w:themeColor="accent4"/>
          <w:left w:val="single" w:sz="8" w:space="0" w:color="A1A1A1" w:themeColor="accent4"/>
          <w:bottom w:val="single" w:sz="8" w:space="0" w:color="A1A1A1" w:themeColor="accent4"/>
          <w:right w:val="single" w:sz="8" w:space="0" w:color="A1A1A1" w:themeColor="accent4"/>
          <w:insideV w:val="single" w:sz="8" w:space="0" w:color="A1A1A1" w:themeColor="accent4"/>
        </w:tcBorders>
      </w:tcPr>
    </w:tblStylePr>
  </w:style>
  <w:style w:type="table" w:styleId="LightGrid-Accent5">
    <w:name w:val="Light Grid Accent 5"/>
    <w:basedOn w:val="TableNormal"/>
    <w:uiPriority w:val="98"/>
    <w:semiHidden/>
    <w:unhideWhenUsed/>
    <w:rsid w:val="001F6DC1"/>
    <w:tblPr>
      <w:tblStyleRowBandSize w:val="1"/>
      <w:tblStyleColBandSize w:val="1"/>
      <w:tblBorders>
        <w:top w:val="single" w:sz="8" w:space="0" w:color="63D0DF" w:themeColor="accent5"/>
        <w:left w:val="single" w:sz="8" w:space="0" w:color="63D0DF" w:themeColor="accent5"/>
        <w:bottom w:val="single" w:sz="8" w:space="0" w:color="63D0DF" w:themeColor="accent5"/>
        <w:right w:val="single" w:sz="8" w:space="0" w:color="63D0DF" w:themeColor="accent5"/>
        <w:insideH w:val="single" w:sz="8" w:space="0" w:color="63D0DF" w:themeColor="accent5"/>
        <w:insideV w:val="single" w:sz="8" w:space="0" w:color="63D0D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D0DF" w:themeColor="accent5"/>
          <w:left w:val="single" w:sz="8" w:space="0" w:color="63D0DF" w:themeColor="accent5"/>
          <w:bottom w:val="single" w:sz="18" w:space="0" w:color="63D0DF" w:themeColor="accent5"/>
          <w:right w:val="single" w:sz="8" w:space="0" w:color="63D0DF" w:themeColor="accent5"/>
          <w:insideH w:val="nil"/>
          <w:insideV w:val="single" w:sz="8" w:space="0" w:color="63D0D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D0DF" w:themeColor="accent5"/>
          <w:left w:val="single" w:sz="8" w:space="0" w:color="63D0DF" w:themeColor="accent5"/>
          <w:bottom w:val="single" w:sz="8" w:space="0" w:color="63D0DF" w:themeColor="accent5"/>
          <w:right w:val="single" w:sz="8" w:space="0" w:color="63D0DF" w:themeColor="accent5"/>
          <w:insideH w:val="nil"/>
          <w:insideV w:val="single" w:sz="8" w:space="0" w:color="63D0D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D0DF" w:themeColor="accent5"/>
          <w:left w:val="single" w:sz="8" w:space="0" w:color="63D0DF" w:themeColor="accent5"/>
          <w:bottom w:val="single" w:sz="8" w:space="0" w:color="63D0DF" w:themeColor="accent5"/>
          <w:right w:val="single" w:sz="8" w:space="0" w:color="63D0DF" w:themeColor="accent5"/>
        </w:tcBorders>
      </w:tcPr>
    </w:tblStylePr>
    <w:tblStylePr w:type="band1Vert">
      <w:tblPr/>
      <w:tcPr>
        <w:tcBorders>
          <w:top w:val="single" w:sz="8" w:space="0" w:color="63D0DF" w:themeColor="accent5"/>
          <w:left w:val="single" w:sz="8" w:space="0" w:color="63D0DF" w:themeColor="accent5"/>
          <w:bottom w:val="single" w:sz="8" w:space="0" w:color="63D0DF" w:themeColor="accent5"/>
          <w:right w:val="single" w:sz="8" w:space="0" w:color="63D0DF" w:themeColor="accent5"/>
        </w:tcBorders>
        <w:shd w:val="clear" w:color="auto" w:fill="D8F3F7" w:themeFill="accent5" w:themeFillTint="3F"/>
      </w:tcPr>
    </w:tblStylePr>
    <w:tblStylePr w:type="band1Horz">
      <w:tblPr/>
      <w:tcPr>
        <w:tcBorders>
          <w:top w:val="single" w:sz="8" w:space="0" w:color="63D0DF" w:themeColor="accent5"/>
          <w:left w:val="single" w:sz="8" w:space="0" w:color="63D0DF" w:themeColor="accent5"/>
          <w:bottom w:val="single" w:sz="8" w:space="0" w:color="63D0DF" w:themeColor="accent5"/>
          <w:right w:val="single" w:sz="8" w:space="0" w:color="63D0DF" w:themeColor="accent5"/>
          <w:insideV w:val="single" w:sz="8" w:space="0" w:color="63D0DF" w:themeColor="accent5"/>
        </w:tcBorders>
        <w:shd w:val="clear" w:color="auto" w:fill="D8F3F7" w:themeFill="accent5" w:themeFillTint="3F"/>
      </w:tcPr>
    </w:tblStylePr>
    <w:tblStylePr w:type="band2Horz">
      <w:tblPr/>
      <w:tcPr>
        <w:tcBorders>
          <w:top w:val="single" w:sz="8" w:space="0" w:color="63D0DF" w:themeColor="accent5"/>
          <w:left w:val="single" w:sz="8" w:space="0" w:color="63D0DF" w:themeColor="accent5"/>
          <w:bottom w:val="single" w:sz="8" w:space="0" w:color="63D0DF" w:themeColor="accent5"/>
          <w:right w:val="single" w:sz="8" w:space="0" w:color="63D0DF" w:themeColor="accent5"/>
          <w:insideV w:val="single" w:sz="8" w:space="0" w:color="63D0DF" w:themeColor="accent5"/>
        </w:tcBorders>
      </w:tcPr>
    </w:tblStylePr>
  </w:style>
  <w:style w:type="table" w:styleId="LightGrid-Accent6">
    <w:name w:val="Light Grid Accent 6"/>
    <w:basedOn w:val="TableNormal"/>
    <w:uiPriority w:val="98"/>
    <w:semiHidden/>
    <w:unhideWhenUsed/>
    <w:rsid w:val="001F6DC1"/>
    <w:tblPr>
      <w:tblStyleRowBandSize w:val="1"/>
      <w:tblStyleColBandSize w:val="1"/>
      <w:tblBorders>
        <w:top w:val="single" w:sz="8" w:space="0" w:color="A1A1A1" w:themeColor="accent6"/>
        <w:left w:val="single" w:sz="8" w:space="0" w:color="A1A1A1" w:themeColor="accent6"/>
        <w:bottom w:val="single" w:sz="8" w:space="0" w:color="A1A1A1" w:themeColor="accent6"/>
        <w:right w:val="single" w:sz="8" w:space="0" w:color="A1A1A1" w:themeColor="accent6"/>
        <w:insideH w:val="single" w:sz="8" w:space="0" w:color="A1A1A1" w:themeColor="accent6"/>
        <w:insideV w:val="single" w:sz="8" w:space="0" w:color="A1A1A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A1A1" w:themeColor="accent6"/>
          <w:left w:val="single" w:sz="8" w:space="0" w:color="A1A1A1" w:themeColor="accent6"/>
          <w:bottom w:val="single" w:sz="18" w:space="0" w:color="A1A1A1" w:themeColor="accent6"/>
          <w:right w:val="single" w:sz="8" w:space="0" w:color="A1A1A1" w:themeColor="accent6"/>
          <w:insideH w:val="nil"/>
          <w:insideV w:val="single" w:sz="8" w:space="0" w:color="A1A1A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A1A1" w:themeColor="accent6"/>
          <w:left w:val="single" w:sz="8" w:space="0" w:color="A1A1A1" w:themeColor="accent6"/>
          <w:bottom w:val="single" w:sz="8" w:space="0" w:color="A1A1A1" w:themeColor="accent6"/>
          <w:right w:val="single" w:sz="8" w:space="0" w:color="A1A1A1" w:themeColor="accent6"/>
          <w:insideH w:val="nil"/>
          <w:insideV w:val="single" w:sz="8" w:space="0" w:color="A1A1A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A1A1" w:themeColor="accent6"/>
          <w:left w:val="single" w:sz="8" w:space="0" w:color="A1A1A1" w:themeColor="accent6"/>
          <w:bottom w:val="single" w:sz="8" w:space="0" w:color="A1A1A1" w:themeColor="accent6"/>
          <w:right w:val="single" w:sz="8" w:space="0" w:color="A1A1A1" w:themeColor="accent6"/>
        </w:tcBorders>
      </w:tcPr>
    </w:tblStylePr>
    <w:tblStylePr w:type="band1Vert">
      <w:tblPr/>
      <w:tcPr>
        <w:tcBorders>
          <w:top w:val="single" w:sz="8" w:space="0" w:color="A1A1A1" w:themeColor="accent6"/>
          <w:left w:val="single" w:sz="8" w:space="0" w:color="A1A1A1" w:themeColor="accent6"/>
          <w:bottom w:val="single" w:sz="8" w:space="0" w:color="A1A1A1" w:themeColor="accent6"/>
          <w:right w:val="single" w:sz="8" w:space="0" w:color="A1A1A1" w:themeColor="accent6"/>
        </w:tcBorders>
        <w:shd w:val="clear" w:color="auto" w:fill="E7E7E7" w:themeFill="accent6" w:themeFillTint="3F"/>
      </w:tcPr>
    </w:tblStylePr>
    <w:tblStylePr w:type="band1Horz">
      <w:tblPr/>
      <w:tcPr>
        <w:tcBorders>
          <w:top w:val="single" w:sz="8" w:space="0" w:color="A1A1A1" w:themeColor="accent6"/>
          <w:left w:val="single" w:sz="8" w:space="0" w:color="A1A1A1" w:themeColor="accent6"/>
          <w:bottom w:val="single" w:sz="8" w:space="0" w:color="A1A1A1" w:themeColor="accent6"/>
          <w:right w:val="single" w:sz="8" w:space="0" w:color="A1A1A1" w:themeColor="accent6"/>
          <w:insideV w:val="single" w:sz="8" w:space="0" w:color="A1A1A1" w:themeColor="accent6"/>
        </w:tcBorders>
        <w:shd w:val="clear" w:color="auto" w:fill="E7E7E7" w:themeFill="accent6" w:themeFillTint="3F"/>
      </w:tcPr>
    </w:tblStylePr>
    <w:tblStylePr w:type="band2Horz">
      <w:tblPr/>
      <w:tcPr>
        <w:tcBorders>
          <w:top w:val="single" w:sz="8" w:space="0" w:color="A1A1A1" w:themeColor="accent6"/>
          <w:left w:val="single" w:sz="8" w:space="0" w:color="A1A1A1" w:themeColor="accent6"/>
          <w:bottom w:val="single" w:sz="8" w:space="0" w:color="A1A1A1" w:themeColor="accent6"/>
          <w:right w:val="single" w:sz="8" w:space="0" w:color="A1A1A1" w:themeColor="accent6"/>
          <w:insideV w:val="single" w:sz="8" w:space="0" w:color="A1A1A1" w:themeColor="accent6"/>
        </w:tcBorders>
      </w:tcPr>
    </w:tblStylePr>
  </w:style>
  <w:style w:type="table" w:styleId="LightList">
    <w:name w:val="Light List"/>
    <w:basedOn w:val="TableNormal"/>
    <w:uiPriority w:val="98"/>
    <w:semiHidden/>
    <w:unhideWhenUsed/>
    <w:rsid w:val="001F6DC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semiHidden/>
    <w:unhideWhenUsed/>
    <w:rsid w:val="001F6DC1"/>
    <w:tblPr>
      <w:tblStyleRowBandSize w:val="1"/>
      <w:tblStyleColBandSize w:val="1"/>
      <w:tblBorders>
        <w:top w:val="single" w:sz="8" w:space="0" w:color="63D0DF" w:themeColor="accent1"/>
        <w:left w:val="single" w:sz="8" w:space="0" w:color="63D0DF" w:themeColor="accent1"/>
        <w:bottom w:val="single" w:sz="8" w:space="0" w:color="63D0DF" w:themeColor="accent1"/>
        <w:right w:val="single" w:sz="8" w:space="0" w:color="63D0DF" w:themeColor="accent1"/>
      </w:tblBorders>
    </w:tblPr>
    <w:tblStylePr w:type="firstRow">
      <w:pPr>
        <w:spacing w:before="0" w:after="0" w:line="240" w:lineRule="auto"/>
      </w:pPr>
      <w:rPr>
        <w:b/>
        <w:bCs/>
        <w:color w:val="FFFFFF" w:themeColor="background1"/>
      </w:rPr>
      <w:tblPr/>
      <w:tcPr>
        <w:shd w:val="clear" w:color="auto" w:fill="63D0DF" w:themeFill="accent1"/>
      </w:tcPr>
    </w:tblStylePr>
    <w:tblStylePr w:type="lastRow">
      <w:pPr>
        <w:spacing w:before="0" w:after="0" w:line="240" w:lineRule="auto"/>
      </w:pPr>
      <w:rPr>
        <w:b/>
        <w:bCs/>
      </w:rPr>
      <w:tblPr/>
      <w:tcPr>
        <w:tcBorders>
          <w:top w:val="double" w:sz="6" w:space="0" w:color="63D0DF" w:themeColor="accent1"/>
          <w:left w:val="single" w:sz="8" w:space="0" w:color="63D0DF" w:themeColor="accent1"/>
          <w:bottom w:val="single" w:sz="8" w:space="0" w:color="63D0DF" w:themeColor="accent1"/>
          <w:right w:val="single" w:sz="8" w:space="0" w:color="63D0DF" w:themeColor="accent1"/>
        </w:tcBorders>
      </w:tcPr>
    </w:tblStylePr>
    <w:tblStylePr w:type="firstCol">
      <w:rPr>
        <w:b/>
        <w:bCs/>
      </w:rPr>
    </w:tblStylePr>
    <w:tblStylePr w:type="lastCol">
      <w:rPr>
        <w:b/>
        <w:bCs/>
      </w:rPr>
    </w:tblStylePr>
    <w:tblStylePr w:type="band1Vert">
      <w:tblPr/>
      <w:tcPr>
        <w:tcBorders>
          <w:top w:val="single" w:sz="8" w:space="0" w:color="63D0DF" w:themeColor="accent1"/>
          <w:left w:val="single" w:sz="8" w:space="0" w:color="63D0DF" w:themeColor="accent1"/>
          <w:bottom w:val="single" w:sz="8" w:space="0" w:color="63D0DF" w:themeColor="accent1"/>
          <w:right w:val="single" w:sz="8" w:space="0" w:color="63D0DF" w:themeColor="accent1"/>
        </w:tcBorders>
      </w:tcPr>
    </w:tblStylePr>
    <w:tblStylePr w:type="band1Horz">
      <w:tblPr/>
      <w:tcPr>
        <w:tcBorders>
          <w:top w:val="single" w:sz="8" w:space="0" w:color="63D0DF" w:themeColor="accent1"/>
          <w:left w:val="single" w:sz="8" w:space="0" w:color="63D0DF" w:themeColor="accent1"/>
          <w:bottom w:val="single" w:sz="8" w:space="0" w:color="63D0DF" w:themeColor="accent1"/>
          <w:right w:val="single" w:sz="8" w:space="0" w:color="63D0DF" w:themeColor="accent1"/>
        </w:tcBorders>
      </w:tcPr>
    </w:tblStylePr>
  </w:style>
  <w:style w:type="table" w:styleId="LightList-Accent2">
    <w:name w:val="Light List Accent 2"/>
    <w:basedOn w:val="TableNormal"/>
    <w:uiPriority w:val="98"/>
    <w:semiHidden/>
    <w:unhideWhenUsed/>
    <w:rsid w:val="001F6DC1"/>
    <w:tblPr>
      <w:tblStyleRowBandSize w:val="1"/>
      <w:tblStyleColBandSize w:val="1"/>
      <w:tblBorders>
        <w:top w:val="single" w:sz="8" w:space="0" w:color="C9C9CA" w:themeColor="accent2"/>
        <w:left w:val="single" w:sz="8" w:space="0" w:color="C9C9CA" w:themeColor="accent2"/>
        <w:bottom w:val="single" w:sz="8" w:space="0" w:color="C9C9CA" w:themeColor="accent2"/>
        <w:right w:val="single" w:sz="8" w:space="0" w:color="C9C9CA" w:themeColor="accent2"/>
      </w:tblBorders>
    </w:tblPr>
    <w:tblStylePr w:type="firstRow">
      <w:pPr>
        <w:spacing w:before="0" w:after="0" w:line="240" w:lineRule="auto"/>
      </w:pPr>
      <w:rPr>
        <w:b/>
        <w:bCs/>
        <w:color w:val="FFFFFF" w:themeColor="background1"/>
      </w:rPr>
      <w:tblPr/>
      <w:tcPr>
        <w:shd w:val="clear" w:color="auto" w:fill="C9C9CA" w:themeFill="accent2"/>
      </w:tcPr>
    </w:tblStylePr>
    <w:tblStylePr w:type="lastRow">
      <w:pPr>
        <w:spacing w:before="0" w:after="0" w:line="240" w:lineRule="auto"/>
      </w:pPr>
      <w:rPr>
        <w:b/>
        <w:bCs/>
      </w:rPr>
      <w:tblPr/>
      <w:tcPr>
        <w:tcBorders>
          <w:top w:val="double" w:sz="6" w:space="0" w:color="C9C9CA" w:themeColor="accent2"/>
          <w:left w:val="single" w:sz="8" w:space="0" w:color="C9C9CA" w:themeColor="accent2"/>
          <w:bottom w:val="single" w:sz="8" w:space="0" w:color="C9C9CA" w:themeColor="accent2"/>
          <w:right w:val="single" w:sz="8" w:space="0" w:color="C9C9CA" w:themeColor="accent2"/>
        </w:tcBorders>
      </w:tcPr>
    </w:tblStylePr>
    <w:tblStylePr w:type="firstCol">
      <w:rPr>
        <w:b/>
        <w:bCs/>
      </w:rPr>
    </w:tblStylePr>
    <w:tblStylePr w:type="lastCol">
      <w:rPr>
        <w:b/>
        <w:bCs/>
      </w:rPr>
    </w:tblStylePr>
    <w:tblStylePr w:type="band1Vert">
      <w:tblPr/>
      <w:tcPr>
        <w:tcBorders>
          <w:top w:val="single" w:sz="8" w:space="0" w:color="C9C9CA" w:themeColor="accent2"/>
          <w:left w:val="single" w:sz="8" w:space="0" w:color="C9C9CA" w:themeColor="accent2"/>
          <w:bottom w:val="single" w:sz="8" w:space="0" w:color="C9C9CA" w:themeColor="accent2"/>
          <w:right w:val="single" w:sz="8" w:space="0" w:color="C9C9CA" w:themeColor="accent2"/>
        </w:tcBorders>
      </w:tcPr>
    </w:tblStylePr>
    <w:tblStylePr w:type="band1Horz">
      <w:tblPr/>
      <w:tcPr>
        <w:tcBorders>
          <w:top w:val="single" w:sz="8" w:space="0" w:color="C9C9CA" w:themeColor="accent2"/>
          <w:left w:val="single" w:sz="8" w:space="0" w:color="C9C9CA" w:themeColor="accent2"/>
          <w:bottom w:val="single" w:sz="8" w:space="0" w:color="C9C9CA" w:themeColor="accent2"/>
          <w:right w:val="single" w:sz="8" w:space="0" w:color="C9C9CA" w:themeColor="accent2"/>
        </w:tcBorders>
      </w:tcPr>
    </w:tblStylePr>
  </w:style>
  <w:style w:type="table" w:styleId="LightList-Accent3">
    <w:name w:val="Light List Accent 3"/>
    <w:basedOn w:val="TableNormal"/>
    <w:uiPriority w:val="98"/>
    <w:semiHidden/>
    <w:unhideWhenUsed/>
    <w:rsid w:val="001F6DC1"/>
    <w:tblPr>
      <w:tblStyleRowBandSize w:val="1"/>
      <w:tblStyleColBandSize w:val="1"/>
      <w:tblBorders>
        <w:top w:val="single" w:sz="8" w:space="0" w:color="63D0DF" w:themeColor="accent3"/>
        <w:left w:val="single" w:sz="8" w:space="0" w:color="63D0DF" w:themeColor="accent3"/>
        <w:bottom w:val="single" w:sz="8" w:space="0" w:color="63D0DF" w:themeColor="accent3"/>
        <w:right w:val="single" w:sz="8" w:space="0" w:color="63D0DF" w:themeColor="accent3"/>
      </w:tblBorders>
    </w:tblPr>
    <w:tblStylePr w:type="firstRow">
      <w:pPr>
        <w:spacing w:before="0" w:after="0" w:line="240" w:lineRule="auto"/>
      </w:pPr>
      <w:rPr>
        <w:b/>
        <w:bCs/>
        <w:color w:val="FFFFFF" w:themeColor="background1"/>
      </w:rPr>
      <w:tblPr/>
      <w:tcPr>
        <w:shd w:val="clear" w:color="auto" w:fill="63D0DF" w:themeFill="accent3"/>
      </w:tcPr>
    </w:tblStylePr>
    <w:tblStylePr w:type="lastRow">
      <w:pPr>
        <w:spacing w:before="0" w:after="0" w:line="240" w:lineRule="auto"/>
      </w:pPr>
      <w:rPr>
        <w:b/>
        <w:bCs/>
      </w:rPr>
      <w:tblPr/>
      <w:tcPr>
        <w:tcBorders>
          <w:top w:val="double" w:sz="6" w:space="0" w:color="63D0DF" w:themeColor="accent3"/>
          <w:left w:val="single" w:sz="8" w:space="0" w:color="63D0DF" w:themeColor="accent3"/>
          <w:bottom w:val="single" w:sz="8" w:space="0" w:color="63D0DF" w:themeColor="accent3"/>
          <w:right w:val="single" w:sz="8" w:space="0" w:color="63D0DF" w:themeColor="accent3"/>
        </w:tcBorders>
      </w:tcPr>
    </w:tblStylePr>
    <w:tblStylePr w:type="firstCol">
      <w:rPr>
        <w:b/>
        <w:bCs/>
      </w:rPr>
    </w:tblStylePr>
    <w:tblStylePr w:type="lastCol">
      <w:rPr>
        <w:b/>
        <w:bCs/>
      </w:rPr>
    </w:tblStylePr>
    <w:tblStylePr w:type="band1Vert">
      <w:tblPr/>
      <w:tcPr>
        <w:tcBorders>
          <w:top w:val="single" w:sz="8" w:space="0" w:color="63D0DF" w:themeColor="accent3"/>
          <w:left w:val="single" w:sz="8" w:space="0" w:color="63D0DF" w:themeColor="accent3"/>
          <w:bottom w:val="single" w:sz="8" w:space="0" w:color="63D0DF" w:themeColor="accent3"/>
          <w:right w:val="single" w:sz="8" w:space="0" w:color="63D0DF" w:themeColor="accent3"/>
        </w:tcBorders>
      </w:tcPr>
    </w:tblStylePr>
    <w:tblStylePr w:type="band1Horz">
      <w:tblPr/>
      <w:tcPr>
        <w:tcBorders>
          <w:top w:val="single" w:sz="8" w:space="0" w:color="63D0DF" w:themeColor="accent3"/>
          <w:left w:val="single" w:sz="8" w:space="0" w:color="63D0DF" w:themeColor="accent3"/>
          <w:bottom w:val="single" w:sz="8" w:space="0" w:color="63D0DF" w:themeColor="accent3"/>
          <w:right w:val="single" w:sz="8" w:space="0" w:color="63D0DF" w:themeColor="accent3"/>
        </w:tcBorders>
      </w:tcPr>
    </w:tblStylePr>
  </w:style>
  <w:style w:type="table" w:styleId="LightList-Accent4">
    <w:name w:val="Light List Accent 4"/>
    <w:basedOn w:val="TableNormal"/>
    <w:uiPriority w:val="98"/>
    <w:semiHidden/>
    <w:unhideWhenUsed/>
    <w:rsid w:val="001F6DC1"/>
    <w:tblPr>
      <w:tblStyleRowBandSize w:val="1"/>
      <w:tblStyleColBandSize w:val="1"/>
      <w:tblBorders>
        <w:top w:val="single" w:sz="8" w:space="0" w:color="A1A1A1" w:themeColor="accent4"/>
        <w:left w:val="single" w:sz="8" w:space="0" w:color="A1A1A1" w:themeColor="accent4"/>
        <w:bottom w:val="single" w:sz="8" w:space="0" w:color="A1A1A1" w:themeColor="accent4"/>
        <w:right w:val="single" w:sz="8" w:space="0" w:color="A1A1A1" w:themeColor="accent4"/>
      </w:tblBorders>
    </w:tblPr>
    <w:tblStylePr w:type="firstRow">
      <w:pPr>
        <w:spacing w:before="0" w:after="0" w:line="240" w:lineRule="auto"/>
      </w:pPr>
      <w:rPr>
        <w:b/>
        <w:bCs/>
        <w:color w:val="FFFFFF" w:themeColor="background1"/>
      </w:rPr>
      <w:tblPr/>
      <w:tcPr>
        <w:shd w:val="clear" w:color="auto" w:fill="A1A1A1" w:themeFill="accent4"/>
      </w:tcPr>
    </w:tblStylePr>
    <w:tblStylePr w:type="lastRow">
      <w:pPr>
        <w:spacing w:before="0" w:after="0" w:line="240" w:lineRule="auto"/>
      </w:pPr>
      <w:rPr>
        <w:b/>
        <w:bCs/>
      </w:rPr>
      <w:tblPr/>
      <w:tcPr>
        <w:tcBorders>
          <w:top w:val="double" w:sz="6" w:space="0" w:color="A1A1A1" w:themeColor="accent4"/>
          <w:left w:val="single" w:sz="8" w:space="0" w:color="A1A1A1" w:themeColor="accent4"/>
          <w:bottom w:val="single" w:sz="8" w:space="0" w:color="A1A1A1" w:themeColor="accent4"/>
          <w:right w:val="single" w:sz="8" w:space="0" w:color="A1A1A1" w:themeColor="accent4"/>
        </w:tcBorders>
      </w:tcPr>
    </w:tblStylePr>
    <w:tblStylePr w:type="firstCol">
      <w:rPr>
        <w:b/>
        <w:bCs/>
      </w:rPr>
    </w:tblStylePr>
    <w:tblStylePr w:type="lastCol">
      <w:rPr>
        <w:b/>
        <w:bCs/>
      </w:rPr>
    </w:tblStylePr>
    <w:tblStylePr w:type="band1Vert">
      <w:tblPr/>
      <w:tcPr>
        <w:tcBorders>
          <w:top w:val="single" w:sz="8" w:space="0" w:color="A1A1A1" w:themeColor="accent4"/>
          <w:left w:val="single" w:sz="8" w:space="0" w:color="A1A1A1" w:themeColor="accent4"/>
          <w:bottom w:val="single" w:sz="8" w:space="0" w:color="A1A1A1" w:themeColor="accent4"/>
          <w:right w:val="single" w:sz="8" w:space="0" w:color="A1A1A1" w:themeColor="accent4"/>
        </w:tcBorders>
      </w:tcPr>
    </w:tblStylePr>
    <w:tblStylePr w:type="band1Horz">
      <w:tblPr/>
      <w:tcPr>
        <w:tcBorders>
          <w:top w:val="single" w:sz="8" w:space="0" w:color="A1A1A1" w:themeColor="accent4"/>
          <w:left w:val="single" w:sz="8" w:space="0" w:color="A1A1A1" w:themeColor="accent4"/>
          <w:bottom w:val="single" w:sz="8" w:space="0" w:color="A1A1A1" w:themeColor="accent4"/>
          <w:right w:val="single" w:sz="8" w:space="0" w:color="A1A1A1" w:themeColor="accent4"/>
        </w:tcBorders>
      </w:tcPr>
    </w:tblStylePr>
  </w:style>
  <w:style w:type="table" w:styleId="LightList-Accent5">
    <w:name w:val="Light List Accent 5"/>
    <w:basedOn w:val="TableNormal"/>
    <w:uiPriority w:val="98"/>
    <w:semiHidden/>
    <w:unhideWhenUsed/>
    <w:rsid w:val="001F6DC1"/>
    <w:tblPr>
      <w:tblStyleRowBandSize w:val="1"/>
      <w:tblStyleColBandSize w:val="1"/>
      <w:tblBorders>
        <w:top w:val="single" w:sz="8" w:space="0" w:color="63D0DF" w:themeColor="accent5"/>
        <w:left w:val="single" w:sz="8" w:space="0" w:color="63D0DF" w:themeColor="accent5"/>
        <w:bottom w:val="single" w:sz="8" w:space="0" w:color="63D0DF" w:themeColor="accent5"/>
        <w:right w:val="single" w:sz="8" w:space="0" w:color="63D0DF" w:themeColor="accent5"/>
      </w:tblBorders>
    </w:tblPr>
    <w:tblStylePr w:type="firstRow">
      <w:pPr>
        <w:spacing w:before="0" w:after="0" w:line="240" w:lineRule="auto"/>
      </w:pPr>
      <w:rPr>
        <w:b/>
        <w:bCs/>
        <w:color w:val="FFFFFF" w:themeColor="background1"/>
      </w:rPr>
      <w:tblPr/>
      <w:tcPr>
        <w:shd w:val="clear" w:color="auto" w:fill="63D0DF" w:themeFill="accent5"/>
      </w:tcPr>
    </w:tblStylePr>
    <w:tblStylePr w:type="lastRow">
      <w:pPr>
        <w:spacing w:before="0" w:after="0" w:line="240" w:lineRule="auto"/>
      </w:pPr>
      <w:rPr>
        <w:b/>
        <w:bCs/>
      </w:rPr>
      <w:tblPr/>
      <w:tcPr>
        <w:tcBorders>
          <w:top w:val="double" w:sz="6" w:space="0" w:color="63D0DF" w:themeColor="accent5"/>
          <w:left w:val="single" w:sz="8" w:space="0" w:color="63D0DF" w:themeColor="accent5"/>
          <w:bottom w:val="single" w:sz="8" w:space="0" w:color="63D0DF" w:themeColor="accent5"/>
          <w:right w:val="single" w:sz="8" w:space="0" w:color="63D0DF" w:themeColor="accent5"/>
        </w:tcBorders>
      </w:tcPr>
    </w:tblStylePr>
    <w:tblStylePr w:type="firstCol">
      <w:rPr>
        <w:b/>
        <w:bCs/>
      </w:rPr>
    </w:tblStylePr>
    <w:tblStylePr w:type="lastCol">
      <w:rPr>
        <w:b/>
        <w:bCs/>
      </w:rPr>
    </w:tblStylePr>
    <w:tblStylePr w:type="band1Vert">
      <w:tblPr/>
      <w:tcPr>
        <w:tcBorders>
          <w:top w:val="single" w:sz="8" w:space="0" w:color="63D0DF" w:themeColor="accent5"/>
          <w:left w:val="single" w:sz="8" w:space="0" w:color="63D0DF" w:themeColor="accent5"/>
          <w:bottom w:val="single" w:sz="8" w:space="0" w:color="63D0DF" w:themeColor="accent5"/>
          <w:right w:val="single" w:sz="8" w:space="0" w:color="63D0DF" w:themeColor="accent5"/>
        </w:tcBorders>
      </w:tcPr>
    </w:tblStylePr>
    <w:tblStylePr w:type="band1Horz">
      <w:tblPr/>
      <w:tcPr>
        <w:tcBorders>
          <w:top w:val="single" w:sz="8" w:space="0" w:color="63D0DF" w:themeColor="accent5"/>
          <w:left w:val="single" w:sz="8" w:space="0" w:color="63D0DF" w:themeColor="accent5"/>
          <w:bottom w:val="single" w:sz="8" w:space="0" w:color="63D0DF" w:themeColor="accent5"/>
          <w:right w:val="single" w:sz="8" w:space="0" w:color="63D0DF" w:themeColor="accent5"/>
        </w:tcBorders>
      </w:tcPr>
    </w:tblStylePr>
  </w:style>
  <w:style w:type="table" w:styleId="LightList-Accent6">
    <w:name w:val="Light List Accent 6"/>
    <w:basedOn w:val="TableNormal"/>
    <w:uiPriority w:val="98"/>
    <w:semiHidden/>
    <w:unhideWhenUsed/>
    <w:rsid w:val="001F6DC1"/>
    <w:tblPr>
      <w:tblStyleRowBandSize w:val="1"/>
      <w:tblStyleColBandSize w:val="1"/>
      <w:tblBorders>
        <w:top w:val="single" w:sz="8" w:space="0" w:color="A1A1A1" w:themeColor="accent6"/>
        <w:left w:val="single" w:sz="8" w:space="0" w:color="A1A1A1" w:themeColor="accent6"/>
        <w:bottom w:val="single" w:sz="8" w:space="0" w:color="A1A1A1" w:themeColor="accent6"/>
        <w:right w:val="single" w:sz="8" w:space="0" w:color="A1A1A1" w:themeColor="accent6"/>
      </w:tblBorders>
    </w:tblPr>
    <w:tblStylePr w:type="firstRow">
      <w:pPr>
        <w:spacing w:before="0" w:after="0" w:line="240" w:lineRule="auto"/>
      </w:pPr>
      <w:rPr>
        <w:b/>
        <w:bCs/>
        <w:color w:val="FFFFFF" w:themeColor="background1"/>
      </w:rPr>
      <w:tblPr/>
      <w:tcPr>
        <w:shd w:val="clear" w:color="auto" w:fill="A1A1A1" w:themeFill="accent6"/>
      </w:tcPr>
    </w:tblStylePr>
    <w:tblStylePr w:type="lastRow">
      <w:pPr>
        <w:spacing w:before="0" w:after="0" w:line="240" w:lineRule="auto"/>
      </w:pPr>
      <w:rPr>
        <w:b/>
        <w:bCs/>
      </w:rPr>
      <w:tblPr/>
      <w:tcPr>
        <w:tcBorders>
          <w:top w:val="double" w:sz="6" w:space="0" w:color="A1A1A1" w:themeColor="accent6"/>
          <w:left w:val="single" w:sz="8" w:space="0" w:color="A1A1A1" w:themeColor="accent6"/>
          <w:bottom w:val="single" w:sz="8" w:space="0" w:color="A1A1A1" w:themeColor="accent6"/>
          <w:right w:val="single" w:sz="8" w:space="0" w:color="A1A1A1" w:themeColor="accent6"/>
        </w:tcBorders>
      </w:tcPr>
    </w:tblStylePr>
    <w:tblStylePr w:type="firstCol">
      <w:rPr>
        <w:b/>
        <w:bCs/>
      </w:rPr>
    </w:tblStylePr>
    <w:tblStylePr w:type="lastCol">
      <w:rPr>
        <w:b/>
        <w:bCs/>
      </w:rPr>
    </w:tblStylePr>
    <w:tblStylePr w:type="band1Vert">
      <w:tblPr/>
      <w:tcPr>
        <w:tcBorders>
          <w:top w:val="single" w:sz="8" w:space="0" w:color="A1A1A1" w:themeColor="accent6"/>
          <w:left w:val="single" w:sz="8" w:space="0" w:color="A1A1A1" w:themeColor="accent6"/>
          <w:bottom w:val="single" w:sz="8" w:space="0" w:color="A1A1A1" w:themeColor="accent6"/>
          <w:right w:val="single" w:sz="8" w:space="0" w:color="A1A1A1" w:themeColor="accent6"/>
        </w:tcBorders>
      </w:tcPr>
    </w:tblStylePr>
    <w:tblStylePr w:type="band1Horz">
      <w:tblPr/>
      <w:tcPr>
        <w:tcBorders>
          <w:top w:val="single" w:sz="8" w:space="0" w:color="A1A1A1" w:themeColor="accent6"/>
          <w:left w:val="single" w:sz="8" w:space="0" w:color="A1A1A1" w:themeColor="accent6"/>
          <w:bottom w:val="single" w:sz="8" w:space="0" w:color="A1A1A1" w:themeColor="accent6"/>
          <w:right w:val="single" w:sz="8" w:space="0" w:color="A1A1A1" w:themeColor="accent6"/>
        </w:tcBorders>
      </w:tcPr>
    </w:tblStylePr>
  </w:style>
  <w:style w:type="table" w:styleId="LightShading">
    <w:name w:val="Light Shading"/>
    <w:basedOn w:val="TableNormal"/>
    <w:uiPriority w:val="98"/>
    <w:semiHidden/>
    <w:unhideWhenUsed/>
    <w:rsid w:val="001F6DC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semiHidden/>
    <w:unhideWhenUsed/>
    <w:rsid w:val="001F6DC1"/>
    <w:rPr>
      <w:color w:val="29B4C7" w:themeColor="accent1" w:themeShade="BF"/>
    </w:rPr>
    <w:tblPr>
      <w:tblStyleRowBandSize w:val="1"/>
      <w:tblStyleColBandSize w:val="1"/>
      <w:tblBorders>
        <w:top w:val="single" w:sz="8" w:space="0" w:color="63D0DF" w:themeColor="accent1"/>
        <w:bottom w:val="single" w:sz="8" w:space="0" w:color="63D0DF" w:themeColor="accent1"/>
      </w:tblBorders>
    </w:tblPr>
    <w:tblStylePr w:type="firstRow">
      <w:pPr>
        <w:spacing w:before="0" w:after="0" w:line="240" w:lineRule="auto"/>
      </w:pPr>
      <w:rPr>
        <w:b/>
        <w:bCs/>
      </w:rPr>
      <w:tblPr/>
      <w:tcPr>
        <w:tcBorders>
          <w:top w:val="single" w:sz="8" w:space="0" w:color="63D0DF" w:themeColor="accent1"/>
          <w:left w:val="nil"/>
          <w:bottom w:val="single" w:sz="8" w:space="0" w:color="63D0DF" w:themeColor="accent1"/>
          <w:right w:val="nil"/>
          <w:insideH w:val="nil"/>
          <w:insideV w:val="nil"/>
        </w:tcBorders>
      </w:tcPr>
    </w:tblStylePr>
    <w:tblStylePr w:type="lastRow">
      <w:pPr>
        <w:spacing w:before="0" w:after="0" w:line="240" w:lineRule="auto"/>
      </w:pPr>
      <w:rPr>
        <w:b/>
        <w:bCs/>
      </w:rPr>
      <w:tblPr/>
      <w:tcPr>
        <w:tcBorders>
          <w:top w:val="single" w:sz="8" w:space="0" w:color="63D0DF" w:themeColor="accent1"/>
          <w:left w:val="nil"/>
          <w:bottom w:val="single" w:sz="8" w:space="0" w:color="63D0D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3F7" w:themeFill="accent1" w:themeFillTint="3F"/>
      </w:tcPr>
    </w:tblStylePr>
    <w:tblStylePr w:type="band1Horz">
      <w:tblPr/>
      <w:tcPr>
        <w:tcBorders>
          <w:left w:val="nil"/>
          <w:right w:val="nil"/>
          <w:insideH w:val="nil"/>
          <w:insideV w:val="nil"/>
        </w:tcBorders>
        <w:shd w:val="clear" w:color="auto" w:fill="D8F3F7" w:themeFill="accent1" w:themeFillTint="3F"/>
      </w:tcPr>
    </w:tblStylePr>
  </w:style>
  <w:style w:type="table" w:styleId="LightShading-Accent2">
    <w:name w:val="Light Shading Accent 2"/>
    <w:basedOn w:val="TableNormal"/>
    <w:uiPriority w:val="98"/>
    <w:semiHidden/>
    <w:unhideWhenUsed/>
    <w:rsid w:val="001F6DC1"/>
    <w:rPr>
      <w:color w:val="959597" w:themeColor="accent2" w:themeShade="BF"/>
    </w:rPr>
    <w:tblPr>
      <w:tblStyleRowBandSize w:val="1"/>
      <w:tblStyleColBandSize w:val="1"/>
      <w:tblBorders>
        <w:top w:val="single" w:sz="8" w:space="0" w:color="C9C9CA" w:themeColor="accent2"/>
        <w:bottom w:val="single" w:sz="8" w:space="0" w:color="C9C9CA" w:themeColor="accent2"/>
      </w:tblBorders>
    </w:tblPr>
    <w:tblStylePr w:type="firstRow">
      <w:pPr>
        <w:spacing w:before="0" w:after="0" w:line="240" w:lineRule="auto"/>
      </w:pPr>
      <w:rPr>
        <w:b/>
        <w:bCs/>
      </w:rPr>
      <w:tblPr/>
      <w:tcPr>
        <w:tcBorders>
          <w:top w:val="single" w:sz="8" w:space="0" w:color="C9C9CA" w:themeColor="accent2"/>
          <w:left w:val="nil"/>
          <w:bottom w:val="single" w:sz="8" w:space="0" w:color="C9C9CA" w:themeColor="accent2"/>
          <w:right w:val="nil"/>
          <w:insideH w:val="nil"/>
          <w:insideV w:val="nil"/>
        </w:tcBorders>
      </w:tcPr>
    </w:tblStylePr>
    <w:tblStylePr w:type="lastRow">
      <w:pPr>
        <w:spacing w:before="0" w:after="0" w:line="240" w:lineRule="auto"/>
      </w:pPr>
      <w:rPr>
        <w:b/>
        <w:bCs/>
      </w:rPr>
      <w:tblPr/>
      <w:tcPr>
        <w:tcBorders>
          <w:top w:val="single" w:sz="8" w:space="0" w:color="C9C9CA" w:themeColor="accent2"/>
          <w:left w:val="nil"/>
          <w:bottom w:val="single" w:sz="8" w:space="0" w:color="C9C9C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2" w:themeFillTint="3F"/>
      </w:tcPr>
    </w:tblStylePr>
    <w:tblStylePr w:type="band1Horz">
      <w:tblPr/>
      <w:tcPr>
        <w:tcBorders>
          <w:left w:val="nil"/>
          <w:right w:val="nil"/>
          <w:insideH w:val="nil"/>
          <w:insideV w:val="nil"/>
        </w:tcBorders>
        <w:shd w:val="clear" w:color="auto" w:fill="F1F1F1" w:themeFill="accent2" w:themeFillTint="3F"/>
      </w:tcPr>
    </w:tblStylePr>
  </w:style>
  <w:style w:type="table" w:styleId="LightShading-Accent3">
    <w:name w:val="Light Shading Accent 3"/>
    <w:basedOn w:val="TableNormal"/>
    <w:uiPriority w:val="98"/>
    <w:semiHidden/>
    <w:unhideWhenUsed/>
    <w:rsid w:val="001F6DC1"/>
    <w:rPr>
      <w:color w:val="29B4C7" w:themeColor="accent3" w:themeShade="BF"/>
    </w:rPr>
    <w:tblPr>
      <w:tblStyleRowBandSize w:val="1"/>
      <w:tblStyleColBandSize w:val="1"/>
      <w:tblBorders>
        <w:top w:val="single" w:sz="8" w:space="0" w:color="63D0DF" w:themeColor="accent3"/>
        <w:bottom w:val="single" w:sz="8" w:space="0" w:color="63D0DF" w:themeColor="accent3"/>
      </w:tblBorders>
    </w:tblPr>
    <w:tblStylePr w:type="firstRow">
      <w:pPr>
        <w:spacing w:before="0" w:after="0" w:line="240" w:lineRule="auto"/>
      </w:pPr>
      <w:rPr>
        <w:b/>
        <w:bCs/>
      </w:rPr>
      <w:tblPr/>
      <w:tcPr>
        <w:tcBorders>
          <w:top w:val="single" w:sz="8" w:space="0" w:color="63D0DF" w:themeColor="accent3"/>
          <w:left w:val="nil"/>
          <w:bottom w:val="single" w:sz="8" w:space="0" w:color="63D0DF" w:themeColor="accent3"/>
          <w:right w:val="nil"/>
          <w:insideH w:val="nil"/>
          <w:insideV w:val="nil"/>
        </w:tcBorders>
      </w:tcPr>
    </w:tblStylePr>
    <w:tblStylePr w:type="lastRow">
      <w:pPr>
        <w:spacing w:before="0" w:after="0" w:line="240" w:lineRule="auto"/>
      </w:pPr>
      <w:rPr>
        <w:b/>
        <w:bCs/>
      </w:rPr>
      <w:tblPr/>
      <w:tcPr>
        <w:tcBorders>
          <w:top w:val="single" w:sz="8" w:space="0" w:color="63D0DF" w:themeColor="accent3"/>
          <w:left w:val="nil"/>
          <w:bottom w:val="single" w:sz="8" w:space="0" w:color="63D0D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3F7" w:themeFill="accent3" w:themeFillTint="3F"/>
      </w:tcPr>
    </w:tblStylePr>
    <w:tblStylePr w:type="band1Horz">
      <w:tblPr/>
      <w:tcPr>
        <w:tcBorders>
          <w:left w:val="nil"/>
          <w:right w:val="nil"/>
          <w:insideH w:val="nil"/>
          <w:insideV w:val="nil"/>
        </w:tcBorders>
        <w:shd w:val="clear" w:color="auto" w:fill="D8F3F7" w:themeFill="accent3" w:themeFillTint="3F"/>
      </w:tcPr>
    </w:tblStylePr>
  </w:style>
  <w:style w:type="table" w:styleId="LightShading-Accent4">
    <w:name w:val="Light Shading Accent 4"/>
    <w:basedOn w:val="TableNormal"/>
    <w:uiPriority w:val="98"/>
    <w:semiHidden/>
    <w:unhideWhenUsed/>
    <w:rsid w:val="001F6DC1"/>
    <w:rPr>
      <w:color w:val="787878" w:themeColor="accent4" w:themeShade="BF"/>
    </w:rPr>
    <w:tblPr>
      <w:tblStyleRowBandSize w:val="1"/>
      <w:tblStyleColBandSize w:val="1"/>
      <w:tblBorders>
        <w:top w:val="single" w:sz="8" w:space="0" w:color="A1A1A1" w:themeColor="accent4"/>
        <w:bottom w:val="single" w:sz="8" w:space="0" w:color="A1A1A1" w:themeColor="accent4"/>
      </w:tblBorders>
    </w:tblPr>
    <w:tblStylePr w:type="firstRow">
      <w:pPr>
        <w:spacing w:before="0" w:after="0" w:line="240" w:lineRule="auto"/>
      </w:pPr>
      <w:rPr>
        <w:b/>
        <w:bCs/>
      </w:rPr>
      <w:tblPr/>
      <w:tcPr>
        <w:tcBorders>
          <w:top w:val="single" w:sz="8" w:space="0" w:color="A1A1A1" w:themeColor="accent4"/>
          <w:left w:val="nil"/>
          <w:bottom w:val="single" w:sz="8" w:space="0" w:color="A1A1A1" w:themeColor="accent4"/>
          <w:right w:val="nil"/>
          <w:insideH w:val="nil"/>
          <w:insideV w:val="nil"/>
        </w:tcBorders>
      </w:tcPr>
    </w:tblStylePr>
    <w:tblStylePr w:type="lastRow">
      <w:pPr>
        <w:spacing w:before="0" w:after="0" w:line="240" w:lineRule="auto"/>
      </w:pPr>
      <w:rPr>
        <w:b/>
        <w:bCs/>
      </w:rPr>
      <w:tblPr/>
      <w:tcPr>
        <w:tcBorders>
          <w:top w:val="single" w:sz="8" w:space="0" w:color="A1A1A1" w:themeColor="accent4"/>
          <w:left w:val="nil"/>
          <w:bottom w:val="single" w:sz="8" w:space="0" w:color="A1A1A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7E7" w:themeFill="accent4" w:themeFillTint="3F"/>
      </w:tcPr>
    </w:tblStylePr>
    <w:tblStylePr w:type="band1Horz">
      <w:tblPr/>
      <w:tcPr>
        <w:tcBorders>
          <w:left w:val="nil"/>
          <w:right w:val="nil"/>
          <w:insideH w:val="nil"/>
          <w:insideV w:val="nil"/>
        </w:tcBorders>
        <w:shd w:val="clear" w:color="auto" w:fill="E7E7E7" w:themeFill="accent4" w:themeFillTint="3F"/>
      </w:tcPr>
    </w:tblStylePr>
  </w:style>
  <w:style w:type="table" w:styleId="LightShading-Accent5">
    <w:name w:val="Light Shading Accent 5"/>
    <w:basedOn w:val="TableNormal"/>
    <w:uiPriority w:val="98"/>
    <w:semiHidden/>
    <w:unhideWhenUsed/>
    <w:rsid w:val="001F6DC1"/>
    <w:rPr>
      <w:color w:val="29B4C7" w:themeColor="accent5" w:themeShade="BF"/>
    </w:rPr>
    <w:tblPr>
      <w:tblStyleRowBandSize w:val="1"/>
      <w:tblStyleColBandSize w:val="1"/>
      <w:tblBorders>
        <w:top w:val="single" w:sz="8" w:space="0" w:color="63D0DF" w:themeColor="accent5"/>
        <w:bottom w:val="single" w:sz="8" w:space="0" w:color="63D0DF" w:themeColor="accent5"/>
      </w:tblBorders>
    </w:tblPr>
    <w:tblStylePr w:type="firstRow">
      <w:pPr>
        <w:spacing w:before="0" w:after="0" w:line="240" w:lineRule="auto"/>
      </w:pPr>
      <w:rPr>
        <w:b/>
        <w:bCs/>
      </w:rPr>
      <w:tblPr/>
      <w:tcPr>
        <w:tcBorders>
          <w:top w:val="single" w:sz="8" w:space="0" w:color="63D0DF" w:themeColor="accent5"/>
          <w:left w:val="nil"/>
          <w:bottom w:val="single" w:sz="8" w:space="0" w:color="63D0DF" w:themeColor="accent5"/>
          <w:right w:val="nil"/>
          <w:insideH w:val="nil"/>
          <w:insideV w:val="nil"/>
        </w:tcBorders>
      </w:tcPr>
    </w:tblStylePr>
    <w:tblStylePr w:type="lastRow">
      <w:pPr>
        <w:spacing w:before="0" w:after="0" w:line="240" w:lineRule="auto"/>
      </w:pPr>
      <w:rPr>
        <w:b/>
        <w:bCs/>
      </w:rPr>
      <w:tblPr/>
      <w:tcPr>
        <w:tcBorders>
          <w:top w:val="single" w:sz="8" w:space="0" w:color="63D0DF" w:themeColor="accent5"/>
          <w:left w:val="nil"/>
          <w:bottom w:val="single" w:sz="8" w:space="0" w:color="63D0D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3F7" w:themeFill="accent5" w:themeFillTint="3F"/>
      </w:tcPr>
    </w:tblStylePr>
    <w:tblStylePr w:type="band1Horz">
      <w:tblPr/>
      <w:tcPr>
        <w:tcBorders>
          <w:left w:val="nil"/>
          <w:right w:val="nil"/>
          <w:insideH w:val="nil"/>
          <w:insideV w:val="nil"/>
        </w:tcBorders>
        <w:shd w:val="clear" w:color="auto" w:fill="D8F3F7" w:themeFill="accent5" w:themeFillTint="3F"/>
      </w:tcPr>
    </w:tblStylePr>
  </w:style>
  <w:style w:type="table" w:styleId="LightShading-Accent6">
    <w:name w:val="Light Shading Accent 6"/>
    <w:basedOn w:val="TableNormal"/>
    <w:uiPriority w:val="98"/>
    <w:semiHidden/>
    <w:unhideWhenUsed/>
    <w:rsid w:val="001F6DC1"/>
    <w:rPr>
      <w:color w:val="787878" w:themeColor="accent6" w:themeShade="BF"/>
    </w:rPr>
    <w:tblPr>
      <w:tblStyleRowBandSize w:val="1"/>
      <w:tblStyleColBandSize w:val="1"/>
      <w:tblBorders>
        <w:top w:val="single" w:sz="8" w:space="0" w:color="A1A1A1" w:themeColor="accent6"/>
        <w:bottom w:val="single" w:sz="8" w:space="0" w:color="A1A1A1" w:themeColor="accent6"/>
      </w:tblBorders>
    </w:tblPr>
    <w:tblStylePr w:type="firstRow">
      <w:pPr>
        <w:spacing w:before="0" w:after="0" w:line="240" w:lineRule="auto"/>
      </w:pPr>
      <w:rPr>
        <w:b/>
        <w:bCs/>
      </w:rPr>
      <w:tblPr/>
      <w:tcPr>
        <w:tcBorders>
          <w:top w:val="single" w:sz="8" w:space="0" w:color="A1A1A1" w:themeColor="accent6"/>
          <w:left w:val="nil"/>
          <w:bottom w:val="single" w:sz="8" w:space="0" w:color="A1A1A1" w:themeColor="accent6"/>
          <w:right w:val="nil"/>
          <w:insideH w:val="nil"/>
          <w:insideV w:val="nil"/>
        </w:tcBorders>
      </w:tcPr>
    </w:tblStylePr>
    <w:tblStylePr w:type="lastRow">
      <w:pPr>
        <w:spacing w:before="0" w:after="0" w:line="240" w:lineRule="auto"/>
      </w:pPr>
      <w:rPr>
        <w:b/>
        <w:bCs/>
      </w:rPr>
      <w:tblPr/>
      <w:tcPr>
        <w:tcBorders>
          <w:top w:val="single" w:sz="8" w:space="0" w:color="A1A1A1" w:themeColor="accent6"/>
          <w:left w:val="nil"/>
          <w:bottom w:val="single" w:sz="8" w:space="0" w:color="A1A1A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7E7" w:themeFill="accent6" w:themeFillTint="3F"/>
      </w:tcPr>
    </w:tblStylePr>
    <w:tblStylePr w:type="band1Horz">
      <w:tblPr/>
      <w:tcPr>
        <w:tcBorders>
          <w:left w:val="nil"/>
          <w:right w:val="nil"/>
          <w:insideH w:val="nil"/>
          <w:insideV w:val="nil"/>
        </w:tcBorders>
        <w:shd w:val="clear" w:color="auto" w:fill="E7E7E7" w:themeFill="accent6" w:themeFillTint="3F"/>
      </w:tcPr>
    </w:tblStylePr>
  </w:style>
  <w:style w:type="table" w:styleId="ListTable7Colorful-Accent6">
    <w:name w:val="List Table 7 Colorful Accent 6"/>
    <w:basedOn w:val="TableNormal"/>
    <w:uiPriority w:val="98"/>
    <w:semiHidden/>
    <w:rsid w:val="001F6DC1"/>
    <w:rPr>
      <w:color w:val="78787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1A1A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1A1A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1A1A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1A1A1" w:themeColor="accent6"/>
        </w:tcBorders>
        <w:shd w:val="clear" w:color="auto" w:fill="FFFFFF" w:themeFill="background1"/>
      </w:tcPr>
    </w:tblStylePr>
    <w:tblStylePr w:type="band1Vert">
      <w:tblPr/>
      <w:tcPr>
        <w:shd w:val="clear" w:color="auto" w:fill="ECECEC" w:themeFill="accent6" w:themeFillTint="33"/>
      </w:tcPr>
    </w:tblStylePr>
    <w:tblStylePr w:type="band1Horz">
      <w:tblPr/>
      <w:tcPr>
        <w:shd w:val="clear" w:color="auto" w:fill="ECECE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98"/>
    <w:semiHidden/>
    <w:unhideWhenUsed/>
    <w:rsid w:val="001F6DC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semiHidden/>
    <w:unhideWhenUsed/>
    <w:rsid w:val="001F6DC1"/>
    <w:tblPr>
      <w:tblStyleRowBandSize w:val="1"/>
      <w:tblStyleColBandSize w:val="1"/>
      <w:tblBorders>
        <w:top w:val="single" w:sz="8" w:space="0" w:color="8ADBE7" w:themeColor="accent1" w:themeTint="BF"/>
        <w:left w:val="single" w:sz="8" w:space="0" w:color="8ADBE7" w:themeColor="accent1" w:themeTint="BF"/>
        <w:bottom w:val="single" w:sz="8" w:space="0" w:color="8ADBE7" w:themeColor="accent1" w:themeTint="BF"/>
        <w:right w:val="single" w:sz="8" w:space="0" w:color="8ADBE7" w:themeColor="accent1" w:themeTint="BF"/>
        <w:insideH w:val="single" w:sz="8" w:space="0" w:color="8ADBE7" w:themeColor="accent1" w:themeTint="BF"/>
        <w:insideV w:val="single" w:sz="8" w:space="0" w:color="8ADBE7" w:themeColor="accent1" w:themeTint="BF"/>
      </w:tblBorders>
    </w:tblPr>
    <w:tcPr>
      <w:shd w:val="clear" w:color="auto" w:fill="D8F3F7" w:themeFill="accent1" w:themeFillTint="3F"/>
    </w:tcPr>
    <w:tblStylePr w:type="firstRow">
      <w:rPr>
        <w:b/>
        <w:bCs/>
      </w:rPr>
    </w:tblStylePr>
    <w:tblStylePr w:type="lastRow">
      <w:rPr>
        <w:b/>
        <w:bCs/>
      </w:rPr>
      <w:tblPr/>
      <w:tcPr>
        <w:tcBorders>
          <w:top w:val="single" w:sz="18" w:space="0" w:color="8ADBE7" w:themeColor="accent1" w:themeTint="BF"/>
        </w:tcBorders>
      </w:tcPr>
    </w:tblStylePr>
    <w:tblStylePr w:type="firstCol">
      <w:rPr>
        <w:b/>
        <w:bCs/>
      </w:rPr>
    </w:tblStylePr>
    <w:tblStylePr w:type="lastCol">
      <w:rPr>
        <w:b/>
        <w:bCs/>
      </w:rPr>
    </w:tblStylePr>
    <w:tblStylePr w:type="band1Vert">
      <w:tblPr/>
      <w:tcPr>
        <w:shd w:val="clear" w:color="auto" w:fill="B1E7EF" w:themeFill="accent1" w:themeFillTint="7F"/>
      </w:tcPr>
    </w:tblStylePr>
    <w:tblStylePr w:type="band1Horz">
      <w:tblPr/>
      <w:tcPr>
        <w:shd w:val="clear" w:color="auto" w:fill="B1E7EF" w:themeFill="accent1" w:themeFillTint="7F"/>
      </w:tcPr>
    </w:tblStylePr>
  </w:style>
  <w:style w:type="table" w:styleId="MediumGrid1-Accent2">
    <w:name w:val="Medium Grid 1 Accent 2"/>
    <w:basedOn w:val="TableNormal"/>
    <w:uiPriority w:val="98"/>
    <w:semiHidden/>
    <w:unhideWhenUsed/>
    <w:rsid w:val="001F6DC1"/>
    <w:tblPr>
      <w:tblStyleRowBandSize w:val="1"/>
      <w:tblStyleColBandSize w:val="1"/>
      <w:tblBorders>
        <w:top w:val="single" w:sz="8" w:space="0" w:color="D6D6D7" w:themeColor="accent2" w:themeTint="BF"/>
        <w:left w:val="single" w:sz="8" w:space="0" w:color="D6D6D7" w:themeColor="accent2" w:themeTint="BF"/>
        <w:bottom w:val="single" w:sz="8" w:space="0" w:color="D6D6D7" w:themeColor="accent2" w:themeTint="BF"/>
        <w:right w:val="single" w:sz="8" w:space="0" w:color="D6D6D7" w:themeColor="accent2" w:themeTint="BF"/>
        <w:insideH w:val="single" w:sz="8" w:space="0" w:color="D6D6D7" w:themeColor="accent2" w:themeTint="BF"/>
        <w:insideV w:val="single" w:sz="8" w:space="0" w:color="D6D6D7" w:themeColor="accent2" w:themeTint="BF"/>
      </w:tblBorders>
    </w:tblPr>
    <w:tcPr>
      <w:shd w:val="clear" w:color="auto" w:fill="F1F1F1" w:themeFill="accent2" w:themeFillTint="3F"/>
    </w:tcPr>
    <w:tblStylePr w:type="firstRow">
      <w:rPr>
        <w:b/>
        <w:bCs/>
      </w:rPr>
    </w:tblStylePr>
    <w:tblStylePr w:type="lastRow">
      <w:rPr>
        <w:b/>
        <w:bCs/>
      </w:rPr>
      <w:tblPr/>
      <w:tcPr>
        <w:tcBorders>
          <w:top w:val="single" w:sz="18" w:space="0" w:color="D6D6D7" w:themeColor="accent2" w:themeTint="BF"/>
        </w:tcBorders>
      </w:tcPr>
    </w:tblStylePr>
    <w:tblStylePr w:type="firstCol">
      <w:rPr>
        <w:b/>
        <w:bCs/>
      </w:rPr>
    </w:tblStylePr>
    <w:tblStylePr w:type="lastCol">
      <w:rPr>
        <w:b/>
        <w:bCs/>
      </w:rPr>
    </w:tblStylePr>
    <w:tblStylePr w:type="band1Vert">
      <w:tblPr/>
      <w:tcPr>
        <w:shd w:val="clear" w:color="auto" w:fill="E4E4E4" w:themeFill="accent2" w:themeFillTint="7F"/>
      </w:tcPr>
    </w:tblStylePr>
    <w:tblStylePr w:type="band1Horz">
      <w:tblPr/>
      <w:tcPr>
        <w:shd w:val="clear" w:color="auto" w:fill="E4E4E4" w:themeFill="accent2" w:themeFillTint="7F"/>
      </w:tcPr>
    </w:tblStylePr>
  </w:style>
  <w:style w:type="table" w:styleId="MediumGrid1-Accent3">
    <w:name w:val="Medium Grid 1 Accent 3"/>
    <w:basedOn w:val="TableNormal"/>
    <w:uiPriority w:val="98"/>
    <w:semiHidden/>
    <w:unhideWhenUsed/>
    <w:rsid w:val="001F6DC1"/>
    <w:tblPr>
      <w:tblStyleRowBandSize w:val="1"/>
      <w:tblStyleColBandSize w:val="1"/>
      <w:tblBorders>
        <w:top w:val="single" w:sz="8" w:space="0" w:color="8ADBE7" w:themeColor="accent3" w:themeTint="BF"/>
        <w:left w:val="single" w:sz="8" w:space="0" w:color="8ADBE7" w:themeColor="accent3" w:themeTint="BF"/>
        <w:bottom w:val="single" w:sz="8" w:space="0" w:color="8ADBE7" w:themeColor="accent3" w:themeTint="BF"/>
        <w:right w:val="single" w:sz="8" w:space="0" w:color="8ADBE7" w:themeColor="accent3" w:themeTint="BF"/>
        <w:insideH w:val="single" w:sz="8" w:space="0" w:color="8ADBE7" w:themeColor="accent3" w:themeTint="BF"/>
        <w:insideV w:val="single" w:sz="8" w:space="0" w:color="8ADBE7" w:themeColor="accent3" w:themeTint="BF"/>
      </w:tblBorders>
    </w:tblPr>
    <w:tcPr>
      <w:shd w:val="clear" w:color="auto" w:fill="D8F3F7" w:themeFill="accent3" w:themeFillTint="3F"/>
    </w:tcPr>
    <w:tblStylePr w:type="firstRow">
      <w:rPr>
        <w:b/>
        <w:bCs/>
      </w:rPr>
    </w:tblStylePr>
    <w:tblStylePr w:type="lastRow">
      <w:rPr>
        <w:b/>
        <w:bCs/>
      </w:rPr>
      <w:tblPr/>
      <w:tcPr>
        <w:tcBorders>
          <w:top w:val="single" w:sz="18" w:space="0" w:color="8ADBE7" w:themeColor="accent3" w:themeTint="BF"/>
        </w:tcBorders>
      </w:tcPr>
    </w:tblStylePr>
    <w:tblStylePr w:type="firstCol">
      <w:rPr>
        <w:b/>
        <w:bCs/>
      </w:rPr>
    </w:tblStylePr>
    <w:tblStylePr w:type="lastCol">
      <w:rPr>
        <w:b/>
        <w:bCs/>
      </w:rPr>
    </w:tblStylePr>
    <w:tblStylePr w:type="band1Vert">
      <w:tblPr/>
      <w:tcPr>
        <w:shd w:val="clear" w:color="auto" w:fill="B1E7EF" w:themeFill="accent3" w:themeFillTint="7F"/>
      </w:tcPr>
    </w:tblStylePr>
    <w:tblStylePr w:type="band1Horz">
      <w:tblPr/>
      <w:tcPr>
        <w:shd w:val="clear" w:color="auto" w:fill="B1E7EF" w:themeFill="accent3" w:themeFillTint="7F"/>
      </w:tcPr>
    </w:tblStylePr>
  </w:style>
  <w:style w:type="table" w:styleId="MediumGrid1-Accent4">
    <w:name w:val="Medium Grid 1 Accent 4"/>
    <w:basedOn w:val="TableNormal"/>
    <w:uiPriority w:val="98"/>
    <w:semiHidden/>
    <w:unhideWhenUsed/>
    <w:rsid w:val="001F6DC1"/>
    <w:tblPr>
      <w:tblStyleRowBandSize w:val="1"/>
      <w:tblStyleColBandSize w:val="1"/>
      <w:tblBorders>
        <w:top w:val="single" w:sz="8" w:space="0" w:color="B8B8B8" w:themeColor="accent4" w:themeTint="BF"/>
        <w:left w:val="single" w:sz="8" w:space="0" w:color="B8B8B8" w:themeColor="accent4" w:themeTint="BF"/>
        <w:bottom w:val="single" w:sz="8" w:space="0" w:color="B8B8B8" w:themeColor="accent4" w:themeTint="BF"/>
        <w:right w:val="single" w:sz="8" w:space="0" w:color="B8B8B8" w:themeColor="accent4" w:themeTint="BF"/>
        <w:insideH w:val="single" w:sz="8" w:space="0" w:color="B8B8B8" w:themeColor="accent4" w:themeTint="BF"/>
        <w:insideV w:val="single" w:sz="8" w:space="0" w:color="B8B8B8" w:themeColor="accent4" w:themeTint="BF"/>
      </w:tblBorders>
    </w:tblPr>
    <w:tcPr>
      <w:shd w:val="clear" w:color="auto" w:fill="E7E7E7" w:themeFill="accent4" w:themeFillTint="3F"/>
    </w:tcPr>
    <w:tblStylePr w:type="firstRow">
      <w:rPr>
        <w:b/>
        <w:bCs/>
      </w:rPr>
    </w:tblStylePr>
    <w:tblStylePr w:type="lastRow">
      <w:rPr>
        <w:b/>
        <w:bCs/>
      </w:rPr>
      <w:tblPr/>
      <w:tcPr>
        <w:tcBorders>
          <w:top w:val="single" w:sz="18" w:space="0" w:color="B8B8B8" w:themeColor="accent4" w:themeTint="BF"/>
        </w:tcBorders>
      </w:tcPr>
    </w:tblStylePr>
    <w:tblStylePr w:type="firstCol">
      <w:rPr>
        <w:b/>
        <w:bCs/>
      </w:rPr>
    </w:tblStylePr>
    <w:tblStylePr w:type="lastCol">
      <w:rPr>
        <w:b/>
        <w:bCs/>
      </w:rPr>
    </w:tblStylePr>
    <w:tblStylePr w:type="band1Vert">
      <w:tblPr/>
      <w:tcPr>
        <w:shd w:val="clear" w:color="auto" w:fill="D0D0D0" w:themeFill="accent4" w:themeFillTint="7F"/>
      </w:tcPr>
    </w:tblStylePr>
    <w:tblStylePr w:type="band1Horz">
      <w:tblPr/>
      <w:tcPr>
        <w:shd w:val="clear" w:color="auto" w:fill="D0D0D0" w:themeFill="accent4" w:themeFillTint="7F"/>
      </w:tcPr>
    </w:tblStylePr>
  </w:style>
  <w:style w:type="table" w:styleId="MediumGrid1-Accent5">
    <w:name w:val="Medium Grid 1 Accent 5"/>
    <w:basedOn w:val="TableNormal"/>
    <w:uiPriority w:val="98"/>
    <w:semiHidden/>
    <w:unhideWhenUsed/>
    <w:rsid w:val="001F6DC1"/>
    <w:tblPr>
      <w:tblStyleRowBandSize w:val="1"/>
      <w:tblStyleColBandSize w:val="1"/>
      <w:tblBorders>
        <w:top w:val="single" w:sz="8" w:space="0" w:color="8ADBE7" w:themeColor="accent5" w:themeTint="BF"/>
        <w:left w:val="single" w:sz="8" w:space="0" w:color="8ADBE7" w:themeColor="accent5" w:themeTint="BF"/>
        <w:bottom w:val="single" w:sz="8" w:space="0" w:color="8ADBE7" w:themeColor="accent5" w:themeTint="BF"/>
        <w:right w:val="single" w:sz="8" w:space="0" w:color="8ADBE7" w:themeColor="accent5" w:themeTint="BF"/>
        <w:insideH w:val="single" w:sz="8" w:space="0" w:color="8ADBE7" w:themeColor="accent5" w:themeTint="BF"/>
        <w:insideV w:val="single" w:sz="8" w:space="0" w:color="8ADBE7" w:themeColor="accent5" w:themeTint="BF"/>
      </w:tblBorders>
    </w:tblPr>
    <w:tcPr>
      <w:shd w:val="clear" w:color="auto" w:fill="D8F3F7" w:themeFill="accent5" w:themeFillTint="3F"/>
    </w:tcPr>
    <w:tblStylePr w:type="firstRow">
      <w:rPr>
        <w:b/>
        <w:bCs/>
      </w:rPr>
    </w:tblStylePr>
    <w:tblStylePr w:type="lastRow">
      <w:rPr>
        <w:b/>
        <w:bCs/>
      </w:rPr>
      <w:tblPr/>
      <w:tcPr>
        <w:tcBorders>
          <w:top w:val="single" w:sz="18" w:space="0" w:color="8ADBE7" w:themeColor="accent5" w:themeTint="BF"/>
        </w:tcBorders>
      </w:tcPr>
    </w:tblStylePr>
    <w:tblStylePr w:type="firstCol">
      <w:rPr>
        <w:b/>
        <w:bCs/>
      </w:rPr>
    </w:tblStylePr>
    <w:tblStylePr w:type="lastCol">
      <w:rPr>
        <w:b/>
        <w:bCs/>
      </w:rPr>
    </w:tblStylePr>
    <w:tblStylePr w:type="band1Vert">
      <w:tblPr/>
      <w:tcPr>
        <w:shd w:val="clear" w:color="auto" w:fill="B1E7EF" w:themeFill="accent5" w:themeFillTint="7F"/>
      </w:tcPr>
    </w:tblStylePr>
    <w:tblStylePr w:type="band1Horz">
      <w:tblPr/>
      <w:tcPr>
        <w:shd w:val="clear" w:color="auto" w:fill="B1E7EF" w:themeFill="accent5" w:themeFillTint="7F"/>
      </w:tcPr>
    </w:tblStylePr>
  </w:style>
  <w:style w:type="table" w:styleId="MediumGrid1-Accent6">
    <w:name w:val="Medium Grid 1 Accent 6"/>
    <w:basedOn w:val="TableNormal"/>
    <w:uiPriority w:val="98"/>
    <w:semiHidden/>
    <w:unhideWhenUsed/>
    <w:rsid w:val="001F6DC1"/>
    <w:tblPr>
      <w:tblStyleRowBandSize w:val="1"/>
      <w:tblStyleColBandSize w:val="1"/>
      <w:tblBorders>
        <w:top w:val="single" w:sz="8" w:space="0" w:color="B8B8B8" w:themeColor="accent6" w:themeTint="BF"/>
        <w:left w:val="single" w:sz="8" w:space="0" w:color="B8B8B8" w:themeColor="accent6" w:themeTint="BF"/>
        <w:bottom w:val="single" w:sz="8" w:space="0" w:color="B8B8B8" w:themeColor="accent6" w:themeTint="BF"/>
        <w:right w:val="single" w:sz="8" w:space="0" w:color="B8B8B8" w:themeColor="accent6" w:themeTint="BF"/>
        <w:insideH w:val="single" w:sz="8" w:space="0" w:color="B8B8B8" w:themeColor="accent6" w:themeTint="BF"/>
        <w:insideV w:val="single" w:sz="8" w:space="0" w:color="B8B8B8" w:themeColor="accent6" w:themeTint="BF"/>
      </w:tblBorders>
    </w:tblPr>
    <w:tcPr>
      <w:shd w:val="clear" w:color="auto" w:fill="E7E7E7" w:themeFill="accent6" w:themeFillTint="3F"/>
    </w:tcPr>
    <w:tblStylePr w:type="firstRow">
      <w:rPr>
        <w:b/>
        <w:bCs/>
      </w:rPr>
    </w:tblStylePr>
    <w:tblStylePr w:type="lastRow">
      <w:rPr>
        <w:b/>
        <w:bCs/>
      </w:rPr>
      <w:tblPr/>
      <w:tcPr>
        <w:tcBorders>
          <w:top w:val="single" w:sz="18" w:space="0" w:color="B8B8B8" w:themeColor="accent6" w:themeTint="BF"/>
        </w:tcBorders>
      </w:tcPr>
    </w:tblStylePr>
    <w:tblStylePr w:type="firstCol">
      <w:rPr>
        <w:b/>
        <w:bCs/>
      </w:rPr>
    </w:tblStylePr>
    <w:tblStylePr w:type="lastCol">
      <w:rPr>
        <w:b/>
        <w:bCs/>
      </w:rPr>
    </w:tblStylePr>
    <w:tblStylePr w:type="band1Vert">
      <w:tblPr/>
      <w:tcPr>
        <w:shd w:val="clear" w:color="auto" w:fill="D0D0D0" w:themeFill="accent6" w:themeFillTint="7F"/>
      </w:tcPr>
    </w:tblStylePr>
    <w:tblStylePr w:type="band1Horz">
      <w:tblPr/>
      <w:tcPr>
        <w:shd w:val="clear" w:color="auto" w:fill="D0D0D0" w:themeFill="accent6" w:themeFillTint="7F"/>
      </w:tcPr>
    </w:tblStylePr>
  </w:style>
  <w:style w:type="table" w:styleId="MediumGrid2">
    <w:name w:val="Medium Grid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1"/>
        <w:left w:val="single" w:sz="8" w:space="0" w:color="63D0DF" w:themeColor="accent1"/>
        <w:bottom w:val="single" w:sz="8" w:space="0" w:color="63D0DF" w:themeColor="accent1"/>
        <w:right w:val="single" w:sz="8" w:space="0" w:color="63D0DF" w:themeColor="accent1"/>
        <w:insideH w:val="single" w:sz="8" w:space="0" w:color="63D0DF" w:themeColor="accent1"/>
        <w:insideV w:val="single" w:sz="8" w:space="0" w:color="63D0DF" w:themeColor="accent1"/>
      </w:tblBorders>
    </w:tblPr>
    <w:tcPr>
      <w:shd w:val="clear" w:color="auto" w:fill="D8F3F7" w:themeFill="accent1" w:themeFillTint="3F"/>
    </w:tcPr>
    <w:tblStylePr w:type="firstRow">
      <w:rPr>
        <w:b/>
        <w:bCs/>
        <w:color w:val="000000" w:themeColor="text1"/>
      </w:rPr>
      <w:tblPr/>
      <w:tcPr>
        <w:shd w:val="clear" w:color="auto" w:fill="EFFA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5F8" w:themeFill="accent1" w:themeFillTint="33"/>
      </w:tcPr>
    </w:tblStylePr>
    <w:tblStylePr w:type="band1Vert">
      <w:tblPr/>
      <w:tcPr>
        <w:shd w:val="clear" w:color="auto" w:fill="B1E7EF" w:themeFill="accent1" w:themeFillTint="7F"/>
      </w:tcPr>
    </w:tblStylePr>
    <w:tblStylePr w:type="band1Horz">
      <w:tblPr/>
      <w:tcPr>
        <w:tcBorders>
          <w:insideH w:val="single" w:sz="6" w:space="0" w:color="63D0DF" w:themeColor="accent1"/>
          <w:insideV w:val="single" w:sz="6" w:space="0" w:color="63D0DF" w:themeColor="accent1"/>
        </w:tcBorders>
        <w:shd w:val="clear" w:color="auto" w:fill="B1E7E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C9C9CA" w:themeColor="accent2"/>
        <w:left w:val="single" w:sz="8" w:space="0" w:color="C9C9CA" w:themeColor="accent2"/>
        <w:bottom w:val="single" w:sz="8" w:space="0" w:color="C9C9CA" w:themeColor="accent2"/>
        <w:right w:val="single" w:sz="8" w:space="0" w:color="C9C9CA" w:themeColor="accent2"/>
        <w:insideH w:val="single" w:sz="8" w:space="0" w:color="C9C9CA" w:themeColor="accent2"/>
        <w:insideV w:val="single" w:sz="8" w:space="0" w:color="C9C9CA" w:themeColor="accent2"/>
      </w:tblBorders>
    </w:tblPr>
    <w:tcPr>
      <w:shd w:val="clear" w:color="auto" w:fill="F1F1F1" w:themeFill="accent2" w:themeFillTint="3F"/>
    </w:tcPr>
    <w:tblStylePr w:type="firstRow">
      <w:rPr>
        <w:b/>
        <w:bCs/>
        <w:color w:val="000000" w:themeColor="text1"/>
      </w:rPr>
      <w:tblPr/>
      <w:tcPr>
        <w:shd w:val="clear" w:color="auto" w:fill="F9F9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2" w:themeFillTint="33"/>
      </w:tcPr>
    </w:tblStylePr>
    <w:tblStylePr w:type="band1Vert">
      <w:tblPr/>
      <w:tcPr>
        <w:shd w:val="clear" w:color="auto" w:fill="E4E4E4" w:themeFill="accent2" w:themeFillTint="7F"/>
      </w:tcPr>
    </w:tblStylePr>
    <w:tblStylePr w:type="band1Horz">
      <w:tblPr/>
      <w:tcPr>
        <w:tcBorders>
          <w:insideH w:val="single" w:sz="6" w:space="0" w:color="C9C9CA" w:themeColor="accent2"/>
          <w:insideV w:val="single" w:sz="6" w:space="0" w:color="C9C9CA" w:themeColor="accent2"/>
        </w:tcBorders>
        <w:shd w:val="clear" w:color="auto" w:fill="E4E4E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3"/>
        <w:left w:val="single" w:sz="8" w:space="0" w:color="63D0DF" w:themeColor="accent3"/>
        <w:bottom w:val="single" w:sz="8" w:space="0" w:color="63D0DF" w:themeColor="accent3"/>
        <w:right w:val="single" w:sz="8" w:space="0" w:color="63D0DF" w:themeColor="accent3"/>
        <w:insideH w:val="single" w:sz="8" w:space="0" w:color="63D0DF" w:themeColor="accent3"/>
        <w:insideV w:val="single" w:sz="8" w:space="0" w:color="63D0DF" w:themeColor="accent3"/>
      </w:tblBorders>
    </w:tblPr>
    <w:tcPr>
      <w:shd w:val="clear" w:color="auto" w:fill="D8F3F7" w:themeFill="accent3" w:themeFillTint="3F"/>
    </w:tcPr>
    <w:tblStylePr w:type="firstRow">
      <w:rPr>
        <w:b/>
        <w:bCs/>
        <w:color w:val="000000" w:themeColor="text1"/>
      </w:rPr>
      <w:tblPr/>
      <w:tcPr>
        <w:shd w:val="clear" w:color="auto" w:fill="EFFA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5F8" w:themeFill="accent3" w:themeFillTint="33"/>
      </w:tcPr>
    </w:tblStylePr>
    <w:tblStylePr w:type="band1Vert">
      <w:tblPr/>
      <w:tcPr>
        <w:shd w:val="clear" w:color="auto" w:fill="B1E7EF" w:themeFill="accent3" w:themeFillTint="7F"/>
      </w:tcPr>
    </w:tblStylePr>
    <w:tblStylePr w:type="band1Horz">
      <w:tblPr/>
      <w:tcPr>
        <w:tcBorders>
          <w:insideH w:val="single" w:sz="6" w:space="0" w:color="63D0DF" w:themeColor="accent3"/>
          <w:insideV w:val="single" w:sz="6" w:space="0" w:color="63D0DF" w:themeColor="accent3"/>
        </w:tcBorders>
        <w:shd w:val="clear" w:color="auto" w:fill="B1E7E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A1A1A1" w:themeColor="accent4"/>
        <w:left w:val="single" w:sz="8" w:space="0" w:color="A1A1A1" w:themeColor="accent4"/>
        <w:bottom w:val="single" w:sz="8" w:space="0" w:color="A1A1A1" w:themeColor="accent4"/>
        <w:right w:val="single" w:sz="8" w:space="0" w:color="A1A1A1" w:themeColor="accent4"/>
        <w:insideH w:val="single" w:sz="8" w:space="0" w:color="A1A1A1" w:themeColor="accent4"/>
        <w:insideV w:val="single" w:sz="8" w:space="0" w:color="A1A1A1" w:themeColor="accent4"/>
      </w:tblBorders>
    </w:tblPr>
    <w:tcPr>
      <w:shd w:val="clear" w:color="auto" w:fill="E7E7E7" w:themeFill="accent4" w:themeFillTint="3F"/>
    </w:tcPr>
    <w:tblStylePr w:type="firstRow">
      <w:rPr>
        <w:b/>
        <w:bCs/>
        <w:color w:val="000000" w:themeColor="text1"/>
      </w:rPr>
      <w:tblPr/>
      <w:tcPr>
        <w:shd w:val="clear" w:color="auto" w:fill="F5F5F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CEC" w:themeFill="accent4" w:themeFillTint="33"/>
      </w:tcPr>
    </w:tblStylePr>
    <w:tblStylePr w:type="band1Vert">
      <w:tblPr/>
      <w:tcPr>
        <w:shd w:val="clear" w:color="auto" w:fill="D0D0D0" w:themeFill="accent4" w:themeFillTint="7F"/>
      </w:tcPr>
    </w:tblStylePr>
    <w:tblStylePr w:type="band1Horz">
      <w:tblPr/>
      <w:tcPr>
        <w:tcBorders>
          <w:insideH w:val="single" w:sz="6" w:space="0" w:color="A1A1A1" w:themeColor="accent4"/>
          <w:insideV w:val="single" w:sz="6" w:space="0" w:color="A1A1A1" w:themeColor="accent4"/>
        </w:tcBorders>
        <w:shd w:val="clear" w:color="auto" w:fill="D0D0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5"/>
        <w:left w:val="single" w:sz="8" w:space="0" w:color="63D0DF" w:themeColor="accent5"/>
        <w:bottom w:val="single" w:sz="8" w:space="0" w:color="63D0DF" w:themeColor="accent5"/>
        <w:right w:val="single" w:sz="8" w:space="0" w:color="63D0DF" w:themeColor="accent5"/>
        <w:insideH w:val="single" w:sz="8" w:space="0" w:color="63D0DF" w:themeColor="accent5"/>
        <w:insideV w:val="single" w:sz="8" w:space="0" w:color="63D0DF" w:themeColor="accent5"/>
      </w:tblBorders>
    </w:tblPr>
    <w:tcPr>
      <w:shd w:val="clear" w:color="auto" w:fill="D8F3F7" w:themeFill="accent5" w:themeFillTint="3F"/>
    </w:tcPr>
    <w:tblStylePr w:type="firstRow">
      <w:rPr>
        <w:b/>
        <w:bCs/>
        <w:color w:val="000000" w:themeColor="text1"/>
      </w:rPr>
      <w:tblPr/>
      <w:tcPr>
        <w:shd w:val="clear" w:color="auto" w:fill="EFFA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5F8" w:themeFill="accent5" w:themeFillTint="33"/>
      </w:tcPr>
    </w:tblStylePr>
    <w:tblStylePr w:type="band1Vert">
      <w:tblPr/>
      <w:tcPr>
        <w:shd w:val="clear" w:color="auto" w:fill="B1E7EF" w:themeFill="accent5" w:themeFillTint="7F"/>
      </w:tcPr>
    </w:tblStylePr>
    <w:tblStylePr w:type="band1Horz">
      <w:tblPr/>
      <w:tcPr>
        <w:tcBorders>
          <w:insideH w:val="single" w:sz="6" w:space="0" w:color="63D0DF" w:themeColor="accent5"/>
          <w:insideV w:val="single" w:sz="6" w:space="0" w:color="63D0DF" w:themeColor="accent5"/>
        </w:tcBorders>
        <w:shd w:val="clear" w:color="auto" w:fill="B1E7E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A1A1A1" w:themeColor="accent6"/>
        <w:left w:val="single" w:sz="8" w:space="0" w:color="A1A1A1" w:themeColor="accent6"/>
        <w:bottom w:val="single" w:sz="8" w:space="0" w:color="A1A1A1" w:themeColor="accent6"/>
        <w:right w:val="single" w:sz="8" w:space="0" w:color="A1A1A1" w:themeColor="accent6"/>
        <w:insideH w:val="single" w:sz="8" w:space="0" w:color="A1A1A1" w:themeColor="accent6"/>
        <w:insideV w:val="single" w:sz="8" w:space="0" w:color="A1A1A1" w:themeColor="accent6"/>
      </w:tblBorders>
    </w:tblPr>
    <w:tcPr>
      <w:shd w:val="clear" w:color="auto" w:fill="E7E7E7" w:themeFill="accent6" w:themeFillTint="3F"/>
    </w:tcPr>
    <w:tblStylePr w:type="firstRow">
      <w:rPr>
        <w:b/>
        <w:bCs/>
        <w:color w:val="000000" w:themeColor="text1"/>
      </w:rPr>
      <w:tblPr/>
      <w:tcPr>
        <w:shd w:val="clear" w:color="auto" w:fill="F5F5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CEC" w:themeFill="accent6" w:themeFillTint="33"/>
      </w:tcPr>
    </w:tblStylePr>
    <w:tblStylePr w:type="band1Vert">
      <w:tblPr/>
      <w:tcPr>
        <w:shd w:val="clear" w:color="auto" w:fill="D0D0D0" w:themeFill="accent6" w:themeFillTint="7F"/>
      </w:tcPr>
    </w:tblStylePr>
    <w:tblStylePr w:type="band1Horz">
      <w:tblPr/>
      <w:tcPr>
        <w:tcBorders>
          <w:insideH w:val="single" w:sz="6" w:space="0" w:color="A1A1A1" w:themeColor="accent6"/>
          <w:insideV w:val="single" w:sz="6" w:space="0" w:color="A1A1A1" w:themeColor="accent6"/>
        </w:tcBorders>
        <w:shd w:val="clear" w:color="auto" w:fill="D0D0D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F3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D0D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D0D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D0D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D0D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E7E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E7EF" w:themeFill="accent1" w:themeFillTint="7F"/>
      </w:tcPr>
    </w:tblStylePr>
  </w:style>
  <w:style w:type="table" w:styleId="MediumGrid3-Accent2">
    <w:name w:val="Medium Grid 3 Accent 2"/>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9C9C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9C9C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9C9C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9C9C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E4E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E4E4" w:themeFill="accent2" w:themeFillTint="7F"/>
      </w:tcPr>
    </w:tblStylePr>
  </w:style>
  <w:style w:type="table" w:styleId="MediumGrid3-Accent3">
    <w:name w:val="Medium Grid 3 Accent 3"/>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F3F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D0D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D0D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D0D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D0D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E7E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E7EF" w:themeFill="accent3" w:themeFillTint="7F"/>
      </w:tcPr>
    </w:tblStylePr>
  </w:style>
  <w:style w:type="table" w:styleId="MediumGrid3-Accent4">
    <w:name w:val="Medium Grid 3 Accent 4"/>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7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A1A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A1A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A1A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A1A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D0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D0D0" w:themeFill="accent4" w:themeFillTint="7F"/>
      </w:tcPr>
    </w:tblStylePr>
  </w:style>
  <w:style w:type="table" w:styleId="MediumGrid3-Accent5">
    <w:name w:val="Medium Grid 3 Accent 5"/>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F3F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D0D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D0D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D0D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D0D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E7E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E7EF" w:themeFill="accent5" w:themeFillTint="7F"/>
      </w:tcPr>
    </w:tblStylePr>
  </w:style>
  <w:style w:type="table" w:styleId="MediumGrid3-Accent6">
    <w:name w:val="Medium Grid 3 Accent 6"/>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7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A1A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A1A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A1A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A1A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D0D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D0D0" w:themeFill="accent6" w:themeFillTint="7F"/>
      </w:tcPr>
    </w:tblStylePr>
  </w:style>
  <w:style w:type="table" w:styleId="MediumList1">
    <w:name w:val="Medium List 1"/>
    <w:basedOn w:val="TableNormal"/>
    <w:uiPriority w:val="98"/>
    <w:semiHidden/>
    <w:unhideWhenUsed/>
    <w:rsid w:val="001F6DC1"/>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8585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semiHidden/>
    <w:unhideWhenUsed/>
    <w:rsid w:val="001F6DC1"/>
    <w:rPr>
      <w:color w:val="000000" w:themeColor="text1"/>
    </w:rPr>
    <w:tblPr>
      <w:tblStyleRowBandSize w:val="1"/>
      <w:tblStyleColBandSize w:val="1"/>
      <w:tblBorders>
        <w:top w:val="single" w:sz="8" w:space="0" w:color="63D0DF" w:themeColor="accent1"/>
        <w:bottom w:val="single" w:sz="8" w:space="0" w:color="63D0DF" w:themeColor="accent1"/>
      </w:tblBorders>
    </w:tblPr>
    <w:tblStylePr w:type="firstRow">
      <w:rPr>
        <w:rFonts w:asciiTheme="majorHAnsi" w:eastAsiaTheme="majorEastAsia" w:hAnsiTheme="majorHAnsi" w:cstheme="majorBidi"/>
      </w:rPr>
      <w:tblPr/>
      <w:tcPr>
        <w:tcBorders>
          <w:top w:val="nil"/>
          <w:bottom w:val="single" w:sz="8" w:space="0" w:color="63D0DF" w:themeColor="accent1"/>
        </w:tcBorders>
      </w:tcPr>
    </w:tblStylePr>
    <w:tblStylePr w:type="lastRow">
      <w:rPr>
        <w:b/>
        <w:bCs/>
        <w:color w:val="585858" w:themeColor="text2"/>
      </w:rPr>
      <w:tblPr/>
      <w:tcPr>
        <w:tcBorders>
          <w:top w:val="single" w:sz="8" w:space="0" w:color="63D0DF" w:themeColor="accent1"/>
          <w:bottom w:val="single" w:sz="8" w:space="0" w:color="63D0DF" w:themeColor="accent1"/>
        </w:tcBorders>
      </w:tcPr>
    </w:tblStylePr>
    <w:tblStylePr w:type="firstCol">
      <w:rPr>
        <w:b/>
        <w:bCs/>
      </w:rPr>
    </w:tblStylePr>
    <w:tblStylePr w:type="lastCol">
      <w:rPr>
        <w:b/>
        <w:bCs/>
      </w:rPr>
      <w:tblPr/>
      <w:tcPr>
        <w:tcBorders>
          <w:top w:val="single" w:sz="8" w:space="0" w:color="63D0DF" w:themeColor="accent1"/>
          <w:bottom w:val="single" w:sz="8" w:space="0" w:color="63D0DF" w:themeColor="accent1"/>
        </w:tcBorders>
      </w:tcPr>
    </w:tblStylePr>
    <w:tblStylePr w:type="band1Vert">
      <w:tblPr/>
      <w:tcPr>
        <w:shd w:val="clear" w:color="auto" w:fill="D8F3F7" w:themeFill="accent1" w:themeFillTint="3F"/>
      </w:tcPr>
    </w:tblStylePr>
    <w:tblStylePr w:type="band1Horz">
      <w:tblPr/>
      <w:tcPr>
        <w:shd w:val="clear" w:color="auto" w:fill="D8F3F7" w:themeFill="accent1" w:themeFillTint="3F"/>
      </w:tcPr>
    </w:tblStylePr>
  </w:style>
  <w:style w:type="table" w:styleId="MediumList1-Accent2">
    <w:name w:val="Medium List 1 Accent 2"/>
    <w:basedOn w:val="TableNormal"/>
    <w:uiPriority w:val="98"/>
    <w:semiHidden/>
    <w:unhideWhenUsed/>
    <w:rsid w:val="001F6DC1"/>
    <w:rPr>
      <w:color w:val="000000" w:themeColor="text1"/>
    </w:rPr>
    <w:tblPr>
      <w:tblStyleRowBandSize w:val="1"/>
      <w:tblStyleColBandSize w:val="1"/>
      <w:tblBorders>
        <w:top w:val="single" w:sz="8" w:space="0" w:color="C9C9CA" w:themeColor="accent2"/>
        <w:bottom w:val="single" w:sz="8" w:space="0" w:color="C9C9CA" w:themeColor="accent2"/>
      </w:tblBorders>
    </w:tblPr>
    <w:tblStylePr w:type="firstRow">
      <w:rPr>
        <w:rFonts w:asciiTheme="majorHAnsi" w:eastAsiaTheme="majorEastAsia" w:hAnsiTheme="majorHAnsi" w:cstheme="majorBidi"/>
      </w:rPr>
      <w:tblPr/>
      <w:tcPr>
        <w:tcBorders>
          <w:top w:val="nil"/>
          <w:bottom w:val="single" w:sz="8" w:space="0" w:color="C9C9CA" w:themeColor="accent2"/>
        </w:tcBorders>
      </w:tcPr>
    </w:tblStylePr>
    <w:tblStylePr w:type="lastRow">
      <w:rPr>
        <w:b/>
        <w:bCs/>
        <w:color w:val="585858" w:themeColor="text2"/>
      </w:rPr>
      <w:tblPr/>
      <w:tcPr>
        <w:tcBorders>
          <w:top w:val="single" w:sz="8" w:space="0" w:color="C9C9CA" w:themeColor="accent2"/>
          <w:bottom w:val="single" w:sz="8" w:space="0" w:color="C9C9CA" w:themeColor="accent2"/>
        </w:tcBorders>
      </w:tcPr>
    </w:tblStylePr>
    <w:tblStylePr w:type="firstCol">
      <w:rPr>
        <w:b/>
        <w:bCs/>
      </w:rPr>
    </w:tblStylePr>
    <w:tblStylePr w:type="lastCol">
      <w:rPr>
        <w:b/>
        <w:bCs/>
      </w:rPr>
      <w:tblPr/>
      <w:tcPr>
        <w:tcBorders>
          <w:top w:val="single" w:sz="8" w:space="0" w:color="C9C9CA" w:themeColor="accent2"/>
          <w:bottom w:val="single" w:sz="8" w:space="0" w:color="C9C9CA" w:themeColor="accent2"/>
        </w:tcBorders>
      </w:tcPr>
    </w:tblStylePr>
    <w:tblStylePr w:type="band1Vert">
      <w:tblPr/>
      <w:tcPr>
        <w:shd w:val="clear" w:color="auto" w:fill="F1F1F1" w:themeFill="accent2" w:themeFillTint="3F"/>
      </w:tcPr>
    </w:tblStylePr>
    <w:tblStylePr w:type="band1Horz">
      <w:tblPr/>
      <w:tcPr>
        <w:shd w:val="clear" w:color="auto" w:fill="F1F1F1" w:themeFill="accent2" w:themeFillTint="3F"/>
      </w:tcPr>
    </w:tblStylePr>
  </w:style>
  <w:style w:type="table" w:styleId="MediumList1-Accent3">
    <w:name w:val="Medium List 1 Accent 3"/>
    <w:basedOn w:val="TableNormal"/>
    <w:uiPriority w:val="98"/>
    <w:semiHidden/>
    <w:unhideWhenUsed/>
    <w:rsid w:val="001F6DC1"/>
    <w:rPr>
      <w:color w:val="000000" w:themeColor="text1"/>
    </w:rPr>
    <w:tblPr>
      <w:tblStyleRowBandSize w:val="1"/>
      <w:tblStyleColBandSize w:val="1"/>
      <w:tblBorders>
        <w:top w:val="single" w:sz="8" w:space="0" w:color="63D0DF" w:themeColor="accent3"/>
        <w:bottom w:val="single" w:sz="8" w:space="0" w:color="63D0DF" w:themeColor="accent3"/>
      </w:tblBorders>
    </w:tblPr>
    <w:tblStylePr w:type="firstRow">
      <w:rPr>
        <w:rFonts w:asciiTheme="majorHAnsi" w:eastAsiaTheme="majorEastAsia" w:hAnsiTheme="majorHAnsi" w:cstheme="majorBidi"/>
      </w:rPr>
      <w:tblPr/>
      <w:tcPr>
        <w:tcBorders>
          <w:top w:val="nil"/>
          <w:bottom w:val="single" w:sz="8" w:space="0" w:color="63D0DF" w:themeColor="accent3"/>
        </w:tcBorders>
      </w:tcPr>
    </w:tblStylePr>
    <w:tblStylePr w:type="lastRow">
      <w:rPr>
        <w:b/>
        <w:bCs/>
        <w:color w:val="585858" w:themeColor="text2"/>
      </w:rPr>
      <w:tblPr/>
      <w:tcPr>
        <w:tcBorders>
          <w:top w:val="single" w:sz="8" w:space="0" w:color="63D0DF" w:themeColor="accent3"/>
          <w:bottom w:val="single" w:sz="8" w:space="0" w:color="63D0DF" w:themeColor="accent3"/>
        </w:tcBorders>
      </w:tcPr>
    </w:tblStylePr>
    <w:tblStylePr w:type="firstCol">
      <w:rPr>
        <w:b/>
        <w:bCs/>
      </w:rPr>
    </w:tblStylePr>
    <w:tblStylePr w:type="lastCol">
      <w:rPr>
        <w:b/>
        <w:bCs/>
      </w:rPr>
      <w:tblPr/>
      <w:tcPr>
        <w:tcBorders>
          <w:top w:val="single" w:sz="8" w:space="0" w:color="63D0DF" w:themeColor="accent3"/>
          <w:bottom w:val="single" w:sz="8" w:space="0" w:color="63D0DF" w:themeColor="accent3"/>
        </w:tcBorders>
      </w:tcPr>
    </w:tblStylePr>
    <w:tblStylePr w:type="band1Vert">
      <w:tblPr/>
      <w:tcPr>
        <w:shd w:val="clear" w:color="auto" w:fill="D8F3F7" w:themeFill="accent3" w:themeFillTint="3F"/>
      </w:tcPr>
    </w:tblStylePr>
    <w:tblStylePr w:type="band1Horz">
      <w:tblPr/>
      <w:tcPr>
        <w:shd w:val="clear" w:color="auto" w:fill="D8F3F7" w:themeFill="accent3" w:themeFillTint="3F"/>
      </w:tcPr>
    </w:tblStylePr>
  </w:style>
  <w:style w:type="table" w:styleId="MediumList1-Accent4">
    <w:name w:val="Medium List 1 Accent 4"/>
    <w:basedOn w:val="TableNormal"/>
    <w:uiPriority w:val="98"/>
    <w:semiHidden/>
    <w:unhideWhenUsed/>
    <w:rsid w:val="001F6DC1"/>
    <w:rPr>
      <w:color w:val="000000" w:themeColor="text1"/>
    </w:rPr>
    <w:tblPr>
      <w:tblStyleRowBandSize w:val="1"/>
      <w:tblStyleColBandSize w:val="1"/>
      <w:tblBorders>
        <w:top w:val="single" w:sz="8" w:space="0" w:color="A1A1A1" w:themeColor="accent4"/>
        <w:bottom w:val="single" w:sz="8" w:space="0" w:color="A1A1A1" w:themeColor="accent4"/>
      </w:tblBorders>
    </w:tblPr>
    <w:tblStylePr w:type="firstRow">
      <w:rPr>
        <w:rFonts w:asciiTheme="majorHAnsi" w:eastAsiaTheme="majorEastAsia" w:hAnsiTheme="majorHAnsi" w:cstheme="majorBidi"/>
      </w:rPr>
      <w:tblPr/>
      <w:tcPr>
        <w:tcBorders>
          <w:top w:val="nil"/>
          <w:bottom w:val="single" w:sz="8" w:space="0" w:color="A1A1A1" w:themeColor="accent4"/>
        </w:tcBorders>
      </w:tcPr>
    </w:tblStylePr>
    <w:tblStylePr w:type="lastRow">
      <w:rPr>
        <w:b/>
        <w:bCs/>
        <w:color w:val="585858" w:themeColor="text2"/>
      </w:rPr>
      <w:tblPr/>
      <w:tcPr>
        <w:tcBorders>
          <w:top w:val="single" w:sz="8" w:space="0" w:color="A1A1A1" w:themeColor="accent4"/>
          <w:bottom w:val="single" w:sz="8" w:space="0" w:color="A1A1A1" w:themeColor="accent4"/>
        </w:tcBorders>
      </w:tcPr>
    </w:tblStylePr>
    <w:tblStylePr w:type="firstCol">
      <w:rPr>
        <w:b/>
        <w:bCs/>
      </w:rPr>
    </w:tblStylePr>
    <w:tblStylePr w:type="lastCol">
      <w:rPr>
        <w:b/>
        <w:bCs/>
      </w:rPr>
      <w:tblPr/>
      <w:tcPr>
        <w:tcBorders>
          <w:top w:val="single" w:sz="8" w:space="0" w:color="A1A1A1" w:themeColor="accent4"/>
          <w:bottom w:val="single" w:sz="8" w:space="0" w:color="A1A1A1" w:themeColor="accent4"/>
        </w:tcBorders>
      </w:tcPr>
    </w:tblStylePr>
    <w:tblStylePr w:type="band1Vert">
      <w:tblPr/>
      <w:tcPr>
        <w:shd w:val="clear" w:color="auto" w:fill="E7E7E7" w:themeFill="accent4" w:themeFillTint="3F"/>
      </w:tcPr>
    </w:tblStylePr>
    <w:tblStylePr w:type="band1Horz">
      <w:tblPr/>
      <w:tcPr>
        <w:shd w:val="clear" w:color="auto" w:fill="E7E7E7" w:themeFill="accent4" w:themeFillTint="3F"/>
      </w:tcPr>
    </w:tblStylePr>
  </w:style>
  <w:style w:type="table" w:styleId="MediumList1-Accent5">
    <w:name w:val="Medium List 1 Accent 5"/>
    <w:basedOn w:val="TableNormal"/>
    <w:uiPriority w:val="98"/>
    <w:semiHidden/>
    <w:unhideWhenUsed/>
    <w:rsid w:val="001F6DC1"/>
    <w:rPr>
      <w:color w:val="000000" w:themeColor="text1"/>
    </w:rPr>
    <w:tblPr>
      <w:tblStyleRowBandSize w:val="1"/>
      <w:tblStyleColBandSize w:val="1"/>
      <w:tblBorders>
        <w:top w:val="single" w:sz="8" w:space="0" w:color="63D0DF" w:themeColor="accent5"/>
        <w:bottom w:val="single" w:sz="8" w:space="0" w:color="63D0DF" w:themeColor="accent5"/>
      </w:tblBorders>
    </w:tblPr>
    <w:tblStylePr w:type="firstRow">
      <w:rPr>
        <w:rFonts w:asciiTheme="majorHAnsi" w:eastAsiaTheme="majorEastAsia" w:hAnsiTheme="majorHAnsi" w:cstheme="majorBidi"/>
      </w:rPr>
      <w:tblPr/>
      <w:tcPr>
        <w:tcBorders>
          <w:top w:val="nil"/>
          <w:bottom w:val="single" w:sz="8" w:space="0" w:color="63D0DF" w:themeColor="accent5"/>
        </w:tcBorders>
      </w:tcPr>
    </w:tblStylePr>
    <w:tblStylePr w:type="lastRow">
      <w:rPr>
        <w:b/>
        <w:bCs/>
        <w:color w:val="585858" w:themeColor="text2"/>
      </w:rPr>
      <w:tblPr/>
      <w:tcPr>
        <w:tcBorders>
          <w:top w:val="single" w:sz="8" w:space="0" w:color="63D0DF" w:themeColor="accent5"/>
          <w:bottom w:val="single" w:sz="8" w:space="0" w:color="63D0DF" w:themeColor="accent5"/>
        </w:tcBorders>
      </w:tcPr>
    </w:tblStylePr>
    <w:tblStylePr w:type="firstCol">
      <w:rPr>
        <w:b/>
        <w:bCs/>
      </w:rPr>
    </w:tblStylePr>
    <w:tblStylePr w:type="lastCol">
      <w:rPr>
        <w:b/>
        <w:bCs/>
      </w:rPr>
      <w:tblPr/>
      <w:tcPr>
        <w:tcBorders>
          <w:top w:val="single" w:sz="8" w:space="0" w:color="63D0DF" w:themeColor="accent5"/>
          <w:bottom w:val="single" w:sz="8" w:space="0" w:color="63D0DF" w:themeColor="accent5"/>
        </w:tcBorders>
      </w:tcPr>
    </w:tblStylePr>
    <w:tblStylePr w:type="band1Vert">
      <w:tblPr/>
      <w:tcPr>
        <w:shd w:val="clear" w:color="auto" w:fill="D8F3F7" w:themeFill="accent5" w:themeFillTint="3F"/>
      </w:tcPr>
    </w:tblStylePr>
    <w:tblStylePr w:type="band1Horz">
      <w:tblPr/>
      <w:tcPr>
        <w:shd w:val="clear" w:color="auto" w:fill="D8F3F7" w:themeFill="accent5" w:themeFillTint="3F"/>
      </w:tcPr>
    </w:tblStylePr>
  </w:style>
  <w:style w:type="table" w:styleId="MediumList1-Accent6">
    <w:name w:val="Medium List 1 Accent 6"/>
    <w:basedOn w:val="TableNormal"/>
    <w:uiPriority w:val="98"/>
    <w:semiHidden/>
    <w:unhideWhenUsed/>
    <w:rsid w:val="001F6DC1"/>
    <w:rPr>
      <w:color w:val="000000" w:themeColor="text1"/>
    </w:rPr>
    <w:tblPr>
      <w:tblStyleRowBandSize w:val="1"/>
      <w:tblStyleColBandSize w:val="1"/>
      <w:tblBorders>
        <w:top w:val="single" w:sz="8" w:space="0" w:color="A1A1A1" w:themeColor="accent6"/>
        <w:bottom w:val="single" w:sz="8" w:space="0" w:color="A1A1A1" w:themeColor="accent6"/>
      </w:tblBorders>
    </w:tblPr>
    <w:tblStylePr w:type="firstRow">
      <w:rPr>
        <w:rFonts w:asciiTheme="majorHAnsi" w:eastAsiaTheme="majorEastAsia" w:hAnsiTheme="majorHAnsi" w:cstheme="majorBidi"/>
      </w:rPr>
      <w:tblPr/>
      <w:tcPr>
        <w:tcBorders>
          <w:top w:val="nil"/>
          <w:bottom w:val="single" w:sz="8" w:space="0" w:color="A1A1A1" w:themeColor="accent6"/>
        </w:tcBorders>
      </w:tcPr>
    </w:tblStylePr>
    <w:tblStylePr w:type="lastRow">
      <w:rPr>
        <w:b/>
        <w:bCs/>
        <w:color w:val="585858" w:themeColor="text2"/>
      </w:rPr>
      <w:tblPr/>
      <w:tcPr>
        <w:tcBorders>
          <w:top w:val="single" w:sz="8" w:space="0" w:color="A1A1A1" w:themeColor="accent6"/>
          <w:bottom w:val="single" w:sz="8" w:space="0" w:color="A1A1A1" w:themeColor="accent6"/>
        </w:tcBorders>
      </w:tcPr>
    </w:tblStylePr>
    <w:tblStylePr w:type="firstCol">
      <w:rPr>
        <w:b/>
        <w:bCs/>
      </w:rPr>
    </w:tblStylePr>
    <w:tblStylePr w:type="lastCol">
      <w:rPr>
        <w:b/>
        <w:bCs/>
      </w:rPr>
      <w:tblPr/>
      <w:tcPr>
        <w:tcBorders>
          <w:top w:val="single" w:sz="8" w:space="0" w:color="A1A1A1" w:themeColor="accent6"/>
          <w:bottom w:val="single" w:sz="8" w:space="0" w:color="A1A1A1" w:themeColor="accent6"/>
        </w:tcBorders>
      </w:tcPr>
    </w:tblStylePr>
    <w:tblStylePr w:type="band1Vert">
      <w:tblPr/>
      <w:tcPr>
        <w:shd w:val="clear" w:color="auto" w:fill="E7E7E7" w:themeFill="accent6" w:themeFillTint="3F"/>
      </w:tcPr>
    </w:tblStylePr>
    <w:tblStylePr w:type="band1Horz">
      <w:tblPr/>
      <w:tcPr>
        <w:shd w:val="clear" w:color="auto" w:fill="E7E7E7" w:themeFill="accent6" w:themeFillTint="3F"/>
      </w:tcPr>
    </w:tblStylePr>
  </w:style>
  <w:style w:type="table" w:styleId="MediumList2">
    <w:name w:val="Medium List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1"/>
        <w:left w:val="single" w:sz="8" w:space="0" w:color="63D0DF" w:themeColor="accent1"/>
        <w:bottom w:val="single" w:sz="8" w:space="0" w:color="63D0DF" w:themeColor="accent1"/>
        <w:right w:val="single" w:sz="8" w:space="0" w:color="63D0DF" w:themeColor="accent1"/>
      </w:tblBorders>
    </w:tblPr>
    <w:tblStylePr w:type="firstRow">
      <w:rPr>
        <w:sz w:val="24"/>
        <w:szCs w:val="24"/>
      </w:rPr>
      <w:tblPr/>
      <w:tcPr>
        <w:tcBorders>
          <w:top w:val="nil"/>
          <w:left w:val="nil"/>
          <w:bottom w:val="single" w:sz="24" w:space="0" w:color="63D0D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D0DF" w:themeColor="accent1"/>
          <w:insideH w:val="nil"/>
          <w:insideV w:val="nil"/>
        </w:tcBorders>
        <w:shd w:val="clear" w:color="auto" w:fill="FFFFFF" w:themeFill="background1"/>
      </w:tcPr>
    </w:tblStylePr>
    <w:tblStylePr w:type="lastCol">
      <w:tblPr/>
      <w:tcPr>
        <w:tcBorders>
          <w:top w:val="nil"/>
          <w:left w:val="single" w:sz="8" w:space="0" w:color="63D0D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3F7" w:themeFill="accent1" w:themeFillTint="3F"/>
      </w:tcPr>
    </w:tblStylePr>
    <w:tblStylePr w:type="band1Horz">
      <w:tblPr/>
      <w:tcPr>
        <w:tcBorders>
          <w:top w:val="nil"/>
          <w:bottom w:val="nil"/>
          <w:insideH w:val="nil"/>
          <w:insideV w:val="nil"/>
        </w:tcBorders>
        <w:shd w:val="clear" w:color="auto" w:fill="D8F3F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C9C9CA" w:themeColor="accent2"/>
        <w:left w:val="single" w:sz="8" w:space="0" w:color="C9C9CA" w:themeColor="accent2"/>
        <w:bottom w:val="single" w:sz="8" w:space="0" w:color="C9C9CA" w:themeColor="accent2"/>
        <w:right w:val="single" w:sz="8" w:space="0" w:color="C9C9CA" w:themeColor="accent2"/>
      </w:tblBorders>
    </w:tblPr>
    <w:tblStylePr w:type="firstRow">
      <w:rPr>
        <w:sz w:val="24"/>
        <w:szCs w:val="24"/>
      </w:rPr>
      <w:tblPr/>
      <w:tcPr>
        <w:tcBorders>
          <w:top w:val="nil"/>
          <w:left w:val="nil"/>
          <w:bottom w:val="single" w:sz="24" w:space="0" w:color="C9C9C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9C9CA" w:themeColor="accent2"/>
          <w:insideH w:val="nil"/>
          <w:insideV w:val="nil"/>
        </w:tcBorders>
        <w:shd w:val="clear" w:color="auto" w:fill="FFFFFF" w:themeFill="background1"/>
      </w:tcPr>
    </w:tblStylePr>
    <w:tblStylePr w:type="lastCol">
      <w:tblPr/>
      <w:tcPr>
        <w:tcBorders>
          <w:top w:val="nil"/>
          <w:left w:val="single" w:sz="8" w:space="0" w:color="C9C9C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2" w:themeFillTint="3F"/>
      </w:tcPr>
    </w:tblStylePr>
    <w:tblStylePr w:type="band1Horz">
      <w:tblPr/>
      <w:tcPr>
        <w:tcBorders>
          <w:top w:val="nil"/>
          <w:bottom w:val="nil"/>
          <w:insideH w:val="nil"/>
          <w:insideV w:val="nil"/>
        </w:tcBorders>
        <w:shd w:val="clear" w:color="auto" w:fill="F1F1F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3"/>
        <w:left w:val="single" w:sz="8" w:space="0" w:color="63D0DF" w:themeColor="accent3"/>
        <w:bottom w:val="single" w:sz="8" w:space="0" w:color="63D0DF" w:themeColor="accent3"/>
        <w:right w:val="single" w:sz="8" w:space="0" w:color="63D0DF" w:themeColor="accent3"/>
      </w:tblBorders>
    </w:tblPr>
    <w:tblStylePr w:type="firstRow">
      <w:rPr>
        <w:sz w:val="24"/>
        <w:szCs w:val="24"/>
      </w:rPr>
      <w:tblPr/>
      <w:tcPr>
        <w:tcBorders>
          <w:top w:val="nil"/>
          <w:left w:val="nil"/>
          <w:bottom w:val="single" w:sz="24" w:space="0" w:color="63D0D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D0DF" w:themeColor="accent3"/>
          <w:insideH w:val="nil"/>
          <w:insideV w:val="nil"/>
        </w:tcBorders>
        <w:shd w:val="clear" w:color="auto" w:fill="FFFFFF" w:themeFill="background1"/>
      </w:tcPr>
    </w:tblStylePr>
    <w:tblStylePr w:type="lastCol">
      <w:tblPr/>
      <w:tcPr>
        <w:tcBorders>
          <w:top w:val="nil"/>
          <w:left w:val="single" w:sz="8" w:space="0" w:color="63D0D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3F7" w:themeFill="accent3" w:themeFillTint="3F"/>
      </w:tcPr>
    </w:tblStylePr>
    <w:tblStylePr w:type="band1Horz">
      <w:tblPr/>
      <w:tcPr>
        <w:tcBorders>
          <w:top w:val="nil"/>
          <w:bottom w:val="nil"/>
          <w:insideH w:val="nil"/>
          <w:insideV w:val="nil"/>
        </w:tcBorders>
        <w:shd w:val="clear" w:color="auto" w:fill="D8F3F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A1A1A1" w:themeColor="accent4"/>
        <w:left w:val="single" w:sz="8" w:space="0" w:color="A1A1A1" w:themeColor="accent4"/>
        <w:bottom w:val="single" w:sz="8" w:space="0" w:color="A1A1A1" w:themeColor="accent4"/>
        <w:right w:val="single" w:sz="8" w:space="0" w:color="A1A1A1" w:themeColor="accent4"/>
      </w:tblBorders>
    </w:tblPr>
    <w:tblStylePr w:type="firstRow">
      <w:rPr>
        <w:sz w:val="24"/>
        <w:szCs w:val="24"/>
      </w:rPr>
      <w:tblPr/>
      <w:tcPr>
        <w:tcBorders>
          <w:top w:val="nil"/>
          <w:left w:val="nil"/>
          <w:bottom w:val="single" w:sz="24" w:space="0" w:color="A1A1A1"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A1A1" w:themeColor="accent4"/>
          <w:insideH w:val="nil"/>
          <w:insideV w:val="nil"/>
        </w:tcBorders>
        <w:shd w:val="clear" w:color="auto" w:fill="FFFFFF" w:themeFill="background1"/>
      </w:tcPr>
    </w:tblStylePr>
    <w:tblStylePr w:type="lastCol">
      <w:tblPr/>
      <w:tcPr>
        <w:tcBorders>
          <w:top w:val="nil"/>
          <w:left w:val="single" w:sz="8" w:space="0" w:color="A1A1A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7E7" w:themeFill="accent4" w:themeFillTint="3F"/>
      </w:tcPr>
    </w:tblStylePr>
    <w:tblStylePr w:type="band1Horz">
      <w:tblPr/>
      <w:tcPr>
        <w:tcBorders>
          <w:top w:val="nil"/>
          <w:bottom w:val="nil"/>
          <w:insideH w:val="nil"/>
          <w:insideV w:val="nil"/>
        </w:tcBorders>
        <w:shd w:val="clear" w:color="auto" w:fill="E7E7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5"/>
        <w:left w:val="single" w:sz="8" w:space="0" w:color="63D0DF" w:themeColor="accent5"/>
        <w:bottom w:val="single" w:sz="8" w:space="0" w:color="63D0DF" w:themeColor="accent5"/>
        <w:right w:val="single" w:sz="8" w:space="0" w:color="63D0DF" w:themeColor="accent5"/>
      </w:tblBorders>
    </w:tblPr>
    <w:tblStylePr w:type="firstRow">
      <w:rPr>
        <w:sz w:val="24"/>
        <w:szCs w:val="24"/>
      </w:rPr>
      <w:tblPr/>
      <w:tcPr>
        <w:tcBorders>
          <w:top w:val="nil"/>
          <w:left w:val="nil"/>
          <w:bottom w:val="single" w:sz="24" w:space="0" w:color="63D0D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D0DF" w:themeColor="accent5"/>
          <w:insideH w:val="nil"/>
          <w:insideV w:val="nil"/>
        </w:tcBorders>
        <w:shd w:val="clear" w:color="auto" w:fill="FFFFFF" w:themeFill="background1"/>
      </w:tcPr>
    </w:tblStylePr>
    <w:tblStylePr w:type="lastCol">
      <w:tblPr/>
      <w:tcPr>
        <w:tcBorders>
          <w:top w:val="nil"/>
          <w:left w:val="single" w:sz="8" w:space="0" w:color="63D0D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3F7" w:themeFill="accent5" w:themeFillTint="3F"/>
      </w:tcPr>
    </w:tblStylePr>
    <w:tblStylePr w:type="band1Horz">
      <w:tblPr/>
      <w:tcPr>
        <w:tcBorders>
          <w:top w:val="nil"/>
          <w:bottom w:val="nil"/>
          <w:insideH w:val="nil"/>
          <w:insideV w:val="nil"/>
        </w:tcBorders>
        <w:shd w:val="clear" w:color="auto" w:fill="D8F3F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A1A1A1" w:themeColor="accent6"/>
        <w:left w:val="single" w:sz="8" w:space="0" w:color="A1A1A1" w:themeColor="accent6"/>
        <w:bottom w:val="single" w:sz="8" w:space="0" w:color="A1A1A1" w:themeColor="accent6"/>
        <w:right w:val="single" w:sz="8" w:space="0" w:color="A1A1A1" w:themeColor="accent6"/>
      </w:tblBorders>
    </w:tblPr>
    <w:tblStylePr w:type="firstRow">
      <w:rPr>
        <w:sz w:val="24"/>
        <w:szCs w:val="24"/>
      </w:rPr>
      <w:tblPr/>
      <w:tcPr>
        <w:tcBorders>
          <w:top w:val="nil"/>
          <w:left w:val="nil"/>
          <w:bottom w:val="single" w:sz="24" w:space="0" w:color="A1A1A1"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A1A1" w:themeColor="accent6"/>
          <w:insideH w:val="nil"/>
          <w:insideV w:val="nil"/>
        </w:tcBorders>
        <w:shd w:val="clear" w:color="auto" w:fill="FFFFFF" w:themeFill="background1"/>
      </w:tcPr>
    </w:tblStylePr>
    <w:tblStylePr w:type="lastCol">
      <w:tblPr/>
      <w:tcPr>
        <w:tcBorders>
          <w:top w:val="nil"/>
          <w:left w:val="single" w:sz="8" w:space="0" w:color="A1A1A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7E7" w:themeFill="accent6" w:themeFillTint="3F"/>
      </w:tcPr>
    </w:tblStylePr>
    <w:tblStylePr w:type="band1Horz">
      <w:tblPr/>
      <w:tcPr>
        <w:tcBorders>
          <w:top w:val="nil"/>
          <w:bottom w:val="nil"/>
          <w:insideH w:val="nil"/>
          <w:insideV w:val="nil"/>
        </w:tcBorders>
        <w:shd w:val="clear" w:color="auto" w:fill="E7E7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semiHidden/>
    <w:unhideWhenUsed/>
    <w:rsid w:val="001F6DC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semiHidden/>
    <w:unhideWhenUsed/>
    <w:rsid w:val="001F6DC1"/>
    <w:tblPr>
      <w:tblStyleRowBandSize w:val="1"/>
      <w:tblStyleColBandSize w:val="1"/>
      <w:tblBorders>
        <w:top w:val="single" w:sz="8" w:space="0" w:color="8ADBE7" w:themeColor="accent1" w:themeTint="BF"/>
        <w:left w:val="single" w:sz="8" w:space="0" w:color="8ADBE7" w:themeColor="accent1" w:themeTint="BF"/>
        <w:bottom w:val="single" w:sz="8" w:space="0" w:color="8ADBE7" w:themeColor="accent1" w:themeTint="BF"/>
        <w:right w:val="single" w:sz="8" w:space="0" w:color="8ADBE7" w:themeColor="accent1" w:themeTint="BF"/>
        <w:insideH w:val="single" w:sz="8" w:space="0" w:color="8ADBE7" w:themeColor="accent1" w:themeTint="BF"/>
      </w:tblBorders>
    </w:tblPr>
    <w:tblStylePr w:type="firstRow">
      <w:pPr>
        <w:spacing w:before="0" w:after="0" w:line="240" w:lineRule="auto"/>
      </w:pPr>
      <w:rPr>
        <w:b/>
        <w:bCs/>
        <w:color w:val="FFFFFF" w:themeColor="background1"/>
      </w:rPr>
      <w:tblPr/>
      <w:tcPr>
        <w:tcBorders>
          <w:top w:val="single" w:sz="8" w:space="0" w:color="8ADBE7" w:themeColor="accent1" w:themeTint="BF"/>
          <w:left w:val="single" w:sz="8" w:space="0" w:color="8ADBE7" w:themeColor="accent1" w:themeTint="BF"/>
          <w:bottom w:val="single" w:sz="8" w:space="0" w:color="8ADBE7" w:themeColor="accent1" w:themeTint="BF"/>
          <w:right w:val="single" w:sz="8" w:space="0" w:color="8ADBE7" w:themeColor="accent1" w:themeTint="BF"/>
          <w:insideH w:val="nil"/>
          <w:insideV w:val="nil"/>
        </w:tcBorders>
        <w:shd w:val="clear" w:color="auto" w:fill="63D0DF" w:themeFill="accent1"/>
      </w:tcPr>
    </w:tblStylePr>
    <w:tblStylePr w:type="lastRow">
      <w:pPr>
        <w:spacing w:before="0" w:after="0" w:line="240" w:lineRule="auto"/>
      </w:pPr>
      <w:rPr>
        <w:b/>
        <w:bCs/>
      </w:rPr>
      <w:tblPr/>
      <w:tcPr>
        <w:tcBorders>
          <w:top w:val="double" w:sz="6" w:space="0" w:color="8ADBE7" w:themeColor="accent1" w:themeTint="BF"/>
          <w:left w:val="single" w:sz="8" w:space="0" w:color="8ADBE7" w:themeColor="accent1" w:themeTint="BF"/>
          <w:bottom w:val="single" w:sz="8" w:space="0" w:color="8ADBE7" w:themeColor="accent1" w:themeTint="BF"/>
          <w:right w:val="single" w:sz="8" w:space="0" w:color="8ADBE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8F3F7" w:themeFill="accent1" w:themeFillTint="3F"/>
      </w:tcPr>
    </w:tblStylePr>
    <w:tblStylePr w:type="band1Horz">
      <w:tblPr/>
      <w:tcPr>
        <w:tcBorders>
          <w:insideH w:val="nil"/>
          <w:insideV w:val="nil"/>
        </w:tcBorders>
        <w:shd w:val="clear" w:color="auto" w:fill="D8F3F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semiHidden/>
    <w:unhideWhenUsed/>
    <w:rsid w:val="001F6DC1"/>
    <w:tblPr>
      <w:tblStyleRowBandSize w:val="1"/>
      <w:tblStyleColBandSize w:val="1"/>
      <w:tblBorders>
        <w:top w:val="single" w:sz="8" w:space="0" w:color="D6D6D7" w:themeColor="accent2" w:themeTint="BF"/>
        <w:left w:val="single" w:sz="8" w:space="0" w:color="D6D6D7" w:themeColor="accent2" w:themeTint="BF"/>
        <w:bottom w:val="single" w:sz="8" w:space="0" w:color="D6D6D7" w:themeColor="accent2" w:themeTint="BF"/>
        <w:right w:val="single" w:sz="8" w:space="0" w:color="D6D6D7" w:themeColor="accent2" w:themeTint="BF"/>
        <w:insideH w:val="single" w:sz="8" w:space="0" w:color="D6D6D7" w:themeColor="accent2" w:themeTint="BF"/>
      </w:tblBorders>
    </w:tblPr>
    <w:tblStylePr w:type="firstRow">
      <w:pPr>
        <w:spacing w:before="0" w:after="0" w:line="240" w:lineRule="auto"/>
      </w:pPr>
      <w:rPr>
        <w:b/>
        <w:bCs/>
        <w:color w:val="FFFFFF" w:themeColor="background1"/>
      </w:rPr>
      <w:tblPr/>
      <w:tcPr>
        <w:tcBorders>
          <w:top w:val="single" w:sz="8" w:space="0" w:color="D6D6D7" w:themeColor="accent2" w:themeTint="BF"/>
          <w:left w:val="single" w:sz="8" w:space="0" w:color="D6D6D7" w:themeColor="accent2" w:themeTint="BF"/>
          <w:bottom w:val="single" w:sz="8" w:space="0" w:color="D6D6D7" w:themeColor="accent2" w:themeTint="BF"/>
          <w:right w:val="single" w:sz="8" w:space="0" w:color="D6D6D7" w:themeColor="accent2" w:themeTint="BF"/>
          <w:insideH w:val="nil"/>
          <w:insideV w:val="nil"/>
        </w:tcBorders>
        <w:shd w:val="clear" w:color="auto" w:fill="C9C9CA" w:themeFill="accent2"/>
      </w:tcPr>
    </w:tblStylePr>
    <w:tblStylePr w:type="lastRow">
      <w:pPr>
        <w:spacing w:before="0" w:after="0" w:line="240" w:lineRule="auto"/>
      </w:pPr>
      <w:rPr>
        <w:b/>
        <w:bCs/>
      </w:rPr>
      <w:tblPr/>
      <w:tcPr>
        <w:tcBorders>
          <w:top w:val="double" w:sz="6" w:space="0" w:color="D6D6D7" w:themeColor="accent2" w:themeTint="BF"/>
          <w:left w:val="single" w:sz="8" w:space="0" w:color="D6D6D7" w:themeColor="accent2" w:themeTint="BF"/>
          <w:bottom w:val="single" w:sz="8" w:space="0" w:color="D6D6D7" w:themeColor="accent2" w:themeTint="BF"/>
          <w:right w:val="single" w:sz="8" w:space="0" w:color="D6D6D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2" w:themeFillTint="3F"/>
      </w:tcPr>
    </w:tblStylePr>
    <w:tblStylePr w:type="band1Horz">
      <w:tblPr/>
      <w:tcPr>
        <w:tcBorders>
          <w:insideH w:val="nil"/>
          <w:insideV w:val="nil"/>
        </w:tcBorders>
        <w:shd w:val="clear" w:color="auto" w:fill="F1F1F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semiHidden/>
    <w:unhideWhenUsed/>
    <w:rsid w:val="001F6DC1"/>
    <w:tblPr>
      <w:tblStyleRowBandSize w:val="1"/>
      <w:tblStyleColBandSize w:val="1"/>
      <w:tblBorders>
        <w:top w:val="single" w:sz="8" w:space="0" w:color="8ADBE7" w:themeColor="accent3" w:themeTint="BF"/>
        <w:left w:val="single" w:sz="8" w:space="0" w:color="8ADBE7" w:themeColor="accent3" w:themeTint="BF"/>
        <w:bottom w:val="single" w:sz="8" w:space="0" w:color="8ADBE7" w:themeColor="accent3" w:themeTint="BF"/>
        <w:right w:val="single" w:sz="8" w:space="0" w:color="8ADBE7" w:themeColor="accent3" w:themeTint="BF"/>
        <w:insideH w:val="single" w:sz="8" w:space="0" w:color="8ADBE7" w:themeColor="accent3" w:themeTint="BF"/>
      </w:tblBorders>
    </w:tblPr>
    <w:tblStylePr w:type="firstRow">
      <w:pPr>
        <w:spacing w:before="0" w:after="0" w:line="240" w:lineRule="auto"/>
      </w:pPr>
      <w:rPr>
        <w:b/>
        <w:bCs/>
        <w:color w:val="FFFFFF" w:themeColor="background1"/>
      </w:rPr>
      <w:tblPr/>
      <w:tcPr>
        <w:tcBorders>
          <w:top w:val="single" w:sz="8" w:space="0" w:color="8ADBE7" w:themeColor="accent3" w:themeTint="BF"/>
          <w:left w:val="single" w:sz="8" w:space="0" w:color="8ADBE7" w:themeColor="accent3" w:themeTint="BF"/>
          <w:bottom w:val="single" w:sz="8" w:space="0" w:color="8ADBE7" w:themeColor="accent3" w:themeTint="BF"/>
          <w:right w:val="single" w:sz="8" w:space="0" w:color="8ADBE7" w:themeColor="accent3" w:themeTint="BF"/>
          <w:insideH w:val="nil"/>
          <w:insideV w:val="nil"/>
        </w:tcBorders>
        <w:shd w:val="clear" w:color="auto" w:fill="63D0DF" w:themeFill="accent3"/>
      </w:tcPr>
    </w:tblStylePr>
    <w:tblStylePr w:type="lastRow">
      <w:pPr>
        <w:spacing w:before="0" w:after="0" w:line="240" w:lineRule="auto"/>
      </w:pPr>
      <w:rPr>
        <w:b/>
        <w:bCs/>
      </w:rPr>
      <w:tblPr/>
      <w:tcPr>
        <w:tcBorders>
          <w:top w:val="double" w:sz="6" w:space="0" w:color="8ADBE7" w:themeColor="accent3" w:themeTint="BF"/>
          <w:left w:val="single" w:sz="8" w:space="0" w:color="8ADBE7" w:themeColor="accent3" w:themeTint="BF"/>
          <w:bottom w:val="single" w:sz="8" w:space="0" w:color="8ADBE7" w:themeColor="accent3" w:themeTint="BF"/>
          <w:right w:val="single" w:sz="8" w:space="0" w:color="8ADBE7"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F3F7" w:themeFill="accent3" w:themeFillTint="3F"/>
      </w:tcPr>
    </w:tblStylePr>
    <w:tblStylePr w:type="band1Horz">
      <w:tblPr/>
      <w:tcPr>
        <w:tcBorders>
          <w:insideH w:val="nil"/>
          <w:insideV w:val="nil"/>
        </w:tcBorders>
        <w:shd w:val="clear" w:color="auto" w:fill="D8F3F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semiHidden/>
    <w:unhideWhenUsed/>
    <w:rsid w:val="001F6DC1"/>
    <w:tblPr>
      <w:tblStyleRowBandSize w:val="1"/>
      <w:tblStyleColBandSize w:val="1"/>
      <w:tblBorders>
        <w:top w:val="single" w:sz="8" w:space="0" w:color="B8B8B8" w:themeColor="accent4" w:themeTint="BF"/>
        <w:left w:val="single" w:sz="8" w:space="0" w:color="B8B8B8" w:themeColor="accent4" w:themeTint="BF"/>
        <w:bottom w:val="single" w:sz="8" w:space="0" w:color="B8B8B8" w:themeColor="accent4" w:themeTint="BF"/>
        <w:right w:val="single" w:sz="8" w:space="0" w:color="B8B8B8" w:themeColor="accent4" w:themeTint="BF"/>
        <w:insideH w:val="single" w:sz="8" w:space="0" w:color="B8B8B8" w:themeColor="accent4" w:themeTint="BF"/>
      </w:tblBorders>
    </w:tblPr>
    <w:tblStylePr w:type="firstRow">
      <w:pPr>
        <w:spacing w:before="0" w:after="0" w:line="240" w:lineRule="auto"/>
      </w:pPr>
      <w:rPr>
        <w:b/>
        <w:bCs/>
        <w:color w:val="FFFFFF" w:themeColor="background1"/>
      </w:rPr>
      <w:tblPr/>
      <w:tcPr>
        <w:tcBorders>
          <w:top w:val="single" w:sz="8" w:space="0" w:color="B8B8B8" w:themeColor="accent4" w:themeTint="BF"/>
          <w:left w:val="single" w:sz="8" w:space="0" w:color="B8B8B8" w:themeColor="accent4" w:themeTint="BF"/>
          <w:bottom w:val="single" w:sz="8" w:space="0" w:color="B8B8B8" w:themeColor="accent4" w:themeTint="BF"/>
          <w:right w:val="single" w:sz="8" w:space="0" w:color="B8B8B8" w:themeColor="accent4" w:themeTint="BF"/>
          <w:insideH w:val="nil"/>
          <w:insideV w:val="nil"/>
        </w:tcBorders>
        <w:shd w:val="clear" w:color="auto" w:fill="A1A1A1" w:themeFill="accent4"/>
      </w:tcPr>
    </w:tblStylePr>
    <w:tblStylePr w:type="lastRow">
      <w:pPr>
        <w:spacing w:before="0" w:after="0" w:line="240" w:lineRule="auto"/>
      </w:pPr>
      <w:rPr>
        <w:b/>
        <w:bCs/>
      </w:rPr>
      <w:tblPr/>
      <w:tcPr>
        <w:tcBorders>
          <w:top w:val="double" w:sz="6" w:space="0" w:color="B8B8B8" w:themeColor="accent4" w:themeTint="BF"/>
          <w:left w:val="single" w:sz="8" w:space="0" w:color="B8B8B8" w:themeColor="accent4" w:themeTint="BF"/>
          <w:bottom w:val="single" w:sz="8" w:space="0" w:color="B8B8B8" w:themeColor="accent4" w:themeTint="BF"/>
          <w:right w:val="single" w:sz="8" w:space="0" w:color="B8B8B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E7E7" w:themeFill="accent4" w:themeFillTint="3F"/>
      </w:tcPr>
    </w:tblStylePr>
    <w:tblStylePr w:type="band1Horz">
      <w:tblPr/>
      <w:tcPr>
        <w:tcBorders>
          <w:insideH w:val="nil"/>
          <w:insideV w:val="nil"/>
        </w:tcBorders>
        <w:shd w:val="clear" w:color="auto" w:fill="E7E7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semiHidden/>
    <w:unhideWhenUsed/>
    <w:rsid w:val="001F6DC1"/>
    <w:tblPr>
      <w:tblStyleRowBandSize w:val="1"/>
      <w:tblStyleColBandSize w:val="1"/>
      <w:tblBorders>
        <w:top w:val="single" w:sz="8" w:space="0" w:color="8ADBE7" w:themeColor="accent5" w:themeTint="BF"/>
        <w:left w:val="single" w:sz="8" w:space="0" w:color="8ADBE7" w:themeColor="accent5" w:themeTint="BF"/>
        <w:bottom w:val="single" w:sz="8" w:space="0" w:color="8ADBE7" w:themeColor="accent5" w:themeTint="BF"/>
        <w:right w:val="single" w:sz="8" w:space="0" w:color="8ADBE7" w:themeColor="accent5" w:themeTint="BF"/>
        <w:insideH w:val="single" w:sz="8" w:space="0" w:color="8ADBE7" w:themeColor="accent5" w:themeTint="BF"/>
      </w:tblBorders>
    </w:tblPr>
    <w:tblStylePr w:type="firstRow">
      <w:pPr>
        <w:spacing w:before="0" w:after="0" w:line="240" w:lineRule="auto"/>
      </w:pPr>
      <w:rPr>
        <w:b/>
        <w:bCs/>
        <w:color w:val="FFFFFF" w:themeColor="background1"/>
      </w:rPr>
      <w:tblPr/>
      <w:tcPr>
        <w:tcBorders>
          <w:top w:val="single" w:sz="8" w:space="0" w:color="8ADBE7" w:themeColor="accent5" w:themeTint="BF"/>
          <w:left w:val="single" w:sz="8" w:space="0" w:color="8ADBE7" w:themeColor="accent5" w:themeTint="BF"/>
          <w:bottom w:val="single" w:sz="8" w:space="0" w:color="8ADBE7" w:themeColor="accent5" w:themeTint="BF"/>
          <w:right w:val="single" w:sz="8" w:space="0" w:color="8ADBE7" w:themeColor="accent5" w:themeTint="BF"/>
          <w:insideH w:val="nil"/>
          <w:insideV w:val="nil"/>
        </w:tcBorders>
        <w:shd w:val="clear" w:color="auto" w:fill="63D0DF" w:themeFill="accent5"/>
      </w:tcPr>
    </w:tblStylePr>
    <w:tblStylePr w:type="lastRow">
      <w:pPr>
        <w:spacing w:before="0" w:after="0" w:line="240" w:lineRule="auto"/>
      </w:pPr>
      <w:rPr>
        <w:b/>
        <w:bCs/>
      </w:rPr>
      <w:tblPr/>
      <w:tcPr>
        <w:tcBorders>
          <w:top w:val="double" w:sz="6" w:space="0" w:color="8ADBE7" w:themeColor="accent5" w:themeTint="BF"/>
          <w:left w:val="single" w:sz="8" w:space="0" w:color="8ADBE7" w:themeColor="accent5" w:themeTint="BF"/>
          <w:bottom w:val="single" w:sz="8" w:space="0" w:color="8ADBE7" w:themeColor="accent5" w:themeTint="BF"/>
          <w:right w:val="single" w:sz="8" w:space="0" w:color="8ADBE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F3F7" w:themeFill="accent5" w:themeFillTint="3F"/>
      </w:tcPr>
    </w:tblStylePr>
    <w:tblStylePr w:type="band1Horz">
      <w:tblPr/>
      <w:tcPr>
        <w:tcBorders>
          <w:insideH w:val="nil"/>
          <w:insideV w:val="nil"/>
        </w:tcBorders>
        <w:shd w:val="clear" w:color="auto" w:fill="D8F3F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semiHidden/>
    <w:unhideWhenUsed/>
    <w:rsid w:val="001F6DC1"/>
    <w:tblPr>
      <w:tblStyleRowBandSize w:val="1"/>
      <w:tblStyleColBandSize w:val="1"/>
      <w:tblBorders>
        <w:top w:val="single" w:sz="8" w:space="0" w:color="B8B8B8" w:themeColor="accent6" w:themeTint="BF"/>
        <w:left w:val="single" w:sz="8" w:space="0" w:color="B8B8B8" w:themeColor="accent6" w:themeTint="BF"/>
        <w:bottom w:val="single" w:sz="8" w:space="0" w:color="B8B8B8" w:themeColor="accent6" w:themeTint="BF"/>
        <w:right w:val="single" w:sz="8" w:space="0" w:color="B8B8B8" w:themeColor="accent6" w:themeTint="BF"/>
        <w:insideH w:val="single" w:sz="8" w:space="0" w:color="B8B8B8" w:themeColor="accent6" w:themeTint="BF"/>
      </w:tblBorders>
    </w:tblPr>
    <w:tblStylePr w:type="firstRow">
      <w:pPr>
        <w:spacing w:before="0" w:after="0" w:line="240" w:lineRule="auto"/>
      </w:pPr>
      <w:rPr>
        <w:b/>
        <w:bCs/>
        <w:color w:val="FFFFFF" w:themeColor="background1"/>
      </w:rPr>
      <w:tblPr/>
      <w:tcPr>
        <w:tcBorders>
          <w:top w:val="single" w:sz="8" w:space="0" w:color="B8B8B8" w:themeColor="accent6" w:themeTint="BF"/>
          <w:left w:val="single" w:sz="8" w:space="0" w:color="B8B8B8" w:themeColor="accent6" w:themeTint="BF"/>
          <w:bottom w:val="single" w:sz="8" w:space="0" w:color="B8B8B8" w:themeColor="accent6" w:themeTint="BF"/>
          <w:right w:val="single" w:sz="8" w:space="0" w:color="B8B8B8" w:themeColor="accent6" w:themeTint="BF"/>
          <w:insideH w:val="nil"/>
          <w:insideV w:val="nil"/>
        </w:tcBorders>
        <w:shd w:val="clear" w:color="auto" w:fill="A1A1A1" w:themeFill="accent6"/>
      </w:tcPr>
    </w:tblStylePr>
    <w:tblStylePr w:type="lastRow">
      <w:pPr>
        <w:spacing w:before="0" w:after="0" w:line="240" w:lineRule="auto"/>
      </w:pPr>
      <w:rPr>
        <w:b/>
        <w:bCs/>
      </w:rPr>
      <w:tblPr/>
      <w:tcPr>
        <w:tcBorders>
          <w:top w:val="double" w:sz="6" w:space="0" w:color="B8B8B8" w:themeColor="accent6" w:themeTint="BF"/>
          <w:left w:val="single" w:sz="8" w:space="0" w:color="B8B8B8" w:themeColor="accent6" w:themeTint="BF"/>
          <w:bottom w:val="single" w:sz="8" w:space="0" w:color="B8B8B8" w:themeColor="accent6" w:themeTint="BF"/>
          <w:right w:val="single" w:sz="8" w:space="0" w:color="B8B8B8" w:themeColor="accent6" w:themeTint="BF"/>
          <w:insideH w:val="nil"/>
          <w:insideV w:val="nil"/>
        </w:tcBorders>
      </w:tcPr>
    </w:tblStylePr>
    <w:tblStylePr w:type="firstCol">
      <w:rPr>
        <w:b/>
        <w:bCs/>
      </w:rPr>
    </w:tblStylePr>
    <w:tblStylePr w:type="lastCol">
      <w:rPr>
        <w:b/>
        <w:bCs/>
      </w:rPr>
    </w:tblStylePr>
    <w:tblStylePr w:type="band1Vert">
      <w:tblPr/>
      <w:tcPr>
        <w:shd w:val="clear" w:color="auto" w:fill="E7E7E7" w:themeFill="accent6" w:themeFillTint="3F"/>
      </w:tcPr>
    </w:tblStylePr>
    <w:tblStylePr w:type="band1Horz">
      <w:tblPr/>
      <w:tcPr>
        <w:tcBorders>
          <w:insideH w:val="nil"/>
          <w:insideV w:val="nil"/>
        </w:tcBorders>
        <w:shd w:val="clear" w:color="auto" w:fill="E7E7E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D0D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D0DF" w:themeFill="accent1"/>
      </w:tcPr>
    </w:tblStylePr>
    <w:tblStylePr w:type="lastCol">
      <w:rPr>
        <w:b/>
        <w:bCs/>
        <w:color w:val="FFFFFF" w:themeColor="background1"/>
      </w:rPr>
      <w:tblPr/>
      <w:tcPr>
        <w:tcBorders>
          <w:left w:val="nil"/>
          <w:right w:val="nil"/>
          <w:insideH w:val="nil"/>
          <w:insideV w:val="nil"/>
        </w:tcBorders>
        <w:shd w:val="clear" w:color="auto" w:fill="63D0D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9C9C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9C9CA" w:themeFill="accent2"/>
      </w:tcPr>
    </w:tblStylePr>
    <w:tblStylePr w:type="lastCol">
      <w:rPr>
        <w:b/>
        <w:bCs/>
        <w:color w:val="FFFFFF" w:themeColor="background1"/>
      </w:rPr>
      <w:tblPr/>
      <w:tcPr>
        <w:tcBorders>
          <w:left w:val="nil"/>
          <w:right w:val="nil"/>
          <w:insideH w:val="nil"/>
          <w:insideV w:val="nil"/>
        </w:tcBorders>
        <w:shd w:val="clear" w:color="auto" w:fill="C9C9C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D0D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D0DF" w:themeFill="accent3"/>
      </w:tcPr>
    </w:tblStylePr>
    <w:tblStylePr w:type="lastCol">
      <w:rPr>
        <w:b/>
        <w:bCs/>
        <w:color w:val="FFFFFF" w:themeColor="background1"/>
      </w:rPr>
      <w:tblPr/>
      <w:tcPr>
        <w:tcBorders>
          <w:left w:val="nil"/>
          <w:right w:val="nil"/>
          <w:insideH w:val="nil"/>
          <w:insideV w:val="nil"/>
        </w:tcBorders>
        <w:shd w:val="clear" w:color="auto" w:fill="63D0D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A1A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1A1A1" w:themeFill="accent4"/>
      </w:tcPr>
    </w:tblStylePr>
    <w:tblStylePr w:type="lastCol">
      <w:rPr>
        <w:b/>
        <w:bCs/>
        <w:color w:val="FFFFFF" w:themeColor="background1"/>
      </w:rPr>
      <w:tblPr/>
      <w:tcPr>
        <w:tcBorders>
          <w:left w:val="nil"/>
          <w:right w:val="nil"/>
          <w:insideH w:val="nil"/>
          <w:insideV w:val="nil"/>
        </w:tcBorders>
        <w:shd w:val="clear" w:color="auto" w:fill="A1A1A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D0D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D0DF" w:themeFill="accent5"/>
      </w:tcPr>
    </w:tblStylePr>
    <w:tblStylePr w:type="lastCol">
      <w:rPr>
        <w:b/>
        <w:bCs/>
        <w:color w:val="FFFFFF" w:themeColor="background1"/>
      </w:rPr>
      <w:tblPr/>
      <w:tcPr>
        <w:tcBorders>
          <w:left w:val="nil"/>
          <w:right w:val="nil"/>
          <w:insideH w:val="nil"/>
          <w:insideV w:val="nil"/>
        </w:tcBorders>
        <w:shd w:val="clear" w:color="auto" w:fill="63D0D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A1A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1A1A1" w:themeFill="accent6"/>
      </w:tcPr>
    </w:tblStylePr>
    <w:tblStylePr w:type="lastCol">
      <w:rPr>
        <w:b/>
        <w:bCs/>
        <w:color w:val="FFFFFF" w:themeColor="background1"/>
      </w:rPr>
      <w:tblPr/>
      <w:tcPr>
        <w:tcBorders>
          <w:left w:val="nil"/>
          <w:right w:val="nil"/>
          <w:insideH w:val="nil"/>
          <w:insideV w:val="nil"/>
        </w:tcBorders>
        <w:shd w:val="clear" w:color="auto" w:fill="A1A1A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able3Deffects1">
    <w:name w:val="Table 3D effects 1"/>
    <w:basedOn w:val="TableNormal"/>
    <w:uiPriority w:val="98"/>
    <w:semiHidden/>
    <w:unhideWhenUsed/>
    <w:rsid w:val="001F6DC1"/>
    <w:pPr>
      <w:spacing w:after="227" w:line="22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semiHidden/>
    <w:unhideWhenUsed/>
    <w:rsid w:val="001F6DC1"/>
    <w:pPr>
      <w:spacing w:after="227" w:line="22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semiHidden/>
    <w:unhideWhenUsed/>
    <w:rsid w:val="001F6DC1"/>
    <w:pPr>
      <w:spacing w:after="227" w:line="22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semiHidden/>
    <w:unhideWhenUsed/>
    <w:rsid w:val="001F6DC1"/>
    <w:pPr>
      <w:spacing w:after="227" w:line="22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semiHidden/>
    <w:unhideWhenUsed/>
    <w:rsid w:val="001F6DC1"/>
    <w:pPr>
      <w:spacing w:after="227" w:line="22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semiHidden/>
    <w:unhideWhenUsed/>
    <w:rsid w:val="001F6DC1"/>
    <w:pPr>
      <w:spacing w:after="227" w:line="22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semiHidden/>
    <w:unhideWhenUsed/>
    <w:rsid w:val="001F6DC1"/>
    <w:pPr>
      <w:spacing w:after="227" w:line="22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semiHidden/>
    <w:unhideWhenUsed/>
    <w:rsid w:val="001F6DC1"/>
    <w:pPr>
      <w:spacing w:after="227" w:line="22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semiHidden/>
    <w:unhideWhenUsed/>
    <w:rsid w:val="001F6DC1"/>
    <w:pPr>
      <w:spacing w:after="227" w:line="22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semiHidden/>
    <w:unhideWhenUsed/>
    <w:rsid w:val="001F6DC1"/>
    <w:pPr>
      <w:spacing w:after="227" w:line="22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semiHidden/>
    <w:unhideWhenUsed/>
    <w:rsid w:val="001F6DC1"/>
    <w:pPr>
      <w:spacing w:after="227" w:line="22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semiHidden/>
    <w:unhideWhenUsed/>
    <w:rsid w:val="001F6DC1"/>
    <w:pPr>
      <w:spacing w:after="227" w:line="22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semiHidden/>
    <w:unhideWhenUsed/>
    <w:rsid w:val="001F6DC1"/>
    <w:pPr>
      <w:spacing w:after="227" w:line="22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semiHidden/>
    <w:unhideWhenUsed/>
    <w:rsid w:val="001F6DC1"/>
    <w:pPr>
      <w:spacing w:after="227" w:line="22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semiHidden/>
    <w:unhideWhenUsed/>
    <w:rsid w:val="001F6DC1"/>
    <w:pPr>
      <w:spacing w:after="227" w:line="22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semiHidden/>
    <w:unhideWhenUsed/>
    <w:rsid w:val="001F6DC1"/>
    <w:pPr>
      <w:spacing w:after="227" w:line="22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semiHidden/>
    <w:unhideWhenUsed/>
    <w:rsid w:val="001F6DC1"/>
    <w:pPr>
      <w:spacing w:after="227" w:line="22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8"/>
    <w:semiHidden/>
    <w:unhideWhenUsed/>
    <w:rsid w:val="001F6DC1"/>
    <w:pPr>
      <w:spacing w:after="227" w:line="2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semiHidden/>
    <w:unhideWhenUsed/>
    <w:rsid w:val="001F6DC1"/>
    <w:pPr>
      <w:spacing w:after="227" w:line="22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semiHidden/>
    <w:unhideWhenUsed/>
    <w:rsid w:val="001F6DC1"/>
    <w:pPr>
      <w:spacing w:after="227" w:line="22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semiHidden/>
    <w:unhideWhenUsed/>
    <w:rsid w:val="001F6DC1"/>
    <w:pPr>
      <w:spacing w:after="227" w:line="22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semiHidden/>
    <w:unhideWhenUsed/>
    <w:rsid w:val="001F6DC1"/>
    <w:pPr>
      <w:spacing w:after="227" w:line="22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semiHidden/>
    <w:unhideWhenUsed/>
    <w:rsid w:val="001F6DC1"/>
    <w:pPr>
      <w:spacing w:after="227" w:line="22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98"/>
    <w:semiHidden/>
    <w:rsid w:val="001F6D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8"/>
    <w:semiHidden/>
    <w:unhideWhenUsed/>
    <w:rsid w:val="001F6DC1"/>
    <w:pPr>
      <w:spacing w:after="227" w:line="22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semiHidden/>
    <w:unhideWhenUsed/>
    <w:rsid w:val="001F6DC1"/>
    <w:pPr>
      <w:spacing w:after="227" w:line="22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semiHidden/>
    <w:unhideWhenUsed/>
    <w:rsid w:val="001F6DC1"/>
    <w:pPr>
      <w:spacing w:after="227" w:line="22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semiHidden/>
    <w:unhideWhenUsed/>
    <w:rsid w:val="001F6DC1"/>
    <w:pPr>
      <w:spacing w:after="227" w:line="22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semiHidden/>
    <w:unhideWhenUsed/>
    <w:rsid w:val="001F6DC1"/>
    <w:pPr>
      <w:spacing w:after="227" w:line="22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semiHidden/>
    <w:unhideWhenUsed/>
    <w:rsid w:val="001F6DC1"/>
    <w:pPr>
      <w:spacing w:after="227" w:line="22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semiHidden/>
    <w:unhideWhenUsed/>
    <w:rsid w:val="001F6DC1"/>
    <w:pPr>
      <w:spacing w:after="227" w:line="22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8"/>
    <w:semiHidden/>
    <w:unhideWhenUsed/>
    <w:rsid w:val="001F6DC1"/>
    <w:pPr>
      <w:spacing w:after="227" w:line="2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semiHidden/>
    <w:unhideWhenUsed/>
    <w:rsid w:val="001F6DC1"/>
    <w:pPr>
      <w:spacing w:after="227" w:line="22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semiHidden/>
    <w:unhideWhenUsed/>
    <w:rsid w:val="001F6DC1"/>
    <w:pPr>
      <w:spacing w:after="227" w:line="22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semiHidden/>
    <w:unhideWhenUsed/>
    <w:rsid w:val="001F6DC1"/>
    <w:pPr>
      <w:spacing w:after="227" w:line="22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semiHidden/>
    <w:unhideWhenUsed/>
    <w:rsid w:val="001F6DC1"/>
    <w:pPr>
      <w:spacing w:after="227" w:line="22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semiHidden/>
    <w:unhideWhenUsed/>
    <w:rsid w:val="001F6DC1"/>
    <w:pPr>
      <w:spacing w:after="227"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8"/>
    <w:semiHidden/>
    <w:unhideWhenUsed/>
    <w:rsid w:val="001F6DC1"/>
    <w:pPr>
      <w:spacing w:after="227" w:line="22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8"/>
    <w:semiHidden/>
    <w:unhideWhenUsed/>
    <w:rsid w:val="001F6DC1"/>
    <w:pPr>
      <w:spacing w:after="227" w:line="22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8"/>
    <w:semiHidden/>
    <w:unhideWhenUsed/>
    <w:rsid w:val="001F6DC1"/>
    <w:pPr>
      <w:spacing w:after="227" w:line="22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Title"/>
    <w:next w:val="Normal"/>
    <w:uiPriority w:val="39"/>
    <w:qFormat/>
    <w:rsid w:val="00145656"/>
    <w:pPr>
      <w:spacing w:after="720"/>
    </w:pPr>
    <w:rPr>
      <w:b/>
      <w:caps w:val="0"/>
    </w:rPr>
  </w:style>
  <w:style w:type="character" w:customStyle="1" w:styleId="Heading8Char">
    <w:name w:val="Heading 8 Char"/>
    <w:basedOn w:val="DefaultParagraphFont"/>
    <w:link w:val="Heading8"/>
    <w:uiPriority w:val="1"/>
    <w:semiHidden/>
    <w:rsid w:val="000E3939"/>
    <w:rPr>
      <w:rFonts w:asciiTheme="majorHAnsi" w:eastAsiaTheme="majorEastAsia" w:hAnsiTheme="majorHAnsi" w:cstheme="majorBidi"/>
      <w:i/>
      <w:color w:val="1D336D" w:themeColor="background2"/>
      <w:szCs w:val="21"/>
    </w:rPr>
  </w:style>
  <w:style w:type="character" w:customStyle="1" w:styleId="Heading9Char">
    <w:name w:val="Heading 9 Char"/>
    <w:basedOn w:val="DefaultParagraphFont"/>
    <w:link w:val="Heading9"/>
    <w:uiPriority w:val="1"/>
    <w:semiHidden/>
    <w:rsid w:val="000E3939"/>
    <w:rPr>
      <w:rFonts w:asciiTheme="majorHAnsi" w:eastAsiaTheme="majorEastAsia" w:hAnsiTheme="majorHAnsi" w:cstheme="majorBidi"/>
      <w:i/>
      <w:iCs/>
      <w:color w:val="000000"/>
      <w:szCs w:val="21"/>
    </w:rPr>
  </w:style>
  <w:style w:type="paragraph" w:customStyle="1" w:styleId="HeaderText">
    <w:name w:val="Header Text"/>
    <w:basedOn w:val="Normal"/>
    <w:uiPriority w:val="12"/>
    <w:semiHidden/>
    <w:rsid w:val="00692E69"/>
    <w:pPr>
      <w:spacing w:line="204" w:lineRule="auto"/>
    </w:pPr>
    <w:rPr>
      <w:rFonts w:asciiTheme="majorHAnsi" w:hAnsiTheme="majorHAnsi"/>
      <w:b/>
      <w:color w:val="585858" w:themeColor="text2"/>
      <w:sz w:val="40"/>
    </w:rPr>
  </w:style>
  <w:style w:type="paragraph" w:customStyle="1" w:styleId="IntroCopy">
    <w:name w:val="Intro Copy"/>
    <w:basedOn w:val="Normal"/>
    <w:uiPriority w:val="2"/>
    <w:qFormat/>
    <w:rsid w:val="006E5C00"/>
    <w:pPr>
      <w:spacing w:before="240" w:after="240" w:line="340" w:lineRule="atLeast"/>
    </w:pPr>
    <w:rPr>
      <w:i/>
      <w:color w:val="2294CD"/>
      <w:sz w:val="24"/>
    </w:rPr>
  </w:style>
  <w:style w:type="paragraph" w:customStyle="1" w:styleId="SourceNotes">
    <w:name w:val="Source Notes"/>
    <w:basedOn w:val="Normal"/>
    <w:uiPriority w:val="12"/>
    <w:qFormat/>
    <w:rsid w:val="002637CE"/>
    <w:pPr>
      <w:spacing w:before="40" w:line="240" w:lineRule="atLeast"/>
    </w:pPr>
    <w:rPr>
      <w:color w:val="507CB9"/>
      <w:sz w:val="18"/>
    </w:rPr>
  </w:style>
  <w:style w:type="paragraph" w:styleId="FootnoteText">
    <w:name w:val="footnote text"/>
    <w:basedOn w:val="Normal"/>
    <w:link w:val="FootnoteTextChar"/>
    <w:uiPriority w:val="99"/>
    <w:rsid w:val="00847E29"/>
    <w:pPr>
      <w:spacing w:after="20" w:line="160" w:lineRule="atLeast"/>
    </w:pPr>
    <w:rPr>
      <w:sz w:val="14"/>
      <w:szCs w:val="20"/>
    </w:rPr>
  </w:style>
  <w:style w:type="table" w:customStyle="1" w:styleId="TableGrid20">
    <w:name w:val="Table Grid2"/>
    <w:basedOn w:val="TableNormal"/>
    <w:next w:val="TableGrid"/>
    <w:uiPriority w:val="39"/>
    <w:rsid w:val="0012294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lain">
    <w:name w:val="_Table Plain"/>
    <w:basedOn w:val="TableNormal"/>
    <w:uiPriority w:val="99"/>
    <w:rsid w:val="00AF488E"/>
    <w:rPr>
      <w:rFonts w:asciiTheme="minorHAnsi" w:hAnsiTheme="minorHAnsi"/>
    </w:rPr>
    <w:tblPr>
      <w:tblStyleRowBandSize w:val="1"/>
      <w:tblBorders>
        <w:top w:val="single" w:sz="4" w:space="0" w:color="2294CD"/>
        <w:bottom w:val="single" w:sz="4" w:space="0" w:color="2294CD"/>
        <w:insideH w:val="single" w:sz="4" w:space="0" w:color="2294CD"/>
      </w:tblBorders>
      <w:tblCellMar>
        <w:top w:w="85" w:type="dxa"/>
        <w:left w:w="85" w:type="dxa"/>
        <w:bottom w:w="85" w:type="dxa"/>
        <w:right w:w="85" w:type="dxa"/>
      </w:tblCellMar>
    </w:tblPr>
    <w:tblStylePr w:type="firstRow">
      <w:rPr>
        <w:rFonts w:asciiTheme="majorHAnsi" w:hAnsiTheme="majorHAnsi"/>
        <w:b w:val="0"/>
        <w:color w:val="1D336D" w:themeColor="background2"/>
      </w:rPr>
      <w:tblPr/>
      <w:tcPr>
        <w:tcBorders>
          <w:top w:val="nil"/>
          <w:bottom w:val="single" w:sz="12" w:space="0" w:color="2294CD"/>
        </w:tcBorders>
      </w:tcPr>
    </w:tblStylePr>
    <w:tblStylePr w:type="firstCol">
      <w:tblPr/>
      <w:tcPr>
        <w:shd w:val="clear" w:color="auto" w:fill="F2F2F2" w:themeFill="background1" w:themeFillShade="F2"/>
      </w:tcPr>
    </w:tblStylePr>
    <w:tblStylePr w:type="lastCol">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umberedHeading1">
    <w:name w:val="Numbered Heading 1"/>
    <w:basedOn w:val="Heading1"/>
    <w:next w:val="Normal"/>
    <w:link w:val="NumberedHeading1Char"/>
    <w:uiPriority w:val="1"/>
    <w:rsid w:val="008A735F"/>
    <w:pPr>
      <w:numPr>
        <w:ilvl w:val="1"/>
        <w:numId w:val="12"/>
      </w:numPr>
    </w:pPr>
  </w:style>
  <w:style w:type="paragraph" w:customStyle="1" w:styleId="NumberedHeading2">
    <w:name w:val="Numbered Heading 2"/>
    <w:basedOn w:val="Heading2"/>
    <w:link w:val="NumberedHeading2Char"/>
    <w:uiPriority w:val="1"/>
    <w:rsid w:val="008A735F"/>
    <w:pPr>
      <w:numPr>
        <w:ilvl w:val="2"/>
        <w:numId w:val="12"/>
      </w:numPr>
    </w:pPr>
  </w:style>
  <w:style w:type="character" w:customStyle="1" w:styleId="NumberedHeading1Char">
    <w:name w:val="Numbered Heading 1 Char"/>
    <w:basedOn w:val="Heading1Char"/>
    <w:link w:val="NumberedHeading1"/>
    <w:uiPriority w:val="1"/>
    <w:rsid w:val="008D395E"/>
    <w:rPr>
      <w:rFonts w:asciiTheme="minorHAnsi" w:eastAsiaTheme="majorEastAsia" w:hAnsiTheme="minorHAnsi" w:cs="Calibri"/>
      <w:bCs/>
      <w:iCs/>
      <w:caps/>
      <w:color w:val="1D336D" w:themeColor="background2"/>
      <w:sz w:val="32"/>
      <w:szCs w:val="28"/>
    </w:rPr>
  </w:style>
  <w:style w:type="paragraph" w:customStyle="1" w:styleId="NumberedHeading3">
    <w:name w:val="Numbered Heading 3"/>
    <w:basedOn w:val="Heading3"/>
    <w:next w:val="NormalIndented3"/>
    <w:link w:val="NumberedHeading3Char"/>
    <w:uiPriority w:val="1"/>
    <w:rsid w:val="008A735F"/>
    <w:pPr>
      <w:numPr>
        <w:ilvl w:val="3"/>
        <w:numId w:val="12"/>
      </w:numPr>
    </w:pPr>
  </w:style>
  <w:style w:type="numbering" w:customStyle="1" w:styleId="MasterHeadings">
    <w:name w:val="_MasterHeadings"/>
    <w:uiPriority w:val="99"/>
    <w:rsid w:val="008A735F"/>
    <w:pPr>
      <w:numPr>
        <w:numId w:val="23"/>
      </w:numPr>
    </w:pPr>
  </w:style>
  <w:style w:type="character" w:customStyle="1" w:styleId="Heading3Char">
    <w:name w:val="Heading 3 Char"/>
    <w:basedOn w:val="Heading1Char"/>
    <w:link w:val="Heading3"/>
    <w:uiPriority w:val="1"/>
    <w:rsid w:val="003A5075"/>
    <w:rPr>
      <w:rFonts w:asciiTheme="minorHAnsi" w:eastAsiaTheme="majorEastAsia" w:hAnsiTheme="minorHAnsi" w:cs="Calibri"/>
      <w:b/>
      <w:bCs w:val="0"/>
      <w:iCs/>
      <w:caps w:val="0"/>
      <w:color w:val="507CB9"/>
      <w:sz w:val="24"/>
      <w:szCs w:val="26"/>
    </w:rPr>
  </w:style>
  <w:style w:type="character" w:customStyle="1" w:styleId="NumberedHeading3Char">
    <w:name w:val="Numbered Heading 3 Char"/>
    <w:basedOn w:val="Heading3Char"/>
    <w:link w:val="NumberedHeading3"/>
    <w:uiPriority w:val="1"/>
    <w:rsid w:val="00CE5852"/>
    <w:rPr>
      <w:rFonts w:asciiTheme="minorHAnsi" w:eastAsiaTheme="majorEastAsia" w:hAnsiTheme="minorHAnsi" w:cs="Calibri"/>
      <w:b/>
      <w:bCs w:val="0"/>
      <w:iCs/>
      <w:caps w:val="0"/>
      <w:color w:val="507CB9"/>
      <w:sz w:val="24"/>
      <w:szCs w:val="26"/>
    </w:rPr>
  </w:style>
  <w:style w:type="character" w:customStyle="1" w:styleId="Heading2Char">
    <w:name w:val="Heading 2 Char"/>
    <w:basedOn w:val="Heading1Char"/>
    <w:link w:val="Heading2"/>
    <w:uiPriority w:val="1"/>
    <w:rsid w:val="003A5075"/>
    <w:rPr>
      <w:rFonts w:asciiTheme="minorHAnsi" w:eastAsiaTheme="majorEastAsia" w:hAnsiTheme="minorHAnsi" w:cs="Calibri"/>
      <w:b/>
      <w:bCs/>
      <w:iCs/>
      <w:caps/>
      <w:color w:val="C9C9CA" w:themeColor="accent2"/>
      <w:sz w:val="28"/>
      <w:szCs w:val="26"/>
    </w:rPr>
  </w:style>
  <w:style w:type="character" w:customStyle="1" w:styleId="NumberedHeading2Char">
    <w:name w:val="Numbered Heading 2 Char"/>
    <w:basedOn w:val="Heading2Char"/>
    <w:link w:val="NumberedHeading2"/>
    <w:uiPriority w:val="1"/>
    <w:rsid w:val="009761FA"/>
    <w:rPr>
      <w:rFonts w:asciiTheme="minorHAnsi" w:eastAsiaTheme="majorEastAsia" w:hAnsiTheme="minorHAnsi" w:cs="Calibri"/>
      <w:b/>
      <w:bCs/>
      <w:iCs/>
      <w:caps/>
      <w:color w:val="C9C9CA" w:themeColor="accent2"/>
      <w:sz w:val="28"/>
      <w:szCs w:val="26"/>
    </w:rPr>
  </w:style>
  <w:style w:type="table" w:customStyle="1" w:styleId="TableGrid30">
    <w:name w:val="Table Grid3"/>
    <w:basedOn w:val="TableNormal"/>
    <w:next w:val="TableGrid"/>
    <w:uiPriority w:val="39"/>
    <w:rsid w:val="0012294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ed1">
    <w:name w:val="Normal Indented 1"/>
    <w:basedOn w:val="Normal"/>
    <w:uiPriority w:val="2"/>
    <w:rsid w:val="00DD18C7"/>
    <w:pPr>
      <w:ind w:left="284"/>
    </w:pPr>
  </w:style>
  <w:style w:type="paragraph" w:customStyle="1" w:styleId="NormalIndented2">
    <w:name w:val="Normal Indented 2"/>
    <w:basedOn w:val="NormalIndented1"/>
    <w:uiPriority w:val="2"/>
    <w:rsid w:val="00301A3A"/>
    <w:pPr>
      <w:ind w:left="567"/>
    </w:pPr>
  </w:style>
  <w:style w:type="paragraph" w:customStyle="1" w:styleId="NormalIndented3">
    <w:name w:val="Normal Indented 3"/>
    <w:basedOn w:val="Normal"/>
    <w:uiPriority w:val="2"/>
    <w:rsid w:val="00301A3A"/>
    <w:pPr>
      <w:ind w:left="851"/>
    </w:pPr>
  </w:style>
  <w:style w:type="paragraph" w:customStyle="1" w:styleId="Date-FooterLink">
    <w:name w:val="Date - Footer Link"/>
    <w:basedOn w:val="Normal"/>
    <w:semiHidden/>
    <w:qFormat/>
    <w:rsid w:val="00217E6A"/>
    <w:rPr>
      <w:rFonts w:asciiTheme="majorHAnsi" w:hAnsiTheme="majorHAnsi"/>
      <w:b/>
      <w:color w:val="585858" w:themeColor="text2"/>
      <w:sz w:val="24"/>
    </w:rPr>
  </w:style>
  <w:style w:type="paragraph" w:customStyle="1" w:styleId="TableHeadingBlue">
    <w:name w:val="Table Heading Blue"/>
    <w:basedOn w:val="TableHeading"/>
    <w:next w:val="TableText"/>
    <w:link w:val="TableHeadingBlueChar"/>
    <w:uiPriority w:val="9"/>
    <w:qFormat/>
    <w:rsid w:val="003423F2"/>
    <w:rPr>
      <w:color w:val="1D336D" w:themeColor="background2"/>
    </w:rPr>
  </w:style>
  <w:style w:type="character" w:customStyle="1" w:styleId="TableHeadingChar">
    <w:name w:val="Table Heading Char"/>
    <w:basedOn w:val="DefaultParagraphFont"/>
    <w:link w:val="TableHeading"/>
    <w:uiPriority w:val="9"/>
    <w:rsid w:val="00885AF8"/>
    <w:rPr>
      <w:rFonts w:asciiTheme="minorHAnsi" w:eastAsia="Century Gothic" w:hAnsiTheme="minorHAnsi" w:cs="Calibri"/>
      <w:b/>
      <w:bCs/>
      <w:color w:val="FFFFFF"/>
      <w:szCs w:val="24"/>
      <w:lang w:eastAsia="en-US"/>
    </w:rPr>
  </w:style>
  <w:style w:type="character" w:customStyle="1" w:styleId="TableHeadingBlueChar">
    <w:name w:val="Table Heading Blue Char"/>
    <w:basedOn w:val="TableHeadingChar"/>
    <w:link w:val="TableHeadingBlue"/>
    <w:uiPriority w:val="9"/>
    <w:rsid w:val="003423F2"/>
    <w:rPr>
      <w:rFonts w:asciiTheme="minorHAnsi" w:eastAsia="Century Gothic" w:hAnsiTheme="minorHAnsi" w:cs="Calibri"/>
      <w:b/>
      <w:bCs/>
      <w:color w:val="1D336D" w:themeColor="background2"/>
      <w:szCs w:val="24"/>
      <w:lang w:eastAsia="en-US"/>
    </w:rPr>
  </w:style>
  <w:style w:type="paragraph" w:customStyle="1" w:styleId="Heading1NOTOC">
    <w:name w:val="Heading 1 NO TOC"/>
    <w:basedOn w:val="Heading1"/>
    <w:uiPriority w:val="1"/>
    <w:qFormat/>
    <w:rsid w:val="0004770B"/>
    <w:pPr>
      <w:outlineLvl w:val="9"/>
    </w:pPr>
  </w:style>
  <w:style w:type="paragraph" w:customStyle="1" w:styleId="IntroCopySolid">
    <w:name w:val="Intro Copy Solid"/>
    <w:basedOn w:val="IntroCopy"/>
    <w:uiPriority w:val="2"/>
    <w:qFormat/>
    <w:rsid w:val="006E5C00"/>
    <w:pPr>
      <w:pBdr>
        <w:top w:val="single" w:sz="8" w:space="8" w:color="2294CD"/>
        <w:left w:val="single" w:sz="8" w:space="8" w:color="2294CD"/>
        <w:bottom w:val="single" w:sz="8" w:space="8" w:color="2294CD"/>
        <w:right w:val="single" w:sz="8" w:space="8" w:color="2294CD"/>
      </w:pBdr>
      <w:shd w:val="clear" w:color="auto" w:fill="2294CD"/>
      <w:spacing w:line="276" w:lineRule="auto"/>
      <w:ind w:left="159" w:right="159"/>
      <w:contextualSpacing/>
    </w:pPr>
    <w:rPr>
      <w:color w:val="FFFFFF" w:themeColor="background1"/>
    </w:rPr>
  </w:style>
  <w:style w:type="table" w:customStyle="1" w:styleId="TableGrid10">
    <w:name w:val="Table Grid1"/>
    <w:basedOn w:val="TableNormal"/>
    <w:next w:val="TableGrid"/>
    <w:uiPriority w:val="59"/>
    <w:semiHidden/>
    <w:rsid w:val="000819E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pterHeading">
    <w:name w:val="Chapter Heading"/>
    <w:next w:val="Heading1"/>
    <w:qFormat/>
    <w:rsid w:val="00327B91"/>
    <w:pPr>
      <w:pageBreakBefore/>
      <w:pBdr>
        <w:top w:val="single" w:sz="2" w:space="6" w:color="1D336D" w:themeColor="background2"/>
        <w:left w:val="single" w:sz="2" w:space="6" w:color="1D336D" w:themeColor="background2"/>
        <w:bottom w:val="single" w:sz="2" w:space="6" w:color="1D336D" w:themeColor="background2"/>
        <w:right w:val="single" w:sz="2" w:space="6" w:color="1D336D" w:themeColor="background2"/>
      </w:pBdr>
      <w:shd w:val="clear" w:color="auto" w:fill="2294CD"/>
      <w:spacing w:after="240"/>
    </w:pPr>
    <w:rPr>
      <w:rFonts w:asciiTheme="minorHAnsi" w:eastAsiaTheme="majorEastAsia" w:hAnsiTheme="minorHAnsi" w:cs="Calibri"/>
      <w:bCs/>
      <w:iCs/>
      <w:caps/>
      <w:color w:val="FFFFFF" w:themeColor="background1"/>
      <w:sz w:val="44"/>
      <w:szCs w:val="28"/>
    </w:rPr>
  </w:style>
  <w:style w:type="paragraph" w:styleId="TOC5">
    <w:name w:val="toc 5"/>
    <w:basedOn w:val="Normal"/>
    <w:next w:val="Normal"/>
    <w:uiPriority w:val="39"/>
    <w:semiHidden/>
    <w:rsid w:val="00FE707F"/>
    <w:pPr>
      <w:tabs>
        <w:tab w:val="left" w:pos="1134"/>
        <w:tab w:val="right" w:leader="dot" w:pos="9628"/>
      </w:tabs>
      <w:spacing w:after="100"/>
      <w:ind w:left="1701" w:hanging="567"/>
      <w:contextualSpacing/>
    </w:pPr>
    <w:rPr>
      <w:i/>
    </w:rPr>
  </w:style>
  <w:style w:type="paragraph" w:styleId="TOC6">
    <w:name w:val="toc 6"/>
    <w:basedOn w:val="Normal"/>
    <w:next w:val="Normal"/>
    <w:autoRedefine/>
    <w:uiPriority w:val="39"/>
    <w:semiHidden/>
    <w:rsid w:val="00FE707F"/>
    <w:pPr>
      <w:tabs>
        <w:tab w:val="left" w:pos="1760"/>
        <w:tab w:val="right" w:leader="dot" w:pos="9628"/>
      </w:tabs>
      <w:spacing w:after="100"/>
      <w:ind w:left="1000"/>
    </w:pPr>
    <w:rPr>
      <w:noProof/>
    </w:rPr>
  </w:style>
  <w:style w:type="paragraph" w:styleId="Caption">
    <w:name w:val="caption"/>
    <w:basedOn w:val="Normal"/>
    <w:next w:val="Normal"/>
    <w:link w:val="CaptionChar"/>
    <w:uiPriority w:val="32"/>
    <w:qFormat/>
    <w:rsid w:val="004B1446"/>
    <w:pPr>
      <w:spacing w:before="240" w:after="120" w:line="240" w:lineRule="auto"/>
    </w:pPr>
    <w:rPr>
      <w:b/>
      <w:iCs/>
      <w:color w:val="507CB9"/>
      <w:sz w:val="22"/>
      <w:szCs w:val="18"/>
    </w:rPr>
  </w:style>
  <w:style w:type="character" w:customStyle="1" w:styleId="FootnoteTextChar">
    <w:name w:val="Footnote Text Char"/>
    <w:basedOn w:val="DefaultParagraphFont"/>
    <w:link w:val="FootnoteText"/>
    <w:uiPriority w:val="99"/>
    <w:rsid w:val="00847E29"/>
    <w:rPr>
      <w:rFonts w:asciiTheme="minorHAnsi" w:eastAsiaTheme="majorEastAsia" w:hAnsiTheme="minorHAnsi" w:cs="Calibri"/>
      <w:color w:val="000000" w:themeColor="text1"/>
      <w:sz w:val="14"/>
    </w:rPr>
  </w:style>
  <w:style w:type="character" w:styleId="FootnoteReference">
    <w:name w:val="footnote reference"/>
    <w:basedOn w:val="DefaultParagraphFont"/>
    <w:uiPriority w:val="99"/>
    <w:semiHidden/>
    <w:rsid w:val="003337B3"/>
    <w:rPr>
      <w:vertAlign w:val="superscript"/>
    </w:rPr>
  </w:style>
  <w:style w:type="paragraph" w:customStyle="1" w:styleId="CVBody">
    <w:name w:val="CV Body"/>
    <w:basedOn w:val="Normal"/>
    <w:uiPriority w:val="13"/>
    <w:qFormat/>
    <w:rsid w:val="00D4310E"/>
    <w:pPr>
      <w:spacing w:after="60" w:line="200" w:lineRule="atLeast"/>
    </w:pPr>
    <w:rPr>
      <w:rFonts w:eastAsia="Arial" w:cs="Times New Roman"/>
      <w:color w:val="auto"/>
      <w:sz w:val="18"/>
      <w:szCs w:val="22"/>
      <w:lang w:eastAsia="en-US"/>
    </w:rPr>
  </w:style>
  <w:style w:type="paragraph" w:customStyle="1" w:styleId="CoverSubtitle">
    <w:name w:val="Cover Subtitle"/>
    <w:basedOn w:val="CoverTitle"/>
    <w:uiPriority w:val="19"/>
    <w:semiHidden/>
    <w:qFormat/>
    <w:rsid w:val="0081223D"/>
    <w:pPr>
      <w:spacing w:before="240"/>
    </w:pPr>
    <w:rPr>
      <w:b/>
      <w:caps/>
      <w:sz w:val="48"/>
    </w:rPr>
  </w:style>
  <w:style w:type="character" w:customStyle="1" w:styleId="ListNumberChar">
    <w:name w:val="List Number Char"/>
    <w:basedOn w:val="DefaultParagraphFont"/>
    <w:link w:val="ListNumber"/>
    <w:uiPriority w:val="3"/>
    <w:rsid w:val="00596177"/>
    <w:rPr>
      <w:rFonts w:asciiTheme="minorHAnsi" w:eastAsia="Century Gothic" w:hAnsiTheme="minorHAnsi" w:cstheme="minorBidi"/>
      <w:color w:val="000000" w:themeColor="text1"/>
      <w:lang w:eastAsia="en-US"/>
    </w:rPr>
  </w:style>
  <w:style w:type="paragraph" w:customStyle="1" w:styleId="CVLabel">
    <w:name w:val="CV Label"/>
    <w:basedOn w:val="Normal"/>
    <w:uiPriority w:val="13"/>
    <w:qFormat/>
    <w:rsid w:val="00AF488E"/>
    <w:pPr>
      <w:spacing w:after="0" w:line="240" w:lineRule="exact"/>
      <w:ind w:left="-6" w:right="-45"/>
    </w:pPr>
    <w:rPr>
      <w:rFonts w:eastAsia="Arial" w:cs="Times New Roman"/>
      <w:b/>
      <w:bCs/>
      <w:color w:val="2294CD"/>
      <w:sz w:val="19"/>
      <w:szCs w:val="20"/>
      <w:lang w:eastAsia="en-US"/>
    </w:rPr>
  </w:style>
  <w:style w:type="paragraph" w:customStyle="1" w:styleId="CVHeading">
    <w:name w:val="CV Heading"/>
    <w:basedOn w:val="Normal"/>
    <w:uiPriority w:val="13"/>
    <w:qFormat/>
    <w:rsid w:val="0052426B"/>
    <w:pPr>
      <w:spacing w:after="60" w:line="200" w:lineRule="atLeast"/>
    </w:pPr>
    <w:rPr>
      <w:rFonts w:eastAsia="Arial" w:cs="Times New Roman"/>
      <w:b/>
      <w:color w:val="1D336D" w:themeColor="background2"/>
      <w:sz w:val="28"/>
      <w:szCs w:val="22"/>
      <w:lang w:eastAsia="en-US"/>
    </w:rPr>
  </w:style>
  <w:style w:type="paragraph" w:customStyle="1" w:styleId="TableBullets">
    <w:name w:val="Table Bullets"/>
    <w:basedOn w:val="TableText"/>
    <w:uiPriority w:val="10"/>
    <w:qFormat/>
    <w:rsid w:val="009E7E5E"/>
    <w:pPr>
      <w:numPr>
        <w:numId w:val="13"/>
      </w:numPr>
      <w:spacing w:before="0" w:after="80"/>
      <w:ind w:left="284" w:hanging="284"/>
    </w:pPr>
  </w:style>
  <w:style w:type="paragraph" w:customStyle="1" w:styleId="Heading2NOTOC">
    <w:name w:val="Heading 2 NO TOC"/>
    <w:basedOn w:val="Heading2"/>
    <w:uiPriority w:val="1"/>
    <w:qFormat/>
    <w:rsid w:val="004A4416"/>
    <w:pPr>
      <w:outlineLvl w:val="9"/>
    </w:pPr>
  </w:style>
  <w:style w:type="paragraph" w:styleId="TableofFigures">
    <w:name w:val="table of figures"/>
    <w:basedOn w:val="Normal"/>
    <w:next w:val="Normal"/>
    <w:uiPriority w:val="99"/>
    <w:unhideWhenUsed/>
    <w:rsid w:val="00C126D8"/>
    <w:pPr>
      <w:spacing w:after="0"/>
    </w:pPr>
  </w:style>
  <w:style w:type="paragraph" w:styleId="ListParagraph">
    <w:name w:val="List Paragraph"/>
    <w:aliases w:val="Bullet 1,Colorful List - Accent 11,Dot pt,F5 List Paragraph,Indicator Text,L,List Paragraph Char Char Char,List Paragraph1,List Paragraph12,List Paragraph2,MAIN CONTENT,No Spacing1,Normal numbered,Numbered Para 1,OBC Bullet,Rec para,CV te"/>
    <w:basedOn w:val="Normal"/>
    <w:link w:val="ListParagraphChar"/>
    <w:uiPriority w:val="34"/>
    <w:qFormat/>
    <w:rsid w:val="00EE1892"/>
    <w:pPr>
      <w:ind w:left="720"/>
      <w:contextualSpacing/>
    </w:pPr>
  </w:style>
  <w:style w:type="paragraph" w:customStyle="1" w:styleId="CoverDetail">
    <w:name w:val="Cover Detail"/>
    <w:basedOn w:val="CoverSubtitle"/>
    <w:uiPriority w:val="19"/>
    <w:semiHidden/>
    <w:qFormat/>
    <w:rsid w:val="0081223D"/>
    <w:pPr>
      <w:contextualSpacing/>
    </w:pPr>
    <w:rPr>
      <w:color w:val="B1B2B6"/>
      <w:sz w:val="24"/>
    </w:rPr>
  </w:style>
  <w:style w:type="paragraph" w:customStyle="1" w:styleId="CoverInsideDetail">
    <w:name w:val="Cover Inside Detail"/>
    <w:basedOn w:val="CoverDetail"/>
    <w:uiPriority w:val="19"/>
    <w:semiHidden/>
    <w:qFormat/>
    <w:rsid w:val="002C5C7C"/>
    <w:pPr>
      <w:spacing w:before="360"/>
    </w:pPr>
    <w:rPr>
      <w:color w:val="FFFFFF" w:themeColor="background1"/>
      <w:sz w:val="28"/>
    </w:rPr>
  </w:style>
  <w:style w:type="paragraph" w:customStyle="1" w:styleId="CoverDetailWhite">
    <w:name w:val="Cover Detail White"/>
    <w:basedOn w:val="CoverDetail"/>
    <w:uiPriority w:val="19"/>
    <w:semiHidden/>
    <w:qFormat/>
    <w:rsid w:val="00145656"/>
    <w:pPr>
      <w:spacing w:before="120" w:line="280" w:lineRule="atLeast"/>
    </w:pPr>
    <w:rPr>
      <w:b w:val="0"/>
      <w:caps w:val="0"/>
      <w:color w:val="FFFFFF" w:themeColor="background1"/>
    </w:rPr>
  </w:style>
  <w:style w:type="paragraph" w:customStyle="1" w:styleId="CVMainHeading">
    <w:name w:val="CV Main Heading"/>
    <w:basedOn w:val="CVHeading"/>
    <w:uiPriority w:val="13"/>
    <w:qFormat/>
    <w:rsid w:val="00D70725"/>
    <w:rPr>
      <w:sz w:val="20"/>
    </w:rPr>
  </w:style>
  <w:style w:type="paragraph" w:customStyle="1" w:styleId="TableBullet">
    <w:name w:val="Table Bullet"/>
    <w:basedOn w:val="TableText"/>
    <w:uiPriority w:val="10"/>
    <w:qFormat/>
    <w:rsid w:val="00802A4E"/>
    <w:pPr>
      <w:spacing w:before="0" w:after="0"/>
      <w:ind w:left="170" w:hanging="170"/>
    </w:pPr>
    <w:rPr>
      <w:sz w:val="18"/>
    </w:rPr>
  </w:style>
  <w:style w:type="paragraph" w:customStyle="1" w:styleId="InfoBoxDarkText">
    <w:name w:val="Info Box Dark Text"/>
    <w:basedOn w:val="IntroCopy"/>
    <w:uiPriority w:val="2"/>
    <w:qFormat/>
    <w:rsid w:val="00985D63"/>
    <w:pPr>
      <w:spacing w:before="60" w:after="60" w:line="276" w:lineRule="auto"/>
      <w:ind w:left="113" w:right="113"/>
    </w:pPr>
    <w:rPr>
      <w:i w:val="0"/>
      <w:color w:val="1D336D" w:themeColor="background2"/>
      <w:sz w:val="20"/>
    </w:rPr>
  </w:style>
  <w:style w:type="paragraph" w:customStyle="1" w:styleId="InfoBoxLightText">
    <w:name w:val="Info Box Light Text"/>
    <w:basedOn w:val="InfoBoxDarkText"/>
    <w:uiPriority w:val="2"/>
    <w:qFormat/>
    <w:rsid w:val="009473BB"/>
    <w:rPr>
      <w:color w:val="FFFFFF" w:themeColor="background1"/>
    </w:rPr>
  </w:style>
  <w:style w:type="paragraph" w:customStyle="1" w:styleId="NumberedHeadingChapter">
    <w:name w:val="Numbered Heading Chapter"/>
    <w:basedOn w:val="NumberedHeading1"/>
    <w:link w:val="NumberedHeadingChapterChar"/>
    <w:uiPriority w:val="2"/>
    <w:qFormat/>
    <w:rsid w:val="00726D77"/>
    <w:pPr>
      <w:pBdr>
        <w:top w:val="single" w:sz="2" w:space="6" w:color="2294CD"/>
        <w:left w:val="single" w:sz="2" w:space="6" w:color="2294CD"/>
        <w:bottom w:val="single" w:sz="2" w:space="6" w:color="2294CD"/>
        <w:right w:val="single" w:sz="2" w:space="6" w:color="2294CD"/>
      </w:pBdr>
      <w:shd w:val="clear" w:color="auto" w:fill="2294CD"/>
      <w:spacing w:before="160" w:after="240"/>
    </w:pPr>
    <w:rPr>
      <w:b/>
      <w:color w:val="FFFFFF" w:themeColor="background1"/>
      <w:sz w:val="44"/>
    </w:rPr>
  </w:style>
  <w:style w:type="paragraph" w:customStyle="1" w:styleId="SourceNotesV2">
    <w:name w:val="Source Notes V2"/>
    <w:basedOn w:val="SourceNotes"/>
    <w:uiPriority w:val="2"/>
    <w:qFormat/>
    <w:rsid w:val="009473BB"/>
    <w:pPr>
      <w:spacing w:after="0" w:line="200" w:lineRule="atLeast"/>
      <w:jc w:val="right"/>
    </w:pPr>
    <w:rPr>
      <w:color w:val="A1D5EF"/>
      <w:sz w:val="16"/>
    </w:rPr>
  </w:style>
  <w:style w:type="character" w:customStyle="1" w:styleId="NumberedHeadingChapterChar">
    <w:name w:val="Numbered Heading Chapter Char"/>
    <w:basedOn w:val="NumberedHeading1Char"/>
    <w:link w:val="NumberedHeadingChapter"/>
    <w:uiPriority w:val="2"/>
    <w:rsid w:val="00726D77"/>
    <w:rPr>
      <w:rFonts w:asciiTheme="minorHAnsi" w:eastAsiaTheme="majorEastAsia" w:hAnsiTheme="minorHAnsi" w:cs="Calibri"/>
      <w:b/>
      <w:bCs/>
      <w:iCs/>
      <w:caps/>
      <w:color w:val="FFFFFF" w:themeColor="background1"/>
      <w:sz w:val="44"/>
      <w:szCs w:val="28"/>
      <w:shd w:val="clear" w:color="auto" w:fill="2294CD"/>
    </w:rPr>
  </w:style>
  <w:style w:type="paragraph" w:customStyle="1" w:styleId="Heading3NOTOC">
    <w:name w:val="Heading 3 NO TOC"/>
    <w:basedOn w:val="Heading3"/>
    <w:uiPriority w:val="2"/>
    <w:qFormat/>
    <w:rsid w:val="003A5075"/>
    <w:pPr>
      <w:outlineLvl w:val="9"/>
    </w:pPr>
  </w:style>
  <w:style w:type="paragraph" w:customStyle="1" w:styleId="CVHeadingSmall">
    <w:name w:val="CV Heading Small"/>
    <w:basedOn w:val="CVHeading"/>
    <w:uiPriority w:val="2"/>
    <w:qFormat/>
    <w:rsid w:val="0052426B"/>
    <w:rPr>
      <w:sz w:val="20"/>
    </w:rPr>
  </w:style>
  <w:style w:type="paragraph" w:customStyle="1" w:styleId="Bodycopy">
    <w:name w:val="Body copy"/>
    <w:basedOn w:val="Normal"/>
    <w:link w:val="BodycopyChar"/>
    <w:qFormat/>
    <w:rsid w:val="00E560EE"/>
    <w:pPr>
      <w:ind w:left="-284" w:right="-45"/>
    </w:pPr>
    <w:rPr>
      <w:rFonts w:ascii="Arial" w:eastAsiaTheme="minorHAnsi" w:hAnsi="Arial" w:cstheme="minorBidi"/>
      <w:color w:val="auto"/>
      <w:szCs w:val="22"/>
      <w:lang w:eastAsia="en-US"/>
    </w:rPr>
  </w:style>
  <w:style w:type="character" w:customStyle="1" w:styleId="ListParagraphChar">
    <w:name w:val="List Paragraph Char"/>
    <w:aliases w:val="Bullet 1 Char,Colorful List - Accent 11 Char,Dot pt Char,F5 List Paragraph Char,Indicator Text Char,L Char,List Paragraph Char Char Char Char,List Paragraph1 Char,List Paragraph12 Char,List Paragraph2 Char,MAIN CONTENT Char"/>
    <w:basedOn w:val="DefaultParagraphFont"/>
    <w:link w:val="ListParagraph"/>
    <w:uiPriority w:val="34"/>
    <w:qFormat/>
    <w:locked/>
    <w:rsid w:val="00E560EE"/>
    <w:rPr>
      <w:rFonts w:asciiTheme="minorHAnsi" w:eastAsiaTheme="majorEastAsia" w:hAnsiTheme="minorHAnsi" w:cs="Calibri"/>
      <w:color w:val="000000" w:themeColor="text1"/>
      <w:szCs w:val="24"/>
    </w:rPr>
  </w:style>
  <w:style w:type="character" w:customStyle="1" w:styleId="BodycopyChar">
    <w:name w:val="Body copy Char"/>
    <w:basedOn w:val="DefaultParagraphFont"/>
    <w:link w:val="Bodycopy"/>
    <w:rsid w:val="00E560EE"/>
    <w:rPr>
      <w:rFonts w:ascii="Arial" w:eastAsiaTheme="minorHAnsi" w:hAnsi="Arial" w:cstheme="minorBidi"/>
      <w:szCs w:val="22"/>
      <w:lang w:eastAsia="en-US"/>
    </w:rPr>
  </w:style>
  <w:style w:type="character" w:styleId="CommentReference">
    <w:name w:val="annotation reference"/>
    <w:basedOn w:val="DefaultParagraphFont"/>
    <w:uiPriority w:val="99"/>
    <w:semiHidden/>
    <w:rsid w:val="00D113A1"/>
    <w:rPr>
      <w:sz w:val="16"/>
      <w:szCs w:val="16"/>
    </w:rPr>
  </w:style>
  <w:style w:type="paragraph" w:styleId="CommentText">
    <w:name w:val="annotation text"/>
    <w:basedOn w:val="Normal"/>
    <w:link w:val="CommentTextChar"/>
    <w:uiPriority w:val="99"/>
    <w:rsid w:val="00D113A1"/>
    <w:pPr>
      <w:spacing w:line="240" w:lineRule="auto"/>
    </w:pPr>
    <w:rPr>
      <w:szCs w:val="20"/>
    </w:rPr>
  </w:style>
  <w:style w:type="character" w:customStyle="1" w:styleId="CommentTextChar">
    <w:name w:val="Comment Text Char"/>
    <w:basedOn w:val="DefaultParagraphFont"/>
    <w:link w:val="CommentText"/>
    <w:uiPriority w:val="99"/>
    <w:rsid w:val="00D113A1"/>
    <w:rPr>
      <w:rFonts w:asciiTheme="minorHAnsi" w:eastAsiaTheme="majorEastAsia" w:hAnsiTheme="minorHAnsi" w:cs="Calibri"/>
      <w:color w:val="000000" w:themeColor="text1"/>
    </w:rPr>
  </w:style>
  <w:style w:type="paragraph" w:styleId="CommentSubject">
    <w:name w:val="annotation subject"/>
    <w:basedOn w:val="CommentText"/>
    <w:next w:val="CommentText"/>
    <w:link w:val="CommentSubjectChar"/>
    <w:uiPriority w:val="29"/>
    <w:semiHidden/>
    <w:rsid w:val="00D113A1"/>
    <w:rPr>
      <w:b/>
      <w:bCs/>
    </w:rPr>
  </w:style>
  <w:style w:type="character" w:customStyle="1" w:styleId="CommentSubjectChar">
    <w:name w:val="Comment Subject Char"/>
    <w:basedOn w:val="CommentTextChar"/>
    <w:link w:val="CommentSubject"/>
    <w:uiPriority w:val="29"/>
    <w:semiHidden/>
    <w:rsid w:val="00D113A1"/>
    <w:rPr>
      <w:rFonts w:asciiTheme="minorHAnsi" w:eastAsiaTheme="majorEastAsia" w:hAnsiTheme="minorHAnsi" w:cs="Calibri"/>
      <w:b/>
      <w:bCs/>
      <w:color w:val="000000" w:themeColor="text1"/>
    </w:rPr>
  </w:style>
  <w:style w:type="character" w:customStyle="1" w:styleId="normaltextrun">
    <w:name w:val="normaltextrun"/>
    <w:basedOn w:val="DefaultParagraphFont"/>
    <w:rsid w:val="00504E32"/>
  </w:style>
  <w:style w:type="character" w:styleId="Mention">
    <w:name w:val="Mention"/>
    <w:basedOn w:val="DefaultParagraphFont"/>
    <w:uiPriority w:val="99"/>
    <w:unhideWhenUsed/>
    <w:rsid w:val="008F2791"/>
    <w:rPr>
      <w:color w:val="2B579A"/>
      <w:shd w:val="clear" w:color="auto" w:fill="E1DFDD"/>
    </w:rPr>
  </w:style>
  <w:style w:type="paragraph" w:customStyle="1" w:styleId="paragraph">
    <w:name w:val="paragraph"/>
    <w:basedOn w:val="Normal"/>
    <w:rsid w:val="000F3137"/>
    <w:pPr>
      <w:spacing w:before="100" w:beforeAutospacing="1" w:after="100" w:afterAutospacing="1" w:line="240" w:lineRule="auto"/>
    </w:pPr>
    <w:rPr>
      <w:rFonts w:ascii="Times New Roman" w:eastAsia="Times New Roman" w:hAnsi="Times New Roman" w:cs="Times New Roman"/>
      <w:color w:val="auto"/>
      <w:sz w:val="24"/>
    </w:rPr>
  </w:style>
  <w:style w:type="character" w:customStyle="1" w:styleId="eop">
    <w:name w:val="eop"/>
    <w:basedOn w:val="DefaultParagraphFont"/>
    <w:rsid w:val="000F3137"/>
  </w:style>
  <w:style w:type="paragraph" w:styleId="Revision">
    <w:name w:val="Revision"/>
    <w:hidden/>
    <w:uiPriority w:val="99"/>
    <w:semiHidden/>
    <w:rsid w:val="00EB1CE1"/>
    <w:rPr>
      <w:rFonts w:asciiTheme="minorHAnsi" w:eastAsiaTheme="majorEastAsia" w:hAnsiTheme="minorHAnsi" w:cs="Calibri"/>
      <w:color w:val="000000" w:themeColor="text1"/>
      <w:szCs w:val="24"/>
    </w:rPr>
  </w:style>
  <w:style w:type="paragraph" w:customStyle="1" w:styleId="Default">
    <w:name w:val="Default"/>
    <w:rsid w:val="00B96D48"/>
    <w:pPr>
      <w:autoSpaceDE w:val="0"/>
      <w:autoSpaceDN w:val="0"/>
      <w:adjustRightInd w:val="0"/>
    </w:pPr>
    <w:rPr>
      <w:color w:val="000000"/>
      <w:sz w:val="24"/>
      <w:szCs w:val="24"/>
    </w:rPr>
  </w:style>
  <w:style w:type="character" w:customStyle="1" w:styleId="BodyTextChar">
    <w:name w:val="Body Text Char"/>
    <w:basedOn w:val="DefaultParagraphFont"/>
    <w:link w:val="BodyText"/>
    <w:rsid w:val="005D1AE3"/>
    <w:rPr>
      <w:rFonts w:asciiTheme="minorHAnsi" w:hAnsiTheme="minorHAnsi"/>
      <w:szCs w:val="22"/>
      <w:lang w:eastAsia="en-US"/>
    </w:rPr>
  </w:style>
  <w:style w:type="paragraph" w:styleId="BodyText">
    <w:name w:val="Body Text"/>
    <w:basedOn w:val="Normal"/>
    <w:link w:val="BodyTextChar"/>
    <w:unhideWhenUsed/>
    <w:qFormat/>
    <w:rsid w:val="005D1AE3"/>
    <w:pPr>
      <w:spacing w:before="120" w:after="120" w:line="240" w:lineRule="auto"/>
    </w:pPr>
    <w:rPr>
      <w:rFonts w:eastAsia="Times New Roman" w:cs="Times New Roman"/>
      <w:color w:val="auto"/>
      <w:szCs w:val="22"/>
      <w:lang w:eastAsia="en-US"/>
    </w:rPr>
  </w:style>
  <w:style w:type="character" w:customStyle="1" w:styleId="BodyTextChar1">
    <w:name w:val="Body Text Char1"/>
    <w:basedOn w:val="DefaultParagraphFont"/>
    <w:uiPriority w:val="29"/>
    <w:semiHidden/>
    <w:rsid w:val="005D1AE3"/>
    <w:rPr>
      <w:rFonts w:asciiTheme="minorHAnsi" w:eastAsiaTheme="majorEastAsia" w:hAnsiTheme="minorHAnsi" w:cs="Calibri"/>
      <w:color w:val="000000" w:themeColor="text1"/>
      <w:szCs w:val="24"/>
    </w:rPr>
  </w:style>
  <w:style w:type="paragraph" w:styleId="NormalWeb">
    <w:name w:val="Normal (Web)"/>
    <w:basedOn w:val="Normal"/>
    <w:uiPriority w:val="99"/>
    <w:semiHidden/>
    <w:unhideWhenUsed/>
    <w:rsid w:val="005D1AE3"/>
    <w:pPr>
      <w:spacing w:before="100" w:beforeAutospacing="1" w:after="100" w:afterAutospacing="1" w:line="240" w:lineRule="auto"/>
    </w:pPr>
    <w:rPr>
      <w:rFonts w:ascii="Times New Roman" w:eastAsia="Times New Roman" w:hAnsi="Times New Roman" w:cs="Times New Roman"/>
      <w:color w:val="auto"/>
      <w:sz w:val="24"/>
    </w:rPr>
  </w:style>
  <w:style w:type="table" w:customStyle="1" w:styleId="13">
    <w:name w:val="13"/>
    <w:basedOn w:val="TableNormal"/>
    <w:pPr>
      <w:spacing w:after="227"/>
    </w:pPr>
    <w:rPr>
      <w:rFonts w:ascii="Calibri" w:eastAsia="Calibri" w:hAnsi="Calibri" w:cs="Calibri"/>
      <w:b/>
      <w:color w:val="FFFFFF"/>
      <w:sz w:val="22"/>
      <w:szCs w:val="22"/>
    </w:rPr>
    <w:tblPr>
      <w:tblStyleRowBandSize w:val="1"/>
      <w:tblStyleColBandSize w:val="1"/>
      <w:tblCellMar>
        <w:top w:w="85" w:type="dxa"/>
        <w:left w:w="85" w:type="dxa"/>
        <w:bottom w:w="85" w:type="dxa"/>
        <w:right w:w="85" w:type="dxa"/>
      </w:tblCellMar>
    </w:tblPr>
    <w:tcPr>
      <w:shd w:val="clear" w:color="auto" w:fill="auto"/>
    </w:tcPr>
  </w:style>
  <w:style w:type="table" w:customStyle="1" w:styleId="12">
    <w:name w:val="12"/>
    <w:basedOn w:val="TableNormal"/>
    <w:pPr>
      <w:spacing w:after="227"/>
    </w:pPr>
    <w:rPr>
      <w:rFonts w:ascii="Calibri" w:eastAsia="Calibri" w:hAnsi="Calibri" w:cs="Calibri"/>
      <w:b/>
      <w:color w:val="FFFFFF"/>
      <w:sz w:val="22"/>
      <w:szCs w:val="22"/>
    </w:rPr>
    <w:tblPr>
      <w:tblStyleRowBandSize w:val="1"/>
      <w:tblStyleColBandSize w:val="1"/>
      <w:tblCellMar>
        <w:top w:w="85" w:type="dxa"/>
        <w:left w:w="85" w:type="dxa"/>
        <w:bottom w:w="85" w:type="dxa"/>
        <w:right w:w="85" w:type="dxa"/>
      </w:tblCellMar>
    </w:tblPr>
    <w:tcPr>
      <w:shd w:val="clear" w:color="auto" w:fill="auto"/>
    </w:tcPr>
    <w:tblStylePr w:type="firstRow">
      <w:rPr>
        <w:rFonts w:ascii="Arial" w:eastAsia="Arial" w:hAnsi="Arial" w:cs="Arial"/>
        <w:b w:val="0"/>
        <w:color w:val="1D336D"/>
      </w:rPr>
      <w:tblPr/>
      <w:tcPr>
        <w:tcBorders>
          <w:top w:val="nil"/>
          <w:bottom w:val="single" w:sz="12" w:space="0" w:color="2294CD"/>
        </w:tcBorders>
      </w:tcPr>
    </w:tblStylePr>
    <w:tblStylePr w:type="firstCol">
      <w:tblPr/>
      <w:tcPr>
        <w:shd w:val="clear" w:color="auto" w:fill="F2F2F2"/>
      </w:tcPr>
    </w:tblStylePr>
    <w:tblStylePr w:type="lastCol">
      <w:tblPr/>
      <w:tcPr>
        <w:shd w:val="clear" w:color="auto" w:fill="F2F2F2"/>
      </w:tcPr>
    </w:tblStylePr>
    <w:tblStylePr w:type="band1Horz">
      <w:tblPr/>
      <w:tcPr>
        <w:shd w:val="clear" w:color="auto" w:fill="F2F2F2"/>
      </w:tcPr>
    </w:tblStylePr>
  </w:style>
  <w:style w:type="table" w:customStyle="1" w:styleId="11">
    <w:name w:val="11"/>
    <w:basedOn w:val="TableNormal"/>
    <w:pPr>
      <w:spacing w:after="227"/>
    </w:pPr>
    <w:rPr>
      <w:rFonts w:ascii="Calibri" w:eastAsia="Calibri" w:hAnsi="Calibri" w:cs="Calibri"/>
      <w:b/>
      <w:color w:val="FFFFFF"/>
      <w:sz w:val="22"/>
      <w:szCs w:val="22"/>
    </w:rPr>
    <w:tblPr>
      <w:tblStyleRowBandSize w:val="1"/>
      <w:tblStyleColBandSize w:val="1"/>
      <w:tblCellMar>
        <w:top w:w="85" w:type="dxa"/>
        <w:left w:w="85" w:type="dxa"/>
        <w:bottom w:w="85" w:type="dxa"/>
        <w:right w:w="85" w:type="dxa"/>
      </w:tblCellMar>
    </w:tblPr>
    <w:tcPr>
      <w:shd w:val="clear" w:color="auto" w:fill="auto"/>
    </w:tcPr>
    <w:tblStylePr w:type="firstRow">
      <w:rPr>
        <w:b w:val="0"/>
        <w:color w:val="1D336D"/>
      </w:rPr>
      <w:tblPr/>
      <w:tcPr>
        <w:tcBorders>
          <w:top w:val="single" w:sz="4" w:space="0" w:color="1D336D"/>
          <w:left w:val="single" w:sz="4" w:space="0" w:color="1D336D"/>
          <w:bottom w:val="single" w:sz="4" w:space="0" w:color="1D336D"/>
          <w:right w:val="single" w:sz="4" w:space="0" w:color="1D336D"/>
          <w:insideH w:val="single" w:sz="4" w:space="0" w:color="1D336D"/>
          <w:insideV w:val="single" w:sz="4" w:space="0" w:color="1D336D"/>
        </w:tcBorders>
        <w:shd w:val="clear" w:color="auto" w:fill="1D336D"/>
      </w:tcPr>
    </w:tblStylePr>
    <w:tblStylePr w:type="lastRow">
      <w:tblPr/>
      <w:tcPr>
        <w:tcBorders>
          <w:top w:val="single" w:sz="12" w:space="0" w:color="1D336D"/>
          <w:left w:val="nil"/>
          <w:bottom w:val="single" w:sz="12" w:space="0" w:color="1D336D"/>
          <w:right w:val="nil"/>
          <w:insideH w:val="nil"/>
          <w:insideV w:val="nil"/>
        </w:tcBorders>
        <w:shd w:val="clear" w:color="auto" w:fill="FFFFFF"/>
      </w:tcPr>
    </w:tblStylePr>
    <w:tblStylePr w:type="firstCol">
      <w:rPr>
        <w:color w:val="FFFFFF"/>
      </w:rPr>
      <w:tblPr/>
      <w:tcPr>
        <w:shd w:val="clear" w:color="auto" w:fill="C4D0EF"/>
      </w:tcPr>
    </w:tblStylePr>
    <w:tblStylePr w:type="lastCol">
      <w:rPr>
        <w:color w:val="FFFFFF"/>
      </w:rPr>
      <w:tblPr/>
      <w:tcPr>
        <w:tcBorders>
          <w:top w:val="nil"/>
          <w:left w:val="nil"/>
          <w:bottom w:val="nil"/>
          <w:right w:val="nil"/>
          <w:insideH w:val="nil"/>
          <w:insideV w:val="nil"/>
        </w:tcBorders>
        <w:shd w:val="clear" w:color="auto" w:fill="1D336D"/>
      </w:tcPr>
    </w:tblStylePr>
    <w:tblStylePr w:type="band2Vert">
      <w:tblPr/>
      <w:tcPr>
        <w:shd w:val="clear" w:color="auto" w:fill="DEE4F6"/>
      </w:tcPr>
    </w:tblStylePr>
    <w:tblStylePr w:type="band2Horz">
      <w:tblPr/>
      <w:tcPr>
        <w:shd w:val="clear" w:color="auto" w:fill="DEE4F6"/>
      </w:tcPr>
    </w:tblStyle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pPr>
      <w:spacing w:after="227"/>
    </w:pPr>
    <w:rPr>
      <w:rFonts w:ascii="Calibri" w:eastAsia="Calibri" w:hAnsi="Calibri" w:cs="Calibri"/>
      <w:b/>
      <w:color w:val="FFFFFF"/>
      <w:sz w:val="22"/>
      <w:szCs w:val="22"/>
    </w:rPr>
    <w:tblPr>
      <w:tblStyleRowBandSize w:val="1"/>
      <w:tblStyleColBandSize w:val="1"/>
      <w:tblCellMar>
        <w:top w:w="85" w:type="dxa"/>
        <w:left w:w="85" w:type="dxa"/>
        <w:bottom w:w="85" w:type="dxa"/>
        <w:right w:w="85" w:type="dxa"/>
      </w:tblCellMar>
    </w:tblPr>
    <w:tcPr>
      <w:shd w:val="clear" w:color="auto" w:fill="auto"/>
    </w:tcPr>
    <w:tblStylePr w:type="firstRow">
      <w:rPr>
        <w:b w:val="0"/>
        <w:color w:val="1D336D"/>
      </w:rPr>
      <w:tblPr/>
      <w:tcPr>
        <w:tcBorders>
          <w:top w:val="single" w:sz="4" w:space="0" w:color="1D336D"/>
          <w:left w:val="single" w:sz="4" w:space="0" w:color="1D336D"/>
          <w:bottom w:val="single" w:sz="4" w:space="0" w:color="1D336D"/>
          <w:right w:val="single" w:sz="4" w:space="0" w:color="1D336D"/>
          <w:insideH w:val="single" w:sz="4" w:space="0" w:color="1D336D"/>
          <w:insideV w:val="single" w:sz="4" w:space="0" w:color="1D336D"/>
        </w:tcBorders>
        <w:shd w:val="clear" w:color="auto" w:fill="1D336D"/>
      </w:tcPr>
    </w:tblStylePr>
    <w:tblStylePr w:type="lastRow">
      <w:tblPr/>
      <w:tcPr>
        <w:tcBorders>
          <w:top w:val="single" w:sz="12" w:space="0" w:color="1D336D"/>
          <w:left w:val="nil"/>
          <w:bottom w:val="single" w:sz="12" w:space="0" w:color="1D336D"/>
          <w:right w:val="nil"/>
          <w:insideH w:val="nil"/>
          <w:insideV w:val="nil"/>
        </w:tcBorders>
        <w:shd w:val="clear" w:color="auto" w:fill="FFFFFF"/>
      </w:tcPr>
    </w:tblStylePr>
    <w:tblStylePr w:type="firstCol">
      <w:rPr>
        <w:color w:val="FFFFFF"/>
      </w:rPr>
      <w:tblPr/>
      <w:tcPr>
        <w:shd w:val="clear" w:color="auto" w:fill="C4D0EF"/>
      </w:tcPr>
    </w:tblStylePr>
    <w:tblStylePr w:type="lastCol">
      <w:rPr>
        <w:color w:val="FFFFFF"/>
      </w:rPr>
      <w:tblPr/>
      <w:tcPr>
        <w:tcBorders>
          <w:top w:val="nil"/>
          <w:left w:val="nil"/>
          <w:bottom w:val="nil"/>
          <w:right w:val="nil"/>
          <w:insideH w:val="nil"/>
          <w:insideV w:val="nil"/>
        </w:tcBorders>
        <w:shd w:val="clear" w:color="auto" w:fill="1D336D"/>
      </w:tcPr>
    </w:tblStylePr>
    <w:tblStylePr w:type="band2Vert">
      <w:tblPr/>
      <w:tcPr>
        <w:shd w:val="clear" w:color="auto" w:fill="DEE4F6"/>
      </w:tcPr>
    </w:tblStylePr>
    <w:tblStylePr w:type="band2Horz">
      <w:tblPr/>
      <w:tcPr>
        <w:shd w:val="clear" w:color="auto" w:fill="DEE4F6"/>
      </w:tcPr>
    </w:tblStylePr>
  </w:style>
  <w:style w:type="table" w:customStyle="1" w:styleId="7">
    <w:name w:val="7"/>
    <w:basedOn w:val="TableNormal"/>
    <w:pPr>
      <w:spacing w:after="227"/>
    </w:pPr>
    <w:rPr>
      <w:rFonts w:ascii="Calibri" w:eastAsia="Calibri" w:hAnsi="Calibri" w:cs="Calibri"/>
      <w:b/>
      <w:color w:val="FFFFFF"/>
      <w:sz w:val="22"/>
      <w:szCs w:val="22"/>
    </w:rPr>
    <w:tblPr>
      <w:tblStyleRowBandSize w:val="1"/>
      <w:tblStyleColBandSize w:val="1"/>
      <w:tblCellMar>
        <w:top w:w="57" w:type="dxa"/>
        <w:left w:w="85" w:type="dxa"/>
        <w:bottom w:w="57" w:type="dxa"/>
        <w:right w:w="85" w:type="dxa"/>
      </w:tblCellMar>
    </w:tblPr>
    <w:tcPr>
      <w:shd w:val="clear" w:color="auto" w:fill="auto"/>
    </w:tcPr>
    <w:tblStylePr w:type="firstRow">
      <w:rPr>
        <w:b w:val="0"/>
        <w:color w:val="1D336D"/>
      </w:rPr>
      <w:tblPr/>
      <w:tcPr>
        <w:tcBorders>
          <w:top w:val="single" w:sz="4" w:space="0" w:color="1D336D"/>
          <w:left w:val="single" w:sz="4" w:space="0" w:color="1D336D"/>
          <w:bottom w:val="single" w:sz="4" w:space="0" w:color="1D336D"/>
          <w:right w:val="single" w:sz="4" w:space="0" w:color="1D336D"/>
          <w:insideH w:val="single" w:sz="4" w:space="0" w:color="1D336D"/>
          <w:insideV w:val="single" w:sz="4" w:space="0" w:color="1D336D"/>
        </w:tcBorders>
        <w:shd w:val="clear" w:color="auto" w:fill="1D336D"/>
      </w:tcPr>
    </w:tblStylePr>
    <w:tblStylePr w:type="lastRow">
      <w:tblPr/>
      <w:tcPr>
        <w:tcBorders>
          <w:top w:val="single" w:sz="12" w:space="0" w:color="1D336D"/>
          <w:left w:val="nil"/>
          <w:bottom w:val="single" w:sz="12" w:space="0" w:color="1D336D"/>
          <w:right w:val="nil"/>
          <w:insideH w:val="nil"/>
          <w:insideV w:val="nil"/>
        </w:tcBorders>
        <w:shd w:val="clear" w:color="auto" w:fill="FFFFFF"/>
      </w:tcPr>
    </w:tblStylePr>
    <w:tblStylePr w:type="firstCol">
      <w:rPr>
        <w:color w:val="FFFFFF"/>
      </w:rPr>
      <w:tblPr/>
      <w:tcPr>
        <w:shd w:val="clear" w:color="auto" w:fill="C4D0EF"/>
      </w:tcPr>
    </w:tblStylePr>
    <w:tblStylePr w:type="lastCol">
      <w:rPr>
        <w:color w:val="FFFFFF"/>
      </w:rPr>
      <w:tblPr/>
      <w:tcPr>
        <w:tcBorders>
          <w:top w:val="nil"/>
          <w:left w:val="nil"/>
          <w:bottom w:val="nil"/>
          <w:right w:val="nil"/>
          <w:insideH w:val="nil"/>
          <w:insideV w:val="nil"/>
        </w:tcBorders>
        <w:shd w:val="clear" w:color="auto" w:fill="1D336D"/>
      </w:tcPr>
    </w:tblStylePr>
    <w:tblStylePr w:type="band2Vert">
      <w:tblPr/>
      <w:tcPr>
        <w:shd w:val="clear" w:color="auto" w:fill="DEE4F6"/>
      </w:tcPr>
    </w:tblStylePr>
    <w:tblStylePr w:type="band2Horz">
      <w:tblPr/>
      <w:tcPr>
        <w:shd w:val="clear" w:color="auto" w:fill="DEE4F6"/>
      </w:tcPr>
    </w:tblStylePr>
  </w:style>
  <w:style w:type="table" w:customStyle="1" w:styleId="6">
    <w:name w:val="6"/>
    <w:basedOn w:val="TableNormal"/>
    <w:pPr>
      <w:spacing w:after="227"/>
    </w:pPr>
    <w:rPr>
      <w:rFonts w:ascii="Calibri" w:eastAsia="Calibri" w:hAnsi="Calibri" w:cs="Calibri"/>
      <w:b/>
      <w:color w:val="FFFFFF"/>
      <w:sz w:val="22"/>
      <w:szCs w:val="22"/>
    </w:rPr>
    <w:tblPr>
      <w:tblStyleRowBandSize w:val="1"/>
      <w:tblStyleColBandSize w:val="1"/>
      <w:tblCellMar>
        <w:top w:w="85" w:type="dxa"/>
        <w:left w:w="85" w:type="dxa"/>
        <w:bottom w:w="85" w:type="dxa"/>
        <w:right w:w="85" w:type="dxa"/>
      </w:tblCellMar>
    </w:tblPr>
    <w:tcPr>
      <w:shd w:val="clear" w:color="auto" w:fill="auto"/>
    </w:tcPr>
  </w:style>
  <w:style w:type="table" w:customStyle="1" w:styleId="5">
    <w:name w:val="5"/>
    <w:basedOn w:val="TableNormal"/>
    <w:pPr>
      <w:spacing w:after="227"/>
    </w:pPr>
    <w:rPr>
      <w:rFonts w:ascii="Calibri" w:eastAsia="Calibri" w:hAnsi="Calibri" w:cs="Calibri"/>
      <w:b/>
      <w:color w:val="FFFFFF"/>
      <w:sz w:val="22"/>
      <w:szCs w:val="22"/>
    </w:rPr>
    <w:tblPr>
      <w:tblStyleRowBandSize w:val="1"/>
      <w:tblStyleColBandSize w:val="1"/>
      <w:tblCellMar>
        <w:top w:w="85" w:type="dxa"/>
        <w:left w:w="85" w:type="dxa"/>
        <w:bottom w:w="85" w:type="dxa"/>
        <w:right w:w="85" w:type="dxa"/>
      </w:tblCellMar>
    </w:tblPr>
    <w:tcPr>
      <w:shd w:val="clear" w:color="auto" w:fill="auto"/>
    </w:tc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pPr>
      <w:spacing w:after="227"/>
    </w:pPr>
    <w:rPr>
      <w:rFonts w:ascii="Calibri" w:eastAsia="Calibri" w:hAnsi="Calibri" w:cs="Calibri"/>
      <w:b/>
      <w:color w:val="FFFFFF"/>
      <w:sz w:val="22"/>
      <w:szCs w:val="22"/>
    </w:rPr>
    <w:tblPr>
      <w:tblStyleRowBandSize w:val="1"/>
      <w:tblStyleColBandSize w:val="1"/>
      <w:tblCellMar>
        <w:top w:w="57" w:type="dxa"/>
        <w:left w:w="85" w:type="dxa"/>
        <w:bottom w:w="57" w:type="dxa"/>
        <w:right w:w="85" w:type="dxa"/>
      </w:tblCellMar>
    </w:tblPr>
    <w:tcPr>
      <w:shd w:val="clear" w:color="auto" w:fill="auto"/>
    </w:tcPr>
    <w:tblStylePr w:type="firstRow">
      <w:rPr>
        <w:b w:val="0"/>
        <w:color w:val="1D336D"/>
      </w:rPr>
      <w:tblPr/>
      <w:tcPr>
        <w:tcBorders>
          <w:top w:val="single" w:sz="4" w:space="0" w:color="1D336D"/>
          <w:left w:val="single" w:sz="4" w:space="0" w:color="1D336D"/>
          <w:bottom w:val="single" w:sz="4" w:space="0" w:color="1D336D"/>
          <w:right w:val="single" w:sz="4" w:space="0" w:color="1D336D"/>
          <w:insideH w:val="single" w:sz="4" w:space="0" w:color="1D336D"/>
          <w:insideV w:val="single" w:sz="4" w:space="0" w:color="1D336D"/>
        </w:tcBorders>
        <w:shd w:val="clear" w:color="auto" w:fill="1D336D"/>
      </w:tcPr>
    </w:tblStylePr>
    <w:tblStylePr w:type="lastRow">
      <w:tblPr/>
      <w:tcPr>
        <w:tcBorders>
          <w:top w:val="single" w:sz="12" w:space="0" w:color="1D336D"/>
          <w:left w:val="nil"/>
          <w:bottom w:val="single" w:sz="12" w:space="0" w:color="1D336D"/>
          <w:right w:val="nil"/>
          <w:insideH w:val="nil"/>
          <w:insideV w:val="nil"/>
        </w:tcBorders>
        <w:shd w:val="clear" w:color="auto" w:fill="FFFFFF"/>
      </w:tcPr>
    </w:tblStylePr>
    <w:tblStylePr w:type="firstCol">
      <w:rPr>
        <w:color w:val="FFFFFF"/>
      </w:rPr>
      <w:tblPr/>
      <w:tcPr>
        <w:shd w:val="clear" w:color="auto" w:fill="C4D0EF"/>
      </w:tcPr>
    </w:tblStylePr>
    <w:tblStylePr w:type="lastCol">
      <w:rPr>
        <w:color w:val="FFFFFF"/>
      </w:rPr>
      <w:tblPr/>
      <w:tcPr>
        <w:tcBorders>
          <w:top w:val="nil"/>
          <w:left w:val="nil"/>
          <w:bottom w:val="nil"/>
          <w:right w:val="nil"/>
          <w:insideH w:val="nil"/>
          <w:insideV w:val="nil"/>
        </w:tcBorders>
        <w:shd w:val="clear" w:color="auto" w:fill="1D336D"/>
      </w:tcPr>
    </w:tblStylePr>
    <w:tblStylePr w:type="band2Vert">
      <w:tblPr/>
      <w:tcPr>
        <w:shd w:val="clear" w:color="auto" w:fill="DEE4F6"/>
      </w:tcPr>
    </w:tblStylePr>
    <w:tblStylePr w:type="band2Horz">
      <w:tblPr/>
      <w:tcPr>
        <w:shd w:val="clear" w:color="auto" w:fill="DEE4F6"/>
      </w:tcPr>
    </w:tblStylePr>
  </w:style>
  <w:style w:type="table" w:customStyle="1" w:styleId="2">
    <w:name w:val="2"/>
    <w:basedOn w:val="TableNormal"/>
    <w:pPr>
      <w:spacing w:after="227"/>
    </w:pPr>
    <w:rPr>
      <w:rFonts w:ascii="Calibri" w:eastAsia="Calibri" w:hAnsi="Calibri" w:cs="Calibri"/>
      <w:b/>
      <w:color w:val="FFFFFF"/>
      <w:sz w:val="22"/>
      <w:szCs w:val="22"/>
    </w:rPr>
    <w:tblPr>
      <w:tblStyleRowBandSize w:val="1"/>
      <w:tblStyleColBandSize w:val="1"/>
      <w:tblCellMar>
        <w:top w:w="85" w:type="dxa"/>
        <w:left w:w="85" w:type="dxa"/>
        <w:bottom w:w="85" w:type="dxa"/>
        <w:right w:w="85" w:type="dxa"/>
      </w:tblCellMar>
    </w:tblPr>
    <w:tcPr>
      <w:shd w:val="clear" w:color="auto" w:fill="auto"/>
    </w:tcPr>
  </w:style>
  <w:style w:type="table" w:customStyle="1" w:styleId="1">
    <w:name w:val="1"/>
    <w:basedOn w:val="TableNormal"/>
    <w:tblPr>
      <w:tblStyleRowBandSize w:val="1"/>
      <w:tblStyleColBandSize w:val="1"/>
      <w:tblCellMar>
        <w:top w:w="113" w:type="dxa"/>
        <w:left w:w="0" w:type="dxa"/>
        <w:right w:w="0" w:type="dxa"/>
      </w:tblCellMar>
    </w:tblPr>
  </w:style>
  <w:style w:type="character" w:styleId="FollowedHyperlink">
    <w:name w:val="FollowedHyperlink"/>
    <w:basedOn w:val="DefaultParagraphFont"/>
    <w:uiPriority w:val="99"/>
    <w:semiHidden/>
    <w:unhideWhenUsed/>
    <w:rsid w:val="00AB1AC4"/>
    <w:rPr>
      <w:color w:val="FFFFFF" w:themeColor="followedHyperlink"/>
      <w:u w:val="single"/>
    </w:rPr>
  </w:style>
  <w:style w:type="character" w:customStyle="1" w:styleId="CaptionChar">
    <w:name w:val="Caption Char"/>
    <w:link w:val="Caption"/>
    <w:uiPriority w:val="32"/>
    <w:rsid w:val="009B6C3B"/>
    <w:rPr>
      <w:rFonts w:asciiTheme="minorHAnsi" w:eastAsiaTheme="majorEastAsia" w:hAnsiTheme="minorHAnsi" w:cs="Calibri"/>
      <w:b/>
      <w:iCs/>
      <w:color w:val="507CB9"/>
      <w:sz w:val="22"/>
      <w:szCs w:val="18"/>
    </w:rPr>
  </w:style>
  <w:style w:type="character" w:customStyle="1" w:styleId="cf01">
    <w:name w:val="cf01"/>
    <w:basedOn w:val="DefaultParagraphFont"/>
    <w:rsid w:val="000A443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8477">
      <w:bodyDiv w:val="1"/>
      <w:marLeft w:val="0"/>
      <w:marRight w:val="0"/>
      <w:marTop w:val="0"/>
      <w:marBottom w:val="0"/>
      <w:divBdr>
        <w:top w:val="none" w:sz="0" w:space="0" w:color="auto"/>
        <w:left w:val="none" w:sz="0" w:space="0" w:color="auto"/>
        <w:bottom w:val="none" w:sz="0" w:space="0" w:color="auto"/>
        <w:right w:val="none" w:sz="0" w:space="0" w:color="auto"/>
      </w:divBdr>
    </w:div>
    <w:div w:id="28802708">
      <w:bodyDiv w:val="1"/>
      <w:marLeft w:val="0"/>
      <w:marRight w:val="0"/>
      <w:marTop w:val="0"/>
      <w:marBottom w:val="0"/>
      <w:divBdr>
        <w:top w:val="none" w:sz="0" w:space="0" w:color="auto"/>
        <w:left w:val="none" w:sz="0" w:space="0" w:color="auto"/>
        <w:bottom w:val="none" w:sz="0" w:space="0" w:color="auto"/>
        <w:right w:val="none" w:sz="0" w:space="0" w:color="auto"/>
      </w:divBdr>
    </w:div>
    <w:div w:id="58484240">
      <w:bodyDiv w:val="1"/>
      <w:marLeft w:val="0"/>
      <w:marRight w:val="0"/>
      <w:marTop w:val="0"/>
      <w:marBottom w:val="0"/>
      <w:divBdr>
        <w:top w:val="none" w:sz="0" w:space="0" w:color="auto"/>
        <w:left w:val="none" w:sz="0" w:space="0" w:color="auto"/>
        <w:bottom w:val="none" w:sz="0" w:space="0" w:color="auto"/>
        <w:right w:val="none" w:sz="0" w:space="0" w:color="auto"/>
      </w:divBdr>
    </w:div>
    <w:div w:id="186145401">
      <w:bodyDiv w:val="1"/>
      <w:marLeft w:val="0"/>
      <w:marRight w:val="0"/>
      <w:marTop w:val="0"/>
      <w:marBottom w:val="0"/>
      <w:divBdr>
        <w:top w:val="none" w:sz="0" w:space="0" w:color="auto"/>
        <w:left w:val="none" w:sz="0" w:space="0" w:color="auto"/>
        <w:bottom w:val="none" w:sz="0" w:space="0" w:color="auto"/>
        <w:right w:val="none" w:sz="0" w:space="0" w:color="auto"/>
      </w:divBdr>
    </w:div>
    <w:div w:id="324404301">
      <w:bodyDiv w:val="1"/>
      <w:marLeft w:val="0"/>
      <w:marRight w:val="0"/>
      <w:marTop w:val="0"/>
      <w:marBottom w:val="0"/>
      <w:divBdr>
        <w:top w:val="none" w:sz="0" w:space="0" w:color="auto"/>
        <w:left w:val="none" w:sz="0" w:space="0" w:color="auto"/>
        <w:bottom w:val="none" w:sz="0" w:space="0" w:color="auto"/>
        <w:right w:val="none" w:sz="0" w:space="0" w:color="auto"/>
      </w:divBdr>
    </w:div>
    <w:div w:id="443232978">
      <w:bodyDiv w:val="1"/>
      <w:marLeft w:val="0"/>
      <w:marRight w:val="0"/>
      <w:marTop w:val="0"/>
      <w:marBottom w:val="0"/>
      <w:divBdr>
        <w:top w:val="none" w:sz="0" w:space="0" w:color="auto"/>
        <w:left w:val="none" w:sz="0" w:space="0" w:color="auto"/>
        <w:bottom w:val="none" w:sz="0" w:space="0" w:color="auto"/>
        <w:right w:val="none" w:sz="0" w:space="0" w:color="auto"/>
      </w:divBdr>
      <w:divsChild>
        <w:div w:id="343745672">
          <w:marLeft w:val="0"/>
          <w:marRight w:val="0"/>
          <w:marTop w:val="120"/>
          <w:marBottom w:val="0"/>
          <w:divBdr>
            <w:top w:val="none" w:sz="0" w:space="0" w:color="auto"/>
            <w:left w:val="none" w:sz="0" w:space="0" w:color="auto"/>
            <w:bottom w:val="none" w:sz="0" w:space="0" w:color="auto"/>
            <w:right w:val="none" w:sz="0" w:space="0" w:color="auto"/>
          </w:divBdr>
        </w:div>
        <w:div w:id="1643316665">
          <w:marLeft w:val="0"/>
          <w:marRight w:val="0"/>
          <w:marTop w:val="120"/>
          <w:marBottom w:val="240"/>
          <w:divBdr>
            <w:top w:val="none" w:sz="0" w:space="0" w:color="auto"/>
            <w:left w:val="none" w:sz="0" w:space="0" w:color="auto"/>
            <w:bottom w:val="none" w:sz="0" w:space="0" w:color="auto"/>
            <w:right w:val="none" w:sz="0" w:space="0" w:color="auto"/>
          </w:divBdr>
        </w:div>
        <w:div w:id="1669865871">
          <w:marLeft w:val="0"/>
          <w:marRight w:val="0"/>
          <w:marTop w:val="120"/>
          <w:marBottom w:val="0"/>
          <w:divBdr>
            <w:top w:val="none" w:sz="0" w:space="0" w:color="auto"/>
            <w:left w:val="none" w:sz="0" w:space="0" w:color="auto"/>
            <w:bottom w:val="none" w:sz="0" w:space="0" w:color="auto"/>
            <w:right w:val="none" w:sz="0" w:space="0" w:color="auto"/>
          </w:divBdr>
        </w:div>
      </w:divsChild>
    </w:div>
    <w:div w:id="619528197">
      <w:bodyDiv w:val="1"/>
      <w:marLeft w:val="0"/>
      <w:marRight w:val="0"/>
      <w:marTop w:val="0"/>
      <w:marBottom w:val="0"/>
      <w:divBdr>
        <w:top w:val="none" w:sz="0" w:space="0" w:color="auto"/>
        <w:left w:val="none" w:sz="0" w:space="0" w:color="auto"/>
        <w:bottom w:val="none" w:sz="0" w:space="0" w:color="auto"/>
        <w:right w:val="none" w:sz="0" w:space="0" w:color="auto"/>
      </w:divBdr>
    </w:div>
    <w:div w:id="710619385">
      <w:bodyDiv w:val="1"/>
      <w:marLeft w:val="0"/>
      <w:marRight w:val="0"/>
      <w:marTop w:val="0"/>
      <w:marBottom w:val="0"/>
      <w:divBdr>
        <w:top w:val="none" w:sz="0" w:space="0" w:color="auto"/>
        <w:left w:val="none" w:sz="0" w:space="0" w:color="auto"/>
        <w:bottom w:val="none" w:sz="0" w:space="0" w:color="auto"/>
        <w:right w:val="none" w:sz="0" w:space="0" w:color="auto"/>
      </w:divBdr>
      <w:divsChild>
        <w:div w:id="776101428">
          <w:marLeft w:val="0"/>
          <w:marRight w:val="0"/>
          <w:marTop w:val="120"/>
          <w:marBottom w:val="0"/>
          <w:divBdr>
            <w:top w:val="none" w:sz="0" w:space="0" w:color="auto"/>
            <w:left w:val="none" w:sz="0" w:space="0" w:color="auto"/>
            <w:bottom w:val="none" w:sz="0" w:space="0" w:color="auto"/>
            <w:right w:val="none" w:sz="0" w:space="0" w:color="auto"/>
          </w:divBdr>
        </w:div>
        <w:div w:id="1221984367">
          <w:marLeft w:val="0"/>
          <w:marRight w:val="0"/>
          <w:marTop w:val="120"/>
          <w:marBottom w:val="0"/>
          <w:divBdr>
            <w:top w:val="none" w:sz="0" w:space="0" w:color="auto"/>
            <w:left w:val="none" w:sz="0" w:space="0" w:color="auto"/>
            <w:bottom w:val="none" w:sz="0" w:space="0" w:color="auto"/>
            <w:right w:val="none" w:sz="0" w:space="0" w:color="auto"/>
          </w:divBdr>
        </w:div>
        <w:div w:id="1231773209">
          <w:marLeft w:val="0"/>
          <w:marRight w:val="0"/>
          <w:marTop w:val="120"/>
          <w:marBottom w:val="0"/>
          <w:divBdr>
            <w:top w:val="none" w:sz="0" w:space="0" w:color="auto"/>
            <w:left w:val="none" w:sz="0" w:space="0" w:color="auto"/>
            <w:bottom w:val="none" w:sz="0" w:space="0" w:color="auto"/>
            <w:right w:val="none" w:sz="0" w:space="0" w:color="auto"/>
          </w:divBdr>
        </w:div>
      </w:divsChild>
    </w:div>
    <w:div w:id="783886239">
      <w:bodyDiv w:val="1"/>
      <w:marLeft w:val="0"/>
      <w:marRight w:val="0"/>
      <w:marTop w:val="0"/>
      <w:marBottom w:val="0"/>
      <w:divBdr>
        <w:top w:val="none" w:sz="0" w:space="0" w:color="auto"/>
        <w:left w:val="none" w:sz="0" w:space="0" w:color="auto"/>
        <w:bottom w:val="none" w:sz="0" w:space="0" w:color="auto"/>
        <w:right w:val="none" w:sz="0" w:space="0" w:color="auto"/>
      </w:divBdr>
    </w:div>
    <w:div w:id="886260553">
      <w:bodyDiv w:val="1"/>
      <w:marLeft w:val="0"/>
      <w:marRight w:val="0"/>
      <w:marTop w:val="0"/>
      <w:marBottom w:val="0"/>
      <w:divBdr>
        <w:top w:val="none" w:sz="0" w:space="0" w:color="auto"/>
        <w:left w:val="none" w:sz="0" w:space="0" w:color="auto"/>
        <w:bottom w:val="none" w:sz="0" w:space="0" w:color="auto"/>
        <w:right w:val="none" w:sz="0" w:space="0" w:color="auto"/>
      </w:divBdr>
      <w:divsChild>
        <w:div w:id="979531108">
          <w:marLeft w:val="0"/>
          <w:marRight w:val="0"/>
          <w:marTop w:val="120"/>
          <w:marBottom w:val="0"/>
          <w:divBdr>
            <w:top w:val="none" w:sz="0" w:space="0" w:color="auto"/>
            <w:left w:val="none" w:sz="0" w:space="0" w:color="auto"/>
            <w:bottom w:val="none" w:sz="0" w:space="0" w:color="auto"/>
            <w:right w:val="none" w:sz="0" w:space="0" w:color="auto"/>
          </w:divBdr>
        </w:div>
        <w:div w:id="1493520297">
          <w:marLeft w:val="0"/>
          <w:marRight w:val="0"/>
          <w:marTop w:val="120"/>
          <w:marBottom w:val="0"/>
          <w:divBdr>
            <w:top w:val="none" w:sz="0" w:space="0" w:color="auto"/>
            <w:left w:val="none" w:sz="0" w:space="0" w:color="auto"/>
            <w:bottom w:val="none" w:sz="0" w:space="0" w:color="auto"/>
            <w:right w:val="none" w:sz="0" w:space="0" w:color="auto"/>
          </w:divBdr>
        </w:div>
      </w:divsChild>
    </w:div>
    <w:div w:id="1067343736">
      <w:bodyDiv w:val="1"/>
      <w:marLeft w:val="0"/>
      <w:marRight w:val="0"/>
      <w:marTop w:val="0"/>
      <w:marBottom w:val="0"/>
      <w:divBdr>
        <w:top w:val="none" w:sz="0" w:space="0" w:color="auto"/>
        <w:left w:val="none" w:sz="0" w:space="0" w:color="auto"/>
        <w:bottom w:val="none" w:sz="0" w:space="0" w:color="auto"/>
        <w:right w:val="none" w:sz="0" w:space="0" w:color="auto"/>
      </w:divBdr>
      <w:divsChild>
        <w:div w:id="557132855">
          <w:marLeft w:val="57"/>
          <w:marRight w:val="0"/>
          <w:marTop w:val="0"/>
          <w:marBottom w:val="0"/>
          <w:divBdr>
            <w:top w:val="none" w:sz="0" w:space="0" w:color="auto"/>
            <w:left w:val="none" w:sz="0" w:space="0" w:color="auto"/>
            <w:bottom w:val="none" w:sz="0" w:space="0" w:color="auto"/>
            <w:right w:val="none" w:sz="0" w:space="0" w:color="auto"/>
          </w:divBdr>
        </w:div>
      </w:divsChild>
    </w:div>
    <w:div w:id="1076318800">
      <w:bodyDiv w:val="1"/>
      <w:marLeft w:val="0"/>
      <w:marRight w:val="0"/>
      <w:marTop w:val="0"/>
      <w:marBottom w:val="0"/>
      <w:divBdr>
        <w:top w:val="none" w:sz="0" w:space="0" w:color="auto"/>
        <w:left w:val="none" w:sz="0" w:space="0" w:color="auto"/>
        <w:bottom w:val="none" w:sz="0" w:space="0" w:color="auto"/>
        <w:right w:val="none" w:sz="0" w:space="0" w:color="auto"/>
      </w:divBdr>
    </w:div>
    <w:div w:id="1158107540">
      <w:bodyDiv w:val="1"/>
      <w:marLeft w:val="0"/>
      <w:marRight w:val="0"/>
      <w:marTop w:val="0"/>
      <w:marBottom w:val="0"/>
      <w:divBdr>
        <w:top w:val="none" w:sz="0" w:space="0" w:color="auto"/>
        <w:left w:val="none" w:sz="0" w:space="0" w:color="auto"/>
        <w:bottom w:val="none" w:sz="0" w:space="0" w:color="auto"/>
        <w:right w:val="none" w:sz="0" w:space="0" w:color="auto"/>
      </w:divBdr>
    </w:div>
    <w:div w:id="1194266940">
      <w:bodyDiv w:val="1"/>
      <w:marLeft w:val="0"/>
      <w:marRight w:val="0"/>
      <w:marTop w:val="0"/>
      <w:marBottom w:val="0"/>
      <w:divBdr>
        <w:top w:val="none" w:sz="0" w:space="0" w:color="auto"/>
        <w:left w:val="none" w:sz="0" w:space="0" w:color="auto"/>
        <w:bottom w:val="none" w:sz="0" w:space="0" w:color="auto"/>
        <w:right w:val="none" w:sz="0" w:space="0" w:color="auto"/>
      </w:divBdr>
    </w:div>
    <w:div w:id="1223754631">
      <w:bodyDiv w:val="1"/>
      <w:marLeft w:val="0"/>
      <w:marRight w:val="0"/>
      <w:marTop w:val="0"/>
      <w:marBottom w:val="0"/>
      <w:divBdr>
        <w:top w:val="none" w:sz="0" w:space="0" w:color="auto"/>
        <w:left w:val="none" w:sz="0" w:space="0" w:color="auto"/>
        <w:bottom w:val="none" w:sz="0" w:space="0" w:color="auto"/>
        <w:right w:val="none" w:sz="0" w:space="0" w:color="auto"/>
      </w:divBdr>
    </w:div>
    <w:div w:id="1437484177">
      <w:bodyDiv w:val="1"/>
      <w:marLeft w:val="0"/>
      <w:marRight w:val="0"/>
      <w:marTop w:val="0"/>
      <w:marBottom w:val="0"/>
      <w:divBdr>
        <w:top w:val="none" w:sz="0" w:space="0" w:color="auto"/>
        <w:left w:val="none" w:sz="0" w:space="0" w:color="auto"/>
        <w:bottom w:val="none" w:sz="0" w:space="0" w:color="auto"/>
        <w:right w:val="none" w:sz="0" w:space="0" w:color="auto"/>
      </w:divBdr>
    </w:div>
    <w:div w:id="1438138815">
      <w:bodyDiv w:val="1"/>
      <w:marLeft w:val="0"/>
      <w:marRight w:val="0"/>
      <w:marTop w:val="0"/>
      <w:marBottom w:val="0"/>
      <w:divBdr>
        <w:top w:val="none" w:sz="0" w:space="0" w:color="auto"/>
        <w:left w:val="none" w:sz="0" w:space="0" w:color="auto"/>
        <w:bottom w:val="none" w:sz="0" w:space="0" w:color="auto"/>
        <w:right w:val="none" w:sz="0" w:space="0" w:color="auto"/>
      </w:divBdr>
      <w:divsChild>
        <w:div w:id="622230917">
          <w:marLeft w:val="0"/>
          <w:marRight w:val="0"/>
          <w:marTop w:val="120"/>
          <w:marBottom w:val="0"/>
          <w:divBdr>
            <w:top w:val="none" w:sz="0" w:space="0" w:color="auto"/>
            <w:left w:val="none" w:sz="0" w:space="0" w:color="auto"/>
            <w:bottom w:val="none" w:sz="0" w:space="0" w:color="auto"/>
            <w:right w:val="none" w:sz="0" w:space="0" w:color="auto"/>
          </w:divBdr>
        </w:div>
        <w:div w:id="1580209815">
          <w:marLeft w:val="0"/>
          <w:marRight w:val="0"/>
          <w:marTop w:val="120"/>
          <w:marBottom w:val="0"/>
          <w:divBdr>
            <w:top w:val="none" w:sz="0" w:space="0" w:color="auto"/>
            <w:left w:val="none" w:sz="0" w:space="0" w:color="auto"/>
            <w:bottom w:val="none" w:sz="0" w:space="0" w:color="auto"/>
            <w:right w:val="none" w:sz="0" w:space="0" w:color="auto"/>
          </w:divBdr>
        </w:div>
        <w:div w:id="2065712755">
          <w:marLeft w:val="0"/>
          <w:marRight w:val="0"/>
          <w:marTop w:val="120"/>
          <w:marBottom w:val="240"/>
          <w:divBdr>
            <w:top w:val="none" w:sz="0" w:space="0" w:color="auto"/>
            <w:left w:val="none" w:sz="0" w:space="0" w:color="auto"/>
            <w:bottom w:val="none" w:sz="0" w:space="0" w:color="auto"/>
            <w:right w:val="none" w:sz="0" w:space="0" w:color="auto"/>
          </w:divBdr>
        </w:div>
      </w:divsChild>
    </w:div>
    <w:div w:id="1461996582">
      <w:bodyDiv w:val="1"/>
      <w:marLeft w:val="0"/>
      <w:marRight w:val="0"/>
      <w:marTop w:val="0"/>
      <w:marBottom w:val="0"/>
      <w:divBdr>
        <w:top w:val="none" w:sz="0" w:space="0" w:color="auto"/>
        <w:left w:val="none" w:sz="0" w:space="0" w:color="auto"/>
        <w:bottom w:val="none" w:sz="0" w:space="0" w:color="auto"/>
        <w:right w:val="none" w:sz="0" w:space="0" w:color="auto"/>
      </w:divBdr>
    </w:div>
    <w:div w:id="1473407402">
      <w:bodyDiv w:val="1"/>
      <w:marLeft w:val="0"/>
      <w:marRight w:val="0"/>
      <w:marTop w:val="0"/>
      <w:marBottom w:val="0"/>
      <w:divBdr>
        <w:top w:val="none" w:sz="0" w:space="0" w:color="auto"/>
        <w:left w:val="none" w:sz="0" w:space="0" w:color="auto"/>
        <w:bottom w:val="none" w:sz="0" w:space="0" w:color="auto"/>
        <w:right w:val="none" w:sz="0" w:space="0" w:color="auto"/>
      </w:divBdr>
    </w:div>
    <w:div w:id="1527061510">
      <w:bodyDiv w:val="1"/>
      <w:marLeft w:val="0"/>
      <w:marRight w:val="0"/>
      <w:marTop w:val="0"/>
      <w:marBottom w:val="0"/>
      <w:divBdr>
        <w:top w:val="none" w:sz="0" w:space="0" w:color="auto"/>
        <w:left w:val="none" w:sz="0" w:space="0" w:color="auto"/>
        <w:bottom w:val="none" w:sz="0" w:space="0" w:color="auto"/>
        <w:right w:val="none" w:sz="0" w:space="0" w:color="auto"/>
      </w:divBdr>
    </w:div>
    <w:div w:id="1530602875">
      <w:bodyDiv w:val="1"/>
      <w:marLeft w:val="0"/>
      <w:marRight w:val="0"/>
      <w:marTop w:val="0"/>
      <w:marBottom w:val="0"/>
      <w:divBdr>
        <w:top w:val="none" w:sz="0" w:space="0" w:color="auto"/>
        <w:left w:val="none" w:sz="0" w:space="0" w:color="auto"/>
        <w:bottom w:val="none" w:sz="0" w:space="0" w:color="auto"/>
        <w:right w:val="none" w:sz="0" w:space="0" w:color="auto"/>
      </w:divBdr>
    </w:div>
    <w:div w:id="1723093375">
      <w:bodyDiv w:val="1"/>
      <w:marLeft w:val="0"/>
      <w:marRight w:val="0"/>
      <w:marTop w:val="0"/>
      <w:marBottom w:val="0"/>
      <w:divBdr>
        <w:top w:val="none" w:sz="0" w:space="0" w:color="auto"/>
        <w:left w:val="none" w:sz="0" w:space="0" w:color="auto"/>
        <w:bottom w:val="none" w:sz="0" w:space="0" w:color="auto"/>
        <w:right w:val="none" w:sz="0" w:space="0" w:color="auto"/>
      </w:divBdr>
      <w:divsChild>
        <w:div w:id="893275744">
          <w:marLeft w:val="57"/>
          <w:marRight w:val="0"/>
          <w:marTop w:val="0"/>
          <w:marBottom w:val="0"/>
          <w:divBdr>
            <w:top w:val="none" w:sz="0" w:space="0" w:color="auto"/>
            <w:left w:val="none" w:sz="0" w:space="0" w:color="auto"/>
            <w:bottom w:val="none" w:sz="0" w:space="0" w:color="auto"/>
            <w:right w:val="none" w:sz="0" w:space="0" w:color="auto"/>
          </w:divBdr>
        </w:div>
      </w:divsChild>
    </w:div>
    <w:div w:id="1757357580">
      <w:bodyDiv w:val="1"/>
      <w:marLeft w:val="0"/>
      <w:marRight w:val="0"/>
      <w:marTop w:val="0"/>
      <w:marBottom w:val="0"/>
      <w:divBdr>
        <w:top w:val="none" w:sz="0" w:space="0" w:color="auto"/>
        <w:left w:val="none" w:sz="0" w:space="0" w:color="auto"/>
        <w:bottom w:val="none" w:sz="0" w:space="0" w:color="auto"/>
        <w:right w:val="none" w:sz="0" w:space="0" w:color="auto"/>
      </w:divBdr>
      <w:divsChild>
        <w:div w:id="1943999932">
          <w:marLeft w:val="0"/>
          <w:marRight w:val="0"/>
          <w:marTop w:val="120"/>
          <w:marBottom w:val="120"/>
          <w:divBdr>
            <w:top w:val="none" w:sz="0" w:space="0" w:color="auto"/>
            <w:left w:val="none" w:sz="0" w:space="0" w:color="auto"/>
            <w:bottom w:val="none" w:sz="0" w:space="0" w:color="auto"/>
            <w:right w:val="none" w:sz="0" w:space="0" w:color="auto"/>
          </w:divBdr>
        </w:div>
      </w:divsChild>
    </w:div>
    <w:div w:id="1779065131">
      <w:bodyDiv w:val="1"/>
      <w:marLeft w:val="0"/>
      <w:marRight w:val="0"/>
      <w:marTop w:val="0"/>
      <w:marBottom w:val="0"/>
      <w:divBdr>
        <w:top w:val="none" w:sz="0" w:space="0" w:color="auto"/>
        <w:left w:val="none" w:sz="0" w:space="0" w:color="auto"/>
        <w:bottom w:val="none" w:sz="0" w:space="0" w:color="auto"/>
        <w:right w:val="none" w:sz="0" w:space="0" w:color="auto"/>
      </w:divBdr>
    </w:div>
    <w:div w:id="1844856118">
      <w:bodyDiv w:val="1"/>
      <w:marLeft w:val="0"/>
      <w:marRight w:val="0"/>
      <w:marTop w:val="0"/>
      <w:marBottom w:val="0"/>
      <w:divBdr>
        <w:top w:val="none" w:sz="0" w:space="0" w:color="auto"/>
        <w:left w:val="none" w:sz="0" w:space="0" w:color="auto"/>
        <w:bottom w:val="none" w:sz="0" w:space="0" w:color="auto"/>
        <w:right w:val="none" w:sz="0" w:space="0" w:color="auto"/>
      </w:divBdr>
    </w:div>
    <w:div w:id="1895503389">
      <w:bodyDiv w:val="1"/>
      <w:marLeft w:val="0"/>
      <w:marRight w:val="0"/>
      <w:marTop w:val="0"/>
      <w:marBottom w:val="0"/>
      <w:divBdr>
        <w:top w:val="none" w:sz="0" w:space="0" w:color="auto"/>
        <w:left w:val="none" w:sz="0" w:space="0" w:color="auto"/>
        <w:bottom w:val="none" w:sz="0" w:space="0" w:color="auto"/>
        <w:right w:val="none" w:sz="0" w:space="0" w:color="auto"/>
      </w:divBdr>
    </w:div>
    <w:div w:id="1949047689">
      <w:bodyDiv w:val="1"/>
      <w:marLeft w:val="0"/>
      <w:marRight w:val="0"/>
      <w:marTop w:val="0"/>
      <w:marBottom w:val="0"/>
      <w:divBdr>
        <w:top w:val="none" w:sz="0" w:space="0" w:color="auto"/>
        <w:left w:val="none" w:sz="0" w:space="0" w:color="auto"/>
        <w:bottom w:val="none" w:sz="0" w:space="0" w:color="auto"/>
        <w:right w:val="none" w:sz="0" w:space="0" w:color="auto"/>
      </w:divBdr>
      <w:divsChild>
        <w:div w:id="625039466">
          <w:marLeft w:val="0"/>
          <w:marRight w:val="0"/>
          <w:marTop w:val="100"/>
          <w:marBottom w:val="0"/>
          <w:divBdr>
            <w:top w:val="none" w:sz="0" w:space="0" w:color="auto"/>
            <w:left w:val="none" w:sz="0" w:space="0" w:color="auto"/>
            <w:bottom w:val="none" w:sz="0" w:space="0" w:color="auto"/>
            <w:right w:val="none" w:sz="0" w:space="0" w:color="auto"/>
          </w:divBdr>
        </w:div>
        <w:div w:id="827136166">
          <w:marLeft w:val="0"/>
          <w:marRight w:val="0"/>
          <w:marTop w:val="100"/>
          <w:marBottom w:val="0"/>
          <w:divBdr>
            <w:top w:val="none" w:sz="0" w:space="0" w:color="auto"/>
            <w:left w:val="none" w:sz="0" w:space="0" w:color="auto"/>
            <w:bottom w:val="none" w:sz="0" w:space="0" w:color="auto"/>
            <w:right w:val="none" w:sz="0" w:space="0" w:color="auto"/>
          </w:divBdr>
        </w:div>
        <w:div w:id="990257507">
          <w:marLeft w:val="0"/>
          <w:marRight w:val="0"/>
          <w:marTop w:val="100"/>
          <w:marBottom w:val="240"/>
          <w:divBdr>
            <w:top w:val="none" w:sz="0" w:space="0" w:color="auto"/>
            <w:left w:val="none" w:sz="0" w:space="0" w:color="auto"/>
            <w:bottom w:val="none" w:sz="0" w:space="0" w:color="auto"/>
            <w:right w:val="none" w:sz="0" w:space="0" w:color="auto"/>
          </w:divBdr>
        </w:div>
        <w:div w:id="1468625571">
          <w:marLeft w:val="0"/>
          <w:marRight w:val="0"/>
          <w:marTop w:val="100"/>
          <w:marBottom w:val="0"/>
          <w:divBdr>
            <w:top w:val="none" w:sz="0" w:space="0" w:color="auto"/>
            <w:left w:val="none" w:sz="0" w:space="0" w:color="auto"/>
            <w:bottom w:val="none" w:sz="0" w:space="0" w:color="auto"/>
            <w:right w:val="none" w:sz="0" w:space="0" w:color="auto"/>
          </w:divBdr>
        </w:div>
        <w:div w:id="1660310051">
          <w:marLeft w:val="0"/>
          <w:marRight w:val="0"/>
          <w:marTop w:val="100"/>
          <w:marBottom w:val="0"/>
          <w:divBdr>
            <w:top w:val="none" w:sz="0" w:space="0" w:color="auto"/>
            <w:left w:val="none" w:sz="0" w:space="0" w:color="auto"/>
            <w:bottom w:val="none" w:sz="0" w:space="0" w:color="auto"/>
            <w:right w:val="none" w:sz="0" w:space="0" w:color="auto"/>
          </w:divBdr>
        </w:div>
      </w:divsChild>
    </w:div>
    <w:div w:id="1987198688">
      <w:bodyDiv w:val="1"/>
      <w:marLeft w:val="0"/>
      <w:marRight w:val="0"/>
      <w:marTop w:val="0"/>
      <w:marBottom w:val="0"/>
      <w:divBdr>
        <w:top w:val="none" w:sz="0" w:space="0" w:color="auto"/>
        <w:left w:val="none" w:sz="0" w:space="0" w:color="auto"/>
        <w:bottom w:val="none" w:sz="0" w:space="0" w:color="auto"/>
        <w:right w:val="none" w:sz="0" w:space="0" w:color="auto"/>
      </w:divBdr>
    </w:div>
    <w:div w:id="2000378130">
      <w:bodyDiv w:val="1"/>
      <w:marLeft w:val="0"/>
      <w:marRight w:val="0"/>
      <w:marTop w:val="0"/>
      <w:marBottom w:val="0"/>
      <w:divBdr>
        <w:top w:val="none" w:sz="0" w:space="0" w:color="auto"/>
        <w:left w:val="none" w:sz="0" w:space="0" w:color="auto"/>
        <w:bottom w:val="none" w:sz="0" w:space="0" w:color="auto"/>
        <w:right w:val="none" w:sz="0" w:space="0" w:color="auto"/>
      </w:divBdr>
    </w:div>
    <w:div w:id="2011714227">
      <w:bodyDiv w:val="1"/>
      <w:marLeft w:val="0"/>
      <w:marRight w:val="0"/>
      <w:marTop w:val="0"/>
      <w:marBottom w:val="0"/>
      <w:divBdr>
        <w:top w:val="none" w:sz="0" w:space="0" w:color="auto"/>
        <w:left w:val="none" w:sz="0" w:space="0" w:color="auto"/>
        <w:bottom w:val="none" w:sz="0" w:space="0" w:color="auto"/>
        <w:right w:val="none" w:sz="0" w:space="0" w:color="auto"/>
      </w:divBdr>
    </w:div>
    <w:div w:id="2016833996">
      <w:bodyDiv w:val="1"/>
      <w:marLeft w:val="0"/>
      <w:marRight w:val="0"/>
      <w:marTop w:val="0"/>
      <w:marBottom w:val="0"/>
      <w:divBdr>
        <w:top w:val="none" w:sz="0" w:space="0" w:color="auto"/>
        <w:left w:val="none" w:sz="0" w:space="0" w:color="auto"/>
        <w:bottom w:val="none" w:sz="0" w:space="0" w:color="auto"/>
        <w:right w:val="none" w:sz="0" w:space="0" w:color="auto"/>
      </w:divBdr>
    </w:div>
    <w:div w:id="20603976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footer" Target="foot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dfat.gov.au/about-us/publications/Pages/dfat-monitoring-and-evaluation-standar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81761F7D49C48A6865F8EE2DBFE9EE0"/>
        <w:category>
          <w:name w:val="General"/>
          <w:gallery w:val="placeholder"/>
        </w:category>
        <w:types>
          <w:type w:val="bbPlcHdr"/>
        </w:types>
        <w:behaviors>
          <w:behavior w:val="content"/>
        </w:behaviors>
        <w:guid w:val="{B531113B-33F1-420D-8773-033897AB0F70}"/>
      </w:docPartPr>
      <w:docPartBody>
        <w:p w:rsidR="00215F2C" w:rsidRDefault="00215F2C" w:rsidP="00215F2C">
          <w:pPr>
            <w:pStyle w:val="481761F7D49C48A6865F8EE2DBFE9EE0"/>
          </w:pPr>
          <w:r w:rsidRPr="00415976">
            <w:rPr>
              <w:rStyle w:val="PlaceholderText"/>
              <w:highlight w:val="yellow"/>
            </w:rPr>
            <w:t>XXXXXXX</w:t>
          </w:r>
          <w:r w:rsidRPr="00415976">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rpid C1 SCd Regular">
    <w:altName w:val="Arial"/>
    <w:charset w:val="00"/>
    <w:family w:val="swiss"/>
    <w:pitch w:val="variable"/>
    <w:sig w:usb0="A00000E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615"/>
    <w:rsid w:val="00024E9D"/>
    <w:rsid w:val="0005551D"/>
    <w:rsid w:val="00056E2B"/>
    <w:rsid w:val="000572A9"/>
    <w:rsid w:val="000D433B"/>
    <w:rsid w:val="000D7DCC"/>
    <w:rsid w:val="00121E42"/>
    <w:rsid w:val="001C56D7"/>
    <w:rsid w:val="00215F2C"/>
    <w:rsid w:val="00245479"/>
    <w:rsid w:val="0025483A"/>
    <w:rsid w:val="0026126B"/>
    <w:rsid w:val="0029702F"/>
    <w:rsid w:val="002B39CF"/>
    <w:rsid w:val="002D70DB"/>
    <w:rsid w:val="002E5DE4"/>
    <w:rsid w:val="002F2E0B"/>
    <w:rsid w:val="00311711"/>
    <w:rsid w:val="003276D4"/>
    <w:rsid w:val="0036251C"/>
    <w:rsid w:val="003915D2"/>
    <w:rsid w:val="003B4F30"/>
    <w:rsid w:val="003C71D2"/>
    <w:rsid w:val="00466B42"/>
    <w:rsid w:val="004B42EA"/>
    <w:rsid w:val="004B5E0F"/>
    <w:rsid w:val="004C1976"/>
    <w:rsid w:val="004C48A8"/>
    <w:rsid w:val="00593E25"/>
    <w:rsid w:val="005D2058"/>
    <w:rsid w:val="005D3BB8"/>
    <w:rsid w:val="00612CC1"/>
    <w:rsid w:val="00625320"/>
    <w:rsid w:val="006346BA"/>
    <w:rsid w:val="006360B0"/>
    <w:rsid w:val="0064037E"/>
    <w:rsid w:val="006A5D46"/>
    <w:rsid w:val="00710468"/>
    <w:rsid w:val="00783E89"/>
    <w:rsid w:val="007C2405"/>
    <w:rsid w:val="007D7B3F"/>
    <w:rsid w:val="007F1B0F"/>
    <w:rsid w:val="0080561A"/>
    <w:rsid w:val="008C2A71"/>
    <w:rsid w:val="008C4D0E"/>
    <w:rsid w:val="009154FC"/>
    <w:rsid w:val="00923B62"/>
    <w:rsid w:val="009A1853"/>
    <w:rsid w:val="00AD7D01"/>
    <w:rsid w:val="00AE15D4"/>
    <w:rsid w:val="00B54D62"/>
    <w:rsid w:val="00B83BC3"/>
    <w:rsid w:val="00B929FA"/>
    <w:rsid w:val="00BD38C2"/>
    <w:rsid w:val="00BE3CBB"/>
    <w:rsid w:val="00C63FED"/>
    <w:rsid w:val="00C648BF"/>
    <w:rsid w:val="00CC7D11"/>
    <w:rsid w:val="00CD334E"/>
    <w:rsid w:val="00CE50F2"/>
    <w:rsid w:val="00D336A3"/>
    <w:rsid w:val="00D56615"/>
    <w:rsid w:val="00D8542D"/>
    <w:rsid w:val="00D87B4F"/>
    <w:rsid w:val="00DC2DAD"/>
    <w:rsid w:val="00E702FF"/>
    <w:rsid w:val="00EC18DC"/>
    <w:rsid w:val="00F8571C"/>
    <w:rsid w:val="00FF47A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5F2C"/>
    <w:rPr>
      <w:vanish w:val="0"/>
      <w:color w:val="FF0000"/>
    </w:rPr>
  </w:style>
  <w:style w:type="paragraph" w:customStyle="1" w:styleId="481761F7D49C48A6865F8EE2DBFE9EE0">
    <w:name w:val="481761F7D49C48A6865F8EE2DBFE9EE0"/>
    <w:rsid w:val="00215F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51">
      <a:dk1>
        <a:srgbClr val="000000"/>
      </a:dk1>
      <a:lt1>
        <a:srgbClr val="FFFFFF"/>
      </a:lt1>
      <a:dk2>
        <a:srgbClr val="585858"/>
      </a:dk2>
      <a:lt2>
        <a:srgbClr val="1D336D"/>
      </a:lt2>
      <a:accent1>
        <a:srgbClr val="63D0DF"/>
      </a:accent1>
      <a:accent2>
        <a:srgbClr val="C9C9CA"/>
      </a:accent2>
      <a:accent3>
        <a:srgbClr val="63D0DF"/>
      </a:accent3>
      <a:accent4>
        <a:srgbClr val="A1A1A1"/>
      </a:accent4>
      <a:accent5>
        <a:srgbClr val="63D0DF"/>
      </a:accent5>
      <a:accent6>
        <a:srgbClr val="A1A1A1"/>
      </a:accent6>
      <a:hlink>
        <a:srgbClr val="000000"/>
      </a:hlink>
      <a:folHlink>
        <a:srgbClr val="FFFFFF"/>
      </a:folHlink>
    </a:clrScheme>
    <a:fontScheme name="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omvKkDubFFVrJ8d1WTlzJGYrKw==">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21A9B0B-8378-46B6-8EA6-7C712DA0B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20031</Words>
  <Characters>113527</Characters>
  <Application>Microsoft Office Word</Application>
  <DocSecurity>0</DocSecurity>
  <Lines>2041</Lines>
  <Paragraphs>892</Paragraphs>
  <ScaleCrop>false</ScaleCrop>
  <Company/>
  <LinksUpToDate>false</LinksUpToDate>
  <CharactersWithSpaces>133231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Tonga Australia support platform (TASP) - Independent evaluation report</dc:title>
  <dc:subject/>
  <dc:creator/>
  <cp:keywords>[SEC=OFFICIAL]</cp:keywords>
  <dc:description/>
  <cp:lastModifiedBy/>
  <cp:revision>1</cp:revision>
  <dcterms:created xsi:type="dcterms:W3CDTF">2025-05-09T00:19:00Z</dcterms:created>
  <dcterms:modified xsi:type="dcterms:W3CDTF">2025-05-09T00:29:00Z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Files\Common Files\janusNET Shared\janusSEAL\Images\DocumentSlashBlue.png</vt:lpwstr>
  </property>
  <property fmtid="{D5CDD505-2E9C-101B-9397-08002B2CF9AE}" pid="3" name="PM_DisplayValueSecClassificationWithQualifier">
    <vt:lpwstr>OFFICIAL</vt:lpwstr>
  </property>
  <property fmtid="{D5CDD505-2E9C-101B-9397-08002B2CF9AE}" pid="4" name="PMHMAC">
    <vt:lpwstr>v=2022.1;a=SHA256;h=11C8D6C4D60EA32A8EC4BEE4A725E73A5522AA78AA00CFB0043FF469E561E8F7</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5D0BACDEB6564414AED95A91AFE116EC</vt:lpwstr>
  </property>
  <property fmtid="{D5CDD505-2E9C-101B-9397-08002B2CF9AE}" pid="9" name="PM_ProtectiveMarkingValue_Footer">
    <vt:lpwstr>OFFICIAL</vt:lpwstr>
  </property>
  <property fmtid="{D5CDD505-2E9C-101B-9397-08002B2CF9AE}" pid="10" name="PM_ProtectiveMarkingValue_Header">
    <vt:lpwstr>OFFICIAL</vt:lpwstr>
  </property>
  <property fmtid="{D5CDD505-2E9C-101B-9397-08002B2CF9AE}" pid="11" name="PM_OriginationTimeStamp">
    <vt:lpwstr>2024-09-04T05:32:56Z</vt:lpwstr>
  </property>
  <property fmtid="{D5CDD505-2E9C-101B-9397-08002B2CF9AE}" pid="12" name="PM_ProtectiveMarkingImage_Footer">
    <vt:lpwstr>C:\Program Files\Common Files\janusNET Shared\janusSEAL\Images\DocumentSlashBlue.png</vt:lpwstr>
  </property>
  <property fmtid="{D5CDD505-2E9C-101B-9397-08002B2CF9AE}" pid="13" name="PM_Namespace">
    <vt:lpwstr>gov.au</vt:lpwstr>
  </property>
  <property fmtid="{D5CDD505-2E9C-101B-9397-08002B2CF9AE}" pid="14" name="PM_Version">
    <vt:lpwstr>2018.4</vt:lpwstr>
  </property>
  <property fmtid="{D5CDD505-2E9C-101B-9397-08002B2CF9AE}" pid="15" name="PM_Note">
    <vt:lpwstr/>
  </property>
  <property fmtid="{D5CDD505-2E9C-101B-9397-08002B2CF9AE}" pid="16" name="PM_Markers">
    <vt:lpwstr/>
  </property>
  <property fmtid="{D5CDD505-2E9C-101B-9397-08002B2CF9AE}" pid="17" name="PM_Display">
    <vt:lpwstr>OFFICIAL</vt:lpwstr>
  </property>
  <property fmtid="{D5CDD505-2E9C-101B-9397-08002B2CF9AE}" pid="18" name="PMUuid">
    <vt:lpwstr>v=2022.2;d=gov.au;g=46DD6D7C-8107-577B-BC6E-F348953B2E44</vt:lpwstr>
  </property>
  <property fmtid="{D5CDD505-2E9C-101B-9397-08002B2CF9AE}" pid="19" name="PM_Hash_Version">
    <vt:lpwstr>2022.1</vt:lpwstr>
  </property>
  <property fmtid="{D5CDD505-2E9C-101B-9397-08002B2CF9AE}" pid="20" name="PM_OriginatorDomainName_SHA256">
    <vt:lpwstr>6F3591835F3B2A8A025B00B5BA6418010DA3A17C9C26EA9C049FFD28039489A2</vt:lpwstr>
  </property>
  <property fmtid="{D5CDD505-2E9C-101B-9397-08002B2CF9AE}" pid="21" name="PM_SecurityClassification_Prev">
    <vt:lpwstr>OFFICIAL</vt:lpwstr>
  </property>
  <property fmtid="{D5CDD505-2E9C-101B-9397-08002B2CF9AE}" pid="22" name="PM_Qualifier_Prev">
    <vt:lpwstr/>
  </property>
  <property fmtid="{D5CDD505-2E9C-101B-9397-08002B2CF9AE}" pid="23" name="PM_Originator_Hash_SHA1">
    <vt:lpwstr>D9F6E5C82DFAF7AB6E3D596D48DD43C72EDFDAB4</vt:lpwstr>
  </property>
  <property fmtid="{D5CDD505-2E9C-101B-9397-08002B2CF9AE}" pid="24" name="PM_Hash_Salt_Prev">
    <vt:lpwstr>F8F517EA1BADCA49555896C8CFCB211D</vt:lpwstr>
  </property>
  <property fmtid="{D5CDD505-2E9C-101B-9397-08002B2CF9AE}" pid="25" name="PM_Hash_Salt">
    <vt:lpwstr>9D550F920DF66234EB9970A4FA51C9FC</vt:lpwstr>
  </property>
  <property fmtid="{D5CDD505-2E9C-101B-9397-08002B2CF9AE}" pid="26" name="PM_Hash_SHA1">
    <vt:lpwstr>18E6D882A1D36A03BB03DA663A786EE1BDE66C60</vt:lpwstr>
  </property>
  <property fmtid="{D5CDD505-2E9C-101B-9397-08002B2CF9AE}" pid="27" name="PM_OriginatorUserAccountName_SHA256">
    <vt:lpwstr>3E9DB5AB808CA91EB3E8EC398CDB7F67B110581D6BB28BC88565729DCE387350</vt:lpwstr>
  </property>
  <property fmtid="{D5CDD505-2E9C-101B-9397-08002B2CF9AE}" pid="28" name="PM_Caveats_Count">
    <vt:lpwstr>0</vt:lpwstr>
  </property>
</Properties>
</file>