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705E" w14:textId="4D5ADD6E" w:rsidR="00363C00" w:rsidRPr="00A11888" w:rsidRDefault="00A11888" w:rsidP="00A11888">
      <w:pPr>
        <w:pStyle w:val="Heading1"/>
      </w:pPr>
      <w:r w:rsidRPr="00A11888">
        <w:t>Tonga Australia Support Platform Independent Review</w:t>
      </w:r>
      <w:r>
        <w:t xml:space="preserve"> - </w:t>
      </w:r>
      <w:r w:rsidR="00363C00" w:rsidRPr="00A11888">
        <w:t xml:space="preserve">Summary of management response </w:t>
      </w:r>
    </w:p>
    <w:p w14:paraId="6CD6E942" w14:textId="28400B3E" w:rsidR="00697685" w:rsidRPr="0068636D" w:rsidRDefault="00E83B5E" w:rsidP="009F6C02">
      <w:pPr>
        <w:rPr>
          <w:bCs/>
          <w:sz w:val="24"/>
          <w:szCs w:val="24"/>
          <w:lang w:val="en-AU"/>
        </w:rPr>
      </w:pPr>
      <w:r w:rsidRPr="0068636D">
        <w:rPr>
          <w:bCs/>
          <w:sz w:val="24"/>
          <w:szCs w:val="24"/>
          <w:lang w:val="en-AU"/>
        </w:rPr>
        <w:t>T</w:t>
      </w:r>
      <w:r w:rsidR="00697685" w:rsidRPr="0068636D">
        <w:rPr>
          <w:bCs/>
          <w:sz w:val="24"/>
          <w:szCs w:val="24"/>
          <w:lang w:val="en-AU"/>
        </w:rPr>
        <w:t>he</w:t>
      </w:r>
      <w:r w:rsidR="00834609" w:rsidRPr="0068636D">
        <w:rPr>
          <w:bCs/>
          <w:sz w:val="24"/>
          <w:szCs w:val="24"/>
          <w:lang w:val="en-AU"/>
        </w:rPr>
        <w:t xml:space="preserve"> independent</w:t>
      </w:r>
      <w:r w:rsidR="00E02DDD" w:rsidRPr="0068636D">
        <w:rPr>
          <w:bCs/>
          <w:sz w:val="24"/>
          <w:szCs w:val="24"/>
          <w:lang w:val="en-AU"/>
        </w:rPr>
        <w:t xml:space="preserve"> </w:t>
      </w:r>
      <w:r w:rsidR="00697685" w:rsidRPr="0068636D">
        <w:rPr>
          <w:bCs/>
          <w:sz w:val="24"/>
          <w:szCs w:val="24"/>
          <w:lang w:val="en-AU"/>
        </w:rPr>
        <w:t>evaluation</w:t>
      </w:r>
      <w:r w:rsidR="00834609" w:rsidRPr="0068636D">
        <w:rPr>
          <w:bCs/>
          <w:sz w:val="24"/>
          <w:szCs w:val="24"/>
          <w:lang w:val="en-AU"/>
        </w:rPr>
        <w:t xml:space="preserve"> of the Tonga Australia Support Platform (TAS</w:t>
      </w:r>
      <w:r w:rsidR="00885480" w:rsidRPr="0068636D">
        <w:rPr>
          <w:bCs/>
          <w:sz w:val="24"/>
          <w:szCs w:val="24"/>
          <w:lang w:val="en-AU"/>
        </w:rPr>
        <w:t>P</w:t>
      </w:r>
      <w:r w:rsidR="00834609" w:rsidRPr="0068636D">
        <w:rPr>
          <w:bCs/>
          <w:sz w:val="24"/>
          <w:szCs w:val="24"/>
          <w:lang w:val="en-AU"/>
        </w:rPr>
        <w:t>)</w:t>
      </w:r>
      <w:r w:rsidR="00FF29B6" w:rsidRPr="0068636D">
        <w:rPr>
          <w:bCs/>
          <w:sz w:val="24"/>
          <w:szCs w:val="24"/>
          <w:lang w:val="en-AU"/>
        </w:rPr>
        <w:t>, a multi-sector facility,</w:t>
      </w:r>
      <w:r w:rsidRPr="0068636D">
        <w:rPr>
          <w:bCs/>
          <w:sz w:val="24"/>
          <w:szCs w:val="24"/>
          <w:lang w:val="en-AU"/>
        </w:rPr>
        <w:t xml:space="preserve"> provides useful insights to guide </w:t>
      </w:r>
      <w:r w:rsidR="00834609" w:rsidRPr="0068636D">
        <w:rPr>
          <w:bCs/>
          <w:sz w:val="24"/>
          <w:szCs w:val="24"/>
          <w:lang w:val="en-AU"/>
        </w:rPr>
        <w:t>Australia’s</w:t>
      </w:r>
      <w:r w:rsidR="00E02DDD" w:rsidRPr="0068636D">
        <w:rPr>
          <w:bCs/>
          <w:sz w:val="24"/>
          <w:szCs w:val="24"/>
          <w:lang w:val="en-AU"/>
        </w:rPr>
        <w:t xml:space="preserve"> future </w:t>
      </w:r>
      <w:r w:rsidR="00834609" w:rsidRPr="0068636D">
        <w:rPr>
          <w:bCs/>
          <w:sz w:val="24"/>
          <w:szCs w:val="24"/>
          <w:lang w:val="en-AU"/>
        </w:rPr>
        <w:t xml:space="preserve">development </w:t>
      </w:r>
      <w:r w:rsidR="00E02DDD" w:rsidRPr="0068636D">
        <w:rPr>
          <w:bCs/>
          <w:sz w:val="24"/>
          <w:szCs w:val="24"/>
          <w:lang w:val="en-AU"/>
        </w:rPr>
        <w:t>engagement in</w:t>
      </w:r>
      <w:r w:rsidR="009F6C02" w:rsidRPr="0068636D">
        <w:rPr>
          <w:bCs/>
          <w:sz w:val="24"/>
          <w:szCs w:val="24"/>
          <w:lang w:val="en-AU"/>
        </w:rPr>
        <w:t xml:space="preserve"> the Kingdom of</w:t>
      </w:r>
      <w:r w:rsidR="00E02DDD" w:rsidRPr="0068636D">
        <w:rPr>
          <w:bCs/>
          <w:sz w:val="24"/>
          <w:szCs w:val="24"/>
          <w:lang w:val="en-AU"/>
        </w:rPr>
        <w:t xml:space="preserve"> </w:t>
      </w:r>
      <w:r w:rsidR="009F6C02" w:rsidRPr="0068636D">
        <w:rPr>
          <w:bCs/>
          <w:sz w:val="24"/>
          <w:szCs w:val="24"/>
          <w:lang w:val="en-AU"/>
        </w:rPr>
        <w:t>Tonga</w:t>
      </w:r>
      <w:r w:rsidR="00E02DDD" w:rsidRPr="0068636D">
        <w:rPr>
          <w:bCs/>
          <w:sz w:val="24"/>
          <w:szCs w:val="24"/>
          <w:lang w:val="en-AU"/>
        </w:rPr>
        <w:t xml:space="preserve">. </w:t>
      </w:r>
      <w:r w:rsidRPr="0068636D">
        <w:rPr>
          <w:bCs/>
          <w:sz w:val="24"/>
          <w:szCs w:val="24"/>
          <w:lang w:val="en-AU"/>
        </w:rPr>
        <w:t>It</w:t>
      </w:r>
      <w:r w:rsidR="00697685" w:rsidRPr="0068636D">
        <w:rPr>
          <w:bCs/>
          <w:sz w:val="24"/>
          <w:szCs w:val="24"/>
          <w:lang w:val="en-AU"/>
        </w:rPr>
        <w:t xml:space="preserve"> considers and analyses the program within the broader context of </w:t>
      </w:r>
      <w:r w:rsidR="009F6C02" w:rsidRPr="0068636D">
        <w:rPr>
          <w:bCs/>
          <w:sz w:val="24"/>
          <w:szCs w:val="24"/>
          <w:lang w:val="en-AU"/>
        </w:rPr>
        <w:t xml:space="preserve">recent disasters and </w:t>
      </w:r>
      <w:r w:rsidR="00697685" w:rsidRPr="0068636D">
        <w:rPr>
          <w:bCs/>
          <w:sz w:val="24"/>
          <w:szCs w:val="24"/>
          <w:lang w:val="en-AU"/>
        </w:rPr>
        <w:t xml:space="preserve">the </w:t>
      </w:r>
      <w:r w:rsidR="00834609" w:rsidRPr="0068636D">
        <w:rPr>
          <w:bCs/>
          <w:sz w:val="24"/>
          <w:szCs w:val="24"/>
          <w:lang w:val="en-AU"/>
        </w:rPr>
        <w:t xml:space="preserve">limited implementation options </w:t>
      </w:r>
      <w:r w:rsidR="009F6C02" w:rsidRPr="0068636D">
        <w:rPr>
          <w:bCs/>
          <w:sz w:val="24"/>
          <w:szCs w:val="24"/>
          <w:lang w:val="en-AU"/>
        </w:rPr>
        <w:t>available</w:t>
      </w:r>
      <w:r w:rsidR="00834609" w:rsidRPr="0068636D">
        <w:rPr>
          <w:bCs/>
          <w:sz w:val="24"/>
          <w:szCs w:val="24"/>
          <w:lang w:val="en-AU"/>
        </w:rPr>
        <w:t>.</w:t>
      </w:r>
      <w:r w:rsidR="00697685" w:rsidRPr="0068636D">
        <w:rPr>
          <w:bCs/>
          <w:sz w:val="24"/>
          <w:szCs w:val="24"/>
          <w:lang w:val="en-AU"/>
        </w:rPr>
        <w:t xml:space="preserve">  </w:t>
      </w:r>
    </w:p>
    <w:p w14:paraId="11F1C24A" w14:textId="288C1B59" w:rsidR="00F2344B" w:rsidRPr="0068636D" w:rsidRDefault="00C03851" w:rsidP="00FD52EE">
      <w:pPr>
        <w:rPr>
          <w:bCs/>
          <w:sz w:val="24"/>
          <w:szCs w:val="24"/>
          <w:lang w:val="en-AU"/>
        </w:rPr>
      </w:pPr>
      <w:r w:rsidRPr="0068636D">
        <w:rPr>
          <w:bCs/>
          <w:sz w:val="24"/>
          <w:szCs w:val="24"/>
          <w:lang w:val="en-AU"/>
        </w:rPr>
        <w:t xml:space="preserve">The findings and recommendations put forward in this report are welcomed and provide a critical input to DFAT’s future development investments in Tonga.  </w:t>
      </w:r>
      <w:r w:rsidR="0050157B" w:rsidRPr="0068636D">
        <w:rPr>
          <w:bCs/>
          <w:sz w:val="24"/>
          <w:szCs w:val="24"/>
          <w:lang w:val="en-AU"/>
        </w:rPr>
        <w:t>DFAT broadly accepts the</w:t>
      </w:r>
      <w:r w:rsidR="00F220B1" w:rsidRPr="0068636D">
        <w:rPr>
          <w:bCs/>
          <w:sz w:val="24"/>
          <w:szCs w:val="24"/>
          <w:lang w:val="en-AU"/>
        </w:rPr>
        <w:t xml:space="preserve"> findings </w:t>
      </w:r>
      <w:r w:rsidR="0050157B" w:rsidRPr="0068636D">
        <w:rPr>
          <w:bCs/>
          <w:sz w:val="24"/>
          <w:szCs w:val="24"/>
          <w:lang w:val="en-AU"/>
        </w:rPr>
        <w:t>in the evaluation report</w:t>
      </w:r>
      <w:r w:rsidR="0075122E">
        <w:rPr>
          <w:bCs/>
          <w:sz w:val="24"/>
          <w:szCs w:val="24"/>
          <w:lang w:val="en-AU"/>
        </w:rPr>
        <w:t xml:space="preserve"> and </w:t>
      </w:r>
      <w:r w:rsidR="00EE4101" w:rsidRPr="0068636D">
        <w:rPr>
          <w:bCs/>
          <w:sz w:val="24"/>
          <w:szCs w:val="24"/>
          <w:lang w:val="en-AU"/>
        </w:rPr>
        <w:t xml:space="preserve">agrees with </w:t>
      </w:r>
      <w:r w:rsidR="0016406B" w:rsidRPr="0068636D">
        <w:rPr>
          <w:bCs/>
          <w:sz w:val="24"/>
          <w:szCs w:val="24"/>
          <w:lang w:val="en-AU"/>
        </w:rPr>
        <w:t>all</w:t>
      </w:r>
      <w:r w:rsidR="00EE4101" w:rsidRPr="0068636D">
        <w:rPr>
          <w:bCs/>
          <w:sz w:val="24"/>
          <w:szCs w:val="24"/>
          <w:lang w:val="en-AU"/>
        </w:rPr>
        <w:t xml:space="preserve"> the recommendations. </w:t>
      </w:r>
    </w:p>
    <w:p w14:paraId="111E9BD6" w14:textId="77777777" w:rsidR="00DD32D6" w:rsidRDefault="00422EF4" w:rsidP="0075122E">
      <w:pPr>
        <w:rPr>
          <w:bCs/>
          <w:sz w:val="24"/>
          <w:szCs w:val="24"/>
          <w:lang w:val="en-AU"/>
        </w:rPr>
      </w:pPr>
      <w:r w:rsidRPr="0068636D">
        <w:rPr>
          <w:bCs/>
          <w:sz w:val="24"/>
          <w:szCs w:val="24"/>
          <w:lang w:val="en-AU"/>
        </w:rPr>
        <w:t>W</w:t>
      </w:r>
      <w:r w:rsidR="00697685" w:rsidRPr="0068636D">
        <w:rPr>
          <w:bCs/>
          <w:sz w:val="24"/>
          <w:szCs w:val="24"/>
          <w:lang w:val="en-AU"/>
        </w:rPr>
        <w:t xml:space="preserve">e agree </w:t>
      </w:r>
      <w:r w:rsidR="00562CB4" w:rsidRPr="0068636D">
        <w:rPr>
          <w:bCs/>
          <w:sz w:val="24"/>
          <w:szCs w:val="24"/>
          <w:lang w:val="en-AU"/>
        </w:rPr>
        <w:t xml:space="preserve">that </w:t>
      </w:r>
      <w:r w:rsidR="00DD0FCC" w:rsidRPr="0068636D">
        <w:rPr>
          <w:bCs/>
          <w:sz w:val="24"/>
          <w:szCs w:val="24"/>
          <w:lang w:val="en-AU"/>
        </w:rPr>
        <w:t>extending TASP is sensible, especially given the time required to set up</w:t>
      </w:r>
      <w:r w:rsidR="00394AB8" w:rsidRPr="0068636D">
        <w:rPr>
          <w:bCs/>
          <w:sz w:val="24"/>
          <w:szCs w:val="24"/>
          <w:lang w:val="en-AU"/>
        </w:rPr>
        <w:t xml:space="preserve"> new</w:t>
      </w:r>
      <w:r w:rsidR="00DD0FCC" w:rsidRPr="0068636D">
        <w:rPr>
          <w:bCs/>
          <w:sz w:val="24"/>
          <w:szCs w:val="24"/>
          <w:lang w:val="en-AU"/>
        </w:rPr>
        <w:t xml:space="preserve"> implementation arrangements and establish </w:t>
      </w:r>
      <w:r w:rsidR="00394AB8" w:rsidRPr="0068636D">
        <w:rPr>
          <w:bCs/>
          <w:sz w:val="24"/>
          <w:szCs w:val="24"/>
          <w:lang w:val="en-AU"/>
        </w:rPr>
        <w:t xml:space="preserve">trusted </w:t>
      </w:r>
      <w:r w:rsidR="00DD0FCC" w:rsidRPr="0068636D">
        <w:rPr>
          <w:bCs/>
          <w:sz w:val="24"/>
          <w:szCs w:val="24"/>
          <w:lang w:val="en-AU"/>
        </w:rPr>
        <w:t xml:space="preserve">partnerships in-country. </w:t>
      </w:r>
      <w:r w:rsidR="00FD52EE" w:rsidRPr="0068636D">
        <w:rPr>
          <w:bCs/>
          <w:sz w:val="24"/>
          <w:szCs w:val="24"/>
          <w:lang w:val="en-AU"/>
        </w:rPr>
        <w:t xml:space="preserve">DFAT’s priority is to develop a design update for a second phase of TASP.  In incorporating these findings into future programming, an important challenge will be to balance our interest in long-term planning and consistent support, with the need to remain responsive to Tonga’s national priorities. </w:t>
      </w:r>
    </w:p>
    <w:p w14:paraId="20E23D38" w14:textId="2E31CDE5" w:rsidR="0068636D" w:rsidRDefault="0075122E" w:rsidP="00A11888">
      <w:pPr>
        <w:rPr>
          <w:rFonts w:asciiTheme="majorHAnsi" w:eastAsiaTheme="majorEastAsia" w:hAnsiTheme="majorHAnsi" w:cstheme="majorBidi"/>
          <w:bCs/>
          <w:sz w:val="30"/>
          <w:szCs w:val="26"/>
          <w:lang w:val="en-AU"/>
        </w:rPr>
      </w:pPr>
      <w:r w:rsidRPr="0068636D">
        <w:rPr>
          <w:bCs/>
          <w:sz w:val="24"/>
          <w:szCs w:val="24"/>
          <w:lang w:val="en-AU"/>
        </w:rPr>
        <w:t>DFAT undertakes to progress implementation of each recommendation according to the indicated timeframes.</w:t>
      </w:r>
      <w:r w:rsidR="0068636D">
        <w:br w:type="page"/>
      </w:r>
    </w:p>
    <w:p w14:paraId="217EE454" w14:textId="5DF526E6" w:rsidR="00C37A6B" w:rsidRPr="00A11888" w:rsidRDefault="00363C00" w:rsidP="00A11888">
      <w:pPr>
        <w:pStyle w:val="Heading2"/>
      </w:pPr>
      <w:r w:rsidRPr="00A11888">
        <w:lastRenderedPageBreak/>
        <w:t xml:space="preserve">Individual management response to recommendations </w:t>
      </w:r>
    </w:p>
    <w:tbl>
      <w:tblPr>
        <w:tblStyle w:val="DFATTable11"/>
        <w:tblpPr w:leftFromText="180" w:rightFromText="180" w:vertAnchor="text" w:tblpY="1"/>
        <w:tblOverlap w:val="never"/>
        <w:tblW w:w="53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799"/>
        <w:gridCol w:w="1202"/>
        <w:gridCol w:w="5346"/>
        <w:gridCol w:w="1215"/>
      </w:tblGrid>
      <w:tr w:rsidR="0068636D" w:rsidRPr="002644BD" w14:paraId="25049DED" w14:textId="77777777" w:rsidTr="1A6A772F">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335" w:type="pct"/>
            <w:hideMark/>
          </w:tcPr>
          <w:p w14:paraId="1C0A40FC" w14:textId="77777777" w:rsidR="00F37870" w:rsidRPr="00B936E7" w:rsidRDefault="00F37870" w:rsidP="003D43BB">
            <w:pPr>
              <w:jc w:val="center"/>
              <w:rPr>
                <w:rFonts w:asciiTheme="minorHAnsi" w:hAnsiTheme="minorHAnsi"/>
                <w:b/>
                <w:color w:val="auto"/>
              </w:rPr>
            </w:pPr>
            <w:r w:rsidRPr="00B936E7">
              <w:rPr>
                <w:rFonts w:asciiTheme="minorHAnsi" w:hAnsiTheme="minorHAnsi"/>
                <w:b/>
                <w:color w:val="auto"/>
              </w:rPr>
              <w:t>Recommendation</w:t>
            </w:r>
          </w:p>
        </w:tc>
        <w:tc>
          <w:tcPr>
            <w:tcW w:w="413" w:type="pct"/>
            <w:hideMark/>
          </w:tcPr>
          <w:p w14:paraId="506BCE8D" w14:textId="23CAB813" w:rsidR="00F37870" w:rsidRPr="00B936E7" w:rsidRDefault="00F37870" w:rsidP="0098669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B936E7">
              <w:rPr>
                <w:rFonts w:asciiTheme="minorHAnsi" w:hAnsiTheme="minorHAnsi"/>
                <w:b/>
                <w:color w:val="auto"/>
              </w:rPr>
              <w:t>Response</w:t>
            </w:r>
          </w:p>
        </w:tc>
        <w:tc>
          <w:tcPr>
            <w:tcW w:w="1836" w:type="pct"/>
          </w:tcPr>
          <w:p w14:paraId="52DFCA3E" w14:textId="70BEBB3B" w:rsidR="00F37870" w:rsidRPr="00B936E7" w:rsidRDefault="00F37870" w:rsidP="003D43B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color w:val="auto"/>
              </w:rPr>
            </w:pPr>
            <w:r w:rsidRPr="00B936E7">
              <w:rPr>
                <w:rFonts w:asciiTheme="minorHAnsi" w:hAnsiTheme="minorHAnsi"/>
                <w:b/>
                <w:color w:val="auto"/>
              </w:rPr>
              <w:t>Explanation and Action</w:t>
            </w:r>
          </w:p>
        </w:tc>
        <w:tc>
          <w:tcPr>
            <w:tcW w:w="417" w:type="pct"/>
            <w:hideMark/>
          </w:tcPr>
          <w:p w14:paraId="33F04E9D" w14:textId="520F7C59" w:rsidR="00F37870" w:rsidRPr="002644BD" w:rsidRDefault="00F37870" w:rsidP="003D43B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644BD">
              <w:rPr>
                <w:rFonts w:asciiTheme="minorHAnsi" w:hAnsiTheme="minorHAnsi"/>
                <w:b/>
              </w:rPr>
              <w:t>Timeframe</w:t>
            </w:r>
          </w:p>
        </w:tc>
      </w:tr>
      <w:tr w:rsidR="0068636D" w:rsidRPr="002644BD" w14:paraId="01506FD3" w14:textId="77777777" w:rsidTr="1A6A772F">
        <w:trPr>
          <w:cnfStyle w:val="000000100000" w:firstRow="0" w:lastRow="0" w:firstColumn="0" w:lastColumn="0" w:oddVBand="0" w:evenVBand="0" w:oddHBand="1" w:evenHBand="0" w:firstRowFirstColumn="0" w:firstRowLastColumn="0" w:lastRowFirstColumn="0" w:lastRowLastColumn="0"/>
          <w:trHeight w:val="2173"/>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378511FD" w14:textId="031C9895" w:rsidR="00F37870" w:rsidRDefault="00F37870" w:rsidP="00416A55">
            <w:pPr>
              <w:rPr>
                <w:rFonts w:asciiTheme="minorHAnsi" w:hAnsiTheme="minorHAnsi"/>
                <w:i/>
              </w:rPr>
            </w:pPr>
            <w:r w:rsidRPr="002644BD">
              <w:rPr>
                <w:rFonts w:asciiTheme="minorHAnsi" w:hAnsiTheme="minorHAnsi"/>
                <w:bCs/>
                <w:lang w:val="en-AU"/>
              </w:rPr>
              <w:t>Recommendation 1</w:t>
            </w:r>
            <w:r>
              <w:rPr>
                <w:rFonts w:asciiTheme="minorHAnsi" w:hAnsiTheme="minorHAnsi"/>
                <w:bCs/>
                <w:lang w:val="en-AU"/>
              </w:rPr>
              <w:t xml:space="preserve"> - </w:t>
            </w:r>
            <w:r w:rsidRPr="00F43A15">
              <w:rPr>
                <w:rFonts w:asciiTheme="minorHAnsi" w:hAnsiTheme="minorHAnsi"/>
                <w:iCs/>
              </w:rPr>
              <w:t>Extension</w:t>
            </w:r>
          </w:p>
          <w:p w14:paraId="3D6AC5CB" w14:textId="440A6F79" w:rsidR="00F37870" w:rsidRPr="00A67714" w:rsidRDefault="00F37870" w:rsidP="00416A55">
            <w:pPr>
              <w:rPr>
                <w:rFonts w:asciiTheme="minorHAnsi" w:hAnsiTheme="minorHAnsi"/>
                <w:i/>
              </w:rPr>
            </w:pPr>
            <w:r w:rsidRPr="00A67714">
              <w:rPr>
                <w:rFonts w:asciiTheme="minorHAnsi" w:hAnsiTheme="minorHAnsi"/>
                <w:i/>
              </w:rPr>
              <w:t>Given the slow start to TASP implementation and two of the four designs, extending the life of the program by at least one year will provide an opportunity to understand fully whether there is good value in having the G</w:t>
            </w:r>
            <w:r>
              <w:rPr>
                <w:rFonts w:asciiTheme="minorHAnsi" w:hAnsiTheme="minorHAnsi"/>
                <w:i/>
              </w:rPr>
              <w:t>ender Equality</w:t>
            </w:r>
            <w:r w:rsidRPr="00A67714">
              <w:rPr>
                <w:rFonts w:asciiTheme="minorHAnsi" w:hAnsiTheme="minorHAnsi"/>
                <w:i/>
              </w:rPr>
              <w:t xml:space="preserve"> and Skills programs co-located with the Health and the Governance Pillars.</w:t>
            </w:r>
          </w:p>
        </w:tc>
        <w:tc>
          <w:tcPr>
            <w:tcW w:w="413" w:type="pct"/>
            <w:shd w:val="clear" w:color="auto" w:fill="92D050"/>
          </w:tcPr>
          <w:p w14:paraId="4432D3E3" w14:textId="272F7CEC" w:rsidR="00F37870" w:rsidRPr="0003330C" w:rsidRDefault="00F37870" w:rsidP="00986694">
            <w:pPr>
              <w:jc w:val="center"/>
              <w:cnfStyle w:val="000000100000" w:firstRow="0" w:lastRow="0" w:firstColumn="0" w:lastColumn="0" w:oddVBand="0" w:evenVBand="0" w:oddHBand="1" w:evenHBand="0"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1836" w:type="pct"/>
            <w:shd w:val="clear" w:color="auto" w:fill="F2F2F2" w:themeFill="background1" w:themeFillShade="F2"/>
          </w:tcPr>
          <w:p w14:paraId="6CF78ED1" w14:textId="5EAF7E7C" w:rsidR="00F37870" w:rsidRPr="00C765DF" w:rsidRDefault="00F37870" w:rsidP="0016406B">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48041A">
              <w:rPr>
                <w:rFonts w:asciiTheme="minorHAnsi" w:hAnsiTheme="minorHAnsi"/>
                <w:bCs/>
                <w:lang w:val="en-AU"/>
              </w:rPr>
              <w:t xml:space="preserve">DFAT </w:t>
            </w:r>
            <w:r w:rsidR="00612E44">
              <w:rPr>
                <w:rFonts w:asciiTheme="minorHAnsi" w:hAnsiTheme="minorHAnsi"/>
                <w:bCs/>
                <w:lang w:val="en-AU"/>
              </w:rPr>
              <w:t>agrees to extend</w:t>
            </w:r>
            <w:r>
              <w:rPr>
                <w:rFonts w:asciiTheme="minorHAnsi" w:hAnsiTheme="minorHAnsi"/>
                <w:bCs/>
                <w:lang w:val="en-AU"/>
              </w:rPr>
              <w:t xml:space="preserve"> TASP</w:t>
            </w:r>
            <w:r w:rsidRPr="0048041A">
              <w:rPr>
                <w:rFonts w:asciiTheme="minorHAnsi" w:hAnsiTheme="minorHAnsi"/>
                <w:bCs/>
                <w:lang w:val="en-AU"/>
              </w:rPr>
              <w:t xml:space="preserve"> </w:t>
            </w:r>
            <w:r w:rsidR="00612E44">
              <w:rPr>
                <w:rFonts w:asciiTheme="minorHAnsi" w:hAnsiTheme="minorHAnsi"/>
                <w:bCs/>
                <w:lang w:val="en-AU"/>
              </w:rPr>
              <w:t>to maximise</w:t>
            </w:r>
            <w:r w:rsidRPr="0048041A">
              <w:rPr>
                <w:rFonts w:asciiTheme="minorHAnsi" w:hAnsiTheme="minorHAnsi"/>
                <w:bCs/>
                <w:lang w:val="en-AU"/>
              </w:rPr>
              <w:t xml:space="preserve"> overall efficiencies</w:t>
            </w:r>
            <w:r w:rsidR="00A73574">
              <w:rPr>
                <w:rFonts w:asciiTheme="minorHAnsi" w:hAnsiTheme="minorHAnsi"/>
                <w:bCs/>
                <w:lang w:val="en-AU"/>
              </w:rPr>
              <w:t xml:space="preserve"> for program delivery and partnerships</w:t>
            </w:r>
            <w:r>
              <w:rPr>
                <w:rFonts w:asciiTheme="minorHAnsi" w:hAnsiTheme="minorHAnsi"/>
                <w:bCs/>
                <w:lang w:val="en-AU"/>
              </w:rPr>
              <w:t xml:space="preserve">. </w:t>
            </w:r>
            <w:r w:rsidRPr="0048041A">
              <w:rPr>
                <w:rFonts w:asciiTheme="minorHAnsi" w:hAnsiTheme="minorHAnsi"/>
                <w:bCs/>
                <w:lang w:val="en-AU"/>
              </w:rPr>
              <w:t>DFAT will exercise the full four-year extension option</w:t>
            </w:r>
            <w:r>
              <w:rPr>
                <w:rFonts w:asciiTheme="minorHAnsi" w:hAnsiTheme="minorHAnsi"/>
                <w:bCs/>
                <w:lang w:val="en-AU"/>
              </w:rPr>
              <w:t xml:space="preserve"> and extend TASP into a second phase</w:t>
            </w:r>
            <w:r w:rsidRPr="0048041A">
              <w:rPr>
                <w:rFonts w:asciiTheme="minorHAnsi" w:hAnsiTheme="minorHAnsi"/>
                <w:bCs/>
                <w:lang w:val="en-AU"/>
              </w:rPr>
              <w:t>.</w:t>
            </w:r>
          </w:p>
        </w:tc>
        <w:tc>
          <w:tcPr>
            <w:tcW w:w="417" w:type="pct"/>
            <w:shd w:val="clear" w:color="auto" w:fill="F2F2F2" w:themeFill="background1" w:themeFillShade="F2"/>
          </w:tcPr>
          <w:p w14:paraId="51B7554E" w14:textId="105509F5" w:rsidR="00F37870" w:rsidRPr="0048041A" w:rsidRDefault="00F37870" w:rsidP="00416A5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48041A">
              <w:rPr>
                <w:rFonts w:asciiTheme="minorHAnsi" w:hAnsiTheme="minorHAnsi"/>
                <w:bCs/>
                <w:lang w:val="en-AU"/>
              </w:rPr>
              <w:t>6 – 18 months</w:t>
            </w:r>
          </w:p>
        </w:tc>
      </w:tr>
      <w:tr w:rsidR="0068636D" w:rsidRPr="002644BD" w14:paraId="3F6B4B01" w14:textId="77777777" w:rsidTr="1A6A772F">
        <w:trPr>
          <w:cnfStyle w:val="000000010000" w:firstRow="0" w:lastRow="0" w:firstColumn="0" w:lastColumn="0" w:oddVBand="0" w:evenVBand="0" w:oddHBand="0" w:evenHBand="1"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4BA1E864" w14:textId="1AA04CE8" w:rsidR="00F37870" w:rsidRDefault="00F37870" w:rsidP="00416A55">
            <w:pPr>
              <w:rPr>
                <w:rFonts w:asciiTheme="minorHAnsi" w:hAnsiTheme="minorHAnsi"/>
                <w:i/>
              </w:rPr>
            </w:pPr>
            <w:r w:rsidRPr="002644BD">
              <w:rPr>
                <w:rFonts w:asciiTheme="minorHAnsi" w:hAnsiTheme="minorHAnsi"/>
                <w:bCs/>
                <w:lang w:val="en-AU"/>
              </w:rPr>
              <w:t xml:space="preserve">Recommendation </w:t>
            </w:r>
            <w:r>
              <w:rPr>
                <w:rFonts w:asciiTheme="minorHAnsi" w:hAnsiTheme="minorHAnsi"/>
                <w:bCs/>
                <w:lang w:val="en-AU"/>
              </w:rPr>
              <w:t xml:space="preserve">2 - </w:t>
            </w:r>
            <w:r w:rsidRPr="00F43A15">
              <w:rPr>
                <w:rFonts w:asciiTheme="minorHAnsi" w:hAnsiTheme="minorHAnsi"/>
                <w:iCs/>
              </w:rPr>
              <w:t>Health</w:t>
            </w:r>
          </w:p>
          <w:p w14:paraId="21A57578" w14:textId="5ADB26C5" w:rsidR="00F37870" w:rsidRPr="00A67714" w:rsidRDefault="00F37870" w:rsidP="1A6A772F">
            <w:pPr>
              <w:rPr>
                <w:rFonts w:eastAsia="Calibri" w:cs="Calibri"/>
              </w:rPr>
            </w:pPr>
            <w:r w:rsidRPr="1A6A772F">
              <w:rPr>
                <w:rFonts w:asciiTheme="minorHAnsi" w:hAnsiTheme="minorHAnsi"/>
                <w:i/>
                <w:iCs/>
              </w:rPr>
              <w:t xml:space="preserve">Embedded advisory support provided to Tonga Health can potentially be redirected or refocused on more effective health promotion activities and/or different partners. </w:t>
            </w:r>
            <w:r w:rsidR="3C95C49D" w:rsidRPr="006D4325">
              <w:rPr>
                <w:rFonts w:asciiTheme="minorHAnsi" w:hAnsiTheme="minorHAnsi"/>
                <w:i/>
                <w:iCs/>
              </w:rPr>
              <w:t>DFAT Post should work closely with TASP management to identify a quick realignment of funding to a more impactful solution.</w:t>
            </w:r>
          </w:p>
        </w:tc>
        <w:tc>
          <w:tcPr>
            <w:tcW w:w="0" w:type="pct"/>
            <w:shd w:val="clear" w:color="auto" w:fill="92D050"/>
          </w:tcPr>
          <w:p w14:paraId="63984F76" w14:textId="2FCCCC58" w:rsidR="00F37870" w:rsidRPr="0003330C" w:rsidRDefault="00F37870" w:rsidP="00986694">
            <w:pPr>
              <w:jc w:val="center"/>
              <w:cnfStyle w:val="000000010000" w:firstRow="0" w:lastRow="0" w:firstColumn="0" w:lastColumn="0" w:oddVBand="0" w:evenVBand="0" w:oddHBand="0" w:evenHBand="1"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0" w:type="pct"/>
            <w:shd w:val="clear" w:color="auto" w:fill="F2F2F2" w:themeFill="background1" w:themeFillShade="F2"/>
          </w:tcPr>
          <w:p w14:paraId="652D5E05" w14:textId="62128F02" w:rsidR="00F37870" w:rsidRPr="0048041A" w:rsidRDefault="00F37870" w:rsidP="00416A5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Pr>
                <w:rFonts w:asciiTheme="minorHAnsi" w:hAnsiTheme="minorHAnsi"/>
                <w:bCs/>
                <w:lang w:val="en-AU"/>
              </w:rPr>
              <w:t>This is in line with findings from previous evaluations</w:t>
            </w:r>
            <w:r w:rsidR="00612E44">
              <w:rPr>
                <w:rFonts w:asciiTheme="minorHAnsi" w:hAnsiTheme="minorHAnsi"/>
                <w:bCs/>
                <w:lang w:val="en-AU"/>
              </w:rPr>
              <w:t>.</w:t>
            </w:r>
            <w:r>
              <w:rPr>
                <w:rFonts w:asciiTheme="minorHAnsi" w:hAnsiTheme="minorHAnsi"/>
                <w:bCs/>
                <w:lang w:val="en-AU"/>
              </w:rPr>
              <w:t xml:space="preserve"> DFAT has subsequently</w:t>
            </w:r>
            <w:r w:rsidRPr="0048041A">
              <w:rPr>
                <w:rFonts w:asciiTheme="minorHAnsi" w:hAnsiTheme="minorHAnsi"/>
                <w:bCs/>
                <w:lang w:val="en-AU"/>
              </w:rPr>
              <w:t xml:space="preserve"> </w:t>
            </w:r>
            <w:r>
              <w:rPr>
                <w:rFonts w:asciiTheme="minorHAnsi" w:hAnsiTheme="minorHAnsi"/>
                <w:bCs/>
                <w:lang w:val="en-AU"/>
              </w:rPr>
              <w:t xml:space="preserve">implemented </w:t>
            </w:r>
            <w:r w:rsidRPr="0048041A">
              <w:rPr>
                <w:rFonts w:asciiTheme="minorHAnsi" w:hAnsiTheme="minorHAnsi"/>
                <w:bCs/>
                <w:lang w:val="en-AU"/>
              </w:rPr>
              <w:t xml:space="preserve">recommendations </w:t>
            </w:r>
            <w:r>
              <w:rPr>
                <w:rFonts w:asciiTheme="minorHAnsi" w:hAnsiTheme="minorHAnsi"/>
                <w:bCs/>
                <w:lang w:val="en-AU"/>
              </w:rPr>
              <w:t xml:space="preserve">resulting in changes to Australia’s advisory footprint in Tonga’s health sector. </w:t>
            </w:r>
            <w:r w:rsidR="0011144A">
              <w:rPr>
                <w:rFonts w:asciiTheme="minorHAnsi" w:hAnsiTheme="minorHAnsi"/>
                <w:bCs/>
                <w:lang w:val="en-AU"/>
              </w:rPr>
              <w:t>N</w:t>
            </w:r>
            <w:r>
              <w:rPr>
                <w:rFonts w:asciiTheme="minorHAnsi" w:hAnsiTheme="minorHAnsi"/>
                <w:bCs/>
                <w:lang w:val="en-AU"/>
              </w:rPr>
              <w:t xml:space="preserve">o further action is required. </w:t>
            </w:r>
          </w:p>
        </w:tc>
        <w:tc>
          <w:tcPr>
            <w:tcW w:w="0" w:type="pct"/>
            <w:shd w:val="clear" w:color="auto" w:fill="F2F2F2" w:themeFill="background1" w:themeFillShade="F2"/>
          </w:tcPr>
          <w:p w14:paraId="0A7180EA" w14:textId="615BC026" w:rsidR="00F37870" w:rsidRPr="0048041A" w:rsidRDefault="00F37870" w:rsidP="00416A5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sidRPr="0048041A">
              <w:rPr>
                <w:rFonts w:asciiTheme="minorHAnsi" w:hAnsiTheme="minorHAnsi"/>
                <w:bCs/>
                <w:lang w:val="en-AU"/>
              </w:rPr>
              <w:t>Complete</w:t>
            </w:r>
          </w:p>
        </w:tc>
      </w:tr>
      <w:tr w:rsidR="0068636D" w:rsidRPr="002644BD" w14:paraId="208F2D9B" w14:textId="77777777" w:rsidTr="1A6A772F">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4787B74C" w14:textId="0220684C" w:rsidR="00F37870" w:rsidRDefault="00F37870" w:rsidP="00416A55">
            <w:pPr>
              <w:rPr>
                <w:rFonts w:asciiTheme="minorHAnsi" w:hAnsiTheme="minorHAnsi"/>
                <w:i/>
              </w:rPr>
            </w:pPr>
            <w:r w:rsidRPr="002644BD">
              <w:rPr>
                <w:rFonts w:asciiTheme="minorHAnsi" w:hAnsiTheme="minorHAnsi"/>
                <w:bCs/>
                <w:lang w:val="en-AU"/>
              </w:rPr>
              <w:t xml:space="preserve">Recommendation </w:t>
            </w:r>
            <w:r>
              <w:rPr>
                <w:rFonts w:asciiTheme="minorHAnsi" w:hAnsiTheme="minorHAnsi"/>
                <w:bCs/>
                <w:lang w:val="en-AU"/>
              </w:rPr>
              <w:t xml:space="preserve">3 - </w:t>
            </w:r>
            <w:r w:rsidRPr="00F43A15">
              <w:rPr>
                <w:rFonts w:asciiTheme="minorHAnsi" w:hAnsiTheme="minorHAnsi"/>
                <w:iCs/>
              </w:rPr>
              <w:t>Governance continuity</w:t>
            </w:r>
          </w:p>
          <w:p w14:paraId="38A42A37" w14:textId="36D9F952" w:rsidR="00F37870" w:rsidRPr="00A67714" w:rsidRDefault="6F27BC42" w:rsidP="1A6A772F">
            <w:r w:rsidRPr="006D4325">
              <w:rPr>
                <w:rFonts w:asciiTheme="minorHAnsi" w:hAnsiTheme="minorHAnsi"/>
                <w:i/>
                <w:iCs/>
              </w:rPr>
              <w:t>With a new Governance design in progress (though delayed) there are building concerns and risks relating to future Governance program scenarios. DFAT needs to finalise the design quickly and facilitate an orderly and well communicated transition plan, as uncertainty can lead to a slowing down of activities. DFAT senior management will also need to ensure the upcoming change in DFAT’s Senior Program Manager (SPM) for Governance does not have a destabilising effect, given the uncertain context.</w:t>
            </w:r>
          </w:p>
        </w:tc>
        <w:tc>
          <w:tcPr>
            <w:tcW w:w="413" w:type="pct"/>
            <w:shd w:val="clear" w:color="auto" w:fill="92D050"/>
          </w:tcPr>
          <w:p w14:paraId="0CF45EFE" w14:textId="58EC107A" w:rsidR="00F37870" w:rsidRPr="0003330C" w:rsidRDefault="00F37870" w:rsidP="00986694">
            <w:pPr>
              <w:jc w:val="center"/>
              <w:cnfStyle w:val="000000100000" w:firstRow="0" w:lastRow="0" w:firstColumn="0" w:lastColumn="0" w:oddVBand="0" w:evenVBand="0" w:oddHBand="1" w:evenHBand="0" w:firstRowFirstColumn="0" w:firstRowLastColumn="0" w:lastRowFirstColumn="0" w:lastRowLastColumn="0"/>
              <w:rPr>
                <w:bCs/>
                <w:color w:val="auto"/>
                <w:lang w:val="en-AU"/>
              </w:rPr>
            </w:pPr>
            <w:r w:rsidRPr="0003330C">
              <w:rPr>
                <w:bCs/>
                <w:color w:val="auto"/>
                <w:lang w:val="en-AU"/>
              </w:rPr>
              <w:t>Agree</w:t>
            </w:r>
          </w:p>
        </w:tc>
        <w:tc>
          <w:tcPr>
            <w:tcW w:w="1836" w:type="pct"/>
            <w:shd w:val="clear" w:color="auto" w:fill="F2F2F2" w:themeFill="background1" w:themeFillShade="F2"/>
          </w:tcPr>
          <w:p w14:paraId="12BD95F6" w14:textId="6CD465D3" w:rsidR="00F37870" w:rsidRDefault="00F37870" w:rsidP="00E13BEB">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w:t>
            </w:r>
            <w:r w:rsidR="0016406B">
              <w:rPr>
                <w:rFonts w:asciiTheme="minorHAnsi" w:hAnsiTheme="minorHAnsi"/>
                <w:bCs/>
                <w:lang w:val="en-AU"/>
              </w:rPr>
              <w:t>finalise</w:t>
            </w:r>
            <w:r w:rsidR="00651753">
              <w:rPr>
                <w:rFonts w:asciiTheme="minorHAnsi" w:hAnsiTheme="minorHAnsi"/>
                <w:bCs/>
                <w:lang w:val="en-AU"/>
              </w:rPr>
              <w:t>d</w:t>
            </w:r>
            <w:r w:rsidR="0016406B">
              <w:rPr>
                <w:rFonts w:asciiTheme="minorHAnsi" w:hAnsiTheme="minorHAnsi"/>
                <w:bCs/>
                <w:lang w:val="en-AU"/>
              </w:rPr>
              <w:t xml:space="preserve"> the</w:t>
            </w:r>
            <w:r>
              <w:rPr>
                <w:rFonts w:asciiTheme="minorHAnsi" w:hAnsiTheme="minorHAnsi"/>
                <w:bCs/>
                <w:lang w:val="en-AU"/>
              </w:rPr>
              <w:t xml:space="preserve"> governance investment design</w:t>
            </w:r>
            <w:r w:rsidR="0016406B">
              <w:rPr>
                <w:rFonts w:asciiTheme="minorHAnsi" w:hAnsiTheme="minorHAnsi"/>
                <w:bCs/>
                <w:lang w:val="en-AU"/>
              </w:rPr>
              <w:t xml:space="preserve"> </w:t>
            </w:r>
            <w:r w:rsidR="00651753">
              <w:rPr>
                <w:rFonts w:asciiTheme="minorHAnsi" w:hAnsiTheme="minorHAnsi"/>
                <w:bCs/>
                <w:lang w:val="en-AU"/>
              </w:rPr>
              <w:t xml:space="preserve">(March 2024) </w:t>
            </w:r>
            <w:r w:rsidR="0016406B">
              <w:rPr>
                <w:rFonts w:asciiTheme="minorHAnsi" w:hAnsiTheme="minorHAnsi"/>
                <w:bCs/>
                <w:lang w:val="en-AU"/>
              </w:rPr>
              <w:t>and</w:t>
            </w:r>
            <w:r w:rsidR="00651753">
              <w:rPr>
                <w:rFonts w:asciiTheme="minorHAnsi" w:hAnsiTheme="minorHAnsi"/>
                <w:bCs/>
                <w:lang w:val="en-AU"/>
              </w:rPr>
              <w:t xml:space="preserve"> </w:t>
            </w:r>
            <w:r w:rsidR="00144082">
              <w:rPr>
                <w:rFonts w:asciiTheme="minorHAnsi" w:hAnsiTheme="minorHAnsi"/>
                <w:bCs/>
                <w:lang w:val="en-AU"/>
              </w:rPr>
              <w:t xml:space="preserve">will continue </w:t>
            </w:r>
            <w:r w:rsidR="00651753">
              <w:rPr>
                <w:rFonts w:asciiTheme="minorHAnsi" w:hAnsiTheme="minorHAnsi"/>
                <w:bCs/>
                <w:lang w:val="en-AU"/>
              </w:rPr>
              <w:t>to</w:t>
            </w:r>
            <w:r w:rsidR="00144082">
              <w:rPr>
                <w:rFonts w:asciiTheme="minorHAnsi" w:hAnsiTheme="minorHAnsi"/>
                <w:bCs/>
                <w:lang w:val="en-AU"/>
              </w:rPr>
              <w:t xml:space="preserve"> proactively</w:t>
            </w:r>
            <w:r w:rsidR="0016406B">
              <w:rPr>
                <w:rFonts w:asciiTheme="minorHAnsi" w:hAnsiTheme="minorHAnsi"/>
                <w:bCs/>
                <w:lang w:val="en-AU"/>
              </w:rPr>
              <w:t xml:space="preserve"> communicate implementation arrangements</w:t>
            </w:r>
            <w:r w:rsidR="00FB7485">
              <w:rPr>
                <w:rFonts w:asciiTheme="minorHAnsi" w:hAnsiTheme="minorHAnsi"/>
                <w:bCs/>
                <w:lang w:val="en-AU"/>
              </w:rPr>
              <w:t xml:space="preserve"> to partners</w:t>
            </w:r>
            <w:r w:rsidR="0016406B">
              <w:rPr>
                <w:rFonts w:asciiTheme="minorHAnsi" w:hAnsiTheme="minorHAnsi"/>
                <w:bCs/>
                <w:lang w:val="en-AU"/>
              </w:rPr>
              <w:t xml:space="preserve">. </w:t>
            </w:r>
          </w:p>
          <w:p w14:paraId="15ECF60A" w14:textId="2D74E7B9" w:rsidR="00B64597" w:rsidRPr="0048041A" w:rsidRDefault="00B64597" w:rsidP="00E13BEB">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senior management will </w:t>
            </w:r>
            <w:r w:rsidR="00FB7485">
              <w:rPr>
                <w:rFonts w:asciiTheme="minorHAnsi" w:hAnsiTheme="minorHAnsi"/>
                <w:bCs/>
                <w:lang w:val="en-AU"/>
              </w:rPr>
              <w:t xml:space="preserve">continue to </w:t>
            </w:r>
            <w:r>
              <w:rPr>
                <w:rFonts w:asciiTheme="minorHAnsi" w:hAnsiTheme="minorHAnsi"/>
                <w:bCs/>
                <w:lang w:val="en-AU"/>
              </w:rPr>
              <w:t>manage any</w:t>
            </w:r>
            <w:r w:rsidR="002B3C7D">
              <w:rPr>
                <w:rFonts w:asciiTheme="minorHAnsi" w:hAnsiTheme="minorHAnsi"/>
                <w:bCs/>
                <w:lang w:val="en-AU"/>
              </w:rPr>
              <w:t xml:space="preserve"> staff</w:t>
            </w:r>
            <w:r>
              <w:rPr>
                <w:rFonts w:asciiTheme="minorHAnsi" w:hAnsiTheme="minorHAnsi"/>
                <w:bCs/>
                <w:lang w:val="en-AU"/>
              </w:rPr>
              <w:t xml:space="preserve"> changes to ensure stability.</w:t>
            </w:r>
          </w:p>
        </w:tc>
        <w:tc>
          <w:tcPr>
            <w:tcW w:w="417" w:type="pct"/>
            <w:shd w:val="clear" w:color="auto" w:fill="F2F2F2" w:themeFill="background1" w:themeFillShade="F2"/>
          </w:tcPr>
          <w:p w14:paraId="40C6AAB1" w14:textId="0B7538D7" w:rsidR="00F37870" w:rsidRPr="0048041A" w:rsidRDefault="005B620A" w:rsidP="00416A5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Pr>
                <w:rFonts w:asciiTheme="minorHAnsi" w:hAnsiTheme="minorHAnsi"/>
                <w:bCs/>
                <w:lang w:val="en-AU"/>
              </w:rPr>
              <w:t>Complete</w:t>
            </w:r>
          </w:p>
        </w:tc>
      </w:tr>
      <w:tr w:rsidR="0068636D" w:rsidRPr="002644BD" w14:paraId="08078F0C" w14:textId="77777777" w:rsidTr="1A6A772F">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4ACC48C8" w14:textId="68E3DEF2" w:rsidR="00F37870" w:rsidRDefault="00F37870" w:rsidP="00416A55">
            <w:pPr>
              <w:rPr>
                <w:rFonts w:asciiTheme="minorHAnsi" w:hAnsiTheme="minorHAnsi"/>
                <w:i/>
              </w:rPr>
            </w:pPr>
            <w:r w:rsidRPr="002644BD">
              <w:rPr>
                <w:rFonts w:asciiTheme="minorHAnsi" w:hAnsiTheme="minorHAnsi"/>
                <w:bCs/>
                <w:lang w:val="en-AU"/>
              </w:rPr>
              <w:t xml:space="preserve">Recommendation </w:t>
            </w:r>
            <w:r>
              <w:rPr>
                <w:rFonts w:asciiTheme="minorHAnsi" w:hAnsiTheme="minorHAnsi"/>
                <w:bCs/>
                <w:lang w:val="en-AU"/>
              </w:rPr>
              <w:t xml:space="preserve">4 </w:t>
            </w:r>
            <w:r w:rsidRPr="00F43A15">
              <w:rPr>
                <w:rFonts w:asciiTheme="minorHAnsi" w:hAnsiTheme="minorHAnsi"/>
                <w:bCs/>
                <w:lang w:val="en-AU"/>
              </w:rPr>
              <w:t xml:space="preserve">- </w:t>
            </w:r>
            <w:r w:rsidRPr="00F43A15">
              <w:rPr>
                <w:rFonts w:asciiTheme="minorHAnsi" w:hAnsiTheme="minorHAnsi"/>
              </w:rPr>
              <w:t>Strategic Opportunities</w:t>
            </w:r>
          </w:p>
          <w:p w14:paraId="110C83A0" w14:textId="7F97A037" w:rsidR="00F37870" w:rsidRPr="00A67714" w:rsidRDefault="427BADCD" w:rsidP="1A6A772F">
            <w:pPr>
              <w:rPr>
                <w:rFonts w:eastAsia="Calibri" w:cs="Calibri"/>
              </w:rPr>
            </w:pPr>
            <w:r w:rsidRPr="006D4325">
              <w:rPr>
                <w:rFonts w:asciiTheme="minorHAnsi" w:hAnsiTheme="minorHAnsi"/>
                <w:i/>
                <w:iCs/>
              </w:rPr>
              <w:t>To raise visibility and reiterate their importance to DFAT, TASP and DFAT should agree on a strategic objective, outcome and measures of success for the S</w:t>
            </w:r>
            <w:r w:rsidR="00561153">
              <w:rPr>
                <w:rFonts w:asciiTheme="minorHAnsi" w:hAnsiTheme="minorHAnsi"/>
                <w:i/>
                <w:iCs/>
              </w:rPr>
              <w:t>trategic Opportunities Mechanism</w:t>
            </w:r>
            <w:r w:rsidRPr="006D4325">
              <w:rPr>
                <w:rFonts w:asciiTheme="minorHAnsi" w:hAnsiTheme="minorHAnsi"/>
                <w:i/>
                <w:iCs/>
              </w:rPr>
              <w:t xml:space="preserve"> (and for each tasking note within it), and report on these as a separate stream of work for TASP in regular six month and yearly reports. In addition</w:t>
            </w:r>
            <w:r w:rsidR="00561153">
              <w:rPr>
                <w:rFonts w:asciiTheme="minorHAnsi" w:hAnsiTheme="minorHAnsi"/>
                <w:i/>
                <w:iCs/>
              </w:rPr>
              <w:t>,</w:t>
            </w:r>
            <w:r w:rsidRPr="006D4325">
              <w:rPr>
                <w:rFonts w:asciiTheme="minorHAnsi" w:hAnsiTheme="minorHAnsi"/>
                <w:i/>
                <w:iCs/>
              </w:rPr>
              <w:t xml:space="preserve"> future facilities with flexible funding should ensure that it is included in the Program Logic for the investment.</w:t>
            </w:r>
          </w:p>
        </w:tc>
        <w:tc>
          <w:tcPr>
            <w:tcW w:w="413" w:type="pct"/>
            <w:shd w:val="clear" w:color="auto" w:fill="92D050"/>
          </w:tcPr>
          <w:p w14:paraId="28223923" w14:textId="5EC8213C" w:rsidR="00F37870" w:rsidRPr="0003330C" w:rsidRDefault="00F37870" w:rsidP="00986694">
            <w:pPr>
              <w:jc w:val="center"/>
              <w:cnfStyle w:val="000000010000" w:firstRow="0" w:lastRow="0" w:firstColumn="0" w:lastColumn="0" w:oddVBand="0" w:evenVBand="0" w:oddHBand="0" w:evenHBand="1"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1836" w:type="pct"/>
            <w:shd w:val="clear" w:color="auto" w:fill="F2F2F2" w:themeFill="background1" w:themeFillShade="F2"/>
          </w:tcPr>
          <w:p w14:paraId="771764CC" w14:textId="2877CF80" w:rsidR="0016406B" w:rsidRDefault="00162D4C" w:rsidP="0016406B">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w:t>
            </w:r>
            <w:r w:rsidR="0016406B">
              <w:rPr>
                <w:rFonts w:asciiTheme="minorHAnsi" w:hAnsiTheme="minorHAnsi"/>
                <w:bCs/>
                <w:lang w:val="en-AU"/>
              </w:rPr>
              <w:t>a</w:t>
            </w:r>
            <w:r>
              <w:rPr>
                <w:rFonts w:asciiTheme="minorHAnsi" w:hAnsiTheme="minorHAnsi"/>
                <w:bCs/>
                <w:lang w:val="en-AU"/>
              </w:rPr>
              <w:t xml:space="preserve">grees that </w:t>
            </w:r>
            <w:r w:rsidR="00F37870">
              <w:rPr>
                <w:rFonts w:asciiTheme="minorHAnsi" w:hAnsiTheme="minorHAnsi"/>
                <w:bCs/>
                <w:lang w:val="en-AU"/>
              </w:rPr>
              <w:t>is sensible to include a relevant outcome</w:t>
            </w:r>
            <w:r w:rsidR="002444A6">
              <w:rPr>
                <w:rFonts w:asciiTheme="minorHAnsi" w:hAnsiTheme="minorHAnsi"/>
                <w:bCs/>
                <w:lang w:val="en-AU"/>
              </w:rPr>
              <w:t xml:space="preserve"> and</w:t>
            </w:r>
            <w:r w:rsidR="005E4474">
              <w:rPr>
                <w:rFonts w:asciiTheme="minorHAnsi" w:hAnsiTheme="minorHAnsi"/>
                <w:bCs/>
                <w:lang w:val="en-AU"/>
              </w:rPr>
              <w:t>/or</w:t>
            </w:r>
            <w:r w:rsidR="002444A6">
              <w:rPr>
                <w:rFonts w:asciiTheme="minorHAnsi" w:hAnsiTheme="minorHAnsi"/>
                <w:bCs/>
                <w:lang w:val="en-AU"/>
              </w:rPr>
              <w:t xml:space="preserve"> measure of success</w:t>
            </w:r>
            <w:r w:rsidR="00F37870">
              <w:rPr>
                <w:rFonts w:asciiTheme="minorHAnsi" w:hAnsiTheme="minorHAnsi"/>
                <w:bCs/>
                <w:lang w:val="en-AU"/>
              </w:rPr>
              <w:t xml:space="preserve"> </w:t>
            </w:r>
            <w:r w:rsidR="0016406B">
              <w:rPr>
                <w:rFonts w:asciiTheme="minorHAnsi" w:hAnsiTheme="minorHAnsi"/>
                <w:bCs/>
                <w:lang w:val="en-AU"/>
              </w:rPr>
              <w:t>for</w:t>
            </w:r>
            <w:r>
              <w:rPr>
                <w:rFonts w:asciiTheme="minorHAnsi" w:hAnsiTheme="minorHAnsi"/>
                <w:bCs/>
                <w:lang w:val="en-AU"/>
              </w:rPr>
              <w:t xml:space="preserve"> </w:t>
            </w:r>
            <w:r w:rsidR="0016406B">
              <w:rPr>
                <w:rFonts w:asciiTheme="minorHAnsi" w:hAnsiTheme="minorHAnsi"/>
                <w:bCs/>
                <w:lang w:val="en-AU"/>
              </w:rPr>
              <w:t>the s</w:t>
            </w:r>
            <w:r w:rsidR="002444A6">
              <w:rPr>
                <w:rFonts w:asciiTheme="minorHAnsi" w:hAnsiTheme="minorHAnsi"/>
                <w:bCs/>
                <w:lang w:val="en-AU"/>
              </w:rPr>
              <w:t>trategi</w:t>
            </w:r>
            <w:r w:rsidR="002444A6">
              <w:rPr>
                <w:bCs/>
                <w:lang w:val="en-AU"/>
              </w:rPr>
              <w:t>c</w:t>
            </w:r>
            <w:r w:rsidR="002444A6">
              <w:rPr>
                <w:rFonts w:asciiTheme="minorHAnsi" w:hAnsiTheme="minorHAnsi"/>
                <w:bCs/>
                <w:lang w:val="en-AU"/>
              </w:rPr>
              <w:t xml:space="preserve"> </w:t>
            </w:r>
            <w:proofErr w:type="gramStart"/>
            <w:r w:rsidR="0016406B">
              <w:rPr>
                <w:rFonts w:asciiTheme="minorHAnsi" w:hAnsiTheme="minorHAnsi"/>
                <w:bCs/>
                <w:lang w:val="en-AU"/>
              </w:rPr>
              <w:t>o</w:t>
            </w:r>
            <w:r w:rsidR="002444A6">
              <w:rPr>
                <w:rFonts w:asciiTheme="minorHAnsi" w:hAnsiTheme="minorHAnsi"/>
                <w:bCs/>
                <w:lang w:val="en-AU"/>
              </w:rPr>
              <w:t>pportunities</w:t>
            </w:r>
            <w:proofErr w:type="gramEnd"/>
            <w:r w:rsidR="0016406B">
              <w:rPr>
                <w:rFonts w:asciiTheme="minorHAnsi" w:hAnsiTheme="minorHAnsi"/>
                <w:bCs/>
                <w:lang w:val="en-AU"/>
              </w:rPr>
              <w:t xml:space="preserve"> mechanism and for tasking notes</w:t>
            </w:r>
            <w:r w:rsidR="002444A6">
              <w:rPr>
                <w:rFonts w:asciiTheme="minorHAnsi" w:hAnsiTheme="minorHAnsi"/>
                <w:bCs/>
                <w:lang w:val="en-AU"/>
              </w:rPr>
              <w:t>. This would</w:t>
            </w:r>
            <w:r w:rsidR="00F37870">
              <w:rPr>
                <w:rFonts w:asciiTheme="minorHAnsi" w:hAnsiTheme="minorHAnsi"/>
                <w:bCs/>
                <w:lang w:val="en-AU"/>
              </w:rPr>
              <w:t xml:space="preserve"> feed into an overarching objective. </w:t>
            </w:r>
          </w:p>
          <w:p w14:paraId="43F6CD67" w14:textId="46CB0F51" w:rsidR="00F37870" w:rsidRPr="0048041A" w:rsidRDefault="00F37870" w:rsidP="0016406B">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sidRPr="0048041A">
              <w:rPr>
                <w:rFonts w:asciiTheme="minorHAnsi" w:hAnsiTheme="minorHAnsi"/>
                <w:bCs/>
                <w:lang w:val="en-AU"/>
              </w:rPr>
              <w:t>To be considered and incorporated in the design update</w:t>
            </w:r>
            <w:r>
              <w:rPr>
                <w:rFonts w:asciiTheme="minorHAnsi" w:hAnsiTheme="minorHAnsi"/>
                <w:bCs/>
                <w:lang w:val="en-AU"/>
              </w:rPr>
              <w:t xml:space="preserve"> for TASP Phase 2</w:t>
            </w:r>
            <w:r w:rsidRPr="0048041A">
              <w:rPr>
                <w:rFonts w:asciiTheme="minorHAnsi" w:hAnsiTheme="minorHAnsi"/>
                <w:bCs/>
                <w:lang w:val="en-AU"/>
              </w:rPr>
              <w:t>.</w:t>
            </w:r>
          </w:p>
        </w:tc>
        <w:tc>
          <w:tcPr>
            <w:tcW w:w="417" w:type="pct"/>
            <w:shd w:val="clear" w:color="auto" w:fill="F2F2F2" w:themeFill="background1" w:themeFillShade="F2"/>
          </w:tcPr>
          <w:p w14:paraId="2EC2F396" w14:textId="10DF80F5" w:rsidR="00F37870" w:rsidRPr="0048041A" w:rsidRDefault="00F37870" w:rsidP="00416A5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Pr>
                <w:rFonts w:asciiTheme="minorHAnsi" w:hAnsiTheme="minorHAnsi"/>
                <w:bCs/>
                <w:lang w:val="en-AU"/>
              </w:rPr>
              <w:t>12 months</w:t>
            </w:r>
          </w:p>
        </w:tc>
      </w:tr>
      <w:tr w:rsidR="0068636D" w:rsidRPr="002644BD" w14:paraId="556097EE" w14:textId="77777777" w:rsidTr="1A6A772F">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0569E92E" w14:textId="51C0C6C6" w:rsidR="00F37870" w:rsidRDefault="00F37870" w:rsidP="00416A55">
            <w:pPr>
              <w:rPr>
                <w:rFonts w:asciiTheme="minorHAnsi" w:hAnsiTheme="minorHAnsi"/>
                <w:i/>
              </w:rPr>
            </w:pPr>
            <w:r w:rsidRPr="002644BD">
              <w:rPr>
                <w:rFonts w:asciiTheme="minorHAnsi" w:hAnsiTheme="minorHAnsi"/>
                <w:bCs/>
                <w:lang w:val="en-AU"/>
              </w:rPr>
              <w:lastRenderedPageBreak/>
              <w:t xml:space="preserve">Recommendation </w:t>
            </w:r>
            <w:r>
              <w:rPr>
                <w:rFonts w:asciiTheme="minorHAnsi" w:hAnsiTheme="minorHAnsi"/>
                <w:bCs/>
                <w:lang w:val="en-AU"/>
              </w:rPr>
              <w:t xml:space="preserve">5 - </w:t>
            </w:r>
            <w:r w:rsidRPr="00F43A15">
              <w:rPr>
                <w:rFonts w:asciiTheme="minorHAnsi" w:hAnsiTheme="minorHAnsi"/>
                <w:iCs/>
              </w:rPr>
              <w:t>Climate</w:t>
            </w:r>
          </w:p>
          <w:p w14:paraId="04BF07E5" w14:textId="504CEFD3" w:rsidR="00F37870" w:rsidRPr="00A67714" w:rsidRDefault="00F37870" w:rsidP="00416A55">
            <w:pPr>
              <w:rPr>
                <w:rFonts w:asciiTheme="minorHAnsi" w:hAnsiTheme="minorHAnsi"/>
                <w:i/>
              </w:rPr>
            </w:pPr>
            <w:r w:rsidRPr="00A67714">
              <w:rPr>
                <w:rFonts w:asciiTheme="minorHAnsi" w:hAnsiTheme="minorHAnsi"/>
                <w:i/>
              </w:rPr>
              <w:t>DFAT should reconsider the most strategic and cost-effective targeting of climate and related resourcing. With no expertise in TASP and only one year left of the program, meaningful results on climate action may not be possible to achieve.</w:t>
            </w:r>
          </w:p>
        </w:tc>
        <w:tc>
          <w:tcPr>
            <w:tcW w:w="413" w:type="pct"/>
            <w:shd w:val="clear" w:color="auto" w:fill="92D050"/>
          </w:tcPr>
          <w:p w14:paraId="2F9E98F6" w14:textId="3EAFEFC3" w:rsidR="00F37870" w:rsidRPr="0003330C" w:rsidRDefault="00F37870" w:rsidP="00986694">
            <w:pPr>
              <w:jc w:val="center"/>
              <w:cnfStyle w:val="000000100000" w:firstRow="0" w:lastRow="0" w:firstColumn="0" w:lastColumn="0" w:oddVBand="0" w:evenVBand="0" w:oddHBand="1" w:evenHBand="0"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1836" w:type="pct"/>
            <w:shd w:val="clear" w:color="auto" w:fill="F2F2F2" w:themeFill="background1" w:themeFillShade="F2"/>
          </w:tcPr>
          <w:p w14:paraId="2C600DDB" w14:textId="77777777" w:rsidR="00F37870" w:rsidRDefault="00F37870" w:rsidP="00416A5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agrees that focus of the design update should be on how TASP can improve climate action, including on pillar-related activities and resourcing. </w:t>
            </w:r>
          </w:p>
          <w:p w14:paraId="725ED4C1" w14:textId="7C0043E0" w:rsidR="00F37870" w:rsidRPr="0048041A" w:rsidRDefault="00F37870" w:rsidP="00416A5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48041A">
              <w:rPr>
                <w:rFonts w:asciiTheme="minorHAnsi" w:hAnsiTheme="minorHAnsi"/>
                <w:bCs/>
                <w:lang w:val="en-AU"/>
              </w:rPr>
              <w:t>To be considered and incorporated in the design update</w:t>
            </w:r>
            <w:r>
              <w:rPr>
                <w:rFonts w:asciiTheme="minorHAnsi" w:hAnsiTheme="minorHAnsi"/>
                <w:bCs/>
                <w:lang w:val="en-AU"/>
              </w:rPr>
              <w:t xml:space="preserve"> for TASP Phase 2</w:t>
            </w:r>
            <w:r w:rsidRPr="0048041A">
              <w:rPr>
                <w:rFonts w:asciiTheme="minorHAnsi" w:hAnsiTheme="minorHAnsi"/>
                <w:bCs/>
                <w:lang w:val="en-AU"/>
              </w:rPr>
              <w:t>.</w:t>
            </w:r>
          </w:p>
        </w:tc>
        <w:tc>
          <w:tcPr>
            <w:tcW w:w="417" w:type="pct"/>
            <w:shd w:val="clear" w:color="auto" w:fill="F2F2F2" w:themeFill="background1" w:themeFillShade="F2"/>
          </w:tcPr>
          <w:p w14:paraId="2B6B7B29" w14:textId="59099162" w:rsidR="00F37870" w:rsidRPr="0048041A" w:rsidRDefault="00F37870" w:rsidP="00416A5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Pr>
                <w:rFonts w:asciiTheme="minorHAnsi" w:hAnsiTheme="minorHAnsi"/>
                <w:bCs/>
                <w:lang w:val="en-AU"/>
              </w:rPr>
              <w:t>12 months</w:t>
            </w:r>
          </w:p>
        </w:tc>
      </w:tr>
      <w:tr w:rsidR="0068636D" w:rsidRPr="002644BD" w14:paraId="763F6B57" w14:textId="77777777" w:rsidTr="1A6A772F">
        <w:trPr>
          <w:cnfStyle w:val="000000010000" w:firstRow="0" w:lastRow="0" w:firstColumn="0" w:lastColumn="0" w:oddVBand="0" w:evenVBand="0" w:oddHBand="0" w:evenHBand="1"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3EC8BE29" w14:textId="3A189BDB" w:rsidR="00F37870" w:rsidRDefault="00F37870" w:rsidP="004043DF">
            <w:pPr>
              <w:rPr>
                <w:rFonts w:asciiTheme="minorHAnsi" w:hAnsiTheme="minorHAnsi"/>
                <w:i/>
              </w:rPr>
            </w:pPr>
            <w:r w:rsidRPr="002644BD">
              <w:rPr>
                <w:rFonts w:asciiTheme="minorHAnsi" w:hAnsiTheme="minorHAnsi"/>
                <w:bCs/>
                <w:lang w:val="en-AU"/>
              </w:rPr>
              <w:t xml:space="preserve">Recommendation </w:t>
            </w:r>
            <w:r>
              <w:rPr>
                <w:rFonts w:asciiTheme="minorHAnsi" w:hAnsiTheme="minorHAnsi"/>
                <w:bCs/>
                <w:lang w:val="en-AU"/>
              </w:rPr>
              <w:t xml:space="preserve">6 - </w:t>
            </w:r>
            <w:r w:rsidRPr="00F43A15">
              <w:rPr>
                <w:rFonts w:asciiTheme="minorHAnsi" w:hAnsiTheme="minorHAnsi"/>
                <w:iCs/>
              </w:rPr>
              <w:t>Accountability</w:t>
            </w:r>
          </w:p>
          <w:p w14:paraId="52ECF68A" w14:textId="11110456" w:rsidR="00F37870" w:rsidRPr="00A67714" w:rsidRDefault="00F37870" w:rsidP="004043DF">
            <w:pPr>
              <w:rPr>
                <w:rFonts w:asciiTheme="minorHAnsi" w:hAnsiTheme="minorHAnsi"/>
                <w:i/>
              </w:rPr>
            </w:pPr>
            <w:r w:rsidRPr="00A67714">
              <w:rPr>
                <w:rFonts w:asciiTheme="minorHAnsi" w:hAnsiTheme="minorHAnsi"/>
                <w:i/>
              </w:rPr>
              <w:t>There needs to be systematic and regular documented opportunities for key counterparts to gain an adequate understanding of TASP and its program of work and participate in priority setting if TASP is to: provide deep and wide accountability to the Go</w:t>
            </w:r>
            <w:r w:rsidR="0016406B">
              <w:rPr>
                <w:rFonts w:asciiTheme="minorHAnsi" w:hAnsiTheme="minorHAnsi"/>
                <w:i/>
              </w:rPr>
              <w:t>vernment of Tonga (</w:t>
            </w:r>
            <w:proofErr w:type="spellStart"/>
            <w:r w:rsidR="0016406B">
              <w:rPr>
                <w:rFonts w:asciiTheme="minorHAnsi" w:hAnsiTheme="minorHAnsi"/>
                <w:i/>
              </w:rPr>
              <w:t>Go</w:t>
            </w:r>
            <w:r w:rsidRPr="00A67714">
              <w:rPr>
                <w:rFonts w:asciiTheme="minorHAnsi" w:hAnsiTheme="minorHAnsi"/>
                <w:i/>
              </w:rPr>
              <w:t>T</w:t>
            </w:r>
            <w:proofErr w:type="spellEnd"/>
            <w:r w:rsidR="0016406B">
              <w:rPr>
                <w:rFonts w:asciiTheme="minorHAnsi" w:hAnsiTheme="minorHAnsi"/>
                <w:i/>
              </w:rPr>
              <w:t>)</w:t>
            </w:r>
            <w:r w:rsidRPr="00A67714">
              <w:rPr>
                <w:rFonts w:asciiTheme="minorHAnsi" w:hAnsiTheme="minorHAnsi"/>
                <w:i/>
              </w:rPr>
              <w:t xml:space="preserve">; gain their insights into the ongoing workplan of TASP; and achieve better buy-in and broader </w:t>
            </w:r>
            <w:proofErr w:type="spellStart"/>
            <w:r w:rsidRPr="00A67714">
              <w:rPr>
                <w:rFonts w:asciiTheme="minorHAnsi" w:hAnsiTheme="minorHAnsi"/>
                <w:i/>
              </w:rPr>
              <w:t>GoT</w:t>
            </w:r>
            <w:proofErr w:type="spellEnd"/>
            <w:r w:rsidRPr="00A67714">
              <w:rPr>
                <w:rFonts w:asciiTheme="minorHAnsi" w:hAnsiTheme="minorHAnsi"/>
                <w:i/>
              </w:rPr>
              <w:t xml:space="preserve"> ownership of outcomes.</w:t>
            </w:r>
          </w:p>
        </w:tc>
        <w:tc>
          <w:tcPr>
            <w:tcW w:w="413" w:type="pct"/>
            <w:shd w:val="clear" w:color="auto" w:fill="92D050"/>
          </w:tcPr>
          <w:p w14:paraId="67BAF2A2" w14:textId="7E8DD411" w:rsidR="00F37870" w:rsidRPr="0003330C" w:rsidRDefault="00F37870" w:rsidP="00986694">
            <w:pPr>
              <w:jc w:val="center"/>
              <w:cnfStyle w:val="000000010000" w:firstRow="0" w:lastRow="0" w:firstColumn="0" w:lastColumn="0" w:oddVBand="0" w:evenVBand="0" w:oddHBand="0" w:evenHBand="1"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1836" w:type="pct"/>
            <w:shd w:val="clear" w:color="auto" w:fill="F2F2F2" w:themeFill="background1" w:themeFillShade="F2"/>
          </w:tcPr>
          <w:p w14:paraId="597021C8" w14:textId="4F610CB5" w:rsidR="00F37870" w:rsidRDefault="00F37870" w:rsidP="004043DF">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agrees that </w:t>
            </w:r>
            <w:proofErr w:type="spellStart"/>
            <w:proofErr w:type="gramStart"/>
            <w:r>
              <w:rPr>
                <w:rFonts w:asciiTheme="minorHAnsi" w:hAnsiTheme="minorHAnsi"/>
                <w:bCs/>
                <w:lang w:val="en-AU"/>
              </w:rPr>
              <w:t>G</w:t>
            </w:r>
            <w:r w:rsidR="0016406B">
              <w:rPr>
                <w:rFonts w:asciiTheme="minorHAnsi" w:hAnsiTheme="minorHAnsi"/>
                <w:bCs/>
                <w:lang w:val="en-AU"/>
              </w:rPr>
              <w:t>o</w:t>
            </w:r>
            <w:r>
              <w:rPr>
                <w:rFonts w:asciiTheme="minorHAnsi" w:hAnsiTheme="minorHAnsi"/>
                <w:bCs/>
                <w:lang w:val="en-AU"/>
              </w:rPr>
              <w:t>T</w:t>
            </w:r>
            <w:proofErr w:type="spellEnd"/>
            <w:proofErr w:type="gramEnd"/>
            <w:r>
              <w:rPr>
                <w:rFonts w:asciiTheme="minorHAnsi" w:hAnsiTheme="minorHAnsi"/>
                <w:bCs/>
                <w:lang w:val="en-AU"/>
              </w:rPr>
              <w:t xml:space="preserve"> should be provided adequate opportunities to shape programming under each pillar. DFAT will ensure </w:t>
            </w:r>
            <w:proofErr w:type="spellStart"/>
            <w:r>
              <w:rPr>
                <w:rFonts w:asciiTheme="minorHAnsi" w:hAnsiTheme="minorHAnsi"/>
                <w:bCs/>
                <w:lang w:val="en-AU"/>
              </w:rPr>
              <w:t>G</w:t>
            </w:r>
            <w:r w:rsidR="0016406B">
              <w:rPr>
                <w:rFonts w:asciiTheme="minorHAnsi" w:hAnsiTheme="minorHAnsi"/>
                <w:bCs/>
                <w:lang w:val="en-AU"/>
              </w:rPr>
              <w:t>o</w:t>
            </w:r>
            <w:r>
              <w:rPr>
                <w:rFonts w:asciiTheme="minorHAnsi" w:hAnsiTheme="minorHAnsi"/>
                <w:bCs/>
                <w:lang w:val="en-AU"/>
              </w:rPr>
              <w:t>T</w:t>
            </w:r>
            <w:proofErr w:type="spellEnd"/>
            <w:r>
              <w:rPr>
                <w:rFonts w:asciiTheme="minorHAnsi" w:hAnsiTheme="minorHAnsi"/>
                <w:bCs/>
                <w:lang w:val="en-AU"/>
              </w:rPr>
              <w:t xml:space="preserve"> consultation informs the remaining pillar designs and is part of ongoing strategic dialogue and decision-making.</w:t>
            </w:r>
          </w:p>
          <w:p w14:paraId="09FB1D47" w14:textId="3DCCD275" w:rsidR="00F37870" w:rsidRPr="0048041A" w:rsidRDefault="00F37870" w:rsidP="004043DF">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sidRPr="007751E4">
              <w:rPr>
                <w:rFonts w:asciiTheme="minorHAnsi" w:hAnsiTheme="minorHAnsi"/>
                <w:bCs/>
                <w:lang w:val="en-AU"/>
              </w:rPr>
              <w:t>To be considered and incorporated in the design update for TASP Phase 2</w:t>
            </w:r>
            <w:r>
              <w:rPr>
                <w:rFonts w:asciiTheme="minorHAnsi" w:hAnsiTheme="minorHAnsi"/>
                <w:bCs/>
                <w:lang w:val="en-AU"/>
              </w:rPr>
              <w:t xml:space="preserve"> as well as remaining pillar designs.</w:t>
            </w:r>
          </w:p>
        </w:tc>
        <w:tc>
          <w:tcPr>
            <w:tcW w:w="417" w:type="pct"/>
            <w:shd w:val="clear" w:color="auto" w:fill="F2F2F2" w:themeFill="background1" w:themeFillShade="F2"/>
          </w:tcPr>
          <w:p w14:paraId="461A33BB" w14:textId="41D57C67" w:rsidR="00F37870" w:rsidRPr="0048041A" w:rsidRDefault="00F37870" w:rsidP="004043DF">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sidRPr="00D6703C">
              <w:rPr>
                <w:rFonts w:asciiTheme="minorHAnsi" w:hAnsiTheme="minorHAnsi"/>
                <w:bCs/>
                <w:lang w:val="en-AU"/>
              </w:rPr>
              <w:t>12</w:t>
            </w:r>
            <w:r>
              <w:rPr>
                <w:rFonts w:asciiTheme="minorHAnsi" w:hAnsiTheme="minorHAnsi"/>
                <w:bCs/>
                <w:lang w:val="en-AU"/>
              </w:rPr>
              <w:t>-18</w:t>
            </w:r>
            <w:r w:rsidRPr="00D6703C">
              <w:rPr>
                <w:rFonts w:asciiTheme="minorHAnsi" w:hAnsiTheme="minorHAnsi"/>
                <w:bCs/>
                <w:lang w:val="en-AU"/>
              </w:rPr>
              <w:t xml:space="preserve"> months</w:t>
            </w:r>
          </w:p>
        </w:tc>
      </w:tr>
      <w:tr w:rsidR="0068636D" w:rsidRPr="002644BD" w14:paraId="4C79FF0D" w14:textId="77777777" w:rsidTr="1A6A772F">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6F65AECD" w14:textId="7B2858A8" w:rsidR="00F37870" w:rsidRPr="00F43A15" w:rsidRDefault="00F37870" w:rsidP="004043DF">
            <w:pPr>
              <w:rPr>
                <w:rFonts w:asciiTheme="minorHAnsi" w:hAnsiTheme="minorHAnsi"/>
                <w:iCs/>
              </w:rPr>
            </w:pPr>
            <w:r w:rsidRPr="002644BD">
              <w:rPr>
                <w:rFonts w:asciiTheme="minorHAnsi" w:hAnsiTheme="minorHAnsi"/>
                <w:bCs/>
                <w:lang w:val="en-AU"/>
              </w:rPr>
              <w:t xml:space="preserve">Recommendation </w:t>
            </w:r>
            <w:r>
              <w:rPr>
                <w:rFonts w:asciiTheme="minorHAnsi" w:hAnsiTheme="minorHAnsi"/>
                <w:bCs/>
                <w:lang w:val="en-AU"/>
              </w:rPr>
              <w:t xml:space="preserve">7 - </w:t>
            </w:r>
            <w:r w:rsidRPr="00F43A15">
              <w:rPr>
                <w:rFonts w:asciiTheme="minorHAnsi" w:hAnsiTheme="minorHAnsi"/>
                <w:iCs/>
              </w:rPr>
              <w:t>Working with C</w:t>
            </w:r>
            <w:r w:rsidR="0016406B">
              <w:rPr>
                <w:rFonts w:asciiTheme="minorHAnsi" w:hAnsiTheme="minorHAnsi"/>
                <w:iCs/>
              </w:rPr>
              <w:t>ivil Society Organisations (CS</w:t>
            </w:r>
            <w:r w:rsidRPr="00F43A15">
              <w:rPr>
                <w:rFonts w:asciiTheme="minorHAnsi" w:hAnsiTheme="minorHAnsi"/>
                <w:iCs/>
              </w:rPr>
              <w:t>Os</w:t>
            </w:r>
            <w:r w:rsidR="0016406B">
              <w:rPr>
                <w:rFonts w:asciiTheme="minorHAnsi" w:hAnsiTheme="minorHAnsi"/>
                <w:iCs/>
              </w:rPr>
              <w:t>)</w:t>
            </w:r>
          </w:p>
          <w:p w14:paraId="0E2DB195" w14:textId="73005910" w:rsidR="00F37870" w:rsidRPr="00A67714" w:rsidRDefault="00F37870" w:rsidP="004043DF">
            <w:pPr>
              <w:rPr>
                <w:rFonts w:asciiTheme="minorHAnsi" w:hAnsiTheme="minorHAnsi"/>
                <w:i/>
              </w:rPr>
            </w:pPr>
            <w:r w:rsidRPr="00A67714">
              <w:rPr>
                <w:rFonts w:asciiTheme="minorHAnsi" w:hAnsiTheme="minorHAnsi"/>
                <w:i/>
              </w:rPr>
              <w:t xml:space="preserve">With the new GEDSI Action Plan and GEDSI adviser in place, work in this area is expected to increase and build on the strong CSO relationships.  TASP should continue to support partner CSOs with capacity building and system strengthening. DFAT should work closely with the TASP GEDSI Advisor and Disability Coordinator to maximise opportunities for </w:t>
            </w:r>
            <w:proofErr w:type="spellStart"/>
            <w:r w:rsidRPr="00A67714">
              <w:rPr>
                <w:rFonts w:asciiTheme="minorHAnsi" w:hAnsiTheme="minorHAnsi"/>
                <w:i/>
              </w:rPr>
              <w:t>GoA</w:t>
            </w:r>
            <w:proofErr w:type="spellEnd"/>
            <w:r w:rsidRPr="00A67714">
              <w:rPr>
                <w:rFonts w:asciiTheme="minorHAnsi" w:hAnsiTheme="minorHAnsi"/>
                <w:i/>
              </w:rPr>
              <w:t xml:space="preserve"> to be a strategic advocacy partner for greater equity and inclusion in Tonga.</w:t>
            </w:r>
          </w:p>
        </w:tc>
        <w:tc>
          <w:tcPr>
            <w:tcW w:w="413" w:type="pct"/>
            <w:shd w:val="clear" w:color="auto" w:fill="92D050"/>
          </w:tcPr>
          <w:p w14:paraId="0A0250B6" w14:textId="220D9447" w:rsidR="00F37870" w:rsidRPr="0003330C" w:rsidRDefault="00F37870" w:rsidP="00986694">
            <w:pPr>
              <w:jc w:val="center"/>
              <w:cnfStyle w:val="000000100000" w:firstRow="0" w:lastRow="0" w:firstColumn="0" w:lastColumn="0" w:oddVBand="0" w:evenVBand="0" w:oddHBand="1" w:evenHBand="0"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1836" w:type="pct"/>
            <w:shd w:val="clear" w:color="auto" w:fill="F2F2F2" w:themeFill="background1" w:themeFillShade="F2"/>
          </w:tcPr>
          <w:p w14:paraId="610979F5" w14:textId="00851FE2" w:rsidR="00F37870" w:rsidRDefault="00BA66FC" w:rsidP="004043D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agrees that </w:t>
            </w:r>
            <w:r w:rsidR="00F37870">
              <w:rPr>
                <w:rFonts w:asciiTheme="minorHAnsi" w:hAnsiTheme="minorHAnsi"/>
                <w:bCs/>
                <w:lang w:val="en-AU"/>
              </w:rPr>
              <w:t>CSO engagement is a strength of the program and should continue. Strategic dialogue opportunities should be enhanced</w:t>
            </w:r>
            <w:r w:rsidR="00A46BAF">
              <w:rPr>
                <w:rFonts w:asciiTheme="minorHAnsi" w:hAnsiTheme="minorHAnsi"/>
                <w:bCs/>
                <w:lang w:val="en-AU"/>
              </w:rPr>
              <w:t xml:space="preserve"> with app</w:t>
            </w:r>
            <w:r w:rsidR="00A46BAF">
              <w:rPr>
                <w:bCs/>
                <w:lang w:val="en-AU"/>
              </w:rPr>
              <w:t>ropriate</w:t>
            </w:r>
            <w:r w:rsidR="00F37870">
              <w:rPr>
                <w:rFonts w:asciiTheme="minorHAnsi" w:hAnsiTheme="minorHAnsi"/>
                <w:bCs/>
                <w:lang w:val="en-AU"/>
              </w:rPr>
              <w:t xml:space="preserve"> </w:t>
            </w:r>
            <w:r>
              <w:rPr>
                <w:rFonts w:asciiTheme="minorHAnsi" w:hAnsiTheme="minorHAnsi"/>
                <w:bCs/>
                <w:lang w:val="en-AU"/>
              </w:rPr>
              <w:t>emphasis</w:t>
            </w:r>
            <w:r w:rsidR="00F37870">
              <w:rPr>
                <w:rFonts w:asciiTheme="minorHAnsi" w:hAnsiTheme="minorHAnsi"/>
                <w:bCs/>
                <w:lang w:val="en-AU"/>
              </w:rPr>
              <w:t xml:space="preserve"> on maximising advocacy opportunities and impact over TASP Phase 2. </w:t>
            </w:r>
          </w:p>
          <w:p w14:paraId="15DF16B5" w14:textId="442664AF" w:rsidR="00F37870" w:rsidRPr="0048041A" w:rsidRDefault="00F37870" w:rsidP="004043D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7751E4">
              <w:rPr>
                <w:rFonts w:asciiTheme="minorHAnsi" w:hAnsiTheme="minorHAnsi"/>
                <w:bCs/>
                <w:lang w:val="en-AU"/>
              </w:rPr>
              <w:t>To be considered and incorporated in the design update for TASP Phase 2.</w:t>
            </w:r>
          </w:p>
        </w:tc>
        <w:tc>
          <w:tcPr>
            <w:tcW w:w="417" w:type="pct"/>
            <w:shd w:val="clear" w:color="auto" w:fill="F2F2F2" w:themeFill="background1" w:themeFillShade="F2"/>
          </w:tcPr>
          <w:p w14:paraId="2E92B016" w14:textId="33C4727B" w:rsidR="00F37870" w:rsidRPr="0048041A" w:rsidRDefault="00F37870" w:rsidP="004043D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D6703C">
              <w:rPr>
                <w:rFonts w:asciiTheme="minorHAnsi" w:hAnsiTheme="minorHAnsi"/>
                <w:bCs/>
                <w:lang w:val="en-AU"/>
              </w:rPr>
              <w:t>12 months</w:t>
            </w:r>
          </w:p>
        </w:tc>
      </w:tr>
      <w:tr w:rsidR="0068636D" w:rsidRPr="002644BD" w14:paraId="1DDAE3CF" w14:textId="77777777" w:rsidTr="1A6A772F">
        <w:trPr>
          <w:cnfStyle w:val="000000010000" w:firstRow="0" w:lastRow="0" w:firstColumn="0" w:lastColumn="0" w:oddVBand="0" w:evenVBand="0" w:oddHBand="0" w:evenHBand="1" w:firstRowFirstColumn="0" w:firstRowLastColumn="0" w:lastRowFirstColumn="0" w:lastRowLastColumn="0"/>
          <w:trHeight w:val="1717"/>
        </w:trPr>
        <w:tc>
          <w:tcPr>
            <w:cnfStyle w:val="001000000000" w:firstRow="0" w:lastRow="0" w:firstColumn="1" w:lastColumn="0" w:oddVBand="0" w:evenVBand="0" w:oddHBand="0" w:evenHBand="0" w:firstRowFirstColumn="0" w:firstRowLastColumn="0" w:lastRowFirstColumn="0" w:lastRowLastColumn="0"/>
            <w:tcW w:w="2335" w:type="pct"/>
            <w:shd w:val="clear" w:color="auto" w:fill="F2F2F2" w:themeFill="background1" w:themeFillShade="F2"/>
          </w:tcPr>
          <w:p w14:paraId="5ECF7A64" w14:textId="229B66CC" w:rsidR="00F37870" w:rsidRDefault="00F37870" w:rsidP="00416A55">
            <w:pPr>
              <w:rPr>
                <w:rFonts w:asciiTheme="minorHAnsi" w:hAnsiTheme="minorHAnsi"/>
                <w:i/>
              </w:rPr>
            </w:pPr>
            <w:r w:rsidRPr="002644BD">
              <w:rPr>
                <w:rFonts w:asciiTheme="minorHAnsi" w:hAnsiTheme="minorHAnsi"/>
                <w:bCs/>
                <w:lang w:val="en-AU"/>
              </w:rPr>
              <w:t xml:space="preserve">Recommendation </w:t>
            </w:r>
            <w:r>
              <w:rPr>
                <w:rFonts w:asciiTheme="minorHAnsi" w:hAnsiTheme="minorHAnsi"/>
                <w:bCs/>
                <w:lang w:val="en-AU"/>
              </w:rPr>
              <w:t xml:space="preserve">8 - </w:t>
            </w:r>
            <w:r w:rsidRPr="00F43A15">
              <w:rPr>
                <w:rFonts w:asciiTheme="minorHAnsi" w:hAnsiTheme="minorHAnsi"/>
                <w:iCs/>
              </w:rPr>
              <w:t>Ways of Working</w:t>
            </w:r>
            <w:r w:rsidRPr="00A67714">
              <w:rPr>
                <w:rFonts w:asciiTheme="minorHAnsi" w:hAnsiTheme="minorHAnsi"/>
                <w:i/>
              </w:rPr>
              <w:t xml:space="preserve"> </w:t>
            </w:r>
          </w:p>
          <w:p w14:paraId="2C9789A3" w14:textId="63D169F8" w:rsidR="00F37870" w:rsidRPr="00A67714" w:rsidRDefault="00F37870" w:rsidP="00416A55">
            <w:pPr>
              <w:rPr>
                <w:rFonts w:asciiTheme="minorHAnsi" w:hAnsiTheme="minorHAnsi"/>
                <w:i/>
              </w:rPr>
            </w:pPr>
            <w:r w:rsidRPr="00A67714">
              <w:rPr>
                <w:rFonts w:asciiTheme="minorHAnsi" w:hAnsiTheme="minorHAnsi"/>
                <w:i/>
              </w:rPr>
              <w:t>TASP should develop a relationship map to attach to the W</w:t>
            </w:r>
            <w:r w:rsidR="00ED75E3">
              <w:rPr>
                <w:rFonts w:asciiTheme="minorHAnsi" w:hAnsiTheme="minorHAnsi"/>
                <w:i/>
              </w:rPr>
              <w:t>ays of Working</w:t>
            </w:r>
            <w:r w:rsidRPr="00A67714">
              <w:rPr>
                <w:rFonts w:asciiTheme="minorHAnsi" w:hAnsiTheme="minorHAnsi"/>
                <w:i/>
              </w:rPr>
              <w:t xml:space="preserve"> agreement that outlines the different pathways of communication on different issues and with different partners that include </w:t>
            </w:r>
            <w:proofErr w:type="spellStart"/>
            <w:r w:rsidRPr="00A67714">
              <w:rPr>
                <w:rFonts w:asciiTheme="minorHAnsi" w:hAnsiTheme="minorHAnsi"/>
                <w:i/>
              </w:rPr>
              <w:t>GoT</w:t>
            </w:r>
            <w:proofErr w:type="spellEnd"/>
            <w:r w:rsidRPr="00A67714">
              <w:rPr>
                <w:rFonts w:asciiTheme="minorHAnsi" w:hAnsiTheme="minorHAnsi"/>
                <w:i/>
              </w:rPr>
              <w:t xml:space="preserve">, </w:t>
            </w:r>
            <w:proofErr w:type="spellStart"/>
            <w:r w:rsidRPr="00A67714">
              <w:rPr>
                <w:rFonts w:asciiTheme="minorHAnsi" w:hAnsiTheme="minorHAnsi"/>
                <w:i/>
              </w:rPr>
              <w:t>GoA</w:t>
            </w:r>
            <w:proofErr w:type="spellEnd"/>
            <w:r w:rsidRPr="00A67714">
              <w:rPr>
                <w:rFonts w:asciiTheme="minorHAnsi" w:hAnsiTheme="minorHAnsi"/>
                <w:i/>
              </w:rPr>
              <w:t>, TASP and CSOs on policy and programmatic work.</w:t>
            </w:r>
          </w:p>
        </w:tc>
        <w:tc>
          <w:tcPr>
            <w:tcW w:w="413" w:type="pct"/>
            <w:shd w:val="clear" w:color="auto" w:fill="92D050"/>
          </w:tcPr>
          <w:p w14:paraId="4C87FD5E" w14:textId="7DFE2442" w:rsidR="00F37870" w:rsidRPr="0003330C" w:rsidRDefault="00F37870" w:rsidP="00986694">
            <w:pPr>
              <w:jc w:val="center"/>
              <w:cnfStyle w:val="000000010000" w:firstRow="0" w:lastRow="0" w:firstColumn="0" w:lastColumn="0" w:oddVBand="0" w:evenVBand="0" w:oddHBand="0" w:evenHBand="1" w:firstRowFirstColumn="0" w:firstRowLastColumn="0" w:lastRowFirstColumn="0" w:lastRowLastColumn="0"/>
              <w:rPr>
                <w:bCs/>
                <w:color w:val="auto"/>
                <w:lang w:val="en-AU"/>
              </w:rPr>
            </w:pPr>
            <w:r w:rsidRPr="0003330C">
              <w:rPr>
                <w:rFonts w:asciiTheme="minorHAnsi" w:hAnsiTheme="minorHAnsi"/>
                <w:bCs/>
                <w:color w:val="auto"/>
                <w:lang w:val="en-AU"/>
              </w:rPr>
              <w:t>Agree</w:t>
            </w:r>
          </w:p>
        </w:tc>
        <w:tc>
          <w:tcPr>
            <w:tcW w:w="1836" w:type="pct"/>
            <w:shd w:val="clear" w:color="auto" w:fill="F2F2F2" w:themeFill="background1" w:themeFillShade="F2"/>
          </w:tcPr>
          <w:p w14:paraId="5897C471" w14:textId="23F3ADA5" w:rsidR="00F37870" w:rsidRDefault="00F37870" w:rsidP="00416A5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Pr>
                <w:rFonts w:asciiTheme="minorHAnsi" w:hAnsiTheme="minorHAnsi"/>
                <w:bCs/>
                <w:lang w:val="en-AU"/>
              </w:rPr>
              <w:t xml:space="preserve">DFAT agrees that the complex facility design (unique in Tonga) requires concerted efforts to ensure clear lines of communication with stakeholders. </w:t>
            </w:r>
          </w:p>
          <w:p w14:paraId="180FE01C" w14:textId="515803DB" w:rsidR="00F37870" w:rsidRPr="0048041A" w:rsidRDefault="00F37870" w:rsidP="00416A5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sidRPr="0048041A">
              <w:rPr>
                <w:rFonts w:asciiTheme="minorHAnsi" w:hAnsiTheme="minorHAnsi"/>
                <w:bCs/>
                <w:lang w:val="en-AU"/>
              </w:rPr>
              <w:t>To be considered and incorporated in the design update</w:t>
            </w:r>
            <w:r>
              <w:rPr>
                <w:rFonts w:asciiTheme="minorHAnsi" w:hAnsiTheme="minorHAnsi"/>
                <w:bCs/>
                <w:lang w:val="en-AU"/>
              </w:rPr>
              <w:t xml:space="preserve"> for TASP Phase 2</w:t>
            </w:r>
            <w:r w:rsidRPr="0048041A">
              <w:rPr>
                <w:rFonts w:asciiTheme="minorHAnsi" w:hAnsiTheme="minorHAnsi"/>
                <w:bCs/>
                <w:lang w:val="en-AU"/>
              </w:rPr>
              <w:t>.</w:t>
            </w:r>
          </w:p>
        </w:tc>
        <w:tc>
          <w:tcPr>
            <w:tcW w:w="417" w:type="pct"/>
            <w:shd w:val="clear" w:color="auto" w:fill="F2F2F2" w:themeFill="background1" w:themeFillShade="F2"/>
          </w:tcPr>
          <w:p w14:paraId="2F5D0022" w14:textId="0D63F0EB" w:rsidR="00F37870" w:rsidRPr="0048041A" w:rsidRDefault="00F37870" w:rsidP="00416A55">
            <w:pPr>
              <w:cnfStyle w:val="000000010000" w:firstRow="0" w:lastRow="0" w:firstColumn="0" w:lastColumn="0" w:oddVBand="0" w:evenVBand="0" w:oddHBand="0" w:evenHBand="1" w:firstRowFirstColumn="0" w:firstRowLastColumn="0" w:lastRowFirstColumn="0" w:lastRowLastColumn="0"/>
              <w:rPr>
                <w:rFonts w:asciiTheme="minorHAnsi" w:hAnsiTheme="minorHAnsi"/>
                <w:bCs/>
                <w:lang w:val="en-AU"/>
              </w:rPr>
            </w:pPr>
            <w:r>
              <w:rPr>
                <w:rFonts w:asciiTheme="minorHAnsi" w:hAnsiTheme="minorHAnsi"/>
                <w:bCs/>
                <w:lang w:val="en-AU"/>
              </w:rPr>
              <w:t>12 months</w:t>
            </w:r>
            <w:r w:rsidRPr="0048041A">
              <w:rPr>
                <w:rFonts w:asciiTheme="minorHAnsi" w:hAnsiTheme="minorHAnsi"/>
                <w:bCs/>
                <w:lang w:val="en-AU"/>
              </w:rPr>
              <w:t xml:space="preserve"> </w:t>
            </w:r>
          </w:p>
        </w:tc>
      </w:tr>
    </w:tbl>
    <w:p w14:paraId="4E8A9D1A" w14:textId="77777777" w:rsidR="00A73574" w:rsidRDefault="00A73574"/>
    <w:sectPr w:rsidR="00A73574" w:rsidSect="00522F04">
      <w:pgSz w:w="16838" w:h="11906" w:orient="landscape" w:code="9"/>
      <w:pgMar w:top="567" w:right="1985"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903E" w14:textId="77777777" w:rsidR="00AD56E7" w:rsidRDefault="00AD56E7" w:rsidP="00083D0F">
      <w:pPr>
        <w:spacing w:before="0" w:after="0" w:line="240" w:lineRule="auto"/>
      </w:pPr>
      <w:r>
        <w:separator/>
      </w:r>
    </w:p>
  </w:endnote>
  <w:endnote w:type="continuationSeparator" w:id="0">
    <w:p w14:paraId="782FDE45" w14:textId="77777777" w:rsidR="00AD56E7" w:rsidRDefault="00AD56E7" w:rsidP="00083D0F">
      <w:pPr>
        <w:spacing w:before="0" w:after="0" w:line="240" w:lineRule="auto"/>
      </w:pPr>
      <w:r>
        <w:continuationSeparator/>
      </w:r>
    </w:p>
  </w:endnote>
  <w:endnote w:type="continuationNotice" w:id="1">
    <w:p w14:paraId="3CBE16DB" w14:textId="77777777" w:rsidR="00AD56E7" w:rsidRDefault="00AD56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8D57" w14:textId="77777777" w:rsidR="00AD56E7" w:rsidRDefault="00AD56E7" w:rsidP="00083D0F">
      <w:pPr>
        <w:spacing w:before="0" w:after="0" w:line="240" w:lineRule="auto"/>
      </w:pPr>
      <w:r>
        <w:separator/>
      </w:r>
    </w:p>
  </w:footnote>
  <w:footnote w:type="continuationSeparator" w:id="0">
    <w:p w14:paraId="6E3DBF0E" w14:textId="77777777" w:rsidR="00AD56E7" w:rsidRDefault="00AD56E7" w:rsidP="00083D0F">
      <w:pPr>
        <w:spacing w:before="0" w:after="0" w:line="240" w:lineRule="auto"/>
      </w:pPr>
      <w:r>
        <w:continuationSeparator/>
      </w:r>
    </w:p>
  </w:footnote>
  <w:footnote w:type="continuationNotice" w:id="1">
    <w:p w14:paraId="4FF954F6" w14:textId="77777777" w:rsidR="00AD56E7" w:rsidRDefault="00AD56E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DE4"/>
    <w:multiLevelType w:val="hybridMultilevel"/>
    <w:tmpl w:val="388A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16F0D"/>
    <w:multiLevelType w:val="multilevel"/>
    <w:tmpl w:val="8500B736"/>
    <w:lvl w:ilvl="0">
      <w:start w:val="1"/>
      <w:numFmt w:val="decimal"/>
      <w:pStyle w:val="ListNumber"/>
      <w:lvlText w:val="%1."/>
      <w:lvlJc w:val="left"/>
      <w:pPr>
        <w:ind w:left="360" w:hanging="360"/>
      </w:pPr>
      <w:rPr>
        <w:strike w:val="0"/>
        <w:dstrike w:val="0"/>
        <w:color w:val="00B0F0"/>
        <w:u w:val="none"/>
        <w:effect w:val="none"/>
      </w:rPr>
    </w:lvl>
    <w:lvl w:ilvl="1">
      <w:start w:val="1"/>
      <w:numFmt w:val="lowerLetter"/>
      <w:pStyle w:val="ListNumber2"/>
      <w:lvlText w:val="%2."/>
      <w:lvlJc w:val="left"/>
      <w:pPr>
        <w:ind w:left="1080" w:hanging="360"/>
      </w:pPr>
      <w:rPr>
        <w:strike w:val="0"/>
        <w:dstrike w:val="0"/>
        <w:u w:val="none"/>
        <w:effect w:val="none"/>
      </w:rPr>
    </w:lvl>
    <w:lvl w:ilvl="2">
      <w:start w:val="1"/>
      <w:numFmt w:val="lowerRoman"/>
      <w:pStyle w:val="ListNumber3"/>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 w15:restartNumberingAfterBreak="0">
    <w:nsid w:val="0906582D"/>
    <w:multiLevelType w:val="hybridMultilevel"/>
    <w:tmpl w:val="F594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2042EA"/>
    <w:multiLevelType w:val="hybridMultilevel"/>
    <w:tmpl w:val="95322936"/>
    <w:lvl w:ilvl="0" w:tplc="F0021B52">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56043A"/>
    <w:multiLevelType w:val="multilevel"/>
    <w:tmpl w:val="69AEB596"/>
    <w:numStyleLink w:val="BulletsList"/>
  </w:abstractNum>
  <w:abstractNum w:abstractNumId="5"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16cid:durableId="133257714">
    <w:abstractNumId w:val="5"/>
  </w:num>
  <w:num w:numId="2" w16cid:durableId="1808467565">
    <w:abstractNumId w:val="4"/>
  </w:num>
  <w:num w:numId="3" w16cid:durableId="1665667673">
    <w:abstractNumId w:val="0"/>
  </w:num>
  <w:num w:numId="4" w16cid:durableId="708722469">
    <w:abstractNumId w:val="2"/>
  </w:num>
  <w:num w:numId="5" w16cid:durableId="397443046">
    <w:abstractNumId w:val="3"/>
  </w:num>
  <w:num w:numId="6" w16cid:durableId="1245798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339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00"/>
    <w:rsid w:val="000068FA"/>
    <w:rsid w:val="0000767A"/>
    <w:rsid w:val="00014F9E"/>
    <w:rsid w:val="0003330C"/>
    <w:rsid w:val="000415DE"/>
    <w:rsid w:val="00077227"/>
    <w:rsid w:val="0008068F"/>
    <w:rsid w:val="00083D0F"/>
    <w:rsid w:val="00083F3E"/>
    <w:rsid w:val="00087606"/>
    <w:rsid w:val="00090A6A"/>
    <w:rsid w:val="00093DED"/>
    <w:rsid w:val="00095BE5"/>
    <w:rsid w:val="00095CCD"/>
    <w:rsid w:val="00097E5B"/>
    <w:rsid w:val="000A59BC"/>
    <w:rsid w:val="000B37BF"/>
    <w:rsid w:val="000B7330"/>
    <w:rsid w:val="000C6BEA"/>
    <w:rsid w:val="000D105E"/>
    <w:rsid w:val="000F0800"/>
    <w:rsid w:val="00103E9D"/>
    <w:rsid w:val="0010471D"/>
    <w:rsid w:val="0011144A"/>
    <w:rsid w:val="00112509"/>
    <w:rsid w:val="0011787F"/>
    <w:rsid w:val="00121228"/>
    <w:rsid w:val="00121C8B"/>
    <w:rsid w:val="0013424C"/>
    <w:rsid w:val="0013489B"/>
    <w:rsid w:val="00144082"/>
    <w:rsid w:val="00162D4C"/>
    <w:rsid w:val="0016406B"/>
    <w:rsid w:val="00180347"/>
    <w:rsid w:val="001833BA"/>
    <w:rsid w:val="00190D51"/>
    <w:rsid w:val="0019540C"/>
    <w:rsid w:val="001A1CC5"/>
    <w:rsid w:val="001B2A5A"/>
    <w:rsid w:val="001C3704"/>
    <w:rsid w:val="001D5554"/>
    <w:rsid w:val="001E06F1"/>
    <w:rsid w:val="001E48DC"/>
    <w:rsid w:val="002006D1"/>
    <w:rsid w:val="002051FF"/>
    <w:rsid w:val="0020666D"/>
    <w:rsid w:val="002107C2"/>
    <w:rsid w:val="00224A59"/>
    <w:rsid w:val="00224BF5"/>
    <w:rsid w:val="002444A6"/>
    <w:rsid w:val="00247C36"/>
    <w:rsid w:val="00251B50"/>
    <w:rsid w:val="0025238B"/>
    <w:rsid w:val="00257F8B"/>
    <w:rsid w:val="002644BD"/>
    <w:rsid w:val="00286CCF"/>
    <w:rsid w:val="002B0A76"/>
    <w:rsid w:val="002B3C7D"/>
    <w:rsid w:val="002C09CC"/>
    <w:rsid w:val="002E1A94"/>
    <w:rsid w:val="002E78C3"/>
    <w:rsid w:val="00312C86"/>
    <w:rsid w:val="003276D4"/>
    <w:rsid w:val="003424AD"/>
    <w:rsid w:val="00352088"/>
    <w:rsid w:val="0036130B"/>
    <w:rsid w:val="00363C00"/>
    <w:rsid w:val="0036594F"/>
    <w:rsid w:val="003715A6"/>
    <w:rsid w:val="00375053"/>
    <w:rsid w:val="003877DD"/>
    <w:rsid w:val="00392BD5"/>
    <w:rsid w:val="00394AB8"/>
    <w:rsid w:val="003A443B"/>
    <w:rsid w:val="003D43BB"/>
    <w:rsid w:val="003D563E"/>
    <w:rsid w:val="003F3D60"/>
    <w:rsid w:val="003F5499"/>
    <w:rsid w:val="003F7A1F"/>
    <w:rsid w:val="0040112D"/>
    <w:rsid w:val="004017DC"/>
    <w:rsid w:val="004043DF"/>
    <w:rsid w:val="0041683C"/>
    <w:rsid w:val="00416A55"/>
    <w:rsid w:val="00417F4A"/>
    <w:rsid w:val="00422EF4"/>
    <w:rsid w:val="0043059B"/>
    <w:rsid w:val="00431098"/>
    <w:rsid w:val="00434FAE"/>
    <w:rsid w:val="0044500E"/>
    <w:rsid w:val="004544E0"/>
    <w:rsid w:val="00454A72"/>
    <w:rsid w:val="00457110"/>
    <w:rsid w:val="004649D7"/>
    <w:rsid w:val="0046515A"/>
    <w:rsid w:val="004715BC"/>
    <w:rsid w:val="0048041A"/>
    <w:rsid w:val="004A4A84"/>
    <w:rsid w:val="004B6176"/>
    <w:rsid w:val="004C2180"/>
    <w:rsid w:val="004C2E0C"/>
    <w:rsid w:val="004C6CB1"/>
    <w:rsid w:val="004F6E38"/>
    <w:rsid w:val="0050157B"/>
    <w:rsid w:val="00504DEA"/>
    <w:rsid w:val="00512CAE"/>
    <w:rsid w:val="00521F41"/>
    <w:rsid w:val="00522F04"/>
    <w:rsid w:val="0052686E"/>
    <w:rsid w:val="00552694"/>
    <w:rsid w:val="00554784"/>
    <w:rsid w:val="00557419"/>
    <w:rsid w:val="00561153"/>
    <w:rsid w:val="00562CB4"/>
    <w:rsid w:val="00581EB7"/>
    <w:rsid w:val="00585E8A"/>
    <w:rsid w:val="00597E80"/>
    <w:rsid w:val="005A6CB3"/>
    <w:rsid w:val="005B620A"/>
    <w:rsid w:val="005E2689"/>
    <w:rsid w:val="005E4474"/>
    <w:rsid w:val="005E5891"/>
    <w:rsid w:val="005E6764"/>
    <w:rsid w:val="005F3F84"/>
    <w:rsid w:val="00605751"/>
    <w:rsid w:val="00612E44"/>
    <w:rsid w:val="00614393"/>
    <w:rsid w:val="00634AF0"/>
    <w:rsid w:val="00637FD2"/>
    <w:rsid w:val="00642C3B"/>
    <w:rsid w:val="00651753"/>
    <w:rsid w:val="00662E37"/>
    <w:rsid w:val="006638D4"/>
    <w:rsid w:val="0068636D"/>
    <w:rsid w:val="00686DC9"/>
    <w:rsid w:val="00690FD7"/>
    <w:rsid w:val="00697685"/>
    <w:rsid w:val="006C490A"/>
    <w:rsid w:val="006C4DAD"/>
    <w:rsid w:val="006C63C4"/>
    <w:rsid w:val="006C70D5"/>
    <w:rsid w:val="006D4325"/>
    <w:rsid w:val="006E1E35"/>
    <w:rsid w:val="006F4B40"/>
    <w:rsid w:val="0071467D"/>
    <w:rsid w:val="007169EA"/>
    <w:rsid w:val="00722F6B"/>
    <w:rsid w:val="0072575B"/>
    <w:rsid w:val="007405D9"/>
    <w:rsid w:val="0075122E"/>
    <w:rsid w:val="007528E0"/>
    <w:rsid w:val="007717F7"/>
    <w:rsid w:val="0077476B"/>
    <w:rsid w:val="0077721A"/>
    <w:rsid w:val="00785D8B"/>
    <w:rsid w:val="0078670A"/>
    <w:rsid w:val="00793255"/>
    <w:rsid w:val="00795586"/>
    <w:rsid w:val="007A1792"/>
    <w:rsid w:val="007A3D7A"/>
    <w:rsid w:val="007C5748"/>
    <w:rsid w:val="007C5D2D"/>
    <w:rsid w:val="007D7492"/>
    <w:rsid w:val="007E3E8A"/>
    <w:rsid w:val="007F58B3"/>
    <w:rsid w:val="008134C7"/>
    <w:rsid w:val="00834609"/>
    <w:rsid w:val="00837078"/>
    <w:rsid w:val="0084382B"/>
    <w:rsid w:val="00862AFF"/>
    <w:rsid w:val="008674CD"/>
    <w:rsid w:val="008758AA"/>
    <w:rsid w:val="008828E7"/>
    <w:rsid w:val="00885480"/>
    <w:rsid w:val="008D25C6"/>
    <w:rsid w:val="008E3858"/>
    <w:rsid w:val="008F57B3"/>
    <w:rsid w:val="009061DE"/>
    <w:rsid w:val="00906FA9"/>
    <w:rsid w:val="00916066"/>
    <w:rsid w:val="0092747F"/>
    <w:rsid w:val="00931071"/>
    <w:rsid w:val="00931364"/>
    <w:rsid w:val="00961252"/>
    <w:rsid w:val="00966834"/>
    <w:rsid w:val="00986694"/>
    <w:rsid w:val="00995B5B"/>
    <w:rsid w:val="00997320"/>
    <w:rsid w:val="009A0960"/>
    <w:rsid w:val="009A10A1"/>
    <w:rsid w:val="009B2841"/>
    <w:rsid w:val="009C157D"/>
    <w:rsid w:val="009C76D4"/>
    <w:rsid w:val="009D6847"/>
    <w:rsid w:val="009E0DD4"/>
    <w:rsid w:val="009E45DF"/>
    <w:rsid w:val="009F6C02"/>
    <w:rsid w:val="00A10AC7"/>
    <w:rsid w:val="00A11888"/>
    <w:rsid w:val="00A17B33"/>
    <w:rsid w:val="00A24125"/>
    <w:rsid w:val="00A273AF"/>
    <w:rsid w:val="00A34F0A"/>
    <w:rsid w:val="00A43170"/>
    <w:rsid w:val="00A4602F"/>
    <w:rsid w:val="00A46BAF"/>
    <w:rsid w:val="00A6511A"/>
    <w:rsid w:val="00A66823"/>
    <w:rsid w:val="00A67714"/>
    <w:rsid w:val="00A73574"/>
    <w:rsid w:val="00A75044"/>
    <w:rsid w:val="00A82354"/>
    <w:rsid w:val="00A95CF9"/>
    <w:rsid w:val="00AC50AC"/>
    <w:rsid w:val="00AD56E7"/>
    <w:rsid w:val="00AF2D47"/>
    <w:rsid w:val="00B00044"/>
    <w:rsid w:val="00B109AC"/>
    <w:rsid w:val="00B1105C"/>
    <w:rsid w:val="00B1723B"/>
    <w:rsid w:val="00B22FC0"/>
    <w:rsid w:val="00B42D34"/>
    <w:rsid w:val="00B44EB4"/>
    <w:rsid w:val="00B54C4B"/>
    <w:rsid w:val="00B61CC7"/>
    <w:rsid w:val="00B64597"/>
    <w:rsid w:val="00B672BB"/>
    <w:rsid w:val="00B82448"/>
    <w:rsid w:val="00B936E7"/>
    <w:rsid w:val="00BA66FC"/>
    <w:rsid w:val="00BB080C"/>
    <w:rsid w:val="00BB404E"/>
    <w:rsid w:val="00BC0A52"/>
    <w:rsid w:val="00BC78C6"/>
    <w:rsid w:val="00BD75FE"/>
    <w:rsid w:val="00BD7749"/>
    <w:rsid w:val="00BE1626"/>
    <w:rsid w:val="00BE210D"/>
    <w:rsid w:val="00C03851"/>
    <w:rsid w:val="00C1260A"/>
    <w:rsid w:val="00C24CE5"/>
    <w:rsid w:val="00C32EB5"/>
    <w:rsid w:val="00C37A6B"/>
    <w:rsid w:val="00C45894"/>
    <w:rsid w:val="00C65ACA"/>
    <w:rsid w:val="00C663A3"/>
    <w:rsid w:val="00C765DF"/>
    <w:rsid w:val="00C77FD1"/>
    <w:rsid w:val="00CA712F"/>
    <w:rsid w:val="00CB0F0C"/>
    <w:rsid w:val="00CB3BDC"/>
    <w:rsid w:val="00CB7A2D"/>
    <w:rsid w:val="00CC11A3"/>
    <w:rsid w:val="00CC22D0"/>
    <w:rsid w:val="00CF2407"/>
    <w:rsid w:val="00D02B65"/>
    <w:rsid w:val="00D148DD"/>
    <w:rsid w:val="00D21E08"/>
    <w:rsid w:val="00D222DA"/>
    <w:rsid w:val="00D25F7E"/>
    <w:rsid w:val="00D4120C"/>
    <w:rsid w:val="00D4191B"/>
    <w:rsid w:val="00D54B89"/>
    <w:rsid w:val="00D70E25"/>
    <w:rsid w:val="00D73128"/>
    <w:rsid w:val="00D77BE1"/>
    <w:rsid w:val="00D854AE"/>
    <w:rsid w:val="00D90B3E"/>
    <w:rsid w:val="00D90BE2"/>
    <w:rsid w:val="00D90CF4"/>
    <w:rsid w:val="00D9198F"/>
    <w:rsid w:val="00D9602B"/>
    <w:rsid w:val="00D962D0"/>
    <w:rsid w:val="00D96FFD"/>
    <w:rsid w:val="00DA5E40"/>
    <w:rsid w:val="00DC70D0"/>
    <w:rsid w:val="00DD0FCC"/>
    <w:rsid w:val="00DD244B"/>
    <w:rsid w:val="00DD32D6"/>
    <w:rsid w:val="00DD7A23"/>
    <w:rsid w:val="00DE1517"/>
    <w:rsid w:val="00DF1C39"/>
    <w:rsid w:val="00E02DDD"/>
    <w:rsid w:val="00E13BEB"/>
    <w:rsid w:val="00E144C7"/>
    <w:rsid w:val="00E15C1E"/>
    <w:rsid w:val="00E31BE4"/>
    <w:rsid w:val="00E322A0"/>
    <w:rsid w:val="00E34539"/>
    <w:rsid w:val="00E43920"/>
    <w:rsid w:val="00E4714A"/>
    <w:rsid w:val="00E47602"/>
    <w:rsid w:val="00E5071C"/>
    <w:rsid w:val="00E54EAA"/>
    <w:rsid w:val="00E75905"/>
    <w:rsid w:val="00E83B5E"/>
    <w:rsid w:val="00E846D8"/>
    <w:rsid w:val="00E84E75"/>
    <w:rsid w:val="00E90313"/>
    <w:rsid w:val="00E93E1E"/>
    <w:rsid w:val="00E95538"/>
    <w:rsid w:val="00E9672B"/>
    <w:rsid w:val="00EC18DC"/>
    <w:rsid w:val="00EC5113"/>
    <w:rsid w:val="00ED75E3"/>
    <w:rsid w:val="00EE1990"/>
    <w:rsid w:val="00EE4101"/>
    <w:rsid w:val="00EF6F75"/>
    <w:rsid w:val="00F00FCD"/>
    <w:rsid w:val="00F04BF0"/>
    <w:rsid w:val="00F05169"/>
    <w:rsid w:val="00F05349"/>
    <w:rsid w:val="00F220B1"/>
    <w:rsid w:val="00F2344B"/>
    <w:rsid w:val="00F348DF"/>
    <w:rsid w:val="00F368CA"/>
    <w:rsid w:val="00F37870"/>
    <w:rsid w:val="00F43A15"/>
    <w:rsid w:val="00F52404"/>
    <w:rsid w:val="00F55447"/>
    <w:rsid w:val="00F60574"/>
    <w:rsid w:val="00F6122D"/>
    <w:rsid w:val="00F62728"/>
    <w:rsid w:val="00F67AE1"/>
    <w:rsid w:val="00F716A8"/>
    <w:rsid w:val="00F73DB1"/>
    <w:rsid w:val="00F95A06"/>
    <w:rsid w:val="00FB0F9D"/>
    <w:rsid w:val="00FB7485"/>
    <w:rsid w:val="00FC0059"/>
    <w:rsid w:val="00FD01F0"/>
    <w:rsid w:val="00FD45B5"/>
    <w:rsid w:val="00FD52EE"/>
    <w:rsid w:val="00FD7CD6"/>
    <w:rsid w:val="00FF1178"/>
    <w:rsid w:val="00FF29B6"/>
    <w:rsid w:val="1A6A772F"/>
    <w:rsid w:val="3C95C49D"/>
    <w:rsid w:val="413069A5"/>
    <w:rsid w:val="427BADCD"/>
    <w:rsid w:val="6F27B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30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00"/>
    <w:pPr>
      <w:suppressAutoHyphens/>
      <w:spacing w:before="120" w:after="60" w:line="260" w:lineRule="atLeast"/>
    </w:pPr>
    <w:rPr>
      <w:color w:val="44546A" w:themeColor="text2"/>
      <w:lang w:val="en-GB"/>
    </w:rPr>
  </w:style>
  <w:style w:type="paragraph" w:styleId="Heading1">
    <w:name w:val="heading 1"/>
    <w:basedOn w:val="Heading3"/>
    <w:next w:val="Normal"/>
    <w:link w:val="Heading1Char"/>
    <w:uiPriority w:val="9"/>
    <w:qFormat/>
    <w:rsid w:val="00A11888"/>
    <w:pPr>
      <w:outlineLvl w:val="0"/>
    </w:pPr>
    <w:rPr>
      <w:b/>
      <w:bCs/>
    </w:rPr>
  </w:style>
  <w:style w:type="paragraph" w:styleId="Heading2">
    <w:name w:val="heading 2"/>
    <w:basedOn w:val="Normal"/>
    <w:next w:val="Normal"/>
    <w:link w:val="Heading2Char"/>
    <w:uiPriority w:val="9"/>
    <w:unhideWhenUsed/>
    <w:qFormat/>
    <w:rsid w:val="00A11888"/>
    <w:pPr>
      <w:keepNext/>
      <w:keepLines/>
      <w:spacing w:before="480" w:after="120" w:line="360" w:lineRule="atLeast"/>
      <w:contextualSpacing/>
      <w:outlineLvl w:val="1"/>
    </w:pPr>
    <w:rPr>
      <w:rFonts w:asciiTheme="majorHAnsi" w:eastAsiaTheme="majorEastAsia" w:hAnsiTheme="majorHAnsi" w:cstheme="majorBidi"/>
      <w:bCs/>
      <w:sz w:val="30"/>
      <w:szCs w:val="26"/>
      <w:lang w:val="en-AU"/>
    </w:rPr>
  </w:style>
  <w:style w:type="paragraph" w:styleId="Heading3">
    <w:name w:val="heading 3"/>
    <w:basedOn w:val="Heading2"/>
    <w:next w:val="Normal"/>
    <w:link w:val="Heading3Char"/>
    <w:unhideWhenUsed/>
    <w:qFormat/>
    <w:rsid w:val="00363C00"/>
    <w:pPr>
      <w:outlineLvl w:val="2"/>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3C00"/>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363C00"/>
    <w:pPr>
      <w:numPr>
        <w:numId w:val="2"/>
      </w:numPr>
      <w:tabs>
        <w:tab w:val="left" w:pos="567"/>
      </w:tabs>
      <w:spacing w:before="60"/>
    </w:pPr>
  </w:style>
  <w:style w:type="paragraph" w:customStyle="1" w:styleId="Bullet2">
    <w:name w:val="Bullet 2"/>
    <w:basedOn w:val="Bullet1"/>
    <w:qFormat/>
    <w:rsid w:val="00363C00"/>
    <w:pPr>
      <w:numPr>
        <w:ilvl w:val="1"/>
      </w:numPr>
      <w:tabs>
        <w:tab w:val="clear" w:pos="568"/>
        <w:tab w:val="left" w:pos="851"/>
      </w:tabs>
    </w:pPr>
  </w:style>
  <w:style w:type="paragraph" w:customStyle="1" w:styleId="Bullet3">
    <w:name w:val="Bullet 3"/>
    <w:basedOn w:val="Bullet2"/>
    <w:qFormat/>
    <w:rsid w:val="00363C00"/>
    <w:pPr>
      <w:numPr>
        <w:ilvl w:val="2"/>
      </w:numPr>
      <w:tabs>
        <w:tab w:val="clear" w:pos="852"/>
        <w:tab w:val="left" w:pos="1134"/>
      </w:tabs>
    </w:pPr>
  </w:style>
  <w:style w:type="numbering" w:customStyle="1" w:styleId="BulletsList">
    <w:name w:val="Bullets List"/>
    <w:uiPriority w:val="99"/>
    <w:rsid w:val="00363C00"/>
    <w:pPr>
      <w:numPr>
        <w:numId w:val="1"/>
      </w:numPr>
    </w:pPr>
  </w:style>
  <w:style w:type="paragraph" w:customStyle="1" w:styleId="TableHeaderRow">
    <w:name w:val="Table Header Row"/>
    <w:basedOn w:val="Normal"/>
    <w:qFormat/>
    <w:rsid w:val="00363C00"/>
    <w:pPr>
      <w:spacing w:before="60"/>
    </w:pPr>
    <w:rPr>
      <w:rFonts w:ascii="Calibri" w:hAnsi="Calibri"/>
      <w:b/>
      <w:color w:val="FFFFFF" w:themeColor="background1"/>
      <w:szCs w:val="21"/>
    </w:rPr>
  </w:style>
  <w:style w:type="table" w:customStyle="1" w:styleId="DFATTable1">
    <w:name w:val="DFAT Table 1"/>
    <w:basedOn w:val="TableNormal"/>
    <w:uiPriority w:val="99"/>
    <w:rsid w:val="00363C00"/>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363C00"/>
  </w:style>
  <w:style w:type="character" w:customStyle="1" w:styleId="BodyTextChar">
    <w:name w:val="Body Text Char"/>
    <w:basedOn w:val="DefaultParagraphFont"/>
    <w:link w:val="BodyText"/>
    <w:uiPriority w:val="99"/>
    <w:rsid w:val="00363C00"/>
    <w:rPr>
      <w:color w:val="44546A" w:themeColor="text2"/>
      <w:lang w:val="en-GB"/>
    </w:rPr>
  </w:style>
  <w:style w:type="character" w:customStyle="1" w:styleId="Heading2Char">
    <w:name w:val="Heading 2 Char"/>
    <w:basedOn w:val="DefaultParagraphFont"/>
    <w:link w:val="Heading2"/>
    <w:uiPriority w:val="9"/>
    <w:rsid w:val="00A11888"/>
    <w:rPr>
      <w:rFonts w:asciiTheme="majorHAnsi" w:eastAsiaTheme="majorEastAsia" w:hAnsiTheme="majorHAnsi" w:cstheme="majorBidi"/>
      <w:bCs/>
      <w:color w:val="44546A" w:themeColor="text2"/>
      <w:sz w:val="30"/>
      <w:szCs w:val="26"/>
    </w:rPr>
  </w:style>
  <w:style w:type="paragraph" w:styleId="CommentText">
    <w:name w:val="annotation text"/>
    <w:basedOn w:val="Normal"/>
    <w:link w:val="CommentTextChar"/>
    <w:uiPriority w:val="99"/>
    <w:semiHidden/>
    <w:unhideWhenUsed/>
    <w:rsid w:val="00363C00"/>
    <w:pPr>
      <w:spacing w:line="240" w:lineRule="auto"/>
    </w:pPr>
    <w:rPr>
      <w:sz w:val="20"/>
      <w:szCs w:val="20"/>
    </w:rPr>
  </w:style>
  <w:style w:type="character" w:customStyle="1" w:styleId="CommentTextChar">
    <w:name w:val="Comment Text Char"/>
    <w:basedOn w:val="DefaultParagraphFont"/>
    <w:link w:val="CommentText"/>
    <w:uiPriority w:val="99"/>
    <w:semiHidden/>
    <w:rsid w:val="00363C00"/>
    <w:rPr>
      <w:color w:val="44546A" w:themeColor="text2"/>
      <w:sz w:val="20"/>
      <w:szCs w:val="20"/>
      <w:lang w:val="en-GB"/>
    </w:rPr>
  </w:style>
  <w:style w:type="character" w:styleId="CommentReference">
    <w:name w:val="annotation reference"/>
    <w:basedOn w:val="DefaultParagraphFont"/>
    <w:uiPriority w:val="99"/>
    <w:semiHidden/>
    <w:unhideWhenUsed/>
    <w:rsid w:val="00363C00"/>
    <w:rPr>
      <w:sz w:val="16"/>
      <w:szCs w:val="16"/>
    </w:rPr>
  </w:style>
  <w:style w:type="paragraph" w:styleId="BalloonText">
    <w:name w:val="Balloon Text"/>
    <w:basedOn w:val="Normal"/>
    <w:link w:val="BalloonTextChar"/>
    <w:uiPriority w:val="99"/>
    <w:semiHidden/>
    <w:unhideWhenUsed/>
    <w:rsid w:val="00363C0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00"/>
    <w:rPr>
      <w:rFonts w:ascii="Segoe UI" w:hAnsi="Segoe UI" w:cs="Segoe UI"/>
      <w:color w:val="44546A" w:themeColor="text2"/>
      <w:sz w:val="18"/>
      <w:szCs w:val="18"/>
      <w:lang w:val="en-GB"/>
    </w:rPr>
  </w:style>
  <w:style w:type="paragraph" w:styleId="ListParagraph">
    <w:name w:val="List Paragraph"/>
    <w:basedOn w:val="Normal"/>
    <w:uiPriority w:val="34"/>
    <w:qFormat/>
    <w:rsid w:val="009C157D"/>
    <w:pPr>
      <w:suppressAutoHyphens w:val="0"/>
      <w:spacing w:before="0" w:after="240" w:line="276" w:lineRule="atLeast"/>
      <w:ind w:left="720"/>
      <w:contextualSpacing/>
    </w:pPr>
    <w:rPr>
      <w:rFonts w:ascii="Roboto" w:hAnsi="Roboto" w:cs="Arial"/>
      <w:color w:val="auto"/>
      <w:lang w:eastAsia="en-GB"/>
    </w:rPr>
  </w:style>
  <w:style w:type="table" w:customStyle="1" w:styleId="DFATTable11">
    <w:name w:val="DFAT Table 11"/>
    <w:basedOn w:val="TableNormal"/>
    <w:uiPriority w:val="99"/>
    <w:rsid w:val="002644B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table" w:customStyle="1" w:styleId="DFATTable12">
    <w:name w:val="DFAT Table 12"/>
    <w:basedOn w:val="TableNormal"/>
    <w:uiPriority w:val="99"/>
    <w:rsid w:val="002644B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CommentSubject">
    <w:name w:val="annotation subject"/>
    <w:basedOn w:val="CommentText"/>
    <w:next w:val="CommentText"/>
    <w:link w:val="CommentSubjectChar"/>
    <w:uiPriority w:val="99"/>
    <w:semiHidden/>
    <w:unhideWhenUsed/>
    <w:rsid w:val="000D105E"/>
    <w:rPr>
      <w:b/>
      <w:bCs/>
    </w:rPr>
  </w:style>
  <w:style w:type="character" w:customStyle="1" w:styleId="CommentSubjectChar">
    <w:name w:val="Comment Subject Char"/>
    <w:basedOn w:val="CommentTextChar"/>
    <w:link w:val="CommentSubject"/>
    <w:uiPriority w:val="99"/>
    <w:semiHidden/>
    <w:rsid w:val="000D105E"/>
    <w:rPr>
      <w:b/>
      <w:bCs/>
      <w:color w:val="44546A" w:themeColor="text2"/>
      <w:sz w:val="20"/>
      <w:szCs w:val="20"/>
      <w:lang w:val="en-GB"/>
    </w:rPr>
  </w:style>
  <w:style w:type="character" w:customStyle="1" w:styleId="ListNumberChar">
    <w:name w:val="List Number Char"/>
    <w:basedOn w:val="DefaultParagraphFont"/>
    <w:link w:val="ListNumber"/>
    <w:uiPriority w:val="3"/>
    <w:locked/>
    <w:rsid w:val="0092747F"/>
    <w:rPr>
      <w:rFonts w:eastAsia="Century Gothic"/>
      <w:color w:val="000000" w:themeColor="text1"/>
    </w:rPr>
  </w:style>
  <w:style w:type="paragraph" w:styleId="ListNumber">
    <w:name w:val="List Number"/>
    <w:basedOn w:val="Normal"/>
    <w:link w:val="ListNumberChar"/>
    <w:uiPriority w:val="3"/>
    <w:unhideWhenUsed/>
    <w:qFormat/>
    <w:rsid w:val="0092747F"/>
    <w:pPr>
      <w:numPr>
        <w:numId w:val="6"/>
      </w:numPr>
      <w:suppressAutoHyphens w:val="0"/>
      <w:spacing w:before="0" w:after="120" w:line="280" w:lineRule="atLeast"/>
    </w:pPr>
    <w:rPr>
      <w:rFonts w:eastAsia="Century Gothic"/>
      <w:color w:val="000000" w:themeColor="text1"/>
      <w:lang w:val="en-AU"/>
    </w:rPr>
  </w:style>
  <w:style w:type="paragraph" w:styleId="ListNumber2">
    <w:name w:val="List Number 2"/>
    <w:basedOn w:val="Normal"/>
    <w:uiPriority w:val="3"/>
    <w:semiHidden/>
    <w:unhideWhenUsed/>
    <w:rsid w:val="0092747F"/>
    <w:pPr>
      <w:numPr>
        <w:ilvl w:val="1"/>
        <w:numId w:val="6"/>
      </w:numPr>
      <w:suppressAutoHyphens w:val="0"/>
      <w:spacing w:before="0" w:after="120" w:line="280" w:lineRule="atLeast"/>
    </w:pPr>
    <w:rPr>
      <w:rFonts w:eastAsia="Century Gothic"/>
      <w:color w:val="000000" w:themeColor="text1"/>
      <w:sz w:val="20"/>
      <w:szCs w:val="20"/>
      <w:lang w:val="en-AU"/>
    </w:rPr>
  </w:style>
  <w:style w:type="paragraph" w:styleId="ListNumber3">
    <w:name w:val="List Number 3"/>
    <w:basedOn w:val="Normal"/>
    <w:uiPriority w:val="3"/>
    <w:semiHidden/>
    <w:unhideWhenUsed/>
    <w:rsid w:val="0092747F"/>
    <w:pPr>
      <w:numPr>
        <w:ilvl w:val="2"/>
        <w:numId w:val="6"/>
      </w:numPr>
      <w:suppressAutoHyphens w:val="0"/>
      <w:spacing w:before="0" w:after="120" w:line="280" w:lineRule="atLeast"/>
    </w:pPr>
    <w:rPr>
      <w:rFonts w:eastAsia="Century Gothic"/>
      <w:color w:val="000000" w:themeColor="text1"/>
      <w:sz w:val="20"/>
      <w:szCs w:val="20"/>
      <w:lang w:val="en-AU"/>
    </w:rPr>
  </w:style>
  <w:style w:type="paragraph" w:styleId="Revision">
    <w:name w:val="Revision"/>
    <w:hidden/>
    <w:uiPriority w:val="99"/>
    <w:semiHidden/>
    <w:rsid w:val="0016406B"/>
    <w:pPr>
      <w:spacing w:after="0" w:line="240" w:lineRule="auto"/>
    </w:pPr>
    <w:rPr>
      <w:color w:val="44546A" w:themeColor="text2"/>
      <w:lang w:val="en-GB"/>
    </w:rPr>
  </w:style>
  <w:style w:type="paragraph" w:styleId="Header">
    <w:name w:val="header"/>
    <w:basedOn w:val="Normal"/>
    <w:link w:val="HeaderChar"/>
    <w:uiPriority w:val="99"/>
    <w:unhideWhenUsed/>
    <w:rsid w:val="00A95CF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95CF9"/>
    <w:rPr>
      <w:color w:val="44546A" w:themeColor="text2"/>
      <w:lang w:val="en-GB"/>
    </w:rPr>
  </w:style>
  <w:style w:type="paragraph" w:styleId="Footer">
    <w:name w:val="footer"/>
    <w:basedOn w:val="Normal"/>
    <w:link w:val="FooterChar"/>
    <w:uiPriority w:val="99"/>
    <w:unhideWhenUsed/>
    <w:rsid w:val="00A95CF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95CF9"/>
    <w:rPr>
      <w:color w:val="44546A" w:themeColor="text2"/>
      <w:lang w:val="en-GB"/>
    </w:rPr>
  </w:style>
  <w:style w:type="character" w:customStyle="1" w:styleId="Heading1Char">
    <w:name w:val="Heading 1 Char"/>
    <w:basedOn w:val="DefaultParagraphFont"/>
    <w:link w:val="Heading1"/>
    <w:uiPriority w:val="9"/>
    <w:rsid w:val="00A11888"/>
    <w:rPr>
      <w:rFonts w:asciiTheme="majorHAnsi" w:eastAsiaTheme="majorEastAsia" w:hAnsiTheme="majorHAnsi" w:cstheme="majorBidi"/>
      <w:b/>
      <w:color w:val="44546A"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19422">
      <w:bodyDiv w:val="1"/>
      <w:marLeft w:val="0"/>
      <w:marRight w:val="0"/>
      <w:marTop w:val="0"/>
      <w:marBottom w:val="0"/>
      <w:divBdr>
        <w:top w:val="none" w:sz="0" w:space="0" w:color="auto"/>
        <w:left w:val="none" w:sz="0" w:space="0" w:color="auto"/>
        <w:bottom w:val="none" w:sz="0" w:space="0" w:color="auto"/>
        <w:right w:val="none" w:sz="0" w:space="0" w:color="auto"/>
      </w:divBdr>
    </w:div>
    <w:div w:id="345324565">
      <w:bodyDiv w:val="1"/>
      <w:marLeft w:val="0"/>
      <w:marRight w:val="0"/>
      <w:marTop w:val="0"/>
      <w:marBottom w:val="0"/>
      <w:divBdr>
        <w:top w:val="none" w:sz="0" w:space="0" w:color="auto"/>
        <w:left w:val="none" w:sz="0" w:space="0" w:color="auto"/>
        <w:bottom w:val="none" w:sz="0" w:space="0" w:color="auto"/>
        <w:right w:val="none" w:sz="0" w:space="0" w:color="auto"/>
      </w:divBdr>
    </w:div>
    <w:div w:id="571745352">
      <w:bodyDiv w:val="1"/>
      <w:marLeft w:val="0"/>
      <w:marRight w:val="0"/>
      <w:marTop w:val="0"/>
      <w:marBottom w:val="0"/>
      <w:divBdr>
        <w:top w:val="none" w:sz="0" w:space="0" w:color="auto"/>
        <w:left w:val="none" w:sz="0" w:space="0" w:color="auto"/>
        <w:bottom w:val="none" w:sz="0" w:space="0" w:color="auto"/>
        <w:right w:val="none" w:sz="0" w:space="0" w:color="auto"/>
      </w:divBdr>
    </w:div>
    <w:div w:id="664360752">
      <w:bodyDiv w:val="1"/>
      <w:marLeft w:val="0"/>
      <w:marRight w:val="0"/>
      <w:marTop w:val="0"/>
      <w:marBottom w:val="0"/>
      <w:divBdr>
        <w:top w:val="none" w:sz="0" w:space="0" w:color="auto"/>
        <w:left w:val="none" w:sz="0" w:space="0" w:color="auto"/>
        <w:bottom w:val="none" w:sz="0" w:space="0" w:color="auto"/>
        <w:right w:val="none" w:sz="0" w:space="0" w:color="auto"/>
      </w:divBdr>
    </w:div>
    <w:div w:id="728069666">
      <w:bodyDiv w:val="1"/>
      <w:marLeft w:val="0"/>
      <w:marRight w:val="0"/>
      <w:marTop w:val="0"/>
      <w:marBottom w:val="0"/>
      <w:divBdr>
        <w:top w:val="none" w:sz="0" w:space="0" w:color="auto"/>
        <w:left w:val="none" w:sz="0" w:space="0" w:color="auto"/>
        <w:bottom w:val="none" w:sz="0" w:space="0" w:color="auto"/>
        <w:right w:val="none" w:sz="0" w:space="0" w:color="auto"/>
      </w:divBdr>
    </w:div>
    <w:div w:id="979068116">
      <w:bodyDiv w:val="1"/>
      <w:marLeft w:val="0"/>
      <w:marRight w:val="0"/>
      <w:marTop w:val="0"/>
      <w:marBottom w:val="0"/>
      <w:divBdr>
        <w:top w:val="none" w:sz="0" w:space="0" w:color="auto"/>
        <w:left w:val="none" w:sz="0" w:space="0" w:color="auto"/>
        <w:bottom w:val="none" w:sz="0" w:space="0" w:color="auto"/>
        <w:right w:val="none" w:sz="0" w:space="0" w:color="auto"/>
      </w:divBdr>
    </w:div>
    <w:div w:id="1127088395">
      <w:bodyDiv w:val="1"/>
      <w:marLeft w:val="0"/>
      <w:marRight w:val="0"/>
      <w:marTop w:val="0"/>
      <w:marBottom w:val="0"/>
      <w:divBdr>
        <w:top w:val="none" w:sz="0" w:space="0" w:color="auto"/>
        <w:left w:val="none" w:sz="0" w:space="0" w:color="auto"/>
        <w:bottom w:val="none" w:sz="0" w:space="0" w:color="auto"/>
        <w:right w:val="none" w:sz="0" w:space="0" w:color="auto"/>
      </w:divBdr>
    </w:div>
    <w:div w:id="1581866697">
      <w:bodyDiv w:val="1"/>
      <w:marLeft w:val="0"/>
      <w:marRight w:val="0"/>
      <w:marTop w:val="0"/>
      <w:marBottom w:val="0"/>
      <w:divBdr>
        <w:top w:val="none" w:sz="0" w:space="0" w:color="auto"/>
        <w:left w:val="none" w:sz="0" w:space="0" w:color="auto"/>
        <w:bottom w:val="none" w:sz="0" w:space="0" w:color="auto"/>
        <w:right w:val="none" w:sz="0" w:space="0" w:color="auto"/>
      </w:divBdr>
    </w:div>
    <w:div w:id="16294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95FD-2AA9-46A8-BBC1-217417CA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5649</Characters>
  <Application>Microsoft Office Word</Application>
  <DocSecurity>0</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 Australia Support Platform Independent Review - Summary of management response</dc:title>
  <dc:subject/>
  <dc:creator/>
  <cp:keywords>[SEC=UNOFFICIAL]</cp:keywords>
  <dc:description/>
  <cp:lastModifiedBy/>
  <cp:revision>1</cp:revision>
  <dcterms:created xsi:type="dcterms:W3CDTF">2025-05-09T01:26:00Z</dcterms:created>
  <dcterms:modified xsi:type="dcterms:W3CDTF">2025-05-09T01:28:00Z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v=2022.1;a=SHA256;h=8F2FB85489F636240832925C47C14346C711D3B15E5DE64596337028811E94F5</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2024-12-16T04:44:05Z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E6004E73EF8F4E4C91D0AB5804FF5A39</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CD5110D73AAC54A8153DE8423E22A0D1</vt:lpwstr>
  </property>
  <property fmtid="{D5CDD505-2E9C-101B-9397-08002B2CF9AE}" pid="24" name="PM_Hash_Salt">
    <vt:lpwstr>79A7C227D3416AB5A85A8E88F736B1F3</vt:lpwstr>
  </property>
  <property fmtid="{D5CDD505-2E9C-101B-9397-08002B2CF9AE}" pid="25" name="PM_Hash_SHA1">
    <vt:lpwstr>EDD72BD9F150A8E581849E67A9C1821859D4518E</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