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4E73" w14:textId="0960FF2F" w:rsidR="001226CE" w:rsidRPr="001226CE" w:rsidRDefault="001226CE" w:rsidP="001226CE">
      <w:pPr>
        <w:rPr>
          <w:b/>
          <w:bCs/>
        </w:rPr>
      </w:pPr>
      <w:r w:rsidRPr="001226CE">
        <w:rPr>
          <w:b/>
          <w:bCs/>
        </w:rPr>
        <w:t xml:space="preserve">Annex 5 - Special </w:t>
      </w:r>
      <w:r>
        <w:rPr>
          <w:b/>
          <w:bCs/>
        </w:rPr>
        <w:t>s</w:t>
      </w:r>
      <w:r w:rsidRPr="001226CE">
        <w:rPr>
          <w:b/>
          <w:bCs/>
        </w:rPr>
        <w:t xml:space="preserve">afeguards for </w:t>
      </w:r>
      <w:r>
        <w:rPr>
          <w:b/>
          <w:bCs/>
        </w:rPr>
        <w:t>c</w:t>
      </w:r>
      <w:r w:rsidRPr="001226CE">
        <w:rPr>
          <w:b/>
          <w:bCs/>
        </w:rPr>
        <w:t xml:space="preserve">ertain </w:t>
      </w:r>
      <w:r>
        <w:rPr>
          <w:b/>
          <w:bCs/>
        </w:rPr>
        <w:t>s</w:t>
      </w:r>
      <w:r w:rsidRPr="001226CE">
        <w:rPr>
          <w:b/>
          <w:bCs/>
        </w:rPr>
        <w:t xml:space="preserve">ensitive </w:t>
      </w:r>
      <w:r>
        <w:rPr>
          <w:b/>
          <w:bCs/>
        </w:rPr>
        <w:t>a</w:t>
      </w:r>
      <w:r w:rsidRPr="001226CE">
        <w:rPr>
          <w:b/>
          <w:bCs/>
        </w:rPr>
        <w:t xml:space="preserve">gricultural </w:t>
      </w:r>
      <w:r>
        <w:rPr>
          <w:b/>
          <w:bCs/>
        </w:rPr>
        <w:t>p</w:t>
      </w:r>
      <w:r w:rsidRPr="001226CE">
        <w:rPr>
          <w:b/>
          <w:bCs/>
        </w:rPr>
        <w:t>roducts</w:t>
      </w:r>
      <w:r>
        <w:rPr>
          <w:b/>
          <w:bCs/>
        </w:rPr>
        <w:t xml:space="preserve"> – Australia </w:t>
      </w:r>
    </w:p>
    <w:p w14:paraId="0960D52B" w14:textId="4BB7D787" w:rsidR="001226CE" w:rsidRPr="001226CE" w:rsidRDefault="001226CE" w:rsidP="001226CE">
      <w:pPr>
        <w:spacing w:after="0" w:line="240" w:lineRule="auto"/>
        <w:rPr>
          <w:sz w:val="22"/>
          <w:szCs w:val="22"/>
        </w:rPr>
      </w:pPr>
      <w:r w:rsidRPr="001226CE">
        <w:rPr>
          <w:sz w:val="22"/>
          <w:szCs w:val="22"/>
        </w:rPr>
        <w:t>In accordance with Article 509, Australia shall allow the importation at the rate of customs duty specified in its Schedule of the quantities listed for each product in this Attachment. The rate of customs duty applying to imports of these products beyond the specified quantities shall be determined in accordance with Article 509.</w:t>
      </w:r>
    </w:p>
    <w:p w14:paraId="2EC8AC1B" w14:textId="77777777" w:rsidR="001226CE" w:rsidRPr="001226CE" w:rsidRDefault="001226CE" w:rsidP="001226CE">
      <w:pPr>
        <w:spacing w:after="0" w:line="240" w:lineRule="auto"/>
      </w:pPr>
    </w:p>
    <w:tbl>
      <w:tblPr>
        <w:tblW w:w="14020" w:type="dxa"/>
        <w:tblCellMar>
          <w:top w:w="15" w:type="dxa"/>
          <w:left w:w="15" w:type="dxa"/>
          <w:bottom w:w="15" w:type="dxa"/>
          <w:right w:w="15" w:type="dxa"/>
        </w:tblCellMar>
        <w:tblLook w:val="04A0" w:firstRow="1" w:lastRow="0" w:firstColumn="1" w:lastColumn="0" w:noHBand="0" w:noVBand="1"/>
      </w:tblPr>
      <w:tblGrid>
        <w:gridCol w:w="1754"/>
        <w:gridCol w:w="3636"/>
        <w:gridCol w:w="1542"/>
        <w:gridCol w:w="1772"/>
        <w:gridCol w:w="1772"/>
        <w:gridCol w:w="1772"/>
        <w:gridCol w:w="1772"/>
      </w:tblGrid>
      <w:tr w:rsidR="001226CE" w:rsidRPr="001226CE" w14:paraId="273C6E4D" w14:textId="77777777" w:rsidTr="001226CE">
        <w:trPr>
          <w:trHeight w:val="452"/>
          <w:tblHeader/>
        </w:trPr>
        <w:tc>
          <w:tcPr>
            <w:tcW w:w="1754"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62DE7C81" w14:textId="77777777" w:rsidR="001226CE" w:rsidRPr="001226CE" w:rsidRDefault="001226CE" w:rsidP="001226CE">
            <w:pPr>
              <w:rPr>
                <w:b/>
                <w:bCs/>
              </w:rPr>
            </w:pPr>
            <w:r w:rsidRPr="001226CE">
              <w:rPr>
                <w:b/>
                <w:bCs/>
              </w:rPr>
              <w:t>Tariff reference</w:t>
            </w:r>
          </w:p>
        </w:tc>
        <w:tc>
          <w:tcPr>
            <w:tcW w:w="3636"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0C5B4F50" w14:textId="77777777" w:rsidR="001226CE" w:rsidRPr="001226CE" w:rsidRDefault="001226CE" w:rsidP="001226CE">
            <w:pPr>
              <w:rPr>
                <w:b/>
                <w:bCs/>
              </w:rPr>
            </w:pPr>
            <w:r w:rsidRPr="001226CE">
              <w:rPr>
                <w:b/>
                <w:bCs/>
              </w:rPr>
              <w:t>Description</w:t>
            </w:r>
          </w:p>
        </w:tc>
        <w:tc>
          <w:tcPr>
            <w:tcW w:w="1542"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25FE5980" w14:textId="77777777" w:rsidR="001226CE" w:rsidRPr="001226CE" w:rsidRDefault="001226CE" w:rsidP="001226CE">
            <w:pPr>
              <w:rPr>
                <w:b/>
                <w:bCs/>
              </w:rPr>
            </w:pPr>
            <w:r w:rsidRPr="001226CE">
              <w:rPr>
                <w:b/>
                <w:bCs/>
              </w:rPr>
              <w:t>Unit</w:t>
            </w:r>
          </w:p>
        </w:tc>
        <w:tc>
          <w:tcPr>
            <w:tcW w:w="1772"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29BC4823" w14:textId="77777777" w:rsidR="001226CE" w:rsidRPr="001226CE" w:rsidRDefault="001226CE" w:rsidP="001226CE">
            <w:pPr>
              <w:rPr>
                <w:b/>
                <w:bCs/>
              </w:rPr>
            </w:pPr>
            <w:r w:rsidRPr="001226CE">
              <w:rPr>
                <w:b/>
                <w:bCs/>
              </w:rPr>
              <w:t>2005</w:t>
            </w:r>
          </w:p>
        </w:tc>
        <w:tc>
          <w:tcPr>
            <w:tcW w:w="1772"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372828E1" w14:textId="77777777" w:rsidR="001226CE" w:rsidRPr="001226CE" w:rsidRDefault="001226CE" w:rsidP="001226CE">
            <w:pPr>
              <w:rPr>
                <w:b/>
                <w:bCs/>
              </w:rPr>
            </w:pPr>
            <w:r w:rsidRPr="001226CE">
              <w:rPr>
                <w:b/>
                <w:bCs/>
              </w:rPr>
              <w:t>2006</w:t>
            </w:r>
          </w:p>
        </w:tc>
        <w:tc>
          <w:tcPr>
            <w:tcW w:w="1772"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1AB50221" w14:textId="77777777" w:rsidR="001226CE" w:rsidRPr="001226CE" w:rsidRDefault="001226CE" w:rsidP="001226CE">
            <w:pPr>
              <w:rPr>
                <w:b/>
                <w:bCs/>
              </w:rPr>
            </w:pPr>
            <w:r w:rsidRPr="001226CE">
              <w:rPr>
                <w:b/>
                <w:bCs/>
              </w:rPr>
              <w:t>2007</w:t>
            </w:r>
          </w:p>
        </w:tc>
        <w:tc>
          <w:tcPr>
            <w:tcW w:w="1772"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2D1F5CEB" w14:textId="77777777" w:rsidR="001226CE" w:rsidRPr="001226CE" w:rsidRDefault="001226CE" w:rsidP="001226CE">
            <w:pPr>
              <w:rPr>
                <w:b/>
                <w:bCs/>
              </w:rPr>
            </w:pPr>
            <w:r w:rsidRPr="001226CE">
              <w:rPr>
                <w:b/>
                <w:bCs/>
              </w:rPr>
              <w:t>2008</w:t>
            </w:r>
          </w:p>
        </w:tc>
      </w:tr>
      <w:tr w:rsidR="001226CE" w:rsidRPr="001226CE" w14:paraId="464A719E" w14:textId="77777777" w:rsidTr="001226CE">
        <w:trPr>
          <w:trHeight w:val="431"/>
        </w:trPr>
        <w:tc>
          <w:tcPr>
            <w:tcW w:w="1754" w:type="dxa"/>
            <w:tcBorders>
              <w:top w:val="single" w:sz="6" w:space="0" w:color="D5D5D5"/>
              <w:left w:val="single" w:sz="6" w:space="0" w:color="D5D5D5"/>
              <w:bottom w:val="single" w:sz="6" w:space="0" w:color="D5D5D5"/>
              <w:right w:val="single" w:sz="6" w:space="0" w:color="D5D5D5"/>
            </w:tcBorders>
            <w:vAlign w:val="center"/>
            <w:hideMark/>
          </w:tcPr>
          <w:p w14:paraId="54604C06" w14:textId="77777777" w:rsidR="001226CE" w:rsidRPr="001226CE" w:rsidRDefault="001226CE" w:rsidP="001226CE">
            <w:pPr>
              <w:rPr>
                <w:sz w:val="20"/>
                <w:szCs w:val="20"/>
              </w:rPr>
            </w:pPr>
            <w:r w:rsidRPr="001226CE">
              <w:rPr>
                <w:sz w:val="20"/>
                <w:szCs w:val="20"/>
              </w:rPr>
              <w:t>1604.14.00</w:t>
            </w:r>
          </w:p>
        </w:tc>
        <w:tc>
          <w:tcPr>
            <w:tcW w:w="3636" w:type="dxa"/>
            <w:tcBorders>
              <w:top w:val="single" w:sz="6" w:space="0" w:color="D5D5D5"/>
              <w:left w:val="single" w:sz="6" w:space="0" w:color="D5D5D5"/>
              <w:bottom w:val="single" w:sz="6" w:space="0" w:color="D5D5D5"/>
              <w:right w:val="single" w:sz="6" w:space="0" w:color="D5D5D5"/>
            </w:tcBorders>
            <w:vAlign w:val="center"/>
            <w:hideMark/>
          </w:tcPr>
          <w:p w14:paraId="0D516A09" w14:textId="77777777" w:rsidR="001226CE" w:rsidRPr="001226CE" w:rsidRDefault="001226CE" w:rsidP="001226CE">
            <w:pPr>
              <w:rPr>
                <w:sz w:val="22"/>
                <w:szCs w:val="22"/>
              </w:rPr>
            </w:pPr>
            <w:r w:rsidRPr="001226CE">
              <w:rPr>
                <w:sz w:val="22"/>
                <w:szCs w:val="22"/>
              </w:rPr>
              <w:t>Prepared or preserved tunas, skipjack and bonito (</w:t>
            </w:r>
            <w:r w:rsidRPr="001226CE">
              <w:rPr>
                <w:i/>
                <w:iCs/>
                <w:sz w:val="22"/>
                <w:szCs w:val="22"/>
              </w:rPr>
              <w:t>Sarda spp.</w:t>
            </w:r>
            <w:r w:rsidRPr="001226CE">
              <w:rPr>
                <w:sz w:val="22"/>
                <w:szCs w:val="22"/>
              </w:rPr>
              <w:t>).</w:t>
            </w:r>
          </w:p>
        </w:tc>
        <w:tc>
          <w:tcPr>
            <w:tcW w:w="1542" w:type="dxa"/>
            <w:tcBorders>
              <w:top w:val="single" w:sz="6" w:space="0" w:color="D5D5D5"/>
              <w:left w:val="single" w:sz="6" w:space="0" w:color="D5D5D5"/>
              <w:bottom w:val="single" w:sz="6" w:space="0" w:color="D5D5D5"/>
              <w:right w:val="single" w:sz="6" w:space="0" w:color="D5D5D5"/>
            </w:tcBorders>
            <w:vAlign w:val="center"/>
            <w:hideMark/>
          </w:tcPr>
          <w:p w14:paraId="075D854F" w14:textId="77777777" w:rsidR="001226CE" w:rsidRPr="001226CE" w:rsidRDefault="001226CE" w:rsidP="001226CE">
            <w:pPr>
              <w:rPr>
                <w:sz w:val="22"/>
                <w:szCs w:val="22"/>
              </w:rPr>
            </w:pPr>
            <w:r w:rsidRPr="001226CE">
              <w:rPr>
                <w:sz w:val="22"/>
                <w:szCs w:val="22"/>
              </w:rPr>
              <w:t>kilograms</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29CFD75B" w14:textId="77777777" w:rsidR="001226CE" w:rsidRPr="001226CE" w:rsidRDefault="001226CE" w:rsidP="001226CE">
            <w:pPr>
              <w:rPr>
                <w:sz w:val="22"/>
                <w:szCs w:val="22"/>
              </w:rPr>
            </w:pPr>
            <w:r w:rsidRPr="001226CE">
              <w:rPr>
                <w:sz w:val="22"/>
                <w:szCs w:val="22"/>
              </w:rPr>
              <w:t>21,366,277</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2585859E" w14:textId="77777777" w:rsidR="001226CE" w:rsidRPr="001226CE" w:rsidRDefault="001226CE" w:rsidP="001226CE">
            <w:pPr>
              <w:rPr>
                <w:sz w:val="22"/>
                <w:szCs w:val="22"/>
              </w:rPr>
            </w:pPr>
            <w:r w:rsidRPr="001226CE">
              <w:rPr>
                <w:sz w:val="22"/>
                <w:szCs w:val="22"/>
              </w:rPr>
              <w:t>22,434,591</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0E63C3C9" w14:textId="77777777" w:rsidR="001226CE" w:rsidRPr="001226CE" w:rsidRDefault="001226CE" w:rsidP="001226CE">
            <w:pPr>
              <w:rPr>
                <w:sz w:val="22"/>
                <w:szCs w:val="22"/>
              </w:rPr>
            </w:pPr>
            <w:r w:rsidRPr="001226CE">
              <w:rPr>
                <w:sz w:val="22"/>
                <w:szCs w:val="22"/>
              </w:rPr>
              <w:t>23,556,320</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245AB124" w14:textId="77777777" w:rsidR="001226CE" w:rsidRPr="001226CE" w:rsidRDefault="001226CE" w:rsidP="001226CE">
            <w:pPr>
              <w:rPr>
                <w:sz w:val="22"/>
                <w:szCs w:val="22"/>
              </w:rPr>
            </w:pPr>
            <w:r w:rsidRPr="001226CE">
              <w:rPr>
                <w:sz w:val="22"/>
                <w:szCs w:val="22"/>
              </w:rPr>
              <w:t>24,734,136</w:t>
            </w:r>
          </w:p>
        </w:tc>
      </w:tr>
      <w:tr w:rsidR="001226CE" w:rsidRPr="001226CE" w14:paraId="3B4EF82E" w14:textId="77777777" w:rsidTr="001226CE">
        <w:trPr>
          <w:trHeight w:val="431"/>
        </w:trPr>
        <w:tc>
          <w:tcPr>
            <w:tcW w:w="1754" w:type="dxa"/>
            <w:tcBorders>
              <w:top w:val="single" w:sz="6" w:space="0" w:color="D5D5D5"/>
              <w:left w:val="single" w:sz="6" w:space="0" w:color="D5D5D5"/>
              <w:bottom w:val="single" w:sz="6" w:space="0" w:color="D5D5D5"/>
              <w:right w:val="single" w:sz="6" w:space="0" w:color="D5D5D5"/>
            </w:tcBorders>
            <w:vAlign w:val="center"/>
            <w:hideMark/>
          </w:tcPr>
          <w:p w14:paraId="30F59570" w14:textId="77777777" w:rsidR="001226CE" w:rsidRPr="001226CE" w:rsidRDefault="001226CE" w:rsidP="001226CE">
            <w:pPr>
              <w:rPr>
                <w:sz w:val="20"/>
                <w:szCs w:val="20"/>
              </w:rPr>
            </w:pPr>
            <w:r w:rsidRPr="001226CE">
              <w:rPr>
                <w:sz w:val="20"/>
                <w:szCs w:val="20"/>
              </w:rPr>
              <w:t>ex 2008.20.00</w:t>
            </w:r>
          </w:p>
        </w:tc>
        <w:tc>
          <w:tcPr>
            <w:tcW w:w="3636" w:type="dxa"/>
            <w:tcBorders>
              <w:top w:val="single" w:sz="6" w:space="0" w:color="D5D5D5"/>
              <w:left w:val="single" w:sz="6" w:space="0" w:color="D5D5D5"/>
              <w:bottom w:val="single" w:sz="6" w:space="0" w:color="D5D5D5"/>
              <w:right w:val="single" w:sz="6" w:space="0" w:color="D5D5D5"/>
            </w:tcBorders>
            <w:vAlign w:val="center"/>
            <w:hideMark/>
          </w:tcPr>
          <w:p w14:paraId="5872B7C3" w14:textId="77777777" w:rsidR="001226CE" w:rsidRPr="001226CE" w:rsidRDefault="001226CE" w:rsidP="001226CE">
            <w:pPr>
              <w:rPr>
                <w:sz w:val="22"/>
                <w:szCs w:val="22"/>
              </w:rPr>
            </w:pPr>
            <w:r w:rsidRPr="001226CE">
              <w:rPr>
                <w:sz w:val="22"/>
                <w:szCs w:val="22"/>
              </w:rPr>
              <w:t>Pineapples, otherwise prepared or preserved, canned.</w:t>
            </w:r>
          </w:p>
        </w:tc>
        <w:tc>
          <w:tcPr>
            <w:tcW w:w="1542" w:type="dxa"/>
            <w:tcBorders>
              <w:top w:val="single" w:sz="6" w:space="0" w:color="D5D5D5"/>
              <w:left w:val="single" w:sz="6" w:space="0" w:color="D5D5D5"/>
              <w:bottom w:val="single" w:sz="6" w:space="0" w:color="D5D5D5"/>
              <w:right w:val="single" w:sz="6" w:space="0" w:color="D5D5D5"/>
            </w:tcBorders>
            <w:vAlign w:val="center"/>
            <w:hideMark/>
          </w:tcPr>
          <w:p w14:paraId="44009805" w14:textId="77777777" w:rsidR="001226CE" w:rsidRPr="001226CE" w:rsidRDefault="001226CE" w:rsidP="001226CE">
            <w:pPr>
              <w:rPr>
                <w:sz w:val="22"/>
                <w:szCs w:val="22"/>
              </w:rPr>
            </w:pPr>
            <w:r w:rsidRPr="001226CE">
              <w:rPr>
                <w:sz w:val="22"/>
                <w:szCs w:val="22"/>
              </w:rPr>
              <w:t>litres</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65D4CC09" w14:textId="77777777" w:rsidR="001226CE" w:rsidRPr="001226CE" w:rsidRDefault="001226CE" w:rsidP="001226CE">
            <w:pPr>
              <w:rPr>
                <w:sz w:val="22"/>
                <w:szCs w:val="22"/>
              </w:rPr>
            </w:pPr>
            <w:r w:rsidRPr="001226CE">
              <w:rPr>
                <w:sz w:val="22"/>
                <w:szCs w:val="22"/>
              </w:rPr>
              <w:t>6,083,197</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2FA45567" w14:textId="77777777" w:rsidR="001226CE" w:rsidRPr="001226CE" w:rsidRDefault="001226CE" w:rsidP="001226CE">
            <w:pPr>
              <w:rPr>
                <w:sz w:val="22"/>
                <w:szCs w:val="22"/>
              </w:rPr>
            </w:pPr>
            <w:r w:rsidRPr="001226CE">
              <w:rPr>
                <w:sz w:val="22"/>
                <w:szCs w:val="22"/>
              </w:rPr>
              <w:t>6,387,357</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4E6D2BFB" w14:textId="77777777" w:rsidR="001226CE" w:rsidRPr="001226CE" w:rsidRDefault="001226CE" w:rsidP="001226CE">
            <w:pPr>
              <w:rPr>
                <w:sz w:val="22"/>
                <w:szCs w:val="22"/>
              </w:rPr>
            </w:pPr>
            <w:r w:rsidRPr="001226CE">
              <w:rPr>
                <w:sz w:val="22"/>
                <w:szCs w:val="22"/>
              </w:rPr>
              <w:t>6,706,725</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4D3D14AC" w14:textId="77777777" w:rsidR="001226CE" w:rsidRPr="001226CE" w:rsidRDefault="001226CE" w:rsidP="001226CE">
            <w:pPr>
              <w:rPr>
                <w:sz w:val="22"/>
                <w:szCs w:val="22"/>
              </w:rPr>
            </w:pPr>
            <w:r w:rsidRPr="001226CE">
              <w:rPr>
                <w:sz w:val="22"/>
                <w:szCs w:val="22"/>
              </w:rPr>
              <w:t>7,042,061</w:t>
            </w:r>
          </w:p>
        </w:tc>
      </w:tr>
      <w:tr w:rsidR="001226CE" w:rsidRPr="001226CE" w14:paraId="7153450C" w14:textId="77777777" w:rsidTr="001226CE">
        <w:trPr>
          <w:trHeight w:val="431"/>
        </w:trPr>
        <w:tc>
          <w:tcPr>
            <w:tcW w:w="1754" w:type="dxa"/>
            <w:tcBorders>
              <w:top w:val="single" w:sz="6" w:space="0" w:color="D5D5D5"/>
              <w:left w:val="single" w:sz="6" w:space="0" w:color="D5D5D5"/>
              <w:bottom w:val="single" w:sz="6" w:space="0" w:color="D5D5D5"/>
              <w:right w:val="single" w:sz="6" w:space="0" w:color="D5D5D5"/>
            </w:tcBorders>
            <w:vAlign w:val="center"/>
            <w:hideMark/>
          </w:tcPr>
          <w:p w14:paraId="5F93D38D" w14:textId="77777777" w:rsidR="001226CE" w:rsidRPr="001226CE" w:rsidRDefault="001226CE" w:rsidP="001226CE">
            <w:pPr>
              <w:rPr>
                <w:sz w:val="20"/>
                <w:szCs w:val="20"/>
              </w:rPr>
            </w:pPr>
            <w:r w:rsidRPr="001226CE">
              <w:rPr>
                <w:sz w:val="20"/>
                <w:szCs w:val="20"/>
              </w:rPr>
              <w:t>ex 2008.20.00</w:t>
            </w:r>
          </w:p>
        </w:tc>
        <w:tc>
          <w:tcPr>
            <w:tcW w:w="3636" w:type="dxa"/>
            <w:tcBorders>
              <w:top w:val="single" w:sz="6" w:space="0" w:color="D5D5D5"/>
              <w:left w:val="single" w:sz="6" w:space="0" w:color="D5D5D5"/>
              <w:bottom w:val="single" w:sz="6" w:space="0" w:color="D5D5D5"/>
              <w:right w:val="single" w:sz="6" w:space="0" w:color="D5D5D5"/>
            </w:tcBorders>
            <w:vAlign w:val="center"/>
            <w:hideMark/>
          </w:tcPr>
          <w:p w14:paraId="4527B611" w14:textId="77777777" w:rsidR="001226CE" w:rsidRPr="001226CE" w:rsidRDefault="001226CE" w:rsidP="001226CE">
            <w:pPr>
              <w:rPr>
                <w:sz w:val="22"/>
                <w:szCs w:val="22"/>
              </w:rPr>
            </w:pPr>
            <w:r w:rsidRPr="001226CE">
              <w:rPr>
                <w:sz w:val="22"/>
                <w:szCs w:val="22"/>
              </w:rPr>
              <w:t>Pineapples, otherwise prepared or preserved, not canned.</w:t>
            </w:r>
          </w:p>
        </w:tc>
        <w:tc>
          <w:tcPr>
            <w:tcW w:w="1542" w:type="dxa"/>
            <w:tcBorders>
              <w:top w:val="single" w:sz="6" w:space="0" w:color="D5D5D5"/>
              <w:left w:val="single" w:sz="6" w:space="0" w:color="D5D5D5"/>
              <w:bottom w:val="single" w:sz="6" w:space="0" w:color="D5D5D5"/>
              <w:right w:val="single" w:sz="6" w:space="0" w:color="D5D5D5"/>
            </w:tcBorders>
            <w:vAlign w:val="center"/>
            <w:hideMark/>
          </w:tcPr>
          <w:p w14:paraId="1F808EF5" w14:textId="77777777" w:rsidR="001226CE" w:rsidRPr="001226CE" w:rsidRDefault="001226CE" w:rsidP="001226CE">
            <w:pPr>
              <w:rPr>
                <w:sz w:val="22"/>
                <w:szCs w:val="22"/>
              </w:rPr>
            </w:pPr>
            <w:r w:rsidRPr="001226CE">
              <w:rPr>
                <w:sz w:val="22"/>
                <w:szCs w:val="22"/>
              </w:rPr>
              <w:t>kilograms</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21F90C3F" w14:textId="77777777" w:rsidR="001226CE" w:rsidRPr="001226CE" w:rsidRDefault="001226CE" w:rsidP="001226CE">
            <w:pPr>
              <w:rPr>
                <w:sz w:val="22"/>
                <w:szCs w:val="22"/>
              </w:rPr>
            </w:pPr>
            <w:r w:rsidRPr="001226CE">
              <w:rPr>
                <w:sz w:val="22"/>
                <w:szCs w:val="22"/>
              </w:rPr>
              <w:t>2,137,189</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6A578C0D" w14:textId="77777777" w:rsidR="001226CE" w:rsidRPr="001226CE" w:rsidRDefault="001226CE" w:rsidP="001226CE">
            <w:pPr>
              <w:rPr>
                <w:sz w:val="22"/>
                <w:szCs w:val="22"/>
              </w:rPr>
            </w:pPr>
            <w:r w:rsidRPr="001226CE">
              <w:rPr>
                <w:sz w:val="22"/>
                <w:szCs w:val="22"/>
              </w:rPr>
              <w:t>2,244,048</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3BA4AD48" w14:textId="77777777" w:rsidR="001226CE" w:rsidRPr="001226CE" w:rsidRDefault="001226CE" w:rsidP="001226CE">
            <w:pPr>
              <w:rPr>
                <w:sz w:val="22"/>
                <w:szCs w:val="22"/>
              </w:rPr>
            </w:pPr>
            <w:r w:rsidRPr="001226CE">
              <w:rPr>
                <w:sz w:val="22"/>
                <w:szCs w:val="22"/>
              </w:rPr>
              <w:t>2,356,251</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379885D6" w14:textId="77777777" w:rsidR="001226CE" w:rsidRPr="001226CE" w:rsidRDefault="001226CE" w:rsidP="001226CE">
            <w:pPr>
              <w:rPr>
                <w:sz w:val="22"/>
                <w:szCs w:val="22"/>
              </w:rPr>
            </w:pPr>
            <w:r w:rsidRPr="001226CE">
              <w:rPr>
                <w:sz w:val="22"/>
                <w:szCs w:val="22"/>
              </w:rPr>
              <w:t>2,474,063</w:t>
            </w:r>
          </w:p>
        </w:tc>
      </w:tr>
      <w:tr w:rsidR="001226CE" w:rsidRPr="001226CE" w14:paraId="48B115B8" w14:textId="77777777" w:rsidTr="001226CE">
        <w:trPr>
          <w:trHeight w:val="855"/>
        </w:trPr>
        <w:tc>
          <w:tcPr>
            <w:tcW w:w="1754" w:type="dxa"/>
            <w:tcBorders>
              <w:top w:val="single" w:sz="6" w:space="0" w:color="D5D5D5"/>
              <w:left w:val="single" w:sz="6" w:space="0" w:color="D5D5D5"/>
              <w:bottom w:val="single" w:sz="6" w:space="0" w:color="D5D5D5"/>
              <w:right w:val="single" w:sz="6" w:space="0" w:color="D5D5D5"/>
            </w:tcBorders>
            <w:vAlign w:val="center"/>
            <w:hideMark/>
          </w:tcPr>
          <w:p w14:paraId="6125E26C" w14:textId="77777777" w:rsidR="001226CE" w:rsidRPr="001226CE" w:rsidRDefault="001226CE" w:rsidP="001226CE">
            <w:pPr>
              <w:spacing w:after="0" w:line="240" w:lineRule="auto"/>
              <w:rPr>
                <w:sz w:val="20"/>
                <w:szCs w:val="20"/>
              </w:rPr>
            </w:pPr>
            <w:r w:rsidRPr="001226CE">
              <w:rPr>
                <w:sz w:val="20"/>
                <w:szCs w:val="20"/>
              </w:rPr>
              <w:t xml:space="preserve">2009.41.00 and </w:t>
            </w:r>
          </w:p>
          <w:p w14:paraId="228CC330" w14:textId="321B6CB3" w:rsidR="001226CE" w:rsidRPr="001226CE" w:rsidRDefault="001226CE" w:rsidP="001226CE">
            <w:pPr>
              <w:spacing w:after="0" w:line="240" w:lineRule="auto"/>
              <w:rPr>
                <w:sz w:val="20"/>
                <w:szCs w:val="20"/>
              </w:rPr>
            </w:pPr>
            <w:r w:rsidRPr="001226CE">
              <w:rPr>
                <w:sz w:val="20"/>
                <w:szCs w:val="20"/>
              </w:rPr>
              <w:t>2009.49.00</w:t>
            </w:r>
          </w:p>
        </w:tc>
        <w:tc>
          <w:tcPr>
            <w:tcW w:w="3636" w:type="dxa"/>
            <w:tcBorders>
              <w:top w:val="single" w:sz="6" w:space="0" w:color="D5D5D5"/>
              <w:left w:val="single" w:sz="6" w:space="0" w:color="D5D5D5"/>
              <w:bottom w:val="single" w:sz="6" w:space="0" w:color="D5D5D5"/>
              <w:right w:val="single" w:sz="6" w:space="0" w:color="D5D5D5"/>
            </w:tcBorders>
            <w:vAlign w:val="center"/>
            <w:hideMark/>
          </w:tcPr>
          <w:p w14:paraId="0D28DC96" w14:textId="77777777" w:rsidR="001226CE" w:rsidRPr="001226CE" w:rsidRDefault="001226CE" w:rsidP="001226CE">
            <w:pPr>
              <w:rPr>
                <w:sz w:val="22"/>
                <w:szCs w:val="22"/>
              </w:rPr>
            </w:pPr>
            <w:r w:rsidRPr="001226CE">
              <w:rPr>
                <w:sz w:val="22"/>
                <w:szCs w:val="22"/>
              </w:rPr>
              <w:t>Pineapple juice, unfermented and not containing added spirit.</w:t>
            </w:r>
          </w:p>
        </w:tc>
        <w:tc>
          <w:tcPr>
            <w:tcW w:w="1542" w:type="dxa"/>
            <w:tcBorders>
              <w:top w:val="single" w:sz="6" w:space="0" w:color="D5D5D5"/>
              <w:left w:val="single" w:sz="6" w:space="0" w:color="D5D5D5"/>
              <w:bottom w:val="single" w:sz="6" w:space="0" w:color="D5D5D5"/>
              <w:right w:val="single" w:sz="6" w:space="0" w:color="D5D5D5"/>
            </w:tcBorders>
            <w:vAlign w:val="center"/>
            <w:hideMark/>
          </w:tcPr>
          <w:p w14:paraId="73A3194A" w14:textId="77777777" w:rsidR="001226CE" w:rsidRPr="001226CE" w:rsidRDefault="001226CE" w:rsidP="001226CE">
            <w:pPr>
              <w:rPr>
                <w:sz w:val="22"/>
                <w:szCs w:val="22"/>
              </w:rPr>
            </w:pPr>
            <w:r w:rsidRPr="001226CE">
              <w:rPr>
                <w:sz w:val="22"/>
                <w:szCs w:val="22"/>
              </w:rPr>
              <w:t>litres</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530E31EE" w14:textId="77777777" w:rsidR="001226CE" w:rsidRPr="001226CE" w:rsidRDefault="001226CE" w:rsidP="001226CE">
            <w:pPr>
              <w:rPr>
                <w:sz w:val="22"/>
                <w:szCs w:val="22"/>
              </w:rPr>
            </w:pPr>
            <w:r w:rsidRPr="001226CE">
              <w:rPr>
                <w:sz w:val="22"/>
                <w:szCs w:val="22"/>
              </w:rPr>
              <w:t>2,080,116</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629E4FA6" w14:textId="77777777" w:rsidR="001226CE" w:rsidRPr="001226CE" w:rsidRDefault="001226CE" w:rsidP="001226CE">
            <w:pPr>
              <w:rPr>
                <w:sz w:val="22"/>
                <w:szCs w:val="22"/>
              </w:rPr>
            </w:pPr>
            <w:r w:rsidRPr="001226CE">
              <w:rPr>
                <w:sz w:val="22"/>
                <w:szCs w:val="22"/>
              </w:rPr>
              <w:t>2,184,122</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6E628B7D" w14:textId="77777777" w:rsidR="001226CE" w:rsidRPr="001226CE" w:rsidRDefault="001226CE" w:rsidP="001226CE">
            <w:pPr>
              <w:rPr>
                <w:sz w:val="22"/>
                <w:szCs w:val="22"/>
              </w:rPr>
            </w:pPr>
            <w:r w:rsidRPr="001226CE">
              <w:rPr>
                <w:sz w:val="22"/>
                <w:szCs w:val="22"/>
              </w:rPr>
              <w:t>2,293,328</w:t>
            </w:r>
          </w:p>
        </w:tc>
        <w:tc>
          <w:tcPr>
            <w:tcW w:w="1772" w:type="dxa"/>
            <w:tcBorders>
              <w:top w:val="single" w:sz="6" w:space="0" w:color="D5D5D5"/>
              <w:left w:val="single" w:sz="6" w:space="0" w:color="D5D5D5"/>
              <w:bottom w:val="single" w:sz="6" w:space="0" w:color="D5D5D5"/>
              <w:right w:val="single" w:sz="6" w:space="0" w:color="D5D5D5"/>
            </w:tcBorders>
            <w:vAlign w:val="center"/>
            <w:hideMark/>
          </w:tcPr>
          <w:p w14:paraId="558E21BC" w14:textId="77777777" w:rsidR="001226CE" w:rsidRPr="001226CE" w:rsidRDefault="001226CE" w:rsidP="001226CE">
            <w:pPr>
              <w:rPr>
                <w:sz w:val="22"/>
                <w:szCs w:val="22"/>
              </w:rPr>
            </w:pPr>
            <w:r w:rsidRPr="001226CE">
              <w:rPr>
                <w:sz w:val="22"/>
                <w:szCs w:val="22"/>
              </w:rPr>
              <w:t>2,407,994</w:t>
            </w:r>
          </w:p>
        </w:tc>
      </w:tr>
    </w:tbl>
    <w:p w14:paraId="6AAD55B7" w14:textId="77777777" w:rsidR="004C626C" w:rsidRDefault="004C626C"/>
    <w:sectPr w:rsidR="004C626C" w:rsidSect="001226CE">
      <w:headerReference w:type="even" r:id="rId6"/>
      <w:headerReference w:type="default" r:id="rId7"/>
      <w:footerReference w:type="even" r:id="rId8"/>
      <w:footerReference w:type="default" r:id="rId9"/>
      <w:headerReference w:type="first" r:id="rId10"/>
      <w:footerReference w:type="first" r:id="rId11"/>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551C" w14:textId="77777777" w:rsidR="001226CE" w:rsidRDefault="001226CE" w:rsidP="001226CE">
      <w:pPr>
        <w:spacing w:after="0" w:line="240" w:lineRule="auto"/>
      </w:pPr>
      <w:r>
        <w:separator/>
      </w:r>
    </w:p>
  </w:endnote>
  <w:endnote w:type="continuationSeparator" w:id="0">
    <w:p w14:paraId="64D50EA1" w14:textId="77777777" w:rsidR="001226CE" w:rsidRDefault="001226CE" w:rsidP="0012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1052" w14:textId="468F410D" w:rsidR="001226CE" w:rsidRDefault="001226CE">
    <w:pPr>
      <w:pStyle w:val="Footer"/>
    </w:pPr>
    <w:r>
      <w:rPr>
        <w:noProof/>
      </w:rPr>
      <mc:AlternateContent>
        <mc:Choice Requires="wps">
          <w:drawing>
            <wp:anchor distT="0" distB="0" distL="0" distR="0" simplePos="0" relativeHeight="251662336" behindDoc="0" locked="0" layoutInCell="1" allowOverlap="1" wp14:anchorId="00BF7C99" wp14:editId="3A3CDF67">
              <wp:simplePos x="635" y="635"/>
              <wp:positionH relativeFrom="page">
                <wp:align>center</wp:align>
              </wp:positionH>
              <wp:positionV relativeFrom="page">
                <wp:align>bottom</wp:align>
              </wp:positionV>
              <wp:extent cx="622300" cy="405765"/>
              <wp:effectExtent l="0" t="0" r="6350" b="0"/>
              <wp:wrapNone/>
              <wp:docPr id="1498290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BCA6A61" w14:textId="4F5FE933"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F7C99"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6BCA6A61" w14:textId="4F5FE933"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81CE" w14:textId="2EBEBE66" w:rsidR="001226CE" w:rsidRDefault="001226CE">
    <w:pPr>
      <w:pStyle w:val="Footer"/>
    </w:pPr>
    <w:r>
      <w:rPr>
        <w:noProof/>
      </w:rPr>
      <mc:AlternateContent>
        <mc:Choice Requires="wps">
          <w:drawing>
            <wp:anchor distT="0" distB="0" distL="0" distR="0" simplePos="0" relativeHeight="251663360" behindDoc="0" locked="0" layoutInCell="1" allowOverlap="1" wp14:anchorId="669B0886" wp14:editId="56D08004">
              <wp:simplePos x="914400" y="6927494"/>
              <wp:positionH relativeFrom="page">
                <wp:align>center</wp:align>
              </wp:positionH>
              <wp:positionV relativeFrom="page">
                <wp:align>bottom</wp:align>
              </wp:positionV>
              <wp:extent cx="622300" cy="405765"/>
              <wp:effectExtent l="0" t="0" r="6350" b="0"/>
              <wp:wrapNone/>
              <wp:docPr id="9211733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F1F987A" w14:textId="2A296540"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B0886"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6F1F987A" w14:textId="2A296540"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6126" w14:textId="08E6DC9B" w:rsidR="001226CE" w:rsidRDefault="001226CE">
    <w:pPr>
      <w:pStyle w:val="Footer"/>
    </w:pPr>
    <w:r>
      <w:rPr>
        <w:noProof/>
      </w:rPr>
      <mc:AlternateContent>
        <mc:Choice Requires="wps">
          <w:drawing>
            <wp:anchor distT="0" distB="0" distL="0" distR="0" simplePos="0" relativeHeight="251661312" behindDoc="0" locked="0" layoutInCell="1" allowOverlap="1" wp14:anchorId="1BA9EDF1" wp14:editId="24F7A72C">
              <wp:simplePos x="635" y="635"/>
              <wp:positionH relativeFrom="page">
                <wp:align>center</wp:align>
              </wp:positionH>
              <wp:positionV relativeFrom="page">
                <wp:align>bottom</wp:align>
              </wp:positionV>
              <wp:extent cx="622300" cy="405765"/>
              <wp:effectExtent l="0" t="0" r="6350" b="0"/>
              <wp:wrapNone/>
              <wp:docPr id="15098745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67ECB11" w14:textId="7941490D"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9EDF1"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767ECB11" w14:textId="7941490D"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DC49" w14:textId="77777777" w:rsidR="001226CE" w:rsidRDefault="001226CE" w:rsidP="001226CE">
      <w:pPr>
        <w:spacing w:after="0" w:line="240" w:lineRule="auto"/>
      </w:pPr>
      <w:r>
        <w:separator/>
      </w:r>
    </w:p>
  </w:footnote>
  <w:footnote w:type="continuationSeparator" w:id="0">
    <w:p w14:paraId="26FFFD43" w14:textId="77777777" w:rsidR="001226CE" w:rsidRDefault="001226CE" w:rsidP="00122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5EBB" w14:textId="38F3F00B" w:rsidR="001226CE" w:rsidRDefault="001226CE">
    <w:pPr>
      <w:pStyle w:val="Header"/>
    </w:pPr>
    <w:r>
      <w:rPr>
        <w:noProof/>
      </w:rPr>
      <mc:AlternateContent>
        <mc:Choice Requires="wps">
          <w:drawing>
            <wp:anchor distT="0" distB="0" distL="0" distR="0" simplePos="0" relativeHeight="251659264" behindDoc="0" locked="0" layoutInCell="1" allowOverlap="1" wp14:anchorId="014CA5A6" wp14:editId="47B3530A">
              <wp:simplePos x="635" y="635"/>
              <wp:positionH relativeFrom="page">
                <wp:align>center</wp:align>
              </wp:positionH>
              <wp:positionV relativeFrom="page">
                <wp:align>top</wp:align>
              </wp:positionV>
              <wp:extent cx="622300" cy="405765"/>
              <wp:effectExtent l="0" t="0" r="6350" b="13335"/>
              <wp:wrapNone/>
              <wp:docPr id="5701721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AE34AD0" w14:textId="7CBA182D"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CA5A6"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7AE34AD0" w14:textId="7CBA182D"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0D7F" w14:textId="2B768C76" w:rsidR="001226CE" w:rsidRDefault="001226CE">
    <w:pPr>
      <w:pStyle w:val="Header"/>
    </w:pPr>
    <w:r>
      <w:rPr>
        <w:noProof/>
      </w:rPr>
      <mc:AlternateContent>
        <mc:Choice Requires="wps">
          <w:drawing>
            <wp:anchor distT="0" distB="0" distL="0" distR="0" simplePos="0" relativeHeight="251660288" behindDoc="0" locked="0" layoutInCell="1" allowOverlap="1" wp14:anchorId="7DF755DE" wp14:editId="2B56D724">
              <wp:simplePos x="914400" y="453542"/>
              <wp:positionH relativeFrom="page">
                <wp:align>center</wp:align>
              </wp:positionH>
              <wp:positionV relativeFrom="page">
                <wp:align>top</wp:align>
              </wp:positionV>
              <wp:extent cx="622300" cy="405765"/>
              <wp:effectExtent l="0" t="0" r="6350" b="13335"/>
              <wp:wrapNone/>
              <wp:docPr id="6253566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2D892FE" w14:textId="498BC668"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755DE"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02D892FE" w14:textId="498BC668"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AE6A" w14:textId="04320187" w:rsidR="001226CE" w:rsidRDefault="001226CE">
    <w:pPr>
      <w:pStyle w:val="Header"/>
    </w:pPr>
    <w:r>
      <w:rPr>
        <w:noProof/>
      </w:rPr>
      <mc:AlternateContent>
        <mc:Choice Requires="wps">
          <w:drawing>
            <wp:anchor distT="0" distB="0" distL="0" distR="0" simplePos="0" relativeHeight="251658240" behindDoc="0" locked="0" layoutInCell="1" allowOverlap="1" wp14:anchorId="0D714587" wp14:editId="1803031A">
              <wp:simplePos x="635" y="635"/>
              <wp:positionH relativeFrom="page">
                <wp:align>center</wp:align>
              </wp:positionH>
              <wp:positionV relativeFrom="page">
                <wp:align>top</wp:align>
              </wp:positionV>
              <wp:extent cx="622300" cy="405765"/>
              <wp:effectExtent l="0" t="0" r="6350" b="13335"/>
              <wp:wrapNone/>
              <wp:docPr id="1609640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F298CFB" w14:textId="48122BC3"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14587"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0F298CFB" w14:textId="48122BC3" w:rsidR="001226CE" w:rsidRPr="001226CE" w:rsidRDefault="001226CE" w:rsidP="001226CE">
                    <w:pPr>
                      <w:spacing w:after="0"/>
                      <w:rPr>
                        <w:rFonts w:ascii="Aptos" w:eastAsia="Aptos" w:hAnsi="Aptos" w:cs="Aptos"/>
                        <w:noProof/>
                        <w:color w:val="FF0000"/>
                      </w:rPr>
                    </w:pPr>
                    <w:r w:rsidRPr="001226CE">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CE"/>
    <w:rsid w:val="001226CE"/>
    <w:rsid w:val="001237B4"/>
    <w:rsid w:val="004C626C"/>
    <w:rsid w:val="00AC1E74"/>
    <w:rsid w:val="00F01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2954"/>
  <w15:chartTrackingRefBased/>
  <w15:docId w15:val="{8459B482-A236-48A2-845F-C0A2E579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6CE"/>
    <w:rPr>
      <w:rFonts w:eastAsiaTheme="majorEastAsia" w:cstheme="majorBidi"/>
      <w:color w:val="272727" w:themeColor="text1" w:themeTint="D8"/>
    </w:rPr>
  </w:style>
  <w:style w:type="paragraph" w:styleId="Title">
    <w:name w:val="Title"/>
    <w:basedOn w:val="Normal"/>
    <w:next w:val="Normal"/>
    <w:link w:val="TitleChar"/>
    <w:uiPriority w:val="10"/>
    <w:qFormat/>
    <w:rsid w:val="00122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6CE"/>
    <w:pPr>
      <w:spacing w:before="160"/>
      <w:jc w:val="center"/>
    </w:pPr>
    <w:rPr>
      <w:i/>
      <w:iCs/>
      <w:color w:val="404040" w:themeColor="text1" w:themeTint="BF"/>
    </w:rPr>
  </w:style>
  <w:style w:type="character" w:customStyle="1" w:styleId="QuoteChar">
    <w:name w:val="Quote Char"/>
    <w:basedOn w:val="DefaultParagraphFont"/>
    <w:link w:val="Quote"/>
    <w:uiPriority w:val="29"/>
    <w:rsid w:val="001226CE"/>
    <w:rPr>
      <w:i/>
      <w:iCs/>
      <w:color w:val="404040" w:themeColor="text1" w:themeTint="BF"/>
    </w:rPr>
  </w:style>
  <w:style w:type="paragraph" w:styleId="ListParagraph">
    <w:name w:val="List Paragraph"/>
    <w:basedOn w:val="Normal"/>
    <w:uiPriority w:val="34"/>
    <w:qFormat/>
    <w:rsid w:val="001226CE"/>
    <w:pPr>
      <w:ind w:left="720"/>
      <w:contextualSpacing/>
    </w:pPr>
  </w:style>
  <w:style w:type="character" w:styleId="IntenseEmphasis">
    <w:name w:val="Intense Emphasis"/>
    <w:basedOn w:val="DefaultParagraphFont"/>
    <w:uiPriority w:val="21"/>
    <w:qFormat/>
    <w:rsid w:val="001226CE"/>
    <w:rPr>
      <w:i/>
      <w:iCs/>
      <w:color w:val="0F4761" w:themeColor="accent1" w:themeShade="BF"/>
    </w:rPr>
  </w:style>
  <w:style w:type="paragraph" w:styleId="IntenseQuote">
    <w:name w:val="Intense Quote"/>
    <w:basedOn w:val="Normal"/>
    <w:next w:val="Normal"/>
    <w:link w:val="IntenseQuoteChar"/>
    <w:uiPriority w:val="30"/>
    <w:qFormat/>
    <w:rsid w:val="00122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6CE"/>
    <w:rPr>
      <w:i/>
      <w:iCs/>
      <w:color w:val="0F4761" w:themeColor="accent1" w:themeShade="BF"/>
    </w:rPr>
  </w:style>
  <w:style w:type="character" w:styleId="IntenseReference">
    <w:name w:val="Intense Reference"/>
    <w:basedOn w:val="DefaultParagraphFont"/>
    <w:uiPriority w:val="32"/>
    <w:qFormat/>
    <w:rsid w:val="001226CE"/>
    <w:rPr>
      <w:b/>
      <w:bCs/>
      <w:smallCaps/>
      <w:color w:val="0F4761" w:themeColor="accent1" w:themeShade="BF"/>
      <w:spacing w:val="5"/>
    </w:rPr>
  </w:style>
  <w:style w:type="paragraph" w:styleId="Header">
    <w:name w:val="header"/>
    <w:basedOn w:val="Normal"/>
    <w:link w:val="HeaderChar"/>
    <w:uiPriority w:val="99"/>
    <w:unhideWhenUsed/>
    <w:rsid w:val="00122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6CE"/>
  </w:style>
  <w:style w:type="paragraph" w:styleId="Footer">
    <w:name w:val="footer"/>
    <w:basedOn w:val="Normal"/>
    <w:link w:val="FooterChar"/>
    <w:uiPriority w:val="99"/>
    <w:unhideWhenUsed/>
    <w:rsid w:val="00122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833</Characters>
  <Application>Microsoft Office Word</Application>
  <DocSecurity>0</DocSecurity>
  <Lines>6</Lines>
  <Paragraphs>1</Paragraphs>
  <ScaleCrop>false</ScaleCrop>
  <Company>Department of Foreign Affairs and Trade</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Nedra Kelaart</dc:creator>
  <cp:keywords/>
  <dc:description/>
  <cp:lastModifiedBy>Nedra Kelaart</cp:lastModifiedBy>
  <cp:revision>1</cp:revision>
  <dcterms:created xsi:type="dcterms:W3CDTF">2026-05-07T03:54:00Z</dcterms:created>
  <dcterms:modified xsi:type="dcterms:W3CDTF">2026-05-07T04:00:00Z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9981de6,21fc2327,25462f6f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59fedb71,8ee35d9,36e7fd6f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ies>
</file>