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93C01" w14:textId="77777777" w:rsidR="00CA217D" w:rsidRPr="00D23361" w:rsidRDefault="00CA217D" w:rsidP="00D37B04">
      <w:pPr>
        <w:pStyle w:val="Title"/>
        <w:rPr>
          <w:rFonts w:asciiTheme="minorHAnsi" w:hAnsiTheme="minorHAnsi" w:cstheme="minorHAnsi"/>
          <w:lang w:val="en-AU"/>
        </w:rPr>
      </w:pPr>
      <w:bookmarkStart w:id="0" w:name="_GoBack"/>
      <w:bookmarkEnd w:id="0"/>
    </w:p>
    <w:p w14:paraId="549FBCFE" w14:textId="77777777" w:rsidR="00CA217D" w:rsidRDefault="00CA217D" w:rsidP="00D37B04">
      <w:pPr>
        <w:pStyle w:val="Title"/>
        <w:rPr>
          <w:rFonts w:asciiTheme="minorHAnsi" w:hAnsiTheme="minorHAnsi" w:cstheme="minorHAnsi"/>
          <w:lang w:val="en-AU"/>
        </w:rPr>
      </w:pPr>
    </w:p>
    <w:p w14:paraId="0F2232D2" w14:textId="77777777" w:rsidR="009A62C7" w:rsidRPr="009A62C7" w:rsidRDefault="009A62C7" w:rsidP="009A62C7">
      <w:pPr>
        <w:rPr>
          <w:lang w:val="en-AU"/>
        </w:rPr>
      </w:pPr>
    </w:p>
    <w:p w14:paraId="2E044DE6" w14:textId="77777777" w:rsidR="00C33AC3" w:rsidRDefault="00C33AC3" w:rsidP="00D37B04">
      <w:pPr>
        <w:pStyle w:val="Title"/>
        <w:rPr>
          <w:rFonts w:asciiTheme="minorHAnsi" w:hAnsiTheme="minorHAnsi" w:cstheme="minorHAnsi"/>
          <w:lang w:val="en-AU"/>
        </w:rPr>
      </w:pPr>
    </w:p>
    <w:p w14:paraId="762D3F74" w14:textId="77777777" w:rsidR="00992C76" w:rsidRPr="00F64CE6" w:rsidRDefault="00F64CE6" w:rsidP="002609D3">
      <w:pPr>
        <w:pStyle w:val="Title"/>
        <w:spacing w:before="120"/>
        <w:rPr>
          <w:rFonts w:asciiTheme="minorHAnsi" w:hAnsiTheme="minorHAnsi" w:cstheme="minorHAnsi"/>
          <w:lang w:val="en-AU"/>
        </w:rPr>
      </w:pPr>
      <w:r w:rsidRPr="00F64CE6">
        <w:rPr>
          <w:rFonts w:asciiTheme="minorHAnsi" w:hAnsiTheme="minorHAnsi" w:cstheme="minorHAnsi"/>
          <w:lang w:val="en-AU"/>
        </w:rPr>
        <w:t>E</w:t>
      </w:r>
      <w:r w:rsidR="00FD3E2F" w:rsidRPr="00F64CE6">
        <w:rPr>
          <w:rFonts w:asciiTheme="minorHAnsi" w:hAnsiTheme="minorHAnsi" w:cstheme="minorHAnsi"/>
          <w:lang w:val="en-AU"/>
        </w:rPr>
        <w:t xml:space="preserve">valuation </w:t>
      </w:r>
      <w:r w:rsidRPr="00F64CE6">
        <w:rPr>
          <w:rFonts w:asciiTheme="minorHAnsi" w:hAnsiTheme="minorHAnsi" w:cstheme="minorHAnsi"/>
          <w:lang w:val="en-AU"/>
        </w:rPr>
        <w:t xml:space="preserve">of </w:t>
      </w:r>
      <w:r w:rsidR="006A75BE">
        <w:rPr>
          <w:rFonts w:asciiTheme="minorHAnsi" w:hAnsiTheme="minorHAnsi" w:cstheme="minorHAnsi"/>
          <w:lang w:val="en-AU"/>
        </w:rPr>
        <w:t xml:space="preserve">the Syria Humanitarian and RESilience package (2017-2019) </w:t>
      </w:r>
    </w:p>
    <w:p w14:paraId="40E8293F" w14:textId="77777777" w:rsidR="00CD0E4B" w:rsidRPr="00F64CE6" w:rsidRDefault="00F64CE6" w:rsidP="002609D3">
      <w:pPr>
        <w:pStyle w:val="Subtitle"/>
        <w:spacing w:before="120" w:after="0"/>
        <w:rPr>
          <w:rFonts w:cstheme="minorHAnsi"/>
          <w:sz w:val="36"/>
          <w:szCs w:val="36"/>
          <w:lang w:val="en-AU"/>
        </w:rPr>
      </w:pPr>
      <w:r w:rsidRPr="00F64CE6">
        <w:rPr>
          <w:rFonts w:cstheme="minorHAnsi"/>
          <w:caps w:val="0"/>
          <w:sz w:val="36"/>
          <w:szCs w:val="36"/>
          <w:lang w:val="en-AU"/>
        </w:rPr>
        <w:t>DFAT</w:t>
      </w:r>
      <w:r w:rsidR="00FD3E2F" w:rsidRPr="00F64CE6">
        <w:rPr>
          <w:rFonts w:cstheme="minorHAnsi"/>
          <w:sz w:val="36"/>
          <w:szCs w:val="36"/>
          <w:lang w:val="en-AU"/>
        </w:rPr>
        <w:t xml:space="preserve"> </w:t>
      </w:r>
      <w:r w:rsidRPr="00F64CE6">
        <w:rPr>
          <w:rFonts w:cstheme="minorHAnsi"/>
          <w:sz w:val="36"/>
          <w:szCs w:val="36"/>
          <w:lang w:val="en-AU"/>
        </w:rPr>
        <w:t>Management R</w:t>
      </w:r>
      <w:r w:rsidR="00FD3E2F" w:rsidRPr="00F64CE6">
        <w:rPr>
          <w:rFonts w:cstheme="minorHAnsi"/>
          <w:sz w:val="36"/>
          <w:szCs w:val="36"/>
          <w:lang w:val="en-AU"/>
        </w:rPr>
        <w:t>esponse</w:t>
      </w:r>
    </w:p>
    <w:p w14:paraId="25832324" w14:textId="77777777" w:rsidR="00AE293E" w:rsidRPr="00B42654" w:rsidRDefault="00AE293E" w:rsidP="004022A0">
      <w:pPr>
        <w:pStyle w:val="Heading4"/>
        <w:spacing w:before="120" w:after="0" w:line="240" w:lineRule="auto"/>
        <w:contextualSpacing w:val="0"/>
        <w:rPr>
          <w:rStyle w:val="Strong"/>
          <w:rFonts w:asciiTheme="minorHAnsi" w:hAnsiTheme="minorHAnsi" w:cstheme="minorHAnsi"/>
          <w:u w:val="single"/>
          <w:lang w:val="en-AU"/>
        </w:rPr>
      </w:pPr>
      <w:r w:rsidRPr="00B42654">
        <w:rPr>
          <w:rStyle w:val="Strong"/>
          <w:rFonts w:asciiTheme="minorHAnsi" w:hAnsiTheme="minorHAnsi" w:cstheme="minorHAnsi"/>
          <w:u w:val="single"/>
          <w:lang w:val="en-AU"/>
        </w:rPr>
        <w:t>Program Overview</w:t>
      </w:r>
    </w:p>
    <w:p w14:paraId="162BD3FF" w14:textId="63417C37" w:rsidR="00C16A30" w:rsidRDefault="006D4586" w:rsidP="00A279EC">
      <w:pPr>
        <w:spacing w:after="120"/>
      </w:pPr>
      <w:r>
        <w:t>Announced in 2016 and commencing in 2017, the</w:t>
      </w:r>
      <w:r w:rsidR="003607E2">
        <w:t xml:space="preserve"> $220 million</w:t>
      </w:r>
      <w:r>
        <w:t xml:space="preserve"> Syria Crisis Humanitarian and Resilience Package (2017-2019) </w:t>
      </w:r>
      <w:r w:rsidR="003607E2">
        <w:t>was</w:t>
      </w:r>
      <w:r>
        <w:t xml:space="preserve"> Australia’s first multiyear response to a protracted humanitarian crisis. </w:t>
      </w:r>
      <w:r w:rsidR="00F47305">
        <w:rPr>
          <w:rFonts w:cstheme="minorHAnsi"/>
          <w:lang w:val="en-AU"/>
        </w:rPr>
        <w:t xml:space="preserve">The </w:t>
      </w:r>
      <w:r w:rsidR="00C16A30">
        <w:rPr>
          <w:rFonts w:cstheme="minorHAnsi"/>
          <w:lang w:val="en-AU"/>
        </w:rPr>
        <w:t xml:space="preserve">adoption of a </w:t>
      </w:r>
      <w:r w:rsidR="00F47305">
        <w:rPr>
          <w:rFonts w:cstheme="minorHAnsi"/>
          <w:lang w:val="en-AU"/>
        </w:rPr>
        <w:t xml:space="preserve">multiyear </w:t>
      </w:r>
      <w:r w:rsidR="00C16A30">
        <w:rPr>
          <w:rFonts w:cstheme="minorHAnsi"/>
          <w:lang w:val="en-AU"/>
        </w:rPr>
        <w:t xml:space="preserve">approach </w:t>
      </w:r>
      <w:r>
        <w:t>as an alternative to the provision of annual funding allocations</w:t>
      </w:r>
      <w:r>
        <w:rPr>
          <w:rFonts w:cstheme="minorHAnsi"/>
          <w:lang w:val="en-AU"/>
        </w:rPr>
        <w:t xml:space="preserve"> </w:t>
      </w:r>
      <w:r w:rsidR="00C16A30">
        <w:rPr>
          <w:rFonts w:cstheme="minorHAnsi"/>
          <w:lang w:val="en-AU"/>
        </w:rPr>
        <w:t xml:space="preserve">was a recommendation of the 2014 </w:t>
      </w:r>
      <w:bookmarkStart w:id="1" w:name="_Hlk9496638"/>
      <w:r w:rsidR="00F47305">
        <w:t xml:space="preserve">Office of Development Effectiveness (ODE) </w:t>
      </w:r>
      <w:bookmarkEnd w:id="1"/>
      <w:r w:rsidR="00F47305">
        <w:t>evaluation</w:t>
      </w:r>
      <w:r w:rsidR="006D1FA6">
        <w:t xml:space="preserve"> of Australia’s response to the Syria </w:t>
      </w:r>
      <w:r w:rsidR="00C16A30">
        <w:t xml:space="preserve">conflict. </w:t>
      </w:r>
      <w:r w:rsidR="006A0313">
        <w:t xml:space="preserve">A multiyear package was considered a better vehicle for the Australian Government’s policy, sectoral, funding and relationship priorities. </w:t>
      </w:r>
      <w:r w:rsidR="00C16A30">
        <w:t>Transitioning to a multiyear package also supported Australia’s reform commitments following the 2016 World Humanitarian Summit</w:t>
      </w:r>
      <w:r w:rsidR="006A0313">
        <w:t>, including by addressing the immediate and longer-term needs of the affected population</w:t>
      </w:r>
      <w:r w:rsidR="00C16A30">
        <w:t>.</w:t>
      </w:r>
    </w:p>
    <w:p w14:paraId="21E4D1D6" w14:textId="111B6850" w:rsidR="00284E84" w:rsidRDefault="003607E2" w:rsidP="00A279EC">
      <w:pPr>
        <w:spacing w:after="120"/>
        <w:rPr>
          <w:lang w:val="en-AU"/>
        </w:rPr>
      </w:pPr>
      <w:r w:rsidRPr="000E2698">
        <w:t xml:space="preserve">The Syria Package is part of Australia’s contribution of </w:t>
      </w:r>
      <w:r w:rsidRPr="000E2698">
        <w:rPr>
          <w:lang w:val="en-AU"/>
        </w:rPr>
        <w:t xml:space="preserve">more than $433 million in response to </w:t>
      </w:r>
      <w:r w:rsidR="007B12FB">
        <w:rPr>
          <w:lang w:val="en-AU"/>
        </w:rPr>
        <w:t xml:space="preserve">the </w:t>
      </w:r>
      <w:r w:rsidRPr="000E2698">
        <w:rPr>
          <w:lang w:val="en-AU"/>
        </w:rPr>
        <w:t>Syria</w:t>
      </w:r>
      <w:r w:rsidR="007B12FB">
        <w:rPr>
          <w:lang w:val="en-AU"/>
        </w:rPr>
        <w:t>n</w:t>
      </w:r>
      <w:r w:rsidRPr="000E2698">
        <w:rPr>
          <w:lang w:val="en-AU"/>
        </w:rPr>
        <w:t xml:space="preserve"> conflict and resulting refugee crisis since 2011. Australia’s contribution is commensurate with our status as a mid</w:t>
      </w:r>
      <w:r w:rsidRPr="000E2698">
        <w:rPr>
          <w:lang w:val="en-AU"/>
        </w:rPr>
        <w:noBreakHyphen/>
        <w:t>sized donor with an aid program primarily focused on the Indo-Pacific.</w:t>
      </w:r>
    </w:p>
    <w:p w14:paraId="2A709768" w14:textId="77777777" w:rsidR="00C85FEC" w:rsidRPr="00B42654" w:rsidRDefault="00C85FEC" w:rsidP="004022A0">
      <w:pPr>
        <w:pStyle w:val="Heading4"/>
        <w:spacing w:before="120" w:after="0" w:line="240" w:lineRule="auto"/>
        <w:contextualSpacing w:val="0"/>
        <w:rPr>
          <w:rStyle w:val="Strong"/>
          <w:rFonts w:asciiTheme="minorHAnsi" w:hAnsiTheme="minorHAnsi" w:cstheme="minorHAnsi"/>
          <w:u w:val="single"/>
          <w:lang w:val="en-AU"/>
        </w:rPr>
      </w:pPr>
      <w:r w:rsidRPr="00B42654">
        <w:rPr>
          <w:rStyle w:val="Strong"/>
          <w:rFonts w:asciiTheme="minorHAnsi" w:hAnsiTheme="minorHAnsi" w:cstheme="minorHAnsi"/>
          <w:u w:val="single"/>
          <w:lang w:val="en-AU"/>
        </w:rPr>
        <w:t xml:space="preserve">Evaluation </w:t>
      </w:r>
      <w:r w:rsidR="00A30C38">
        <w:rPr>
          <w:rStyle w:val="Strong"/>
          <w:rFonts w:asciiTheme="minorHAnsi" w:hAnsiTheme="minorHAnsi" w:cstheme="minorHAnsi"/>
          <w:u w:val="single"/>
          <w:lang w:val="en-AU"/>
        </w:rPr>
        <w:t>P</w:t>
      </w:r>
      <w:r w:rsidRPr="00B42654">
        <w:rPr>
          <w:rStyle w:val="Strong"/>
          <w:rFonts w:asciiTheme="minorHAnsi" w:hAnsiTheme="minorHAnsi" w:cstheme="minorHAnsi"/>
          <w:u w:val="single"/>
          <w:lang w:val="en-AU"/>
        </w:rPr>
        <w:t>urpose</w:t>
      </w:r>
    </w:p>
    <w:p w14:paraId="3C6D4C58" w14:textId="123A92A9" w:rsidR="00C85FEC" w:rsidRPr="00F64CE6" w:rsidRDefault="00C85FEC" w:rsidP="002609D3">
      <w:pPr>
        <w:pStyle w:val="BodyText"/>
        <w:spacing w:after="120" w:line="240" w:lineRule="auto"/>
        <w:ind w:right="-82"/>
        <w:rPr>
          <w:rFonts w:cstheme="minorHAnsi"/>
          <w:lang w:val="en-AU"/>
        </w:rPr>
      </w:pPr>
      <w:r w:rsidRPr="00F64CE6">
        <w:rPr>
          <w:rFonts w:cstheme="minorHAnsi"/>
          <w:lang w:val="en-AU"/>
        </w:rPr>
        <w:t xml:space="preserve">Through the evaluation, </w:t>
      </w:r>
      <w:r w:rsidRPr="00F64CE6">
        <w:rPr>
          <w:rFonts w:cstheme="minorHAnsi"/>
          <w:b/>
          <w:lang w:val="en-AU"/>
        </w:rPr>
        <w:t>DFAT sought to</w:t>
      </w:r>
      <w:r w:rsidRPr="00F64CE6">
        <w:rPr>
          <w:rFonts w:cstheme="minorHAnsi"/>
          <w:lang w:val="en-AU"/>
        </w:rPr>
        <w:t>:</w:t>
      </w:r>
    </w:p>
    <w:p w14:paraId="4816A475" w14:textId="77777777" w:rsidR="00C85FEC" w:rsidRPr="006D1FA6" w:rsidRDefault="00097D9F" w:rsidP="002609D3">
      <w:pPr>
        <w:pStyle w:val="ListParagraph"/>
        <w:numPr>
          <w:ilvl w:val="0"/>
          <w:numId w:val="12"/>
        </w:numPr>
        <w:suppressAutoHyphens w:val="0"/>
        <w:spacing w:before="0" w:after="0" w:line="240" w:lineRule="auto"/>
        <w:ind w:left="714" w:hanging="357"/>
        <w:contextualSpacing w:val="0"/>
      </w:pPr>
      <w:r>
        <w:t xml:space="preserve">assess whether DFAT’s humanitarian and resilience-building investments under the </w:t>
      </w:r>
      <w:r w:rsidR="00F47305">
        <w:t>multi</w:t>
      </w:r>
      <w:r>
        <w:t xml:space="preserve">-year Syria </w:t>
      </w:r>
      <w:r w:rsidR="00F47305">
        <w:t xml:space="preserve">Humanitarian and Resilience </w:t>
      </w:r>
      <w:r>
        <w:t xml:space="preserve">Package </w:t>
      </w:r>
      <w:r w:rsidR="00F47305">
        <w:t xml:space="preserve">(2017-19) </w:t>
      </w:r>
      <w:r>
        <w:t>were effective, efficient and appropriate</w:t>
      </w:r>
      <w:r w:rsidR="00C85FEC" w:rsidRPr="006D1FA6">
        <w:t>;</w:t>
      </w:r>
      <w:r w:rsidRPr="006D1FA6">
        <w:t xml:space="preserve"> </w:t>
      </w:r>
    </w:p>
    <w:p w14:paraId="27B00A33" w14:textId="77777777" w:rsidR="00C85FEC" w:rsidRPr="006D1FA6" w:rsidRDefault="00097D9F" w:rsidP="002609D3">
      <w:pPr>
        <w:pStyle w:val="ListParagraph"/>
        <w:numPr>
          <w:ilvl w:val="0"/>
          <w:numId w:val="12"/>
        </w:numPr>
        <w:suppressAutoHyphens w:val="0"/>
        <w:spacing w:before="0" w:after="0" w:line="240" w:lineRule="auto"/>
        <w:ind w:left="714" w:hanging="357"/>
        <w:contextualSpacing w:val="0"/>
      </w:pPr>
      <w:r w:rsidRPr="006D1FA6">
        <w:t>assess to what extent the objectives set out in the Monitoring and Evaluation Framework</w:t>
      </w:r>
      <w:r w:rsidR="00F47305" w:rsidRPr="006D1FA6">
        <w:t xml:space="preserve"> for the package</w:t>
      </w:r>
      <w:r w:rsidRPr="006D1FA6">
        <w:t xml:space="preserve"> were met; and</w:t>
      </w:r>
    </w:p>
    <w:p w14:paraId="27841D5F" w14:textId="77777777" w:rsidR="00C85FEC" w:rsidRPr="00F64CE6" w:rsidRDefault="00F47305" w:rsidP="002609D3">
      <w:pPr>
        <w:pStyle w:val="ListParagraph"/>
        <w:numPr>
          <w:ilvl w:val="0"/>
          <w:numId w:val="12"/>
        </w:numPr>
        <w:suppressAutoHyphens w:val="0"/>
        <w:spacing w:before="0" w:after="0" w:line="240" w:lineRule="auto"/>
        <w:ind w:left="714" w:hanging="357"/>
        <w:contextualSpacing w:val="0"/>
        <w:rPr>
          <w:rFonts w:cstheme="minorHAnsi"/>
          <w:lang w:val="en-AU"/>
        </w:rPr>
      </w:pPr>
      <w:r w:rsidRPr="006D1FA6">
        <w:t>c</w:t>
      </w:r>
      <w:r w:rsidR="00C85FEC" w:rsidRPr="006D1FA6">
        <w:t xml:space="preserve">ompile lessons and recommendations to inform DFAT's future policy </w:t>
      </w:r>
      <w:r w:rsidR="00097D9F" w:rsidRPr="006D1FA6">
        <w:t>and programming in</w:t>
      </w:r>
      <w:r w:rsidR="00C85FEC" w:rsidRPr="006D1FA6">
        <w:t xml:space="preserve"> </w:t>
      </w:r>
      <w:r w:rsidR="00097D9F" w:rsidRPr="006D1FA6">
        <w:t>protracted crises</w:t>
      </w:r>
      <w:r w:rsidR="00C85FEC" w:rsidRPr="006D1FA6">
        <w:t>.</w:t>
      </w:r>
    </w:p>
    <w:p w14:paraId="2998D10E" w14:textId="77777777" w:rsidR="00F47305" w:rsidRPr="00B42654" w:rsidRDefault="00F47305" w:rsidP="00F47305">
      <w:pPr>
        <w:pStyle w:val="Heading4"/>
        <w:spacing w:before="120" w:after="0" w:line="240" w:lineRule="auto"/>
        <w:contextualSpacing w:val="0"/>
        <w:rPr>
          <w:rStyle w:val="Strong"/>
          <w:rFonts w:asciiTheme="minorHAnsi" w:hAnsiTheme="minorHAnsi" w:cstheme="minorHAnsi"/>
          <w:u w:val="single"/>
          <w:lang w:val="en-AU"/>
        </w:rPr>
      </w:pPr>
      <w:r w:rsidRPr="00B42654">
        <w:rPr>
          <w:rStyle w:val="Strong"/>
          <w:rFonts w:asciiTheme="minorHAnsi" w:hAnsiTheme="minorHAnsi" w:cstheme="minorHAnsi"/>
          <w:u w:val="single"/>
          <w:lang w:val="en-AU"/>
        </w:rPr>
        <w:t xml:space="preserve">Key </w:t>
      </w:r>
      <w:r w:rsidR="00A30C38">
        <w:rPr>
          <w:rStyle w:val="Strong"/>
          <w:rFonts w:asciiTheme="minorHAnsi" w:hAnsiTheme="minorHAnsi" w:cstheme="minorHAnsi"/>
          <w:u w:val="single"/>
          <w:lang w:val="en-AU"/>
        </w:rPr>
        <w:t>F</w:t>
      </w:r>
      <w:r w:rsidRPr="00B42654">
        <w:rPr>
          <w:rStyle w:val="Strong"/>
          <w:rFonts w:asciiTheme="minorHAnsi" w:hAnsiTheme="minorHAnsi" w:cstheme="minorHAnsi"/>
          <w:u w:val="single"/>
          <w:lang w:val="en-AU"/>
        </w:rPr>
        <w:t>indings</w:t>
      </w:r>
    </w:p>
    <w:p w14:paraId="1D1126C5" w14:textId="167F352E" w:rsidR="002868EC" w:rsidRDefault="00F47305" w:rsidP="002609D3">
      <w:pPr>
        <w:spacing w:after="120"/>
        <w:rPr>
          <w:lang w:val="en-AU"/>
        </w:rPr>
      </w:pPr>
      <w:r>
        <w:rPr>
          <w:lang w:val="en-AU"/>
        </w:rPr>
        <w:t>The evaluation found that</w:t>
      </w:r>
      <w:r w:rsidR="00B42654">
        <w:rPr>
          <w:lang w:val="en-AU"/>
        </w:rPr>
        <w:t xml:space="preserve"> the Syria Package </w:t>
      </w:r>
      <w:r w:rsidR="00B42654" w:rsidRPr="00B42654">
        <w:rPr>
          <w:b/>
          <w:lang w:val="en-AU"/>
        </w:rPr>
        <w:t>was well designed and appropriate</w:t>
      </w:r>
      <w:r w:rsidR="007B12FB" w:rsidRPr="007B12FB">
        <w:rPr>
          <w:lang w:val="en-AU"/>
        </w:rPr>
        <w:t>,</w:t>
      </w:r>
      <w:r w:rsidR="00B42654">
        <w:rPr>
          <w:lang w:val="en-AU"/>
        </w:rPr>
        <w:t xml:space="preserve"> with regard to the scale of funding, geographic focus and sectors</w:t>
      </w:r>
      <w:r w:rsidR="007B12FB">
        <w:rPr>
          <w:lang w:val="en-AU"/>
        </w:rPr>
        <w:t>,</w:t>
      </w:r>
      <w:r w:rsidR="00B42654">
        <w:rPr>
          <w:lang w:val="en-AU"/>
        </w:rPr>
        <w:t xml:space="preserve"> to address humanitarian needs and build resilience. The mix of funding modalities, </w:t>
      </w:r>
      <w:r w:rsidR="006D4586">
        <w:rPr>
          <w:lang w:val="en-AU"/>
        </w:rPr>
        <w:t xml:space="preserve">including </w:t>
      </w:r>
      <w:r w:rsidR="00B42654">
        <w:rPr>
          <w:lang w:val="en-AU"/>
        </w:rPr>
        <w:t xml:space="preserve">softly earmarked allocations to multilateral agencies and targeted activities with NGOs under </w:t>
      </w:r>
      <w:r w:rsidR="00B42654" w:rsidRPr="00B42654">
        <w:rPr>
          <w:b/>
          <w:lang w:val="en-AU"/>
        </w:rPr>
        <w:t>multiyear funding agreements</w:t>
      </w:r>
      <w:r w:rsidR="007B12FB">
        <w:rPr>
          <w:b/>
          <w:lang w:val="en-AU"/>
        </w:rPr>
        <w:t>,</w:t>
      </w:r>
      <w:r w:rsidR="00B42654" w:rsidRPr="00B42654">
        <w:rPr>
          <w:b/>
          <w:lang w:val="en-AU"/>
        </w:rPr>
        <w:t xml:space="preserve"> increased program efficiency and effectiveness</w:t>
      </w:r>
      <w:r w:rsidR="00B42654">
        <w:rPr>
          <w:lang w:val="en-AU"/>
        </w:rPr>
        <w:t>.</w:t>
      </w:r>
      <w:r w:rsidR="00CF7F07">
        <w:rPr>
          <w:lang w:val="en-AU"/>
        </w:rPr>
        <w:t xml:space="preserve"> </w:t>
      </w:r>
      <w:r w:rsidR="00924FE9">
        <w:rPr>
          <w:lang w:val="en-AU"/>
        </w:rPr>
        <w:t xml:space="preserve">In some cases, </w:t>
      </w:r>
      <w:r w:rsidR="002868EC">
        <w:rPr>
          <w:lang w:val="en-AU"/>
        </w:rPr>
        <w:t xml:space="preserve">the </w:t>
      </w:r>
      <w:r w:rsidR="002868EC" w:rsidRPr="00A279EC">
        <w:rPr>
          <w:lang w:val="en-AU"/>
        </w:rPr>
        <w:t>multi-year funding approach</w:t>
      </w:r>
      <w:r w:rsidR="002868EC" w:rsidRPr="002868EC">
        <w:rPr>
          <w:lang w:val="en-AU"/>
        </w:rPr>
        <w:t xml:space="preserve"> </w:t>
      </w:r>
      <w:r w:rsidR="00924FE9">
        <w:rPr>
          <w:lang w:val="en-AU"/>
        </w:rPr>
        <w:t>improved value for m</w:t>
      </w:r>
      <w:r w:rsidR="007B12FB">
        <w:rPr>
          <w:lang w:val="en-AU"/>
        </w:rPr>
        <w:t>oney, reducing administratively-</w:t>
      </w:r>
      <w:r w:rsidR="00924FE9">
        <w:rPr>
          <w:lang w:val="en-AU"/>
        </w:rPr>
        <w:t xml:space="preserve">burdensome contracting processes, promoting </w:t>
      </w:r>
      <w:r w:rsidR="002868EC">
        <w:rPr>
          <w:lang w:val="en-AU"/>
        </w:rPr>
        <w:t>more collaborative partnerships with local actors, and support</w:t>
      </w:r>
      <w:r w:rsidR="007B12FB">
        <w:rPr>
          <w:lang w:val="en-AU"/>
        </w:rPr>
        <w:t>ing</w:t>
      </w:r>
      <w:r w:rsidR="002868EC">
        <w:rPr>
          <w:lang w:val="en-AU"/>
        </w:rPr>
        <w:t xml:space="preserve"> innovative and research-based solutions to more effectively address the needs of affected populations, including </w:t>
      </w:r>
      <w:r w:rsidR="002868EC" w:rsidRPr="006F060B">
        <w:rPr>
          <w:b/>
          <w:lang w:val="en-AU"/>
        </w:rPr>
        <w:t>improving the rights of people with disability</w:t>
      </w:r>
      <w:r w:rsidR="002868EC">
        <w:rPr>
          <w:lang w:val="en-AU"/>
        </w:rPr>
        <w:t xml:space="preserve"> and their access to assistance.</w:t>
      </w:r>
    </w:p>
    <w:p w14:paraId="6B6993F2" w14:textId="41A2C3A6" w:rsidR="002868EC" w:rsidRDefault="00CF7F07" w:rsidP="002609D3">
      <w:pPr>
        <w:spacing w:after="120"/>
        <w:rPr>
          <w:lang w:val="en-AU"/>
        </w:rPr>
      </w:pPr>
      <w:r>
        <w:rPr>
          <w:lang w:val="en-AU"/>
        </w:rPr>
        <w:t xml:space="preserve">A formalised design for Australia’s assistance improved program implementation, </w:t>
      </w:r>
      <w:r w:rsidR="007B12FB">
        <w:rPr>
          <w:lang w:val="en-AU"/>
        </w:rPr>
        <w:t>but</w:t>
      </w:r>
      <w:r>
        <w:rPr>
          <w:lang w:val="en-AU"/>
        </w:rPr>
        <w:t xml:space="preserve"> </w:t>
      </w:r>
      <w:r w:rsidR="00111196" w:rsidRPr="00111196">
        <w:rPr>
          <w:b/>
          <w:lang w:val="en-AU"/>
        </w:rPr>
        <w:t>timely development of a</w:t>
      </w:r>
      <w:r w:rsidRPr="00111196">
        <w:rPr>
          <w:b/>
          <w:lang w:val="en-AU"/>
        </w:rPr>
        <w:t xml:space="preserve"> monitoring and evaluation </w:t>
      </w:r>
      <w:r w:rsidR="00111196" w:rsidRPr="00111196">
        <w:rPr>
          <w:b/>
          <w:lang w:val="en-AU"/>
        </w:rPr>
        <w:t>framework</w:t>
      </w:r>
      <w:r w:rsidR="00111196">
        <w:rPr>
          <w:lang w:val="en-AU"/>
        </w:rPr>
        <w:t xml:space="preserve"> would </w:t>
      </w:r>
      <w:r w:rsidR="006D4586">
        <w:rPr>
          <w:lang w:val="en-AU"/>
        </w:rPr>
        <w:t xml:space="preserve">have </w:t>
      </w:r>
      <w:r w:rsidR="00111196">
        <w:rPr>
          <w:lang w:val="en-AU"/>
        </w:rPr>
        <w:t>support</w:t>
      </w:r>
      <w:r w:rsidR="006D4586">
        <w:rPr>
          <w:lang w:val="en-AU"/>
        </w:rPr>
        <w:t>ed</w:t>
      </w:r>
      <w:r w:rsidR="00111196">
        <w:rPr>
          <w:lang w:val="en-AU"/>
        </w:rPr>
        <w:t xml:space="preserve"> better data collection, analysis and assessment of </w:t>
      </w:r>
      <w:r w:rsidR="006F060B">
        <w:rPr>
          <w:lang w:val="en-AU"/>
        </w:rPr>
        <w:t xml:space="preserve">the </w:t>
      </w:r>
      <w:r w:rsidR="00111196">
        <w:rPr>
          <w:lang w:val="en-AU"/>
        </w:rPr>
        <w:t xml:space="preserve">overall impact of the response. </w:t>
      </w:r>
      <w:r w:rsidR="006F060B">
        <w:rPr>
          <w:lang w:val="en-AU"/>
        </w:rPr>
        <w:t xml:space="preserve">The package </w:t>
      </w:r>
      <w:r w:rsidR="00111196">
        <w:rPr>
          <w:lang w:val="en-AU"/>
        </w:rPr>
        <w:t xml:space="preserve">delivered </w:t>
      </w:r>
      <w:r w:rsidR="00111196" w:rsidRPr="006F060B">
        <w:rPr>
          <w:b/>
          <w:lang w:val="en-AU"/>
        </w:rPr>
        <w:t>good results under the humanitarian assistance and protection components</w:t>
      </w:r>
      <w:r w:rsidR="00111196">
        <w:rPr>
          <w:lang w:val="en-AU"/>
        </w:rPr>
        <w:t xml:space="preserve"> (1 and 2) </w:t>
      </w:r>
      <w:r w:rsidR="006F060B">
        <w:rPr>
          <w:lang w:val="en-AU"/>
        </w:rPr>
        <w:t xml:space="preserve">of the package, but </w:t>
      </w:r>
      <w:r w:rsidR="00111196" w:rsidRPr="006F060B">
        <w:rPr>
          <w:b/>
          <w:lang w:val="en-AU"/>
        </w:rPr>
        <w:t>mixed results with resilience</w:t>
      </w:r>
      <w:r w:rsidR="00B876C7">
        <w:rPr>
          <w:b/>
          <w:lang w:val="en-AU"/>
        </w:rPr>
        <w:t>-</w:t>
      </w:r>
      <w:r w:rsidR="00111196" w:rsidRPr="006F060B">
        <w:rPr>
          <w:b/>
          <w:lang w:val="en-AU"/>
        </w:rPr>
        <w:t>building activities</w:t>
      </w:r>
      <w:r w:rsidR="00111196">
        <w:rPr>
          <w:lang w:val="en-AU"/>
        </w:rPr>
        <w:t xml:space="preserve">. While education programs achieved good </w:t>
      </w:r>
      <w:r w:rsidR="00480490">
        <w:rPr>
          <w:lang w:val="en-AU"/>
        </w:rPr>
        <w:t>outcomes</w:t>
      </w:r>
      <w:r w:rsidR="00111196">
        <w:rPr>
          <w:lang w:val="en-AU"/>
        </w:rPr>
        <w:t xml:space="preserve">, </w:t>
      </w:r>
      <w:r w:rsidR="00480490">
        <w:rPr>
          <w:lang w:val="en-AU"/>
        </w:rPr>
        <w:t xml:space="preserve">a more </w:t>
      </w:r>
      <w:r w:rsidR="009A0DA5">
        <w:rPr>
          <w:lang w:val="en-AU"/>
        </w:rPr>
        <w:t xml:space="preserve">contextually-grounded </w:t>
      </w:r>
      <w:r w:rsidR="00480490">
        <w:rPr>
          <w:lang w:val="en-AU"/>
        </w:rPr>
        <w:t xml:space="preserve">approach to </w:t>
      </w:r>
      <w:r w:rsidR="00111196">
        <w:rPr>
          <w:lang w:val="en-AU"/>
        </w:rPr>
        <w:t xml:space="preserve">livelihoods programming </w:t>
      </w:r>
      <w:r w:rsidR="00480490">
        <w:rPr>
          <w:lang w:val="en-AU"/>
        </w:rPr>
        <w:t>i</w:t>
      </w:r>
      <w:r w:rsidR="00111196">
        <w:rPr>
          <w:lang w:val="en-AU"/>
        </w:rPr>
        <w:t xml:space="preserve">s required to realise maximum </w:t>
      </w:r>
      <w:r w:rsidR="00B876C7">
        <w:rPr>
          <w:lang w:val="en-AU"/>
        </w:rPr>
        <w:t xml:space="preserve">impact as well as </w:t>
      </w:r>
      <w:r w:rsidR="00B876C7" w:rsidRPr="002609D3">
        <w:rPr>
          <w:b/>
          <w:lang w:val="en-AU"/>
        </w:rPr>
        <w:t>greater integration between humanitarian and resilience-building activities</w:t>
      </w:r>
      <w:r w:rsidR="00111196">
        <w:rPr>
          <w:lang w:val="en-AU"/>
        </w:rPr>
        <w:t xml:space="preserve">. </w:t>
      </w:r>
    </w:p>
    <w:p w14:paraId="0DD6E6AF" w14:textId="77777777" w:rsidR="00C85FEC" w:rsidRPr="00B42654" w:rsidRDefault="00C85FEC" w:rsidP="004022A0">
      <w:pPr>
        <w:pStyle w:val="Heading4"/>
        <w:spacing w:before="120" w:after="0" w:line="240" w:lineRule="auto"/>
        <w:contextualSpacing w:val="0"/>
        <w:rPr>
          <w:rFonts w:asciiTheme="minorHAnsi" w:hAnsiTheme="minorHAnsi" w:cstheme="minorHAnsi"/>
          <w:b/>
          <w:bCs w:val="0"/>
          <w:u w:val="single"/>
          <w:lang w:val="en-AU"/>
        </w:rPr>
      </w:pPr>
      <w:r w:rsidRPr="00B42654">
        <w:rPr>
          <w:rStyle w:val="Strong"/>
          <w:rFonts w:asciiTheme="minorHAnsi" w:hAnsiTheme="minorHAnsi" w:cstheme="minorHAnsi"/>
          <w:u w:val="single"/>
          <w:lang w:val="en-AU"/>
        </w:rPr>
        <w:lastRenderedPageBreak/>
        <w:t xml:space="preserve">Reflections on the </w:t>
      </w:r>
      <w:r w:rsidR="00A30C38">
        <w:rPr>
          <w:rStyle w:val="Strong"/>
          <w:rFonts w:asciiTheme="minorHAnsi" w:hAnsiTheme="minorHAnsi" w:cstheme="minorHAnsi"/>
          <w:u w:val="single"/>
          <w:lang w:val="en-AU"/>
        </w:rPr>
        <w:t>E</w:t>
      </w:r>
      <w:r w:rsidRPr="00B42654">
        <w:rPr>
          <w:rStyle w:val="Strong"/>
          <w:rFonts w:asciiTheme="minorHAnsi" w:hAnsiTheme="minorHAnsi" w:cstheme="minorHAnsi"/>
          <w:u w:val="single"/>
          <w:lang w:val="en-AU"/>
        </w:rPr>
        <w:t xml:space="preserve">valuation </w:t>
      </w:r>
      <w:r w:rsidR="00A30C38">
        <w:rPr>
          <w:rStyle w:val="Strong"/>
          <w:rFonts w:asciiTheme="minorHAnsi" w:hAnsiTheme="minorHAnsi" w:cstheme="minorHAnsi"/>
          <w:u w:val="single"/>
          <w:lang w:val="en-AU"/>
        </w:rPr>
        <w:t>R</w:t>
      </w:r>
      <w:r w:rsidRPr="00B42654">
        <w:rPr>
          <w:rStyle w:val="Strong"/>
          <w:rFonts w:asciiTheme="minorHAnsi" w:hAnsiTheme="minorHAnsi" w:cstheme="minorHAnsi"/>
          <w:u w:val="single"/>
          <w:lang w:val="en-AU"/>
        </w:rPr>
        <w:t>eport</w:t>
      </w:r>
    </w:p>
    <w:p w14:paraId="085C7FC6" w14:textId="45C3FA78" w:rsidR="00C85FEC" w:rsidRDefault="00C85FEC" w:rsidP="002609D3">
      <w:pPr>
        <w:pStyle w:val="BodyText"/>
        <w:spacing w:after="120" w:line="240" w:lineRule="auto"/>
        <w:ind w:right="-262"/>
        <w:rPr>
          <w:rFonts w:cstheme="minorHAnsi"/>
          <w:lang w:val="en-AU"/>
        </w:rPr>
      </w:pPr>
      <w:r w:rsidRPr="00F64CE6">
        <w:rPr>
          <w:rFonts w:cstheme="minorHAnsi"/>
          <w:lang w:val="en-AU"/>
        </w:rPr>
        <w:t xml:space="preserve">DFAT thanks the </w:t>
      </w:r>
      <w:r w:rsidR="004E29F2">
        <w:rPr>
          <w:rFonts w:cstheme="minorHAnsi"/>
          <w:lang w:val="en-AU"/>
        </w:rPr>
        <w:t>evaluation team for the professionalism and expertise they brought to this</w:t>
      </w:r>
      <w:r w:rsidR="00EA658C">
        <w:rPr>
          <w:rFonts w:cstheme="minorHAnsi"/>
          <w:lang w:val="en-AU"/>
        </w:rPr>
        <w:t xml:space="preserve"> evaluation. DFAT acknowledges and thanks all those</w:t>
      </w:r>
      <w:r w:rsidR="004E29F2">
        <w:rPr>
          <w:rFonts w:cstheme="minorHAnsi"/>
          <w:lang w:val="en-AU"/>
        </w:rPr>
        <w:t xml:space="preserve"> who participated in </w:t>
      </w:r>
      <w:r w:rsidR="00EA658C">
        <w:rPr>
          <w:rFonts w:cstheme="minorHAnsi"/>
          <w:lang w:val="en-AU"/>
        </w:rPr>
        <w:t xml:space="preserve">consultations and supported this </w:t>
      </w:r>
      <w:r w:rsidR="004E29F2">
        <w:rPr>
          <w:rFonts w:cstheme="minorHAnsi"/>
          <w:lang w:val="en-AU"/>
        </w:rPr>
        <w:t xml:space="preserve">evaluation. </w:t>
      </w:r>
    </w:p>
    <w:p w14:paraId="5F9E8B3F" w14:textId="1999B57D" w:rsidR="004E29F2" w:rsidRDefault="004E29F2" w:rsidP="002609D3">
      <w:pPr>
        <w:pStyle w:val="BodyText"/>
        <w:spacing w:after="120" w:line="240" w:lineRule="auto"/>
        <w:ind w:right="-262"/>
        <w:rPr>
          <w:rFonts w:cstheme="minorHAnsi"/>
          <w:lang w:val="en-AU"/>
        </w:rPr>
      </w:pPr>
      <w:r>
        <w:rPr>
          <w:rFonts w:cstheme="minorHAnsi"/>
          <w:lang w:val="en-AU"/>
        </w:rPr>
        <w:t xml:space="preserve">The evaluation provides </w:t>
      </w:r>
      <w:r w:rsidR="00C50708">
        <w:rPr>
          <w:rFonts w:cstheme="minorHAnsi"/>
          <w:lang w:val="en-AU"/>
        </w:rPr>
        <w:t xml:space="preserve">informed </w:t>
      </w:r>
      <w:r w:rsidR="00B876C7">
        <w:rPr>
          <w:rFonts w:cstheme="minorHAnsi"/>
          <w:lang w:val="en-AU"/>
        </w:rPr>
        <w:t xml:space="preserve">findings </w:t>
      </w:r>
      <w:r w:rsidR="00C50708">
        <w:rPr>
          <w:rFonts w:cstheme="minorHAnsi"/>
          <w:lang w:val="en-AU"/>
        </w:rPr>
        <w:t xml:space="preserve">and </w:t>
      </w:r>
      <w:r>
        <w:rPr>
          <w:rFonts w:cstheme="minorHAnsi"/>
          <w:lang w:val="en-AU"/>
        </w:rPr>
        <w:t>well-considered</w:t>
      </w:r>
      <w:r w:rsidR="00C50708">
        <w:rPr>
          <w:rFonts w:cstheme="minorHAnsi"/>
          <w:lang w:val="en-AU"/>
        </w:rPr>
        <w:t xml:space="preserve"> recommendations for DFAT</w:t>
      </w:r>
      <w:r w:rsidR="00B876C7">
        <w:rPr>
          <w:rFonts w:cstheme="minorHAnsi"/>
          <w:lang w:val="en-AU"/>
        </w:rPr>
        <w:t>’s response to the Syrian conflict and other protracted crises</w:t>
      </w:r>
      <w:r w:rsidR="00C50708">
        <w:rPr>
          <w:rFonts w:cstheme="minorHAnsi"/>
          <w:lang w:val="en-AU"/>
        </w:rPr>
        <w:t xml:space="preserve">. </w:t>
      </w:r>
      <w:r w:rsidR="00242347">
        <w:rPr>
          <w:rFonts w:cstheme="minorHAnsi"/>
          <w:lang w:val="en-AU"/>
        </w:rPr>
        <w:t xml:space="preserve">The evaluation </w:t>
      </w:r>
      <w:r w:rsidR="006D4586">
        <w:rPr>
          <w:rFonts w:cstheme="minorHAnsi"/>
          <w:lang w:val="en-AU"/>
        </w:rPr>
        <w:t xml:space="preserve">provides valuable evidence and captures lessons that will inform </w:t>
      </w:r>
      <w:r w:rsidR="00242347">
        <w:rPr>
          <w:rFonts w:cstheme="minorHAnsi"/>
          <w:lang w:val="en-AU"/>
        </w:rPr>
        <w:t xml:space="preserve">Australia’s policy and programmatic approach in response to protracted crises and </w:t>
      </w:r>
      <w:r w:rsidR="007B12FB">
        <w:rPr>
          <w:rFonts w:cstheme="minorHAnsi"/>
          <w:lang w:val="en-AU"/>
        </w:rPr>
        <w:t>support</w:t>
      </w:r>
      <w:r w:rsidR="00242347">
        <w:rPr>
          <w:rFonts w:cstheme="minorHAnsi"/>
          <w:lang w:val="en-AU"/>
        </w:rPr>
        <w:t xml:space="preserve"> our global humanitarian reform commitments.</w:t>
      </w:r>
    </w:p>
    <w:p w14:paraId="009FBDF6" w14:textId="77777777" w:rsidR="005907B0" w:rsidRDefault="005907B0" w:rsidP="005907B0">
      <w:pPr>
        <w:pStyle w:val="BodyText"/>
        <w:spacing w:after="120" w:line="240" w:lineRule="auto"/>
        <w:ind w:right="-262"/>
        <w:rPr>
          <w:rFonts w:cstheme="minorHAnsi"/>
          <w:lang w:val="en-AU"/>
        </w:rPr>
      </w:pPr>
      <w:r>
        <w:rPr>
          <w:rFonts w:cstheme="minorHAnsi"/>
          <w:lang w:val="en-AU"/>
        </w:rPr>
        <w:t xml:space="preserve">The report provides a good evidence base to demonstrate Australia’s leadership in realising the commitments to humanitarian system reform made at the World Humanitarian Summit in 2016 under the </w:t>
      </w:r>
      <w:r w:rsidRPr="002637E7">
        <w:rPr>
          <w:rFonts w:cstheme="minorHAnsi"/>
          <w:b/>
          <w:lang w:val="en-AU"/>
        </w:rPr>
        <w:t>Agenda for Humanity and Grand Bargain</w:t>
      </w:r>
      <w:r>
        <w:rPr>
          <w:rFonts w:cstheme="minorHAnsi"/>
          <w:lang w:val="en-AU"/>
        </w:rPr>
        <w:t xml:space="preserve">, particularly progress at the field level. The qualitative and quantitative evidence provided on the benefits of multiyear and multi-sectoral programming is valuable in guiding advocacy efforts with other donors and key partners. The report confirms the beneficial effects </w:t>
      </w:r>
      <w:r w:rsidRPr="00BE704C">
        <w:rPr>
          <w:rFonts w:cstheme="minorHAnsi"/>
          <w:lang w:val="en-AU"/>
        </w:rPr>
        <w:t>of</w:t>
      </w:r>
      <w:r w:rsidRPr="002637E7">
        <w:rPr>
          <w:rFonts w:cstheme="minorHAnsi"/>
          <w:b/>
          <w:lang w:val="en-AU"/>
        </w:rPr>
        <w:t xml:space="preserve"> multiyear funding</w:t>
      </w:r>
      <w:r>
        <w:rPr>
          <w:rFonts w:cstheme="minorHAnsi"/>
          <w:lang w:val="en-AU"/>
        </w:rPr>
        <w:t xml:space="preserve"> on program efficiency and effectiveness, as well as highlighting the positive impact on progressing Australia’s key thematic priorities of gender equality and disability inclusion and supporting partners to harness innovative practice in delivering assistance to affected communities. </w:t>
      </w:r>
      <w:r w:rsidRPr="00715BA6">
        <w:rPr>
          <w:rFonts w:cstheme="minorHAnsi"/>
          <w:lang w:val="en-AU"/>
        </w:rPr>
        <w:t>DFAT acknowledges the benefits of collective action between donors, partners, host governments and communities to better address needs. Australia’s support to the Jordan Compact Education Fund to channel funding from multiple donors to the Jordanian Ministry of Education is evidence of this.</w:t>
      </w:r>
    </w:p>
    <w:p w14:paraId="179C87A2" w14:textId="02920943" w:rsidR="007E78D2" w:rsidRDefault="002637E7" w:rsidP="00560A65">
      <w:pPr>
        <w:pStyle w:val="BodyText"/>
        <w:spacing w:after="120" w:line="240" w:lineRule="auto"/>
        <w:ind w:right="-262"/>
        <w:rPr>
          <w:rFonts w:cstheme="minorHAnsi"/>
          <w:lang w:val="en-AU"/>
        </w:rPr>
      </w:pPr>
      <w:r>
        <w:rPr>
          <w:rFonts w:cstheme="minorHAnsi"/>
          <w:lang w:val="en-AU"/>
        </w:rPr>
        <w:t xml:space="preserve">In addressing the </w:t>
      </w:r>
      <w:r w:rsidRPr="002637E7">
        <w:rPr>
          <w:rFonts w:cstheme="minorHAnsi"/>
          <w:b/>
          <w:lang w:val="en-AU"/>
        </w:rPr>
        <w:t>humanitarian-development divide</w:t>
      </w:r>
      <w:r>
        <w:rPr>
          <w:rFonts w:cstheme="minorHAnsi"/>
          <w:lang w:val="en-AU"/>
        </w:rPr>
        <w:t xml:space="preserve">, </w:t>
      </w:r>
      <w:r>
        <w:t>Australia seeks to reduce vulnerability</w:t>
      </w:r>
      <w:r w:rsidR="00271F7B">
        <w:t xml:space="preserve"> by</w:t>
      </w:r>
      <w:r w:rsidR="00922DA4">
        <w:t xml:space="preserve"> </w:t>
      </w:r>
      <w:r w:rsidR="00271F7B">
        <w:t xml:space="preserve">addressing </w:t>
      </w:r>
      <w:r w:rsidR="006D4586">
        <w:t xml:space="preserve">the </w:t>
      </w:r>
      <w:r>
        <w:t>needs</w:t>
      </w:r>
      <w:r w:rsidR="006D4586">
        <w:t xml:space="preserve"> and</w:t>
      </w:r>
      <w:r>
        <w:t xml:space="preserve"> build</w:t>
      </w:r>
      <w:r w:rsidR="00271F7B">
        <w:t>ing</w:t>
      </w:r>
      <w:r>
        <w:t xml:space="preserve"> </w:t>
      </w:r>
      <w:r w:rsidR="006D4586">
        <w:t xml:space="preserve">the </w:t>
      </w:r>
      <w:r w:rsidR="00C224A3">
        <w:t>resilience of</w:t>
      </w:r>
      <w:r>
        <w:t xml:space="preserve"> crisis-affected communities. </w:t>
      </w:r>
      <w:r w:rsidR="00B66460">
        <w:rPr>
          <w:rFonts w:cstheme="minorHAnsi"/>
          <w:lang w:val="en-AU"/>
        </w:rPr>
        <w:t>While not referenced as a key finding, the report provides evidence that multiyear funding across the humanitarian-development divide suppor</w:t>
      </w:r>
      <w:r w:rsidR="004221B1">
        <w:rPr>
          <w:rFonts w:cstheme="minorHAnsi"/>
          <w:lang w:val="en-AU"/>
        </w:rPr>
        <w:t>ted longer</w:t>
      </w:r>
      <w:r w:rsidR="00A30C38">
        <w:rPr>
          <w:rFonts w:cstheme="minorHAnsi"/>
          <w:lang w:val="en-AU"/>
        </w:rPr>
        <w:noBreakHyphen/>
      </w:r>
      <w:r w:rsidR="004221B1">
        <w:rPr>
          <w:rFonts w:cstheme="minorHAnsi"/>
          <w:lang w:val="en-AU"/>
        </w:rPr>
        <w:t>term outcomes that were</w:t>
      </w:r>
      <w:r w:rsidR="00B66460">
        <w:rPr>
          <w:rFonts w:cstheme="minorHAnsi"/>
          <w:lang w:val="en-AU"/>
        </w:rPr>
        <w:t xml:space="preserve"> not envisaged during the design of the Syria </w:t>
      </w:r>
      <w:r w:rsidR="007E78D2">
        <w:rPr>
          <w:rFonts w:cstheme="minorHAnsi"/>
          <w:lang w:val="en-AU"/>
        </w:rPr>
        <w:t>P</w:t>
      </w:r>
      <w:r w:rsidR="00B66460">
        <w:rPr>
          <w:rFonts w:cstheme="minorHAnsi"/>
          <w:lang w:val="en-AU"/>
        </w:rPr>
        <w:t xml:space="preserve">ackage. </w:t>
      </w:r>
      <w:r w:rsidR="00811C30">
        <w:rPr>
          <w:rFonts w:cstheme="minorHAnsi"/>
          <w:lang w:val="en-AU"/>
        </w:rPr>
        <w:t>Most notably</w:t>
      </w:r>
      <w:r w:rsidR="00B66460">
        <w:rPr>
          <w:rFonts w:cstheme="minorHAnsi"/>
          <w:lang w:val="en-AU"/>
        </w:rPr>
        <w:t>, the institutional strengthening of the education system and shifting social nor</w:t>
      </w:r>
      <w:r w:rsidR="00EA38B9">
        <w:rPr>
          <w:rFonts w:cstheme="minorHAnsi"/>
          <w:lang w:val="en-AU"/>
        </w:rPr>
        <w:t>ms in both Jordan and Lebanon</w:t>
      </w:r>
      <w:r w:rsidR="00B66460">
        <w:rPr>
          <w:rFonts w:cstheme="minorHAnsi"/>
          <w:lang w:val="en-AU"/>
        </w:rPr>
        <w:t xml:space="preserve"> realise</w:t>
      </w:r>
      <w:r w:rsidR="00EA38B9">
        <w:rPr>
          <w:rFonts w:cstheme="minorHAnsi"/>
          <w:lang w:val="en-AU"/>
        </w:rPr>
        <w:t>d</w:t>
      </w:r>
      <w:r w:rsidR="00B66460">
        <w:rPr>
          <w:rFonts w:cstheme="minorHAnsi"/>
          <w:lang w:val="en-AU"/>
        </w:rPr>
        <w:t xml:space="preserve"> improved disability inclusion</w:t>
      </w:r>
      <w:r w:rsidR="00811C30">
        <w:rPr>
          <w:rFonts w:cstheme="minorHAnsi"/>
          <w:lang w:val="en-AU"/>
        </w:rPr>
        <w:t>, including</w:t>
      </w:r>
      <w:r w:rsidR="00560A65">
        <w:rPr>
          <w:rFonts w:cstheme="minorHAnsi"/>
          <w:lang w:val="en-AU"/>
        </w:rPr>
        <w:t xml:space="preserve"> </w:t>
      </w:r>
      <w:r w:rsidR="00B66460">
        <w:rPr>
          <w:rFonts w:cstheme="minorHAnsi"/>
          <w:lang w:val="en-AU"/>
        </w:rPr>
        <w:t xml:space="preserve">access to education. </w:t>
      </w:r>
      <w:r w:rsidR="00560A65">
        <w:rPr>
          <w:rFonts w:cstheme="minorHAnsi"/>
          <w:lang w:val="en-AU"/>
        </w:rPr>
        <w:t>Longer-term resilience-focused programming also challenged traditional norms and promoted gender equality, such as through increased women’s participation in employment resulting from livelihoods investments in Jordan.</w:t>
      </w:r>
      <w:r w:rsidR="00B66460">
        <w:rPr>
          <w:rFonts w:cstheme="minorHAnsi"/>
          <w:lang w:val="en-AU"/>
        </w:rPr>
        <w:t xml:space="preserve"> </w:t>
      </w:r>
      <w:r>
        <w:rPr>
          <w:rFonts w:cstheme="minorHAnsi"/>
          <w:lang w:val="en-AU"/>
        </w:rPr>
        <w:t xml:space="preserve">DFAT recognises the need to develop monitoring and evaluation frameworks that provide better </w:t>
      </w:r>
      <w:r w:rsidR="007E78D2">
        <w:rPr>
          <w:rFonts w:cstheme="minorHAnsi"/>
          <w:lang w:val="en-AU"/>
        </w:rPr>
        <w:t xml:space="preserve">data </w:t>
      </w:r>
      <w:r>
        <w:rPr>
          <w:rFonts w:cstheme="minorHAnsi"/>
          <w:lang w:val="en-AU"/>
        </w:rPr>
        <w:t xml:space="preserve">on the collective impact of </w:t>
      </w:r>
      <w:r w:rsidR="00372633">
        <w:rPr>
          <w:rFonts w:cstheme="minorHAnsi"/>
          <w:lang w:val="en-AU"/>
        </w:rPr>
        <w:t>a multiyear, multi-sectoral humanitarian response.</w:t>
      </w:r>
    </w:p>
    <w:p w14:paraId="6B0BFF8E" w14:textId="075A1913" w:rsidR="003372A3" w:rsidRDefault="007E78D2" w:rsidP="002609D3">
      <w:pPr>
        <w:pStyle w:val="BodyText"/>
        <w:spacing w:after="120" w:line="240" w:lineRule="auto"/>
        <w:ind w:right="-262"/>
        <w:rPr>
          <w:rFonts w:cstheme="minorHAnsi"/>
          <w:lang w:val="en-AU"/>
        </w:rPr>
      </w:pPr>
      <w:r>
        <w:rPr>
          <w:rFonts w:cstheme="minorHAnsi"/>
          <w:lang w:val="en-AU"/>
        </w:rPr>
        <w:t xml:space="preserve">In supporting </w:t>
      </w:r>
      <w:r w:rsidRPr="002609D3">
        <w:rPr>
          <w:rFonts w:cstheme="minorHAnsi"/>
          <w:b/>
          <w:lang w:val="en-AU"/>
        </w:rPr>
        <w:t>localised humanitarian action</w:t>
      </w:r>
      <w:r>
        <w:rPr>
          <w:rFonts w:cstheme="minorHAnsi"/>
          <w:lang w:val="en-AU"/>
        </w:rPr>
        <w:t>, DFAT seeks to promote responses that are as local as possible and as international as necessary.</w:t>
      </w:r>
      <w:r w:rsidR="00AB6516">
        <w:rPr>
          <w:rFonts w:cstheme="minorHAnsi"/>
          <w:lang w:val="en-AU"/>
        </w:rPr>
        <w:t xml:space="preserve"> </w:t>
      </w:r>
      <w:r w:rsidR="005A7133">
        <w:rPr>
          <w:rFonts w:cstheme="minorHAnsi"/>
          <w:lang w:val="en-AU"/>
        </w:rPr>
        <w:t>T</w:t>
      </w:r>
      <w:r>
        <w:rPr>
          <w:rFonts w:cstheme="minorHAnsi"/>
          <w:lang w:val="en-AU"/>
        </w:rPr>
        <w:t xml:space="preserve">he evaluation report highlights the </w:t>
      </w:r>
      <w:r w:rsidR="00D123E5">
        <w:rPr>
          <w:rFonts w:cstheme="minorHAnsi"/>
          <w:lang w:val="en-AU"/>
        </w:rPr>
        <w:t xml:space="preserve">valuable </w:t>
      </w:r>
      <w:r>
        <w:rPr>
          <w:rFonts w:cstheme="minorHAnsi"/>
          <w:lang w:val="en-AU"/>
        </w:rPr>
        <w:t>role of multiyear funding in promoting a more localised response to the Syria crisis</w:t>
      </w:r>
      <w:r w:rsidR="00D123E5">
        <w:rPr>
          <w:rFonts w:cstheme="minorHAnsi"/>
          <w:lang w:val="en-AU"/>
        </w:rPr>
        <w:t>, and provides strong evidence of improved partnerships with local actors and government</w:t>
      </w:r>
      <w:r>
        <w:rPr>
          <w:rFonts w:cstheme="minorHAnsi"/>
          <w:lang w:val="en-AU"/>
        </w:rPr>
        <w:t xml:space="preserve">. </w:t>
      </w:r>
      <w:r w:rsidR="00D123E5">
        <w:rPr>
          <w:rFonts w:cstheme="minorHAnsi"/>
          <w:lang w:val="en-AU"/>
        </w:rPr>
        <w:t xml:space="preserve">Longer implementation timelines have enabled the establishment of direct partnerships </w:t>
      </w:r>
      <w:r w:rsidR="00307AA6">
        <w:rPr>
          <w:rFonts w:cstheme="minorHAnsi"/>
          <w:lang w:val="en-AU"/>
        </w:rPr>
        <w:t xml:space="preserve">local organisations, including </w:t>
      </w:r>
      <w:r w:rsidR="00D123E5">
        <w:rPr>
          <w:rFonts w:cstheme="minorHAnsi"/>
          <w:lang w:val="en-AU"/>
        </w:rPr>
        <w:t>the Jordanian Ministry of Education and Lebanese NGO</w:t>
      </w:r>
      <w:r w:rsidR="006D4586">
        <w:rPr>
          <w:rFonts w:cstheme="minorHAnsi"/>
          <w:lang w:val="en-AU"/>
        </w:rPr>
        <w:t>,</w:t>
      </w:r>
      <w:r w:rsidR="00D123E5">
        <w:rPr>
          <w:rFonts w:cstheme="minorHAnsi"/>
          <w:lang w:val="en-AU"/>
        </w:rPr>
        <w:t xml:space="preserve"> LebRelief. </w:t>
      </w:r>
      <w:r>
        <w:rPr>
          <w:rFonts w:cstheme="minorHAnsi"/>
          <w:lang w:val="en-AU"/>
        </w:rPr>
        <w:t xml:space="preserve">International </w:t>
      </w:r>
      <w:r w:rsidR="00D123E5">
        <w:rPr>
          <w:rFonts w:cstheme="minorHAnsi"/>
          <w:lang w:val="en-AU"/>
        </w:rPr>
        <w:t xml:space="preserve">partner organisations also leveraged multiyear funding to </w:t>
      </w:r>
      <w:r w:rsidR="00811C30">
        <w:rPr>
          <w:rFonts w:cstheme="minorHAnsi"/>
          <w:lang w:val="en-AU"/>
        </w:rPr>
        <w:t xml:space="preserve">improve </w:t>
      </w:r>
      <w:r w:rsidR="00D123E5">
        <w:rPr>
          <w:rFonts w:cstheme="minorHAnsi"/>
          <w:lang w:val="en-AU"/>
        </w:rPr>
        <w:t>collaboration with local implementing partners and adopt more adaptive programming approaches that improved alignment with local priorities.</w:t>
      </w:r>
      <w:r w:rsidR="004B0BAF">
        <w:rPr>
          <w:rFonts w:cstheme="minorHAnsi"/>
          <w:lang w:val="en-AU"/>
        </w:rPr>
        <w:t xml:space="preserve"> </w:t>
      </w:r>
      <w:r w:rsidR="00F90941" w:rsidRPr="000E2698">
        <w:rPr>
          <w:rFonts w:cstheme="minorHAnsi"/>
          <w:lang w:val="en-AU"/>
        </w:rPr>
        <w:t xml:space="preserve">Leveraging local partnerships, </w:t>
      </w:r>
      <w:r w:rsidR="004B0BAF" w:rsidRPr="000E2698">
        <w:rPr>
          <w:rFonts w:cstheme="minorHAnsi"/>
          <w:lang w:val="en-AU"/>
        </w:rPr>
        <w:t xml:space="preserve">DFAT has </w:t>
      </w:r>
      <w:r w:rsidR="00F90941" w:rsidRPr="000E2698">
        <w:rPr>
          <w:rFonts w:cstheme="minorHAnsi"/>
          <w:lang w:val="en-AU"/>
        </w:rPr>
        <w:t>promoted improved capac</w:t>
      </w:r>
      <w:r w:rsidR="00BE704C">
        <w:rPr>
          <w:rFonts w:cstheme="minorHAnsi"/>
          <w:lang w:val="en-AU"/>
        </w:rPr>
        <w:t>ity and programming with regard</w:t>
      </w:r>
      <w:r w:rsidR="00F90941" w:rsidRPr="000E2698">
        <w:rPr>
          <w:rFonts w:cstheme="minorHAnsi"/>
          <w:lang w:val="en-AU"/>
        </w:rPr>
        <w:t xml:space="preserve"> to</w:t>
      </w:r>
      <w:r w:rsidR="004B0BAF" w:rsidRPr="000E2698">
        <w:rPr>
          <w:rFonts w:cstheme="minorHAnsi"/>
          <w:lang w:val="en-AU"/>
        </w:rPr>
        <w:t xml:space="preserve"> </w:t>
      </w:r>
      <w:r w:rsidR="004B0BAF" w:rsidRPr="004D6AC0">
        <w:rPr>
          <w:rFonts w:cstheme="minorHAnsi"/>
          <w:lang w:val="en-AU"/>
        </w:rPr>
        <w:t>gender equality, disa</w:t>
      </w:r>
      <w:r w:rsidR="00AB6516" w:rsidRPr="004D6AC0">
        <w:rPr>
          <w:rFonts w:cstheme="minorHAnsi"/>
          <w:lang w:val="en-AU"/>
        </w:rPr>
        <w:t>bility inclusion and protection. DFAT will continue to encourage</w:t>
      </w:r>
      <w:r w:rsidR="00307AA6" w:rsidRPr="004D6AC0">
        <w:rPr>
          <w:rFonts w:cstheme="minorHAnsi"/>
          <w:lang w:val="en-AU"/>
        </w:rPr>
        <w:t xml:space="preserve"> </w:t>
      </w:r>
      <w:r w:rsidR="00AB6516" w:rsidRPr="004D6AC0">
        <w:rPr>
          <w:rFonts w:cstheme="minorHAnsi"/>
          <w:lang w:val="en-AU"/>
        </w:rPr>
        <w:t xml:space="preserve">collective and </w:t>
      </w:r>
      <w:r w:rsidR="00307AA6" w:rsidRPr="004D6AC0">
        <w:rPr>
          <w:rFonts w:cstheme="minorHAnsi"/>
          <w:lang w:val="en-AU"/>
        </w:rPr>
        <w:t xml:space="preserve">localised </w:t>
      </w:r>
      <w:r w:rsidR="00AB6516" w:rsidRPr="004D6AC0">
        <w:rPr>
          <w:rFonts w:cstheme="minorHAnsi"/>
          <w:lang w:val="en-AU"/>
        </w:rPr>
        <w:t>approaches in response to protracted crises</w:t>
      </w:r>
      <w:r w:rsidR="00307AA6" w:rsidRPr="004D6AC0">
        <w:rPr>
          <w:rFonts w:cstheme="minorHAnsi"/>
          <w:lang w:val="en-AU"/>
        </w:rPr>
        <w:t>.</w:t>
      </w:r>
    </w:p>
    <w:p w14:paraId="4657E325" w14:textId="77777777" w:rsidR="00C85FEC" w:rsidRPr="006F060B" w:rsidRDefault="00C85FEC" w:rsidP="004022A0">
      <w:pPr>
        <w:pStyle w:val="Heading4"/>
        <w:spacing w:before="120" w:after="0" w:line="240" w:lineRule="auto"/>
        <w:contextualSpacing w:val="0"/>
        <w:rPr>
          <w:rFonts w:asciiTheme="minorHAnsi" w:hAnsiTheme="minorHAnsi" w:cstheme="minorHAnsi"/>
          <w:b/>
          <w:u w:val="single"/>
          <w:lang w:val="en-AU"/>
        </w:rPr>
      </w:pPr>
      <w:r w:rsidRPr="006F060B">
        <w:rPr>
          <w:rFonts w:asciiTheme="minorHAnsi" w:hAnsiTheme="minorHAnsi" w:cstheme="minorHAnsi"/>
          <w:b/>
          <w:u w:val="single"/>
          <w:lang w:val="en-AU"/>
        </w:rPr>
        <w:t xml:space="preserve">DFAT’s </w:t>
      </w:r>
      <w:r w:rsidR="00A30C38">
        <w:rPr>
          <w:rFonts w:asciiTheme="minorHAnsi" w:hAnsiTheme="minorHAnsi" w:cstheme="minorHAnsi"/>
          <w:b/>
          <w:u w:val="single"/>
          <w:lang w:val="en-AU"/>
        </w:rPr>
        <w:t>A</w:t>
      </w:r>
      <w:r w:rsidRPr="006F060B">
        <w:rPr>
          <w:rFonts w:asciiTheme="minorHAnsi" w:hAnsiTheme="minorHAnsi" w:cstheme="minorHAnsi"/>
          <w:b/>
          <w:u w:val="single"/>
          <w:lang w:val="en-AU"/>
        </w:rPr>
        <w:t xml:space="preserve">ction </w:t>
      </w:r>
      <w:r w:rsidR="00A30C38">
        <w:rPr>
          <w:rFonts w:asciiTheme="minorHAnsi" w:hAnsiTheme="minorHAnsi" w:cstheme="minorHAnsi"/>
          <w:b/>
          <w:u w:val="single"/>
          <w:lang w:val="en-AU"/>
        </w:rPr>
        <w:t>P</w:t>
      </w:r>
      <w:r w:rsidRPr="006F060B">
        <w:rPr>
          <w:rFonts w:asciiTheme="minorHAnsi" w:hAnsiTheme="minorHAnsi" w:cstheme="minorHAnsi"/>
          <w:b/>
          <w:u w:val="single"/>
          <w:lang w:val="en-AU"/>
        </w:rPr>
        <w:t>lan</w:t>
      </w:r>
    </w:p>
    <w:p w14:paraId="34B1E652" w14:textId="602472EA" w:rsidR="00C85FEC" w:rsidRPr="00F64CE6" w:rsidRDefault="00C85FEC" w:rsidP="002609D3">
      <w:pPr>
        <w:pStyle w:val="BodyText"/>
        <w:spacing w:after="120" w:line="240" w:lineRule="auto"/>
        <w:ind w:right="-262"/>
        <w:rPr>
          <w:rFonts w:cstheme="minorHAnsi"/>
          <w:lang w:val="en-AU"/>
        </w:rPr>
      </w:pPr>
      <w:r w:rsidRPr="00B66460">
        <w:rPr>
          <w:rFonts w:cstheme="minorHAnsi"/>
          <w:lang w:val="en-AU"/>
        </w:rPr>
        <w:t xml:space="preserve">DFAT agrees with the evaluation’s </w:t>
      </w:r>
      <w:r w:rsidR="006F060B" w:rsidRPr="00B66460">
        <w:rPr>
          <w:rFonts w:cstheme="minorHAnsi"/>
          <w:lang w:val="en-AU"/>
        </w:rPr>
        <w:t>10</w:t>
      </w:r>
      <w:r w:rsidRPr="00B66460">
        <w:rPr>
          <w:rFonts w:cstheme="minorHAnsi"/>
          <w:lang w:val="en-AU"/>
        </w:rPr>
        <w:t xml:space="preserve"> key recommendations in full or in part. Justification</w:t>
      </w:r>
      <w:r w:rsidR="00BE704C">
        <w:rPr>
          <w:rFonts w:cstheme="minorHAnsi"/>
          <w:lang w:val="en-AU"/>
        </w:rPr>
        <w:t>s</w:t>
      </w:r>
      <w:r w:rsidRPr="00B66460">
        <w:rPr>
          <w:rFonts w:cstheme="minorHAnsi"/>
          <w:lang w:val="en-AU"/>
        </w:rPr>
        <w:t xml:space="preserve"> for our responses are summarised in the following table. </w:t>
      </w:r>
      <w:r w:rsidR="00EA658C" w:rsidRPr="00B66460">
        <w:rPr>
          <w:rFonts w:cstheme="minorHAnsi"/>
          <w:lang w:val="en-AU"/>
        </w:rPr>
        <w:t>In developing the action plan</w:t>
      </w:r>
      <w:r w:rsidR="006A317C">
        <w:rPr>
          <w:rFonts w:cstheme="minorHAnsi"/>
          <w:lang w:val="en-AU"/>
        </w:rPr>
        <w:t>,</w:t>
      </w:r>
      <w:r w:rsidR="00EA658C" w:rsidRPr="00B66460">
        <w:rPr>
          <w:rFonts w:cstheme="minorHAnsi"/>
          <w:lang w:val="en-AU"/>
        </w:rPr>
        <w:t xml:space="preserve"> consideration was given to the application of recommendations across programming </w:t>
      </w:r>
      <w:r w:rsidR="006A317C">
        <w:rPr>
          <w:rFonts w:cstheme="minorHAnsi"/>
          <w:lang w:val="en-AU"/>
        </w:rPr>
        <w:t xml:space="preserve">in response to protracted crises beyond </w:t>
      </w:r>
      <w:r w:rsidR="00EA658C">
        <w:rPr>
          <w:rFonts w:cstheme="minorHAnsi"/>
          <w:lang w:val="en-AU"/>
        </w:rPr>
        <w:t xml:space="preserve">the Syria </w:t>
      </w:r>
      <w:r w:rsidR="006A317C">
        <w:rPr>
          <w:rFonts w:cstheme="minorHAnsi"/>
          <w:lang w:val="en-AU"/>
        </w:rPr>
        <w:t>conflict</w:t>
      </w:r>
      <w:r w:rsidR="00EA658C">
        <w:rPr>
          <w:rFonts w:cstheme="minorHAnsi"/>
          <w:lang w:val="en-AU"/>
        </w:rPr>
        <w:t>.</w:t>
      </w:r>
      <w:r w:rsidRPr="00F64CE6">
        <w:rPr>
          <w:rFonts w:cstheme="minorHAnsi"/>
          <w:lang w:val="en-AU"/>
        </w:rPr>
        <w:t xml:space="preserve"> </w:t>
      </w:r>
      <w:r w:rsidR="00AF7F72" w:rsidRPr="00B66460">
        <w:rPr>
          <w:rFonts w:cstheme="minorHAnsi"/>
          <w:lang w:val="en-AU"/>
        </w:rPr>
        <w:t xml:space="preserve">DFAT </w:t>
      </w:r>
      <w:r w:rsidR="004022A0" w:rsidRPr="00B66460">
        <w:rPr>
          <w:rFonts w:cstheme="minorHAnsi"/>
          <w:lang w:val="en-AU"/>
        </w:rPr>
        <w:t>has</w:t>
      </w:r>
      <w:r w:rsidR="00BE704C">
        <w:rPr>
          <w:rFonts w:cstheme="minorHAnsi"/>
          <w:lang w:val="en-AU"/>
        </w:rPr>
        <w:t xml:space="preserve"> focused on </w:t>
      </w:r>
      <w:r w:rsidR="00B66460" w:rsidRPr="00B66460">
        <w:rPr>
          <w:rFonts w:cstheme="minorHAnsi"/>
          <w:lang w:val="en-AU"/>
        </w:rPr>
        <w:t>efforts to progress humanitarian system reform, Australia’s strategic interests and leadership</w:t>
      </w:r>
      <w:r w:rsidR="00BE704C">
        <w:rPr>
          <w:rFonts w:cstheme="minorHAnsi"/>
          <w:lang w:val="en-AU"/>
        </w:rPr>
        <w:t>,</w:t>
      </w:r>
      <w:r w:rsidR="00B66460" w:rsidRPr="00B66460">
        <w:rPr>
          <w:rFonts w:cstheme="minorHAnsi"/>
          <w:lang w:val="en-AU"/>
        </w:rPr>
        <w:t xml:space="preserve"> </w:t>
      </w:r>
      <w:r w:rsidR="006A317C">
        <w:rPr>
          <w:rFonts w:cstheme="minorHAnsi"/>
          <w:lang w:val="en-AU"/>
        </w:rPr>
        <w:t>as well as</w:t>
      </w:r>
      <w:r w:rsidR="00B66460" w:rsidRPr="00B66460">
        <w:rPr>
          <w:rFonts w:cstheme="minorHAnsi"/>
          <w:lang w:val="en-AU"/>
        </w:rPr>
        <w:t xml:space="preserve"> </w:t>
      </w:r>
      <w:r w:rsidRPr="00B66460">
        <w:rPr>
          <w:rFonts w:cstheme="minorHAnsi"/>
          <w:lang w:val="en-AU"/>
        </w:rPr>
        <w:t>human and financial resourcing constraints</w:t>
      </w:r>
      <w:r w:rsidR="00B66460" w:rsidRPr="00B66460">
        <w:rPr>
          <w:rFonts w:cstheme="minorHAnsi"/>
          <w:lang w:val="en-AU"/>
        </w:rPr>
        <w:t xml:space="preserve">. </w:t>
      </w:r>
    </w:p>
    <w:p w14:paraId="27DDB680" w14:textId="77777777" w:rsidR="00BF29DE" w:rsidRPr="00F64CE6" w:rsidRDefault="00BF29DE" w:rsidP="002609D3">
      <w:pPr>
        <w:pStyle w:val="BodyText"/>
        <w:spacing w:after="120"/>
        <w:ind w:right="-262"/>
        <w:rPr>
          <w:rFonts w:cstheme="minorHAnsi"/>
          <w:lang w:val="en-AU"/>
        </w:rPr>
        <w:sectPr w:rsidR="00BF29DE" w:rsidRPr="00F64CE6" w:rsidSect="002609D3">
          <w:headerReference w:type="even" r:id="rId8"/>
          <w:headerReference w:type="default" r:id="rId9"/>
          <w:footerReference w:type="even" r:id="rId10"/>
          <w:footerReference w:type="default" r:id="rId11"/>
          <w:headerReference w:type="first" r:id="rId12"/>
          <w:footerReference w:type="first" r:id="rId13"/>
          <w:pgSz w:w="11906" w:h="16838" w:code="9"/>
          <w:pgMar w:top="1135" w:right="1134" w:bottom="1418" w:left="1134" w:header="425" w:footer="493" w:gutter="0"/>
          <w:cols w:space="397"/>
          <w:titlePg/>
          <w:docGrid w:linePitch="360"/>
        </w:sectPr>
      </w:pPr>
    </w:p>
    <w:tbl>
      <w:tblPr>
        <w:tblStyle w:val="DFATTable1"/>
        <w:tblW w:w="15593" w:type="dxa"/>
        <w:tblInd w:w="-142" w:type="dxa"/>
        <w:tblLayout w:type="fixed"/>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106"/>
        <w:gridCol w:w="1042"/>
        <w:gridCol w:w="4775"/>
        <w:gridCol w:w="4394"/>
        <w:gridCol w:w="1276"/>
      </w:tblGrid>
      <w:tr w:rsidR="001C3056" w14:paraId="7A95054D" w14:textId="77777777" w:rsidTr="006D0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84CDA2" w:themeFill="accent5" w:themeFillTint="99"/>
          </w:tcPr>
          <w:p w14:paraId="7FAF16C0" w14:textId="77777777" w:rsidR="00B70BFC" w:rsidRPr="00B70BFC" w:rsidRDefault="00B70BFC" w:rsidP="002609D3">
            <w:pPr>
              <w:pStyle w:val="BodyText"/>
              <w:spacing w:before="60"/>
              <w:rPr>
                <w:rFonts w:asciiTheme="majorHAnsi" w:hAnsiTheme="majorHAnsi"/>
                <w:b/>
                <w:spacing w:val="-2"/>
                <w:sz w:val="21"/>
                <w:szCs w:val="21"/>
              </w:rPr>
            </w:pPr>
            <w:r w:rsidRPr="00B70BFC">
              <w:rPr>
                <w:rFonts w:asciiTheme="majorHAnsi" w:hAnsiTheme="majorHAnsi"/>
                <w:b/>
                <w:spacing w:val="-2"/>
                <w:sz w:val="21"/>
                <w:szCs w:val="21"/>
              </w:rPr>
              <w:lastRenderedPageBreak/>
              <w:t>Recommendation</w:t>
            </w:r>
          </w:p>
        </w:tc>
        <w:tc>
          <w:tcPr>
            <w:tcW w:w="1042" w:type="dxa"/>
            <w:shd w:val="clear" w:color="auto" w:fill="84CDA2" w:themeFill="accent5" w:themeFillTint="99"/>
          </w:tcPr>
          <w:p w14:paraId="7B08C42C" w14:textId="77777777" w:rsidR="00B70BFC" w:rsidRPr="00B70BFC" w:rsidRDefault="00B70BFC" w:rsidP="002609D3">
            <w:pPr>
              <w:pStyle w:val="BodyText"/>
              <w:spacing w:before="60"/>
              <w:cnfStyle w:val="100000000000" w:firstRow="1" w:lastRow="0" w:firstColumn="0" w:lastColumn="0" w:oddVBand="0" w:evenVBand="0" w:oddHBand="0" w:evenHBand="0" w:firstRowFirstColumn="0" w:firstRowLastColumn="0" w:lastRowFirstColumn="0" w:lastRowLastColumn="0"/>
              <w:rPr>
                <w:rFonts w:asciiTheme="majorHAnsi" w:hAnsiTheme="majorHAnsi"/>
                <w:b/>
                <w:spacing w:val="-2"/>
                <w:sz w:val="21"/>
                <w:szCs w:val="21"/>
              </w:rPr>
            </w:pPr>
            <w:r w:rsidRPr="00B70BFC">
              <w:rPr>
                <w:rFonts w:asciiTheme="majorHAnsi" w:hAnsiTheme="majorHAnsi"/>
                <w:b/>
                <w:spacing w:val="-2"/>
                <w:sz w:val="21"/>
                <w:szCs w:val="21"/>
              </w:rPr>
              <w:t>Response</w:t>
            </w:r>
          </w:p>
        </w:tc>
        <w:tc>
          <w:tcPr>
            <w:tcW w:w="4775" w:type="dxa"/>
            <w:shd w:val="clear" w:color="auto" w:fill="84CDA2" w:themeFill="accent5" w:themeFillTint="99"/>
          </w:tcPr>
          <w:p w14:paraId="1A5AD914" w14:textId="77777777" w:rsidR="00B70BFC" w:rsidRPr="00B70BFC" w:rsidRDefault="00B70BFC" w:rsidP="002609D3">
            <w:pPr>
              <w:pStyle w:val="BodyText"/>
              <w:spacing w:before="60"/>
              <w:cnfStyle w:val="100000000000" w:firstRow="1" w:lastRow="0" w:firstColumn="0" w:lastColumn="0" w:oddVBand="0" w:evenVBand="0" w:oddHBand="0" w:evenHBand="0" w:firstRowFirstColumn="0" w:firstRowLastColumn="0" w:lastRowFirstColumn="0" w:lastRowLastColumn="0"/>
              <w:rPr>
                <w:rFonts w:asciiTheme="majorHAnsi" w:hAnsiTheme="majorHAnsi"/>
                <w:b/>
                <w:spacing w:val="-2"/>
                <w:sz w:val="21"/>
                <w:szCs w:val="21"/>
              </w:rPr>
            </w:pPr>
            <w:r w:rsidRPr="00B70BFC">
              <w:rPr>
                <w:rFonts w:asciiTheme="majorHAnsi" w:hAnsiTheme="majorHAnsi"/>
                <w:b/>
                <w:spacing w:val="-2"/>
                <w:sz w:val="21"/>
                <w:szCs w:val="21"/>
              </w:rPr>
              <w:t>Explanation</w:t>
            </w:r>
          </w:p>
        </w:tc>
        <w:tc>
          <w:tcPr>
            <w:tcW w:w="4394" w:type="dxa"/>
            <w:shd w:val="clear" w:color="auto" w:fill="84CDA2" w:themeFill="accent5" w:themeFillTint="99"/>
          </w:tcPr>
          <w:p w14:paraId="2A4688F1" w14:textId="77777777" w:rsidR="00B70BFC" w:rsidRPr="00B70BFC" w:rsidRDefault="00B70BFC" w:rsidP="002609D3">
            <w:pPr>
              <w:pStyle w:val="BodyText"/>
              <w:spacing w:before="60"/>
              <w:cnfStyle w:val="100000000000" w:firstRow="1" w:lastRow="0" w:firstColumn="0" w:lastColumn="0" w:oddVBand="0" w:evenVBand="0" w:oddHBand="0" w:evenHBand="0" w:firstRowFirstColumn="0" w:firstRowLastColumn="0" w:lastRowFirstColumn="0" w:lastRowLastColumn="0"/>
              <w:rPr>
                <w:rFonts w:asciiTheme="majorHAnsi" w:hAnsiTheme="majorHAnsi"/>
                <w:b/>
                <w:spacing w:val="-2"/>
                <w:sz w:val="21"/>
                <w:szCs w:val="21"/>
              </w:rPr>
            </w:pPr>
            <w:r w:rsidRPr="00B70BFC">
              <w:rPr>
                <w:rFonts w:asciiTheme="majorHAnsi" w:hAnsiTheme="majorHAnsi"/>
                <w:b/>
                <w:spacing w:val="-2"/>
                <w:sz w:val="21"/>
                <w:szCs w:val="21"/>
              </w:rPr>
              <w:t>Action Plan</w:t>
            </w:r>
          </w:p>
        </w:tc>
        <w:tc>
          <w:tcPr>
            <w:tcW w:w="1276" w:type="dxa"/>
            <w:shd w:val="clear" w:color="auto" w:fill="84CDA2" w:themeFill="accent5" w:themeFillTint="99"/>
          </w:tcPr>
          <w:p w14:paraId="6F0053A0" w14:textId="77777777" w:rsidR="00B70BFC" w:rsidRPr="00B70BFC" w:rsidRDefault="00B70BFC" w:rsidP="002609D3">
            <w:pPr>
              <w:pStyle w:val="BodyText"/>
              <w:spacing w:before="60"/>
              <w:cnfStyle w:val="100000000000" w:firstRow="1" w:lastRow="0" w:firstColumn="0" w:lastColumn="0" w:oddVBand="0" w:evenVBand="0" w:oddHBand="0" w:evenHBand="0" w:firstRowFirstColumn="0" w:firstRowLastColumn="0" w:lastRowFirstColumn="0" w:lastRowLastColumn="0"/>
              <w:rPr>
                <w:rFonts w:asciiTheme="majorHAnsi" w:hAnsiTheme="majorHAnsi"/>
                <w:b/>
                <w:spacing w:val="-2"/>
                <w:sz w:val="21"/>
                <w:szCs w:val="21"/>
              </w:rPr>
            </w:pPr>
            <w:r w:rsidRPr="00B70BFC">
              <w:rPr>
                <w:rFonts w:asciiTheme="majorHAnsi" w:hAnsiTheme="majorHAnsi"/>
                <w:b/>
                <w:spacing w:val="-2"/>
                <w:sz w:val="21"/>
                <w:szCs w:val="21"/>
              </w:rPr>
              <w:t>Timeframe</w:t>
            </w:r>
          </w:p>
        </w:tc>
      </w:tr>
      <w:tr w:rsidR="001C3056" w14:paraId="4A944EF1" w14:textId="77777777" w:rsidTr="006D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1F955A1" w14:textId="77777777" w:rsidR="00F4752F" w:rsidRPr="00A016D1" w:rsidRDefault="00F4752F" w:rsidP="002609D3">
            <w:pPr>
              <w:pStyle w:val="BodyText"/>
              <w:spacing w:before="60"/>
              <w:rPr>
                <w:rFonts w:asciiTheme="majorHAnsi" w:hAnsiTheme="majorHAnsi"/>
                <w:spacing w:val="-2"/>
                <w:sz w:val="21"/>
                <w:szCs w:val="21"/>
              </w:rPr>
            </w:pPr>
            <w:r w:rsidRPr="00A016D1">
              <w:rPr>
                <w:rFonts w:asciiTheme="majorHAnsi" w:hAnsiTheme="majorHAnsi"/>
                <w:spacing w:val="-2"/>
                <w:sz w:val="21"/>
                <w:szCs w:val="21"/>
              </w:rPr>
              <w:t>Recommendation 1:</w:t>
            </w:r>
          </w:p>
          <w:p w14:paraId="1556E8AB" w14:textId="77777777" w:rsidR="00F4752F" w:rsidRPr="003E2545" w:rsidRDefault="00F4752F" w:rsidP="002609D3">
            <w:pPr>
              <w:pStyle w:val="BodyText"/>
              <w:spacing w:before="60"/>
              <w:rPr>
                <w:rFonts w:asciiTheme="majorHAnsi" w:hAnsiTheme="majorHAnsi"/>
                <w:spacing w:val="-2"/>
                <w:sz w:val="21"/>
                <w:szCs w:val="21"/>
              </w:rPr>
            </w:pPr>
            <w:r>
              <w:rPr>
                <w:rFonts w:asciiTheme="majorHAnsi" w:hAnsiTheme="majorHAnsi"/>
                <w:spacing w:val="-2"/>
                <w:sz w:val="21"/>
                <w:szCs w:val="21"/>
              </w:rPr>
              <w:t>Future multiyear packages: retain successful design elements, including funding at scale; close alignment with respective UN-led HRP priorities and host government needs; and balance of humanitarian and resilience-building funding allocations.</w:t>
            </w:r>
          </w:p>
        </w:tc>
        <w:tc>
          <w:tcPr>
            <w:tcW w:w="1042" w:type="dxa"/>
            <w:shd w:val="clear" w:color="auto" w:fill="92D050"/>
          </w:tcPr>
          <w:p w14:paraId="4228A02B" w14:textId="77777777" w:rsidR="00F4752F" w:rsidRPr="003E2545"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4775" w:type="dxa"/>
          </w:tcPr>
          <w:p w14:paraId="2B95665E" w14:textId="64F3CB51" w:rsidR="00F4752F" w:rsidRPr="003E2545" w:rsidRDefault="00F4752F" w:rsidP="00D520C4">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Following recommendations from an independent evaluation of Australia’s Syria response in 2014 and commitments made at the World Humanitarian Summit in 2016, DFAT has increasingly shifted to multiyear</w:t>
            </w:r>
            <w:r w:rsidR="006A317C">
              <w:rPr>
                <w:rFonts w:asciiTheme="majorHAnsi" w:hAnsiTheme="majorHAnsi"/>
                <w:spacing w:val="-2"/>
                <w:sz w:val="21"/>
                <w:szCs w:val="21"/>
              </w:rPr>
              <w:t xml:space="preserve"> and</w:t>
            </w:r>
            <w:r>
              <w:rPr>
                <w:rFonts w:asciiTheme="majorHAnsi" w:hAnsiTheme="majorHAnsi"/>
                <w:spacing w:val="-2"/>
                <w:sz w:val="21"/>
                <w:szCs w:val="21"/>
              </w:rPr>
              <w:t xml:space="preserve"> multi-sectoral responses</w:t>
            </w:r>
            <w:r w:rsidR="00271F7B">
              <w:rPr>
                <w:rFonts w:asciiTheme="majorHAnsi" w:hAnsiTheme="majorHAnsi"/>
                <w:spacing w:val="-2"/>
                <w:sz w:val="21"/>
                <w:szCs w:val="21"/>
              </w:rPr>
              <w:t xml:space="preserve"> that </w:t>
            </w:r>
            <w:r>
              <w:rPr>
                <w:rFonts w:asciiTheme="majorHAnsi" w:hAnsiTheme="majorHAnsi"/>
                <w:spacing w:val="-2"/>
                <w:sz w:val="21"/>
                <w:szCs w:val="21"/>
              </w:rPr>
              <w:t>aim to address the needs of affected populations and align with</w:t>
            </w:r>
            <w:r w:rsidR="00B66460">
              <w:rPr>
                <w:rFonts w:asciiTheme="majorHAnsi" w:hAnsiTheme="majorHAnsi"/>
                <w:spacing w:val="-2"/>
                <w:sz w:val="21"/>
                <w:szCs w:val="21"/>
              </w:rPr>
              <w:t xml:space="preserve"> </w:t>
            </w:r>
            <w:r>
              <w:rPr>
                <w:rFonts w:asciiTheme="majorHAnsi" w:hAnsiTheme="majorHAnsi"/>
                <w:spacing w:val="-2"/>
                <w:sz w:val="21"/>
                <w:szCs w:val="21"/>
              </w:rPr>
              <w:t>the priorities set out by humanitarian actors, affected</w:t>
            </w:r>
            <w:r w:rsidR="00F90941">
              <w:rPr>
                <w:rFonts w:asciiTheme="majorHAnsi" w:hAnsiTheme="majorHAnsi"/>
                <w:spacing w:val="-2"/>
                <w:sz w:val="21"/>
                <w:szCs w:val="21"/>
              </w:rPr>
              <w:t xml:space="preserve"> governments (where appropriate</w:t>
            </w:r>
            <w:r>
              <w:rPr>
                <w:rFonts w:asciiTheme="majorHAnsi" w:hAnsiTheme="majorHAnsi"/>
                <w:spacing w:val="-2"/>
                <w:sz w:val="21"/>
                <w:szCs w:val="21"/>
              </w:rPr>
              <w:t xml:space="preserve">) and likemindeds. </w:t>
            </w:r>
            <w:r w:rsidR="00EB4018" w:rsidRPr="00AA1146">
              <w:rPr>
                <w:rFonts w:asciiTheme="majorHAnsi" w:hAnsiTheme="majorHAnsi"/>
                <w:spacing w:val="-2"/>
                <w:sz w:val="21"/>
                <w:szCs w:val="21"/>
              </w:rPr>
              <w:t>In accordance with DFAT’s adoption of the DAC recommendation on humanitarian-development-peace nexus coherence</w:t>
            </w:r>
            <w:r w:rsidR="00EB4018">
              <w:rPr>
                <w:rFonts w:asciiTheme="majorHAnsi" w:hAnsiTheme="majorHAnsi"/>
                <w:spacing w:val="-2"/>
                <w:sz w:val="21"/>
                <w:szCs w:val="21"/>
              </w:rPr>
              <w:t xml:space="preserve">, </w:t>
            </w:r>
            <w:r>
              <w:rPr>
                <w:rFonts w:asciiTheme="majorHAnsi" w:hAnsiTheme="majorHAnsi"/>
                <w:spacing w:val="-2"/>
                <w:sz w:val="21"/>
                <w:szCs w:val="21"/>
              </w:rPr>
              <w:t xml:space="preserve">DFAT recognises the importance of addressing immediate </w:t>
            </w:r>
            <w:r w:rsidR="00271F7B">
              <w:rPr>
                <w:rFonts w:asciiTheme="majorHAnsi" w:hAnsiTheme="majorHAnsi"/>
                <w:spacing w:val="-2"/>
                <w:sz w:val="21"/>
                <w:szCs w:val="21"/>
              </w:rPr>
              <w:t xml:space="preserve">needs </w:t>
            </w:r>
            <w:r>
              <w:rPr>
                <w:rFonts w:asciiTheme="majorHAnsi" w:hAnsiTheme="majorHAnsi"/>
                <w:spacing w:val="-2"/>
                <w:sz w:val="21"/>
                <w:szCs w:val="21"/>
              </w:rPr>
              <w:t xml:space="preserve">as well as longer-term </w:t>
            </w:r>
            <w:r w:rsidR="00271F7B">
              <w:rPr>
                <w:rFonts w:asciiTheme="majorHAnsi" w:hAnsiTheme="majorHAnsi"/>
                <w:spacing w:val="-2"/>
                <w:sz w:val="21"/>
                <w:szCs w:val="21"/>
              </w:rPr>
              <w:t>vulnerabilities by promoting</w:t>
            </w:r>
            <w:r>
              <w:rPr>
                <w:rFonts w:asciiTheme="majorHAnsi" w:hAnsiTheme="majorHAnsi"/>
                <w:spacing w:val="-2"/>
                <w:sz w:val="21"/>
                <w:szCs w:val="21"/>
              </w:rPr>
              <w:t xml:space="preserve"> self-reliance</w:t>
            </w:r>
            <w:r w:rsidR="00445B40">
              <w:rPr>
                <w:rFonts w:asciiTheme="majorHAnsi" w:hAnsiTheme="majorHAnsi"/>
                <w:spacing w:val="-2"/>
                <w:sz w:val="21"/>
                <w:szCs w:val="21"/>
              </w:rPr>
              <w:t xml:space="preserve"> and</w:t>
            </w:r>
            <w:r>
              <w:rPr>
                <w:rFonts w:asciiTheme="majorHAnsi" w:hAnsiTheme="majorHAnsi"/>
                <w:spacing w:val="-2"/>
                <w:sz w:val="21"/>
                <w:szCs w:val="21"/>
              </w:rPr>
              <w:t xml:space="preserve"> sustainability. </w:t>
            </w:r>
          </w:p>
        </w:tc>
        <w:tc>
          <w:tcPr>
            <w:tcW w:w="4394" w:type="dxa"/>
          </w:tcPr>
          <w:p w14:paraId="1D84E856" w14:textId="7E835915" w:rsidR="0091300E" w:rsidRDefault="0091300E"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will leverage learnings and consider the appropriate scale of funding, alignment with local priorities and balance of addressing immediate and longer-term needs during the concept and design phase of future Australian responses to protracted crises, including the suitability of a multiyear and multi-sectoral approach</w:t>
            </w:r>
            <w:r w:rsidR="00EB4018">
              <w:rPr>
                <w:rFonts w:asciiTheme="majorHAnsi" w:hAnsiTheme="majorHAnsi"/>
                <w:spacing w:val="-2"/>
                <w:sz w:val="21"/>
                <w:szCs w:val="21"/>
              </w:rPr>
              <w:t xml:space="preserve">, </w:t>
            </w:r>
            <w:r w:rsidR="00EB4018" w:rsidRPr="00AA1146">
              <w:rPr>
                <w:rFonts w:asciiTheme="majorHAnsi" w:hAnsiTheme="majorHAnsi"/>
                <w:spacing w:val="-2"/>
                <w:sz w:val="21"/>
                <w:szCs w:val="21"/>
              </w:rPr>
              <w:t xml:space="preserve">informed by </w:t>
            </w:r>
            <w:r w:rsidR="00445B40" w:rsidRPr="00AA1146">
              <w:rPr>
                <w:rFonts w:asciiTheme="majorHAnsi" w:hAnsiTheme="majorHAnsi"/>
                <w:spacing w:val="-2"/>
                <w:sz w:val="21"/>
                <w:szCs w:val="21"/>
              </w:rPr>
              <w:t xml:space="preserve">context </w:t>
            </w:r>
            <w:r w:rsidR="00EB4018" w:rsidRPr="00AA1146">
              <w:rPr>
                <w:rFonts w:asciiTheme="majorHAnsi" w:hAnsiTheme="majorHAnsi"/>
                <w:spacing w:val="-2"/>
                <w:sz w:val="21"/>
                <w:szCs w:val="21"/>
              </w:rPr>
              <w:t>analysis</w:t>
            </w:r>
            <w:r>
              <w:rPr>
                <w:rFonts w:asciiTheme="majorHAnsi" w:hAnsiTheme="majorHAnsi"/>
                <w:spacing w:val="-2"/>
                <w:sz w:val="21"/>
                <w:szCs w:val="21"/>
              </w:rPr>
              <w:t>.</w:t>
            </w:r>
          </w:p>
          <w:p w14:paraId="0ED1E9F6" w14:textId="77777777" w:rsidR="00F4752F" w:rsidRPr="003E2545"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p>
        </w:tc>
        <w:tc>
          <w:tcPr>
            <w:tcW w:w="1276" w:type="dxa"/>
          </w:tcPr>
          <w:p w14:paraId="2609371E" w14:textId="77777777" w:rsidR="00F4752F" w:rsidRPr="003E2545"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Ongoing / December 2019</w:t>
            </w:r>
          </w:p>
        </w:tc>
      </w:tr>
      <w:tr w:rsidR="001C3056" w14:paraId="2F2F5189" w14:textId="77777777" w:rsidTr="006D0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6A5539C" w14:textId="77777777" w:rsidR="00F4752F" w:rsidRPr="003E2545" w:rsidRDefault="00F4752F" w:rsidP="002609D3">
            <w:pPr>
              <w:pStyle w:val="BodyText"/>
              <w:spacing w:before="60"/>
              <w:rPr>
                <w:rFonts w:asciiTheme="majorHAnsi" w:hAnsiTheme="majorHAnsi"/>
                <w:spacing w:val="-2"/>
                <w:sz w:val="21"/>
                <w:szCs w:val="21"/>
              </w:rPr>
            </w:pPr>
            <w:r w:rsidRPr="003E2545">
              <w:rPr>
                <w:rFonts w:asciiTheme="majorHAnsi" w:hAnsiTheme="majorHAnsi"/>
                <w:spacing w:val="-2"/>
                <w:sz w:val="21"/>
                <w:szCs w:val="21"/>
              </w:rPr>
              <w:t xml:space="preserve">Recommendation </w:t>
            </w:r>
            <w:r>
              <w:rPr>
                <w:rFonts w:asciiTheme="majorHAnsi" w:hAnsiTheme="majorHAnsi"/>
                <w:spacing w:val="-2"/>
                <w:sz w:val="21"/>
                <w:szCs w:val="21"/>
              </w:rPr>
              <w:t>2</w:t>
            </w:r>
            <w:r w:rsidRPr="003E2545">
              <w:rPr>
                <w:rFonts w:asciiTheme="majorHAnsi" w:hAnsiTheme="majorHAnsi"/>
                <w:spacing w:val="-2"/>
                <w:sz w:val="21"/>
                <w:szCs w:val="21"/>
              </w:rPr>
              <w:t>:</w:t>
            </w:r>
          </w:p>
          <w:p w14:paraId="7F855C43" w14:textId="77777777" w:rsidR="00F4752F" w:rsidRPr="009B4949" w:rsidRDefault="00F4752F" w:rsidP="002609D3">
            <w:pPr>
              <w:pStyle w:val="BodyText"/>
              <w:spacing w:before="60"/>
              <w:rPr>
                <w:rFonts w:asciiTheme="majorHAnsi" w:hAnsiTheme="majorHAnsi"/>
                <w:spacing w:val="-2"/>
                <w:sz w:val="21"/>
                <w:szCs w:val="21"/>
              </w:rPr>
            </w:pPr>
            <w:r>
              <w:rPr>
                <w:rFonts w:asciiTheme="majorHAnsi" w:hAnsiTheme="majorHAnsi"/>
                <w:spacing w:val="-2"/>
                <w:sz w:val="21"/>
                <w:szCs w:val="21"/>
              </w:rPr>
              <w:t>Future multiyear packages should include a mix of funding modalities that are softly earmarked and promote flexibility. Objectives and indicators to measure intended benefits of multiyear funding should be identified with partners and included in monitoring.</w:t>
            </w:r>
          </w:p>
        </w:tc>
        <w:tc>
          <w:tcPr>
            <w:tcW w:w="1042" w:type="dxa"/>
            <w:shd w:val="clear" w:color="auto" w:fill="92D050"/>
          </w:tcPr>
          <w:p w14:paraId="3A317951" w14:textId="0FFD6C13" w:rsidR="00F4752F" w:rsidRPr="003E2545" w:rsidRDefault="00F4752F" w:rsidP="001617F8">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4775" w:type="dxa"/>
          </w:tcPr>
          <w:p w14:paraId="1707DF63" w14:textId="3D5715BA" w:rsidR="00F4752F"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Australia is eager to see a more effective and efficient humanitarian system and will (where possible) seek to provide flexible and predictable funding to partners to adapt operations in response to changing contexts and needs in protracted crisis situations. Where appropriate this </w:t>
            </w:r>
            <w:r w:rsidR="00514D56">
              <w:rPr>
                <w:rFonts w:asciiTheme="majorHAnsi" w:hAnsiTheme="majorHAnsi"/>
                <w:spacing w:val="-2"/>
                <w:sz w:val="21"/>
                <w:szCs w:val="21"/>
              </w:rPr>
              <w:t>will</w:t>
            </w:r>
            <w:r>
              <w:rPr>
                <w:rFonts w:asciiTheme="majorHAnsi" w:hAnsiTheme="majorHAnsi"/>
                <w:spacing w:val="-2"/>
                <w:sz w:val="21"/>
                <w:szCs w:val="21"/>
              </w:rPr>
              <w:t xml:space="preserve"> be complemented </w:t>
            </w:r>
            <w:r w:rsidR="006D0338">
              <w:rPr>
                <w:rFonts w:asciiTheme="majorHAnsi" w:hAnsiTheme="majorHAnsi"/>
                <w:spacing w:val="-2"/>
                <w:sz w:val="21"/>
                <w:szCs w:val="21"/>
              </w:rPr>
              <w:t>by</w:t>
            </w:r>
            <w:r>
              <w:rPr>
                <w:rFonts w:asciiTheme="majorHAnsi" w:hAnsiTheme="majorHAnsi"/>
                <w:spacing w:val="-2"/>
                <w:sz w:val="21"/>
                <w:szCs w:val="21"/>
              </w:rPr>
              <w:t xml:space="preserve"> more tightly earmark</w:t>
            </w:r>
            <w:r w:rsidR="006D0338">
              <w:rPr>
                <w:rFonts w:asciiTheme="majorHAnsi" w:hAnsiTheme="majorHAnsi"/>
                <w:spacing w:val="-2"/>
                <w:sz w:val="21"/>
                <w:szCs w:val="21"/>
              </w:rPr>
              <w:t>ed</w:t>
            </w:r>
            <w:r>
              <w:rPr>
                <w:rFonts w:asciiTheme="majorHAnsi" w:hAnsiTheme="majorHAnsi"/>
                <w:spacing w:val="-2"/>
                <w:sz w:val="21"/>
                <w:szCs w:val="21"/>
              </w:rPr>
              <w:t xml:space="preserve"> funding to priority sectors and activities. Activity based funding provides greater visibility of the impact of Australian funding </w:t>
            </w:r>
            <w:r w:rsidR="00271F7B">
              <w:rPr>
                <w:rFonts w:asciiTheme="majorHAnsi" w:hAnsiTheme="majorHAnsi"/>
                <w:spacing w:val="-2"/>
                <w:sz w:val="21"/>
                <w:szCs w:val="21"/>
              </w:rPr>
              <w:t xml:space="preserve">and </w:t>
            </w:r>
            <w:r>
              <w:rPr>
                <w:rFonts w:asciiTheme="majorHAnsi" w:hAnsiTheme="majorHAnsi"/>
                <w:spacing w:val="-2"/>
                <w:sz w:val="21"/>
                <w:szCs w:val="21"/>
              </w:rPr>
              <w:t xml:space="preserve">can be communicated with domestic and international audiences. </w:t>
            </w:r>
          </w:p>
          <w:p w14:paraId="24118CF8" w14:textId="54A42E61" w:rsidR="00F4752F" w:rsidRPr="003E2545" w:rsidRDefault="00F4752F" w:rsidP="00514D56">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notes the value of robust design, monitoring and evaluation processes that articulate clear objectives and indicators to measure </w:t>
            </w:r>
            <w:r w:rsidR="00514D56">
              <w:rPr>
                <w:rFonts w:asciiTheme="majorHAnsi" w:hAnsiTheme="majorHAnsi"/>
                <w:spacing w:val="-2"/>
                <w:sz w:val="21"/>
                <w:szCs w:val="21"/>
              </w:rPr>
              <w:t>the benefits of multiyear funding</w:t>
            </w:r>
            <w:r>
              <w:rPr>
                <w:rFonts w:asciiTheme="majorHAnsi" w:hAnsiTheme="majorHAnsi"/>
                <w:spacing w:val="-2"/>
                <w:sz w:val="21"/>
                <w:szCs w:val="21"/>
              </w:rPr>
              <w:t>.</w:t>
            </w:r>
          </w:p>
        </w:tc>
        <w:tc>
          <w:tcPr>
            <w:tcW w:w="4394" w:type="dxa"/>
          </w:tcPr>
          <w:p w14:paraId="5059BBD1" w14:textId="77777777" w:rsidR="00F4752F"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will explore a range of funding modalities for future multiyear packages, to ensure that strategic priorities and needs of affected communities are being addressed, prioritising predictability and flexibility where appropriate. </w:t>
            </w:r>
          </w:p>
          <w:p w14:paraId="1D8723D5" w14:textId="073A14B5" w:rsidR="00F4752F" w:rsidRPr="003E2545" w:rsidRDefault="00F4752F" w:rsidP="00514D56">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During the design phase of</w:t>
            </w:r>
            <w:r w:rsidR="006A317C">
              <w:rPr>
                <w:rFonts w:asciiTheme="majorHAnsi" w:hAnsiTheme="majorHAnsi"/>
                <w:spacing w:val="-2"/>
                <w:sz w:val="21"/>
                <w:szCs w:val="21"/>
              </w:rPr>
              <w:t xml:space="preserve"> </w:t>
            </w:r>
            <w:r>
              <w:rPr>
                <w:rFonts w:asciiTheme="majorHAnsi" w:hAnsiTheme="majorHAnsi"/>
                <w:spacing w:val="-2"/>
                <w:sz w:val="21"/>
                <w:szCs w:val="21"/>
              </w:rPr>
              <w:t xml:space="preserve">future </w:t>
            </w:r>
            <w:r w:rsidR="006A317C">
              <w:rPr>
                <w:rFonts w:asciiTheme="majorHAnsi" w:hAnsiTheme="majorHAnsi"/>
                <w:spacing w:val="-2"/>
                <w:sz w:val="21"/>
                <w:szCs w:val="21"/>
              </w:rPr>
              <w:t xml:space="preserve">responses to </w:t>
            </w:r>
            <w:r>
              <w:rPr>
                <w:rFonts w:asciiTheme="majorHAnsi" w:hAnsiTheme="majorHAnsi"/>
                <w:spacing w:val="-2"/>
                <w:sz w:val="21"/>
                <w:szCs w:val="21"/>
              </w:rPr>
              <w:t>protracted cris</w:t>
            </w:r>
            <w:r w:rsidR="006A317C">
              <w:rPr>
                <w:rFonts w:asciiTheme="majorHAnsi" w:hAnsiTheme="majorHAnsi"/>
                <w:spacing w:val="-2"/>
                <w:sz w:val="21"/>
                <w:szCs w:val="21"/>
              </w:rPr>
              <w:t>e</w:t>
            </w:r>
            <w:r>
              <w:rPr>
                <w:rFonts w:asciiTheme="majorHAnsi" w:hAnsiTheme="majorHAnsi"/>
                <w:spacing w:val="-2"/>
                <w:sz w:val="21"/>
                <w:szCs w:val="21"/>
              </w:rPr>
              <w:t>s</w:t>
            </w:r>
            <w:r w:rsidR="006A317C">
              <w:rPr>
                <w:rFonts w:asciiTheme="majorHAnsi" w:hAnsiTheme="majorHAnsi"/>
                <w:spacing w:val="-2"/>
                <w:sz w:val="21"/>
                <w:szCs w:val="21"/>
              </w:rPr>
              <w:t>,</w:t>
            </w:r>
            <w:r>
              <w:rPr>
                <w:rFonts w:asciiTheme="majorHAnsi" w:hAnsiTheme="majorHAnsi"/>
                <w:spacing w:val="-2"/>
                <w:sz w:val="21"/>
                <w:szCs w:val="21"/>
              </w:rPr>
              <w:t xml:space="preserve"> DFAT will develop clear program logic</w:t>
            </w:r>
            <w:r w:rsidR="006A317C">
              <w:rPr>
                <w:rFonts w:asciiTheme="majorHAnsi" w:hAnsiTheme="majorHAnsi"/>
                <w:spacing w:val="-2"/>
                <w:sz w:val="21"/>
                <w:szCs w:val="21"/>
              </w:rPr>
              <w:t>s</w:t>
            </w:r>
            <w:r w:rsidR="00514D56">
              <w:rPr>
                <w:rFonts w:asciiTheme="majorHAnsi" w:hAnsiTheme="majorHAnsi"/>
                <w:spacing w:val="-2"/>
                <w:sz w:val="21"/>
                <w:szCs w:val="21"/>
              </w:rPr>
              <w:t>, clearly articulate expectations of partners</w:t>
            </w:r>
            <w:r w:rsidR="006D0338">
              <w:rPr>
                <w:rFonts w:asciiTheme="majorHAnsi" w:hAnsiTheme="majorHAnsi"/>
                <w:spacing w:val="-2"/>
                <w:sz w:val="21"/>
                <w:szCs w:val="21"/>
              </w:rPr>
              <w:t xml:space="preserve">, </w:t>
            </w:r>
            <w:r>
              <w:rPr>
                <w:rFonts w:asciiTheme="majorHAnsi" w:hAnsiTheme="majorHAnsi"/>
                <w:spacing w:val="-2"/>
                <w:sz w:val="21"/>
                <w:szCs w:val="21"/>
              </w:rPr>
              <w:t xml:space="preserve">and strengthen monitoring and evaluation systems and practices to </w:t>
            </w:r>
            <w:r w:rsidR="00514D56">
              <w:rPr>
                <w:rFonts w:asciiTheme="majorHAnsi" w:hAnsiTheme="majorHAnsi"/>
                <w:spacing w:val="-2"/>
                <w:sz w:val="21"/>
                <w:szCs w:val="21"/>
              </w:rPr>
              <w:t>measure the effectiveness and efficiency dividends of multiyear funding</w:t>
            </w:r>
            <w:r>
              <w:rPr>
                <w:rFonts w:asciiTheme="majorHAnsi" w:hAnsiTheme="majorHAnsi"/>
                <w:spacing w:val="-2"/>
                <w:sz w:val="21"/>
                <w:szCs w:val="21"/>
              </w:rPr>
              <w:t>.</w:t>
            </w:r>
          </w:p>
        </w:tc>
        <w:tc>
          <w:tcPr>
            <w:tcW w:w="1276" w:type="dxa"/>
          </w:tcPr>
          <w:p w14:paraId="6476733A" w14:textId="77777777" w:rsidR="00F4752F" w:rsidRPr="003E2545"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Ongoing</w:t>
            </w:r>
          </w:p>
        </w:tc>
      </w:tr>
      <w:tr w:rsidR="001C3056" w14:paraId="3F1A62F8" w14:textId="77777777" w:rsidTr="006D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557C9F7" w14:textId="77777777" w:rsidR="00F4752F" w:rsidRPr="00A016D1" w:rsidRDefault="00F4752F" w:rsidP="002609D3">
            <w:pPr>
              <w:pStyle w:val="BodyText"/>
              <w:spacing w:before="60"/>
              <w:rPr>
                <w:rFonts w:asciiTheme="majorHAnsi" w:hAnsiTheme="majorHAnsi"/>
                <w:spacing w:val="-2"/>
                <w:sz w:val="21"/>
                <w:szCs w:val="21"/>
              </w:rPr>
            </w:pPr>
            <w:r w:rsidRPr="00A016D1">
              <w:rPr>
                <w:rFonts w:asciiTheme="majorHAnsi" w:hAnsiTheme="majorHAnsi"/>
                <w:spacing w:val="-2"/>
                <w:sz w:val="21"/>
                <w:szCs w:val="21"/>
              </w:rPr>
              <w:t>Recommendation 3:</w:t>
            </w:r>
          </w:p>
          <w:p w14:paraId="53EBD05C" w14:textId="77777777" w:rsidR="00F4752F" w:rsidRDefault="00F4752F" w:rsidP="002609D3">
            <w:pPr>
              <w:pStyle w:val="BodyText"/>
              <w:spacing w:before="60"/>
              <w:rPr>
                <w:rFonts w:asciiTheme="majorHAnsi" w:hAnsiTheme="majorHAnsi"/>
                <w:spacing w:val="-2"/>
                <w:sz w:val="21"/>
                <w:szCs w:val="21"/>
              </w:rPr>
            </w:pPr>
            <w:r>
              <w:rPr>
                <w:rFonts w:asciiTheme="majorHAnsi" w:hAnsiTheme="majorHAnsi"/>
                <w:spacing w:val="-2"/>
                <w:sz w:val="21"/>
                <w:szCs w:val="21"/>
              </w:rPr>
              <w:t xml:space="preserve">3.1 Syria crisis: further increase the proportion of funding to national organisations and international organisations with strong local partnerships. The total number of partnerships should not be significantly </w:t>
            </w:r>
            <w:r>
              <w:rPr>
                <w:rFonts w:asciiTheme="majorHAnsi" w:hAnsiTheme="majorHAnsi"/>
                <w:spacing w:val="-2"/>
                <w:sz w:val="21"/>
                <w:szCs w:val="21"/>
              </w:rPr>
              <w:lastRenderedPageBreak/>
              <w:t>increased unless additional financial or staff resources are available.</w:t>
            </w:r>
          </w:p>
          <w:p w14:paraId="18A54C24" w14:textId="77777777" w:rsidR="00F4752F" w:rsidRPr="003E2545" w:rsidRDefault="00F4752F" w:rsidP="002609D3">
            <w:pPr>
              <w:pStyle w:val="BodyText"/>
              <w:spacing w:before="60"/>
              <w:rPr>
                <w:rFonts w:asciiTheme="majorHAnsi" w:hAnsiTheme="majorHAnsi"/>
                <w:spacing w:val="-2"/>
                <w:sz w:val="21"/>
                <w:szCs w:val="21"/>
              </w:rPr>
            </w:pPr>
            <w:r>
              <w:rPr>
                <w:rFonts w:asciiTheme="majorHAnsi" w:hAnsiTheme="majorHAnsi"/>
                <w:spacing w:val="-2"/>
                <w:sz w:val="21"/>
                <w:szCs w:val="21"/>
              </w:rPr>
              <w:t>3</w:t>
            </w:r>
            <w:r w:rsidRPr="00BB53D6">
              <w:rPr>
                <w:rFonts w:asciiTheme="majorHAnsi" w:hAnsiTheme="majorHAnsi"/>
                <w:spacing w:val="-2"/>
                <w:sz w:val="21"/>
                <w:szCs w:val="21"/>
              </w:rPr>
              <w:t xml:space="preserve">.2 Future multiyear packages: </w:t>
            </w:r>
            <w:r w:rsidRPr="00A279EC">
              <w:rPr>
                <w:rFonts w:asciiTheme="majorHAnsi" w:hAnsiTheme="majorHAnsi"/>
                <w:spacing w:val="-2"/>
                <w:sz w:val="21"/>
                <w:szCs w:val="21"/>
              </w:rPr>
              <w:t>include some funding targeted to local organisations</w:t>
            </w:r>
            <w:r w:rsidRPr="00BB53D6">
              <w:rPr>
                <w:rFonts w:asciiTheme="majorHAnsi" w:hAnsiTheme="majorHAnsi"/>
                <w:spacing w:val="-2"/>
                <w:sz w:val="21"/>
                <w:szCs w:val="21"/>
              </w:rPr>
              <w:t xml:space="preserve"> while ensuring the total number of partnerships</w:t>
            </w:r>
            <w:r>
              <w:rPr>
                <w:rFonts w:asciiTheme="majorHAnsi" w:hAnsiTheme="majorHAnsi"/>
                <w:spacing w:val="-2"/>
                <w:sz w:val="21"/>
                <w:szCs w:val="21"/>
              </w:rPr>
              <w:t xml:space="preserve"> is proportionate to the level of funding and DFAT’s staffing levels.</w:t>
            </w:r>
          </w:p>
        </w:tc>
        <w:tc>
          <w:tcPr>
            <w:tcW w:w="1042" w:type="dxa"/>
            <w:shd w:val="clear" w:color="auto" w:fill="FFC000"/>
          </w:tcPr>
          <w:p w14:paraId="1866B814" w14:textId="77777777" w:rsidR="00F4752F"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lastRenderedPageBreak/>
              <w:t>Agree in part</w:t>
            </w:r>
          </w:p>
        </w:tc>
        <w:tc>
          <w:tcPr>
            <w:tcW w:w="4775" w:type="dxa"/>
          </w:tcPr>
          <w:p w14:paraId="37B0972E" w14:textId="756E0368" w:rsidR="00F4752F" w:rsidRPr="00BB53D6" w:rsidRDefault="00514D56" w:rsidP="003642F5">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sidRPr="00BB53D6">
              <w:rPr>
                <w:rFonts w:asciiTheme="majorHAnsi" w:hAnsiTheme="majorHAnsi"/>
                <w:spacing w:val="-2"/>
                <w:sz w:val="21"/>
                <w:szCs w:val="21"/>
              </w:rPr>
              <w:t xml:space="preserve">In line with Grand Bargain commitments, </w:t>
            </w:r>
            <w:r w:rsidR="00F4752F" w:rsidRPr="00BB53D6">
              <w:rPr>
                <w:rFonts w:asciiTheme="majorHAnsi" w:hAnsiTheme="majorHAnsi"/>
                <w:spacing w:val="-2"/>
                <w:sz w:val="21"/>
                <w:szCs w:val="21"/>
              </w:rPr>
              <w:t xml:space="preserve">DFAT supports </w:t>
            </w:r>
            <w:r w:rsidRPr="00BB53D6">
              <w:rPr>
                <w:rFonts w:asciiTheme="majorHAnsi" w:hAnsiTheme="majorHAnsi"/>
                <w:spacing w:val="-2"/>
                <w:sz w:val="21"/>
                <w:szCs w:val="21"/>
              </w:rPr>
              <w:t>principled</w:t>
            </w:r>
            <w:r w:rsidR="00F4752F" w:rsidRPr="00BB53D6">
              <w:rPr>
                <w:rFonts w:asciiTheme="majorHAnsi" w:hAnsiTheme="majorHAnsi"/>
                <w:spacing w:val="-2"/>
                <w:sz w:val="21"/>
                <w:szCs w:val="21"/>
              </w:rPr>
              <w:t xml:space="preserve"> humanitarian action</w:t>
            </w:r>
            <w:r w:rsidRPr="00BB53D6">
              <w:rPr>
                <w:rFonts w:asciiTheme="majorHAnsi" w:hAnsiTheme="majorHAnsi"/>
                <w:spacing w:val="-2"/>
                <w:sz w:val="21"/>
                <w:szCs w:val="21"/>
              </w:rPr>
              <w:t xml:space="preserve"> that is as local as possible and as international as necessary, calibrated to achieve the best outcome for affected populations. </w:t>
            </w:r>
            <w:r w:rsidR="00F4752F" w:rsidRPr="00BB53D6">
              <w:rPr>
                <w:rFonts w:asciiTheme="majorHAnsi" w:hAnsiTheme="majorHAnsi"/>
                <w:spacing w:val="-2"/>
                <w:sz w:val="21"/>
                <w:szCs w:val="21"/>
              </w:rPr>
              <w:t xml:space="preserve">This includes </w:t>
            </w:r>
            <w:r w:rsidR="00F4752F" w:rsidRPr="00A279EC">
              <w:rPr>
                <w:rFonts w:asciiTheme="majorHAnsi" w:hAnsiTheme="majorHAnsi"/>
                <w:spacing w:val="-2"/>
                <w:sz w:val="21"/>
                <w:szCs w:val="21"/>
              </w:rPr>
              <w:t xml:space="preserve">identifying opportunities to provide funding directly to local partners and </w:t>
            </w:r>
            <w:r w:rsidR="00F4752F" w:rsidRPr="00A279EC">
              <w:rPr>
                <w:rFonts w:asciiTheme="majorHAnsi" w:hAnsiTheme="majorHAnsi"/>
                <w:spacing w:val="-2"/>
                <w:sz w:val="21"/>
                <w:szCs w:val="21"/>
              </w:rPr>
              <w:lastRenderedPageBreak/>
              <w:t>international organisations with strong local partnerships</w:t>
            </w:r>
            <w:r w:rsidR="001617F8" w:rsidRPr="00BB53D6">
              <w:rPr>
                <w:rFonts w:asciiTheme="majorHAnsi" w:hAnsiTheme="majorHAnsi"/>
                <w:spacing w:val="-2"/>
                <w:sz w:val="21"/>
                <w:szCs w:val="21"/>
              </w:rPr>
              <w:t xml:space="preserve"> and promote local leadership and the voice of affected populations</w:t>
            </w:r>
            <w:r w:rsidR="00F4752F" w:rsidRPr="00BB53D6">
              <w:rPr>
                <w:rFonts w:asciiTheme="majorHAnsi" w:hAnsiTheme="majorHAnsi"/>
                <w:spacing w:val="-2"/>
                <w:sz w:val="21"/>
                <w:szCs w:val="21"/>
              </w:rPr>
              <w:t xml:space="preserve">. DFAT notes that direct partnerships with local organisations are not always appropriate, particularly </w:t>
            </w:r>
            <w:r w:rsidR="003642F5">
              <w:rPr>
                <w:rFonts w:asciiTheme="majorHAnsi" w:hAnsiTheme="majorHAnsi"/>
                <w:spacing w:val="-2"/>
                <w:sz w:val="21"/>
                <w:szCs w:val="21"/>
              </w:rPr>
              <w:t>inside</w:t>
            </w:r>
            <w:r w:rsidR="00F4752F" w:rsidRPr="00BB53D6">
              <w:rPr>
                <w:rFonts w:asciiTheme="majorHAnsi" w:hAnsiTheme="majorHAnsi"/>
                <w:spacing w:val="-2"/>
                <w:sz w:val="21"/>
                <w:szCs w:val="21"/>
              </w:rPr>
              <w:t xml:space="preserve"> Syria, where </w:t>
            </w:r>
            <w:r w:rsidR="003642F5">
              <w:rPr>
                <w:rFonts w:asciiTheme="majorHAnsi" w:hAnsiTheme="majorHAnsi"/>
                <w:spacing w:val="-2"/>
                <w:sz w:val="21"/>
                <w:szCs w:val="21"/>
              </w:rPr>
              <w:t xml:space="preserve">risks are </w:t>
            </w:r>
            <w:r w:rsidR="003642F5" w:rsidRPr="004D6AC0">
              <w:rPr>
                <w:rFonts w:asciiTheme="majorHAnsi" w:hAnsiTheme="majorHAnsi"/>
                <w:spacing w:val="-2"/>
                <w:sz w:val="21"/>
                <w:szCs w:val="21"/>
              </w:rPr>
              <w:t xml:space="preserve">high and </w:t>
            </w:r>
            <w:r w:rsidR="00F4752F" w:rsidRPr="004D6AC0">
              <w:rPr>
                <w:rFonts w:asciiTheme="majorHAnsi" w:hAnsiTheme="majorHAnsi"/>
                <w:spacing w:val="-2"/>
                <w:sz w:val="21"/>
                <w:szCs w:val="21"/>
              </w:rPr>
              <w:t>DFAT has limited capacity to undertake</w:t>
            </w:r>
            <w:r w:rsidR="00271F7B">
              <w:rPr>
                <w:rFonts w:asciiTheme="majorHAnsi" w:hAnsiTheme="majorHAnsi"/>
                <w:spacing w:val="-2"/>
                <w:sz w:val="21"/>
                <w:szCs w:val="21"/>
              </w:rPr>
              <w:t xml:space="preserve"> appropriate due diligence and </w:t>
            </w:r>
            <w:r w:rsidR="00271F7B" w:rsidRPr="00BB53D6">
              <w:rPr>
                <w:rFonts w:asciiTheme="majorHAnsi" w:hAnsiTheme="majorHAnsi"/>
                <w:spacing w:val="-2"/>
                <w:sz w:val="21"/>
                <w:szCs w:val="21"/>
              </w:rPr>
              <w:t>monitoring</w:t>
            </w:r>
            <w:r w:rsidR="00271F7B">
              <w:rPr>
                <w:rFonts w:asciiTheme="majorHAnsi" w:hAnsiTheme="majorHAnsi"/>
                <w:spacing w:val="-2"/>
                <w:sz w:val="21"/>
                <w:szCs w:val="21"/>
              </w:rPr>
              <w:t xml:space="preserve">. </w:t>
            </w:r>
          </w:p>
        </w:tc>
        <w:tc>
          <w:tcPr>
            <w:tcW w:w="4394" w:type="dxa"/>
          </w:tcPr>
          <w:p w14:paraId="0CA4973B" w14:textId="671DB318" w:rsidR="00F4752F" w:rsidRPr="00BB53D6" w:rsidRDefault="00F4752F" w:rsidP="000A1A28">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sidRPr="00A279EC">
              <w:rPr>
                <w:rFonts w:asciiTheme="majorHAnsi" w:hAnsiTheme="majorHAnsi"/>
                <w:spacing w:val="-2"/>
                <w:sz w:val="21"/>
                <w:szCs w:val="21"/>
              </w:rPr>
              <w:lastRenderedPageBreak/>
              <w:t>During the design and implementation of responses to protracted crises, DFAT will seek opportunities to work directly with local partners and/or international organisations that partner with local actors and build local capacity</w:t>
            </w:r>
            <w:r w:rsidR="001617F8" w:rsidRPr="00BB53D6">
              <w:rPr>
                <w:rFonts w:asciiTheme="majorHAnsi" w:hAnsiTheme="majorHAnsi"/>
                <w:spacing w:val="-2"/>
                <w:sz w:val="21"/>
                <w:szCs w:val="21"/>
              </w:rPr>
              <w:t>, as appropriate</w:t>
            </w:r>
            <w:r w:rsidRPr="00BB53D6">
              <w:rPr>
                <w:rFonts w:asciiTheme="majorHAnsi" w:hAnsiTheme="majorHAnsi"/>
                <w:spacing w:val="-2"/>
                <w:sz w:val="21"/>
                <w:szCs w:val="21"/>
              </w:rPr>
              <w:t>.</w:t>
            </w:r>
          </w:p>
        </w:tc>
        <w:tc>
          <w:tcPr>
            <w:tcW w:w="1276" w:type="dxa"/>
          </w:tcPr>
          <w:p w14:paraId="214A6BE8" w14:textId="77777777" w:rsidR="00F4752F"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Ongoing</w:t>
            </w:r>
          </w:p>
        </w:tc>
      </w:tr>
      <w:tr w:rsidR="001C3056" w14:paraId="0167557B" w14:textId="77777777" w:rsidTr="006D0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253AD11" w14:textId="77777777" w:rsidR="00F4752F" w:rsidRPr="00A016D1" w:rsidRDefault="00F4752F" w:rsidP="002609D3">
            <w:pPr>
              <w:pStyle w:val="BodyText"/>
              <w:spacing w:before="60"/>
              <w:rPr>
                <w:rFonts w:asciiTheme="majorHAnsi" w:hAnsiTheme="majorHAnsi"/>
                <w:spacing w:val="-2"/>
                <w:sz w:val="21"/>
                <w:szCs w:val="21"/>
              </w:rPr>
            </w:pPr>
            <w:r w:rsidRPr="00A016D1">
              <w:rPr>
                <w:rFonts w:asciiTheme="majorHAnsi" w:hAnsiTheme="majorHAnsi"/>
                <w:spacing w:val="-2"/>
                <w:sz w:val="21"/>
                <w:szCs w:val="21"/>
              </w:rPr>
              <w:t>Recommendation 4:</w:t>
            </w:r>
          </w:p>
          <w:p w14:paraId="0F235160" w14:textId="77777777" w:rsidR="00F4752F" w:rsidRPr="003E2545" w:rsidRDefault="00F4752F" w:rsidP="002609D3">
            <w:pPr>
              <w:pStyle w:val="BodyText"/>
              <w:spacing w:before="60"/>
              <w:rPr>
                <w:rFonts w:asciiTheme="majorHAnsi" w:hAnsiTheme="majorHAnsi"/>
                <w:spacing w:val="-2"/>
                <w:sz w:val="21"/>
                <w:szCs w:val="21"/>
              </w:rPr>
            </w:pPr>
            <w:r>
              <w:rPr>
                <w:rFonts w:asciiTheme="majorHAnsi" w:hAnsiTheme="majorHAnsi"/>
                <w:spacing w:val="-2"/>
                <w:sz w:val="21"/>
                <w:szCs w:val="21"/>
              </w:rPr>
              <w:t>Future multiyear packages: ensure MEFs are developed during the design phase. The frameworks should a) include a structured methodology to iteratively gather and use data; and b) enable performance-based funding by aligning partner reporting cycles with DFAT’s annual funding cycles.</w:t>
            </w:r>
          </w:p>
        </w:tc>
        <w:tc>
          <w:tcPr>
            <w:tcW w:w="1042" w:type="dxa"/>
            <w:shd w:val="clear" w:color="auto" w:fill="92D050"/>
          </w:tcPr>
          <w:p w14:paraId="58F58E70" w14:textId="77777777" w:rsidR="00F4752F" w:rsidRPr="003E2545"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4775" w:type="dxa"/>
          </w:tcPr>
          <w:p w14:paraId="5F66523A" w14:textId="5E55E175" w:rsidR="00F4752F" w:rsidRPr="003E2545" w:rsidRDefault="00F4752F" w:rsidP="001C3056">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recognises the importance of clearly defining program logics and the need for well integrated monitoring and evaluation approaches in multiyear packages </w:t>
            </w:r>
            <w:r w:rsidR="003642F5">
              <w:rPr>
                <w:rFonts w:asciiTheme="majorHAnsi" w:hAnsiTheme="majorHAnsi"/>
                <w:spacing w:val="-2"/>
                <w:sz w:val="21"/>
                <w:szCs w:val="21"/>
              </w:rPr>
              <w:t>at the whole-of-program</w:t>
            </w:r>
            <w:r w:rsidR="001E5AF2">
              <w:rPr>
                <w:rFonts w:asciiTheme="majorHAnsi" w:hAnsiTheme="majorHAnsi"/>
                <w:spacing w:val="-2"/>
                <w:sz w:val="21"/>
                <w:szCs w:val="21"/>
              </w:rPr>
              <w:t>, sector</w:t>
            </w:r>
            <w:r w:rsidR="003642F5">
              <w:rPr>
                <w:rFonts w:asciiTheme="majorHAnsi" w:hAnsiTheme="majorHAnsi"/>
                <w:spacing w:val="-2"/>
                <w:sz w:val="21"/>
                <w:szCs w:val="21"/>
              </w:rPr>
              <w:t xml:space="preserve"> and partnership levels </w:t>
            </w:r>
            <w:r>
              <w:rPr>
                <w:rFonts w:asciiTheme="majorHAnsi" w:hAnsiTheme="majorHAnsi"/>
                <w:spacing w:val="-2"/>
                <w:sz w:val="21"/>
                <w:szCs w:val="21"/>
              </w:rPr>
              <w:t>to collect and analyse data to inform funding decisions</w:t>
            </w:r>
            <w:r w:rsidR="001617F8">
              <w:rPr>
                <w:rFonts w:asciiTheme="majorHAnsi" w:hAnsiTheme="majorHAnsi"/>
                <w:spacing w:val="-2"/>
                <w:sz w:val="21"/>
                <w:szCs w:val="21"/>
              </w:rPr>
              <w:t>, support adaption to emerging priorities</w:t>
            </w:r>
            <w:r>
              <w:rPr>
                <w:rFonts w:asciiTheme="majorHAnsi" w:hAnsiTheme="majorHAnsi"/>
                <w:spacing w:val="-2"/>
                <w:sz w:val="21"/>
                <w:szCs w:val="21"/>
              </w:rPr>
              <w:t xml:space="preserve"> and measure and communicate the impact of Australia’s support.</w:t>
            </w:r>
          </w:p>
        </w:tc>
        <w:tc>
          <w:tcPr>
            <w:tcW w:w="4394" w:type="dxa"/>
          </w:tcPr>
          <w:p w14:paraId="33D4C41C" w14:textId="66E0246D" w:rsidR="002B628C"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will develop monitoring and evaluation frameworks or performance assessment frameworks linked to clear program logics during the design phase of future multiyear packages.</w:t>
            </w:r>
          </w:p>
          <w:p w14:paraId="44E37A5E" w14:textId="61FA5525" w:rsidR="00F4752F" w:rsidRPr="003E2545" w:rsidRDefault="00F4752F" w:rsidP="004D6AC0">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will integrate a framework into the design of </w:t>
            </w:r>
            <w:r w:rsidR="004D6AC0">
              <w:rPr>
                <w:rFonts w:asciiTheme="majorHAnsi" w:hAnsiTheme="majorHAnsi"/>
                <w:spacing w:val="-2"/>
                <w:sz w:val="21"/>
                <w:szCs w:val="21"/>
              </w:rPr>
              <w:t>future humanitarian p</w:t>
            </w:r>
            <w:r>
              <w:rPr>
                <w:rFonts w:asciiTheme="majorHAnsi" w:hAnsiTheme="majorHAnsi"/>
                <w:spacing w:val="-2"/>
                <w:sz w:val="21"/>
                <w:szCs w:val="21"/>
              </w:rPr>
              <w:t>ackage</w:t>
            </w:r>
            <w:r w:rsidR="004D6AC0">
              <w:rPr>
                <w:rFonts w:asciiTheme="majorHAnsi" w:hAnsiTheme="majorHAnsi"/>
                <w:spacing w:val="-2"/>
                <w:sz w:val="21"/>
                <w:szCs w:val="21"/>
              </w:rPr>
              <w:t>s</w:t>
            </w:r>
            <w:r>
              <w:rPr>
                <w:rFonts w:asciiTheme="majorHAnsi" w:hAnsiTheme="majorHAnsi"/>
                <w:spacing w:val="-2"/>
                <w:sz w:val="21"/>
                <w:szCs w:val="21"/>
              </w:rPr>
              <w:t xml:space="preserve"> that supports a structured methodology to gather and use data. DFAT will align funding and reporting cycles to support performance-based funding</w:t>
            </w:r>
            <w:r w:rsidR="00445B40">
              <w:rPr>
                <w:rFonts w:asciiTheme="majorHAnsi" w:hAnsiTheme="majorHAnsi"/>
                <w:spacing w:val="-2"/>
                <w:sz w:val="21"/>
                <w:szCs w:val="21"/>
              </w:rPr>
              <w:t xml:space="preserve"> to the best extent possible</w:t>
            </w:r>
            <w:r>
              <w:rPr>
                <w:rFonts w:asciiTheme="majorHAnsi" w:hAnsiTheme="majorHAnsi"/>
                <w:spacing w:val="-2"/>
                <w:sz w:val="21"/>
                <w:szCs w:val="21"/>
              </w:rPr>
              <w:t>.</w:t>
            </w:r>
          </w:p>
        </w:tc>
        <w:tc>
          <w:tcPr>
            <w:tcW w:w="1276" w:type="dxa"/>
          </w:tcPr>
          <w:p w14:paraId="65DA43C9" w14:textId="77E3ED5C" w:rsidR="00F4752F" w:rsidRPr="003E2545" w:rsidRDefault="005907B0" w:rsidP="005907B0">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Ongoing</w:t>
            </w:r>
          </w:p>
        </w:tc>
      </w:tr>
      <w:tr w:rsidR="001C3056" w14:paraId="52E9F9B0" w14:textId="77777777" w:rsidTr="006D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44712E4" w14:textId="77777777" w:rsidR="00F4752F" w:rsidRPr="003E2545" w:rsidRDefault="00F4752F" w:rsidP="002609D3">
            <w:pPr>
              <w:pStyle w:val="BodyText"/>
              <w:spacing w:before="60"/>
              <w:rPr>
                <w:rFonts w:asciiTheme="majorHAnsi" w:hAnsiTheme="majorHAnsi"/>
                <w:spacing w:val="-2"/>
                <w:sz w:val="21"/>
                <w:szCs w:val="21"/>
              </w:rPr>
            </w:pPr>
            <w:r w:rsidRPr="003E2545">
              <w:rPr>
                <w:rFonts w:asciiTheme="majorHAnsi" w:hAnsiTheme="majorHAnsi"/>
                <w:spacing w:val="-2"/>
                <w:sz w:val="21"/>
                <w:szCs w:val="21"/>
              </w:rPr>
              <w:t xml:space="preserve">Recommendation </w:t>
            </w:r>
            <w:r>
              <w:rPr>
                <w:rFonts w:asciiTheme="majorHAnsi" w:hAnsiTheme="majorHAnsi"/>
                <w:spacing w:val="-2"/>
                <w:sz w:val="21"/>
                <w:szCs w:val="21"/>
              </w:rPr>
              <w:t>5</w:t>
            </w:r>
            <w:r w:rsidRPr="003E2545">
              <w:rPr>
                <w:rFonts w:asciiTheme="majorHAnsi" w:hAnsiTheme="majorHAnsi"/>
                <w:spacing w:val="-2"/>
                <w:sz w:val="21"/>
                <w:szCs w:val="21"/>
              </w:rPr>
              <w:t>:</w:t>
            </w:r>
          </w:p>
          <w:p w14:paraId="65ACB268" w14:textId="5CF65110" w:rsidR="00F4752F" w:rsidRDefault="00F4752F" w:rsidP="002609D3">
            <w:pPr>
              <w:pStyle w:val="BodyText"/>
              <w:spacing w:before="60"/>
              <w:rPr>
                <w:rFonts w:asciiTheme="majorHAnsi" w:hAnsiTheme="majorHAnsi"/>
                <w:spacing w:val="-2"/>
                <w:sz w:val="21"/>
                <w:szCs w:val="21"/>
              </w:rPr>
            </w:pPr>
            <w:r>
              <w:rPr>
                <w:rFonts w:asciiTheme="majorHAnsi" w:hAnsiTheme="majorHAnsi"/>
                <w:spacing w:val="-2"/>
                <w:sz w:val="21"/>
                <w:szCs w:val="21"/>
              </w:rPr>
              <w:t>5.1 Syria crisis: increasingly allocate a greater proportion of funding to protection, including niche protection programs (</w:t>
            </w:r>
            <w:r w:rsidR="006554B0">
              <w:rPr>
                <w:rFonts w:asciiTheme="majorHAnsi" w:hAnsiTheme="majorHAnsi"/>
                <w:spacing w:val="-2"/>
                <w:sz w:val="21"/>
                <w:szCs w:val="21"/>
              </w:rPr>
              <w:t>e.g.</w:t>
            </w:r>
            <w:r>
              <w:rPr>
                <w:rFonts w:asciiTheme="majorHAnsi" w:hAnsiTheme="majorHAnsi"/>
                <w:spacing w:val="-2"/>
                <w:sz w:val="21"/>
                <w:szCs w:val="21"/>
              </w:rPr>
              <w:t xml:space="preserve"> gender-based violence prevention and/or mine action).</w:t>
            </w:r>
          </w:p>
          <w:p w14:paraId="2D4535A5" w14:textId="77777777" w:rsidR="00F4752F" w:rsidRPr="003E2545" w:rsidRDefault="00F4752F" w:rsidP="002609D3">
            <w:pPr>
              <w:pStyle w:val="BodyText"/>
              <w:spacing w:before="60"/>
              <w:rPr>
                <w:rFonts w:asciiTheme="majorHAnsi" w:hAnsiTheme="majorHAnsi"/>
                <w:spacing w:val="-2"/>
                <w:sz w:val="21"/>
                <w:szCs w:val="21"/>
              </w:rPr>
            </w:pPr>
            <w:r>
              <w:rPr>
                <w:rFonts w:asciiTheme="majorHAnsi" w:hAnsiTheme="majorHAnsi"/>
                <w:spacing w:val="-2"/>
                <w:sz w:val="21"/>
                <w:szCs w:val="21"/>
              </w:rPr>
              <w:t>5.2 Future multiyear packages: retain a focus on both humanitarian assistance and protection.</w:t>
            </w:r>
          </w:p>
        </w:tc>
        <w:tc>
          <w:tcPr>
            <w:tcW w:w="1042" w:type="dxa"/>
            <w:shd w:val="clear" w:color="auto" w:fill="92D050"/>
          </w:tcPr>
          <w:p w14:paraId="5327CA11" w14:textId="77777777" w:rsidR="00F4752F" w:rsidRPr="003E2545"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4775" w:type="dxa"/>
          </w:tcPr>
          <w:p w14:paraId="387FC0D3" w14:textId="51AE328D" w:rsidR="00F4752F"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recognises the extreme vulnerability of </w:t>
            </w:r>
            <w:r w:rsidR="001617F8">
              <w:rPr>
                <w:rFonts w:asciiTheme="majorHAnsi" w:hAnsiTheme="majorHAnsi"/>
                <w:spacing w:val="-2"/>
                <w:sz w:val="21"/>
                <w:szCs w:val="21"/>
              </w:rPr>
              <w:t xml:space="preserve">crisis-affected </w:t>
            </w:r>
            <w:r>
              <w:rPr>
                <w:rFonts w:asciiTheme="majorHAnsi" w:hAnsiTheme="majorHAnsi"/>
                <w:spacing w:val="-2"/>
                <w:sz w:val="21"/>
                <w:szCs w:val="21"/>
              </w:rPr>
              <w:t xml:space="preserve">populations and their </w:t>
            </w:r>
            <w:r w:rsidR="000B62C2">
              <w:rPr>
                <w:rFonts w:asciiTheme="majorHAnsi" w:hAnsiTheme="majorHAnsi"/>
                <w:spacing w:val="-2"/>
                <w:sz w:val="21"/>
                <w:szCs w:val="21"/>
              </w:rPr>
              <w:t xml:space="preserve">critical </w:t>
            </w:r>
            <w:r>
              <w:rPr>
                <w:rFonts w:asciiTheme="majorHAnsi" w:hAnsiTheme="majorHAnsi"/>
                <w:spacing w:val="-2"/>
                <w:sz w:val="21"/>
                <w:szCs w:val="21"/>
              </w:rPr>
              <w:t>need for protection.</w:t>
            </w:r>
          </w:p>
          <w:p w14:paraId="18151F8B" w14:textId="0DEB1662" w:rsidR="00F4752F" w:rsidRPr="003E2545" w:rsidRDefault="00F4752F" w:rsidP="000B62C2">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acknowledges the </w:t>
            </w:r>
            <w:r w:rsidR="000B62C2">
              <w:rPr>
                <w:rFonts w:asciiTheme="majorHAnsi" w:hAnsiTheme="majorHAnsi"/>
                <w:spacing w:val="-2"/>
                <w:sz w:val="21"/>
                <w:szCs w:val="21"/>
              </w:rPr>
              <w:t>centrality of</w:t>
            </w:r>
            <w:r>
              <w:rPr>
                <w:rFonts w:asciiTheme="majorHAnsi" w:hAnsiTheme="majorHAnsi"/>
                <w:spacing w:val="-2"/>
                <w:sz w:val="21"/>
                <w:szCs w:val="21"/>
              </w:rPr>
              <w:t xml:space="preserve"> protection in crisis contexts, as emphasised by DFAT’s Humanitarian Strategy and Protection in Humanitarian Action Framework</w:t>
            </w:r>
            <w:r w:rsidR="000B62C2">
              <w:rPr>
                <w:rFonts w:asciiTheme="majorHAnsi" w:hAnsiTheme="majorHAnsi"/>
                <w:spacing w:val="-2"/>
                <w:sz w:val="21"/>
                <w:szCs w:val="21"/>
              </w:rPr>
              <w:t>, and will seek to identify appropriate protection investments in protracted crisis contexts</w:t>
            </w:r>
            <w:r w:rsidR="00EE2141">
              <w:rPr>
                <w:rFonts w:asciiTheme="majorHAnsi" w:hAnsiTheme="majorHAnsi"/>
                <w:spacing w:val="-2"/>
                <w:sz w:val="21"/>
                <w:szCs w:val="21"/>
              </w:rPr>
              <w:t>.</w:t>
            </w:r>
          </w:p>
        </w:tc>
        <w:tc>
          <w:tcPr>
            <w:tcW w:w="4394" w:type="dxa"/>
          </w:tcPr>
          <w:p w14:paraId="7D67D682" w14:textId="78CC5AB8" w:rsidR="00F4752F"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will </w:t>
            </w:r>
            <w:r w:rsidRPr="00FE42A8">
              <w:rPr>
                <w:rFonts w:asciiTheme="majorHAnsi" w:hAnsiTheme="majorHAnsi"/>
                <w:spacing w:val="-2"/>
                <w:sz w:val="21"/>
                <w:szCs w:val="21"/>
              </w:rPr>
              <w:t xml:space="preserve">continue to strengthen and prioritise the protection focus of its humanitarian investments </w:t>
            </w:r>
            <w:r>
              <w:rPr>
                <w:rFonts w:asciiTheme="majorHAnsi" w:hAnsiTheme="majorHAnsi"/>
                <w:spacing w:val="-2"/>
                <w:sz w:val="21"/>
                <w:szCs w:val="21"/>
              </w:rPr>
              <w:t xml:space="preserve">in </w:t>
            </w:r>
            <w:r w:rsidR="004D6AC0">
              <w:rPr>
                <w:rFonts w:asciiTheme="majorHAnsi" w:hAnsiTheme="majorHAnsi"/>
                <w:spacing w:val="-2"/>
                <w:sz w:val="21"/>
                <w:szCs w:val="21"/>
              </w:rPr>
              <w:t>responding to protracted crises</w:t>
            </w:r>
            <w:r>
              <w:rPr>
                <w:rFonts w:asciiTheme="majorHAnsi" w:hAnsiTheme="majorHAnsi"/>
                <w:spacing w:val="-2"/>
                <w:sz w:val="21"/>
                <w:szCs w:val="21"/>
              </w:rPr>
              <w:t>.</w:t>
            </w:r>
          </w:p>
          <w:p w14:paraId="139D3037" w14:textId="2EA78F63" w:rsidR="00F4752F" w:rsidRPr="003E2545" w:rsidRDefault="00F4752F" w:rsidP="000B62C2">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During any future design process</w:t>
            </w:r>
            <w:r w:rsidR="000B62C2">
              <w:rPr>
                <w:rFonts w:asciiTheme="majorHAnsi" w:hAnsiTheme="majorHAnsi"/>
                <w:spacing w:val="-2"/>
                <w:sz w:val="21"/>
                <w:szCs w:val="21"/>
              </w:rPr>
              <w:t>es</w:t>
            </w:r>
            <w:r>
              <w:rPr>
                <w:rFonts w:asciiTheme="majorHAnsi" w:hAnsiTheme="majorHAnsi"/>
                <w:spacing w:val="-2"/>
                <w:sz w:val="21"/>
                <w:szCs w:val="21"/>
              </w:rPr>
              <w:t xml:space="preserve">, </w:t>
            </w:r>
            <w:r w:rsidR="000A1A28">
              <w:rPr>
                <w:rFonts w:asciiTheme="majorHAnsi" w:hAnsiTheme="majorHAnsi"/>
                <w:spacing w:val="-2"/>
                <w:sz w:val="21"/>
                <w:szCs w:val="21"/>
              </w:rPr>
              <w:t xml:space="preserve">specific </w:t>
            </w:r>
            <w:r>
              <w:rPr>
                <w:rFonts w:asciiTheme="majorHAnsi" w:hAnsiTheme="majorHAnsi"/>
                <w:spacing w:val="-2"/>
                <w:sz w:val="21"/>
                <w:szCs w:val="21"/>
              </w:rPr>
              <w:t xml:space="preserve">protection </w:t>
            </w:r>
            <w:r w:rsidR="000B62C2">
              <w:rPr>
                <w:rFonts w:asciiTheme="majorHAnsi" w:hAnsiTheme="majorHAnsi"/>
                <w:spacing w:val="-2"/>
                <w:sz w:val="21"/>
                <w:szCs w:val="21"/>
              </w:rPr>
              <w:t>investments</w:t>
            </w:r>
            <w:r w:rsidR="000A1A28">
              <w:rPr>
                <w:rFonts w:asciiTheme="majorHAnsi" w:hAnsiTheme="majorHAnsi"/>
                <w:spacing w:val="-2"/>
                <w:sz w:val="21"/>
                <w:szCs w:val="21"/>
              </w:rPr>
              <w:t xml:space="preserve"> </w:t>
            </w:r>
            <w:r>
              <w:rPr>
                <w:rFonts w:asciiTheme="majorHAnsi" w:hAnsiTheme="majorHAnsi"/>
                <w:spacing w:val="-2"/>
                <w:sz w:val="21"/>
                <w:szCs w:val="21"/>
              </w:rPr>
              <w:t>will be considered</w:t>
            </w:r>
            <w:r w:rsidR="000A1A28">
              <w:rPr>
                <w:rFonts w:asciiTheme="majorHAnsi" w:hAnsiTheme="majorHAnsi"/>
                <w:spacing w:val="-2"/>
                <w:sz w:val="21"/>
                <w:szCs w:val="21"/>
              </w:rPr>
              <w:t xml:space="preserve"> alongside humanitarian assistance</w:t>
            </w:r>
            <w:r>
              <w:rPr>
                <w:rFonts w:asciiTheme="majorHAnsi" w:hAnsiTheme="majorHAnsi"/>
                <w:spacing w:val="-2"/>
                <w:sz w:val="21"/>
                <w:szCs w:val="21"/>
              </w:rPr>
              <w:t>, to ensur</w:t>
            </w:r>
            <w:r w:rsidR="000B62C2">
              <w:rPr>
                <w:rFonts w:asciiTheme="majorHAnsi" w:hAnsiTheme="majorHAnsi"/>
                <w:spacing w:val="-2"/>
                <w:sz w:val="21"/>
                <w:szCs w:val="21"/>
              </w:rPr>
              <w:t>ing</w:t>
            </w:r>
            <w:r>
              <w:rPr>
                <w:rFonts w:asciiTheme="majorHAnsi" w:hAnsiTheme="majorHAnsi"/>
                <w:spacing w:val="-2"/>
                <w:sz w:val="21"/>
                <w:szCs w:val="21"/>
              </w:rPr>
              <w:t xml:space="preserve"> </w:t>
            </w:r>
            <w:r w:rsidR="000B62C2">
              <w:rPr>
                <w:rFonts w:asciiTheme="majorHAnsi" w:hAnsiTheme="majorHAnsi"/>
                <w:spacing w:val="-2"/>
                <w:sz w:val="21"/>
                <w:szCs w:val="21"/>
              </w:rPr>
              <w:t xml:space="preserve">appropriate coverage of </w:t>
            </w:r>
            <w:r>
              <w:rPr>
                <w:rFonts w:asciiTheme="majorHAnsi" w:hAnsiTheme="majorHAnsi"/>
                <w:spacing w:val="-2"/>
                <w:sz w:val="21"/>
                <w:szCs w:val="21"/>
              </w:rPr>
              <w:t>protection issues.</w:t>
            </w:r>
          </w:p>
        </w:tc>
        <w:tc>
          <w:tcPr>
            <w:tcW w:w="1276" w:type="dxa"/>
          </w:tcPr>
          <w:p w14:paraId="104F728B" w14:textId="77777777" w:rsidR="00F4752F" w:rsidRPr="003E2545"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Ongoing</w:t>
            </w:r>
          </w:p>
        </w:tc>
      </w:tr>
      <w:tr w:rsidR="001C3056" w14:paraId="5289CFB3" w14:textId="77777777" w:rsidTr="006D0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51CC1CE" w14:textId="77777777" w:rsidR="00F4752F" w:rsidRPr="003E2545" w:rsidRDefault="00F4752F" w:rsidP="002609D3">
            <w:pPr>
              <w:pStyle w:val="BodyText"/>
              <w:spacing w:before="60"/>
              <w:rPr>
                <w:rFonts w:asciiTheme="majorHAnsi" w:hAnsiTheme="majorHAnsi"/>
                <w:spacing w:val="-2"/>
                <w:sz w:val="21"/>
                <w:szCs w:val="21"/>
              </w:rPr>
            </w:pPr>
            <w:r w:rsidRPr="003E2545">
              <w:rPr>
                <w:rFonts w:asciiTheme="majorHAnsi" w:hAnsiTheme="majorHAnsi"/>
                <w:spacing w:val="-2"/>
                <w:sz w:val="21"/>
                <w:szCs w:val="21"/>
              </w:rPr>
              <w:t xml:space="preserve">Recommendation </w:t>
            </w:r>
            <w:r>
              <w:rPr>
                <w:rFonts w:asciiTheme="majorHAnsi" w:hAnsiTheme="majorHAnsi"/>
                <w:spacing w:val="-2"/>
                <w:sz w:val="21"/>
                <w:szCs w:val="21"/>
              </w:rPr>
              <w:t>6</w:t>
            </w:r>
            <w:r w:rsidRPr="003E2545">
              <w:rPr>
                <w:rFonts w:asciiTheme="majorHAnsi" w:hAnsiTheme="majorHAnsi"/>
                <w:spacing w:val="-2"/>
                <w:sz w:val="21"/>
                <w:szCs w:val="21"/>
              </w:rPr>
              <w:t>:</w:t>
            </w:r>
          </w:p>
          <w:p w14:paraId="6B43F91D" w14:textId="77777777" w:rsidR="00F4752F" w:rsidRDefault="00F4752F" w:rsidP="002609D3">
            <w:pPr>
              <w:pStyle w:val="BodyText"/>
              <w:spacing w:before="60"/>
              <w:rPr>
                <w:rFonts w:asciiTheme="majorHAnsi" w:hAnsiTheme="majorHAnsi"/>
                <w:spacing w:val="-2"/>
                <w:sz w:val="21"/>
                <w:szCs w:val="21"/>
              </w:rPr>
            </w:pPr>
            <w:r w:rsidRPr="00ED2174">
              <w:rPr>
                <w:rFonts w:asciiTheme="majorHAnsi" w:hAnsiTheme="majorHAnsi"/>
                <w:spacing w:val="-2"/>
                <w:sz w:val="21"/>
                <w:szCs w:val="21"/>
              </w:rPr>
              <w:t>6</w:t>
            </w:r>
            <w:r w:rsidRPr="003E2545">
              <w:rPr>
                <w:rFonts w:asciiTheme="majorHAnsi" w:hAnsiTheme="majorHAnsi"/>
                <w:spacing w:val="-2"/>
                <w:sz w:val="21"/>
                <w:szCs w:val="21"/>
              </w:rPr>
              <w:t xml:space="preserve">.1. </w:t>
            </w:r>
            <w:r>
              <w:rPr>
                <w:rFonts w:asciiTheme="majorHAnsi" w:hAnsiTheme="majorHAnsi"/>
                <w:spacing w:val="-2"/>
                <w:sz w:val="21"/>
                <w:szCs w:val="21"/>
              </w:rPr>
              <w:t>Future multiyear packages: in countries where Australia does not have a development program, engage in no more than two sectors that seek to bridge the humanitarian- development nexus.</w:t>
            </w:r>
          </w:p>
          <w:p w14:paraId="29B8C25A" w14:textId="77777777" w:rsidR="00F4752F" w:rsidRPr="003E2545" w:rsidRDefault="00F4752F" w:rsidP="002609D3">
            <w:pPr>
              <w:pStyle w:val="BodyText"/>
              <w:spacing w:before="60"/>
              <w:rPr>
                <w:rFonts w:asciiTheme="majorHAnsi" w:hAnsiTheme="majorHAnsi"/>
                <w:spacing w:val="-2"/>
                <w:sz w:val="21"/>
                <w:szCs w:val="21"/>
              </w:rPr>
            </w:pPr>
            <w:r>
              <w:rPr>
                <w:rFonts w:asciiTheme="majorHAnsi" w:hAnsiTheme="majorHAnsi"/>
                <w:spacing w:val="-2"/>
                <w:sz w:val="21"/>
                <w:szCs w:val="21"/>
              </w:rPr>
              <w:t xml:space="preserve">6.2 Syria crisis: build on knowledge gained and work to date by continuing to focus on education and livelihoods without expanding into any new sectors. Support for livelihoods </w:t>
            </w:r>
            <w:r>
              <w:rPr>
                <w:rFonts w:asciiTheme="majorHAnsi" w:hAnsiTheme="majorHAnsi"/>
                <w:spacing w:val="-2"/>
                <w:sz w:val="21"/>
                <w:szCs w:val="21"/>
              </w:rPr>
              <w:lastRenderedPageBreak/>
              <w:t>should be more strategic, build on a nuanced understanding of context and partners, and include clearly articulated intended outcomes.</w:t>
            </w:r>
          </w:p>
        </w:tc>
        <w:tc>
          <w:tcPr>
            <w:tcW w:w="1042" w:type="dxa"/>
            <w:shd w:val="clear" w:color="auto" w:fill="FFC000"/>
          </w:tcPr>
          <w:p w14:paraId="3004B111" w14:textId="77777777" w:rsidR="00F4752F" w:rsidRPr="003E2545"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lastRenderedPageBreak/>
              <w:t>Agree in part</w:t>
            </w:r>
          </w:p>
        </w:tc>
        <w:tc>
          <w:tcPr>
            <w:tcW w:w="4775" w:type="dxa"/>
          </w:tcPr>
          <w:p w14:paraId="3F099FC2" w14:textId="743D9762" w:rsidR="00F4752F"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supports responses that bridge the humanitarian-development divide to better respond to immediate needs and build resilience in protracted crises</w:t>
            </w:r>
            <w:r w:rsidR="00445B40">
              <w:rPr>
                <w:rFonts w:asciiTheme="majorHAnsi" w:hAnsiTheme="majorHAnsi"/>
                <w:spacing w:val="-2"/>
                <w:sz w:val="21"/>
                <w:szCs w:val="21"/>
              </w:rPr>
              <w:t>.</w:t>
            </w:r>
            <w:r>
              <w:rPr>
                <w:rFonts w:asciiTheme="majorHAnsi" w:hAnsiTheme="majorHAnsi"/>
                <w:spacing w:val="-2"/>
                <w:sz w:val="21"/>
                <w:szCs w:val="21"/>
              </w:rPr>
              <w:t xml:space="preserve"> DFAT acknowledges that targeted action in specific sectors is most effective, particularly without the foundation provided by an existing development program.</w:t>
            </w:r>
          </w:p>
          <w:p w14:paraId="6F42B35C" w14:textId="1E909C29" w:rsidR="00EE2141" w:rsidRDefault="00EE2141"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The mix of sectors and thematic priorities should be considered depending on the context and needs rather than the application of arbitrary limits.</w:t>
            </w:r>
          </w:p>
          <w:p w14:paraId="6CE7C11D" w14:textId="77777777" w:rsidR="00F4752F" w:rsidRPr="003E2545"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lastRenderedPageBreak/>
              <w:t>DFAT recognise</w:t>
            </w:r>
            <w:r w:rsidR="00EE2141">
              <w:rPr>
                <w:rFonts w:asciiTheme="majorHAnsi" w:hAnsiTheme="majorHAnsi"/>
                <w:spacing w:val="-2"/>
                <w:sz w:val="21"/>
                <w:szCs w:val="21"/>
              </w:rPr>
              <w:t>s</w:t>
            </w:r>
            <w:r>
              <w:rPr>
                <w:rFonts w:asciiTheme="majorHAnsi" w:hAnsiTheme="majorHAnsi"/>
                <w:spacing w:val="-2"/>
                <w:sz w:val="21"/>
                <w:szCs w:val="21"/>
              </w:rPr>
              <w:t xml:space="preserve"> that expertise and learning has been gained through its investments in education and livelihoods in response to the Syria crisis, providing a valuable foundation for more strategic future investments. </w:t>
            </w:r>
          </w:p>
        </w:tc>
        <w:tc>
          <w:tcPr>
            <w:tcW w:w="4394" w:type="dxa"/>
          </w:tcPr>
          <w:p w14:paraId="11E85692" w14:textId="77777777" w:rsidR="00F4752F"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lastRenderedPageBreak/>
              <w:t>DFAT will seek to address immediate vulnerability as well as longer-term needs, selecting an appropriate range of sectors based on the context, needs of affected populations and the scope and scale of the investment.</w:t>
            </w:r>
          </w:p>
          <w:p w14:paraId="5ADF549F" w14:textId="77777777" w:rsidR="00F4752F" w:rsidRPr="003E2545" w:rsidRDefault="00EE2141"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will leverage learnings to engage more strategically in the livelihoods and education sectors in Jordan and Lebanon, including greater integration with other activities and more clearly articulated objectives.</w:t>
            </w:r>
          </w:p>
        </w:tc>
        <w:tc>
          <w:tcPr>
            <w:tcW w:w="1276" w:type="dxa"/>
          </w:tcPr>
          <w:p w14:paraId="44BE45D5" w14:textId="77777777" w:rsidR="00F4752F" w:rsidRPr="003E2545"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Ongoing </w:t>
            </w:r>
          </w:p>
        </w:tc>
      </w:tr>
      <w:tr w:rsidR="001C3056" w14:paraId="3A0643B1" w14:textId="77777777" w:rsidTr="006D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BF1DF45" w14:textId="77777777" w:rsidR="00F4752F" w:rsidRPr="003E2545" w:rsidRDefault="00F4752F" w:rsidP="002609D3">
            <w:pPr>
              <w:pStyle w:val="BodyText"/>
              <w:spacing w:before="60"/>
              <w:rPr>
                <w:rFonts w:asciiTheme="majorHAnsi" w:hAnsiTheme="majorHAnsi"/>
                <w:spacing w:val="-2"/>
                <w:sz w:val="21"/>
                <w:szCs w:val="21"/>
              </w:rPr>
            </w:pPr>
            <w:r w:rsidRPr="003E2545">
              <w:rPr>
                <w:rFonts w:asciiTheme="majorHAnsi" w:hAnsiTheme="majorHAnsi"/>
                <w:spacing w:val="-2"/>
                <w:sz w:val="21"/>
                <w:szCs w:val="21"/>
              </w:rPr>
              <w:t xml:space="preserve">Recommendation </w:t>
            </w:r>
            <w:r>
              <w:rPr>
                <w:rFonts w:asciiTheme="majorHAnsi" w:hAnsiTheme="majorHAnsi"/>
                <w:spacing w:val="-2"/>
                <w:sz w:val="21"/>
                <w:szCs w:val="21"/>
              </w:rPr>
              <w:t>7</w:t>
            </w:r>
            <w:r w:rsidRPr="003E2545">
              <w:rPr>
                <w:rFonts w:asciiTheme="majorHAnsi" w:hAnsiTheme="majorHAnsi"/>
                <w:spacing w:val="-2"/>
                <w:sz w:val="21"/>
                <w:szCs w:val="21"/>
              </w:rPr>
              <w:t>:</w:t>
            </w:r>
          </w:p>
          <w:p w14:paraId="590F1A5B" w14:textId="77777777" w:rsidR="00F4752F" w:rsidRPr="003E2545" w:rsidRDefault="00F4752F" w:rsidP="002609D3">
            <w:pPr>
              <w:pStyle w:val="BodyText"/>
              <w:spacing w:before="60"/>
              <w:rPr>
                <w:rFonts w:asciiTheme="majorHAnsi" w:hAnsiTheme="majorHAnsi"/>
                <w:spacing w:val="-2"/>
                <w:sz w:val="21"/>
                <w:szCs w:val="21"/>
              </w:rPr>
            </w:pPr>
            <w:r>
              <w:rPr>
                <w:rFonts w:asciiTheme="majorHAnsi" w:hAnsiTheme="majorHAnsi"/>
                <w:spacing w:val="-2"/>
                <w:sz w:val="21"/>
                <w:szCs w:val="21"/>
              </w:rPr>
              <w:t>Future multiyear packages: create and track more intentional linkages between different package components. This could include approaches to achieve outcomes that bridge themes and sectors.</w:t>
            </w:r>
          </w:p>
        </w:tc>
        <w:tc>
          <w:tcPr>
            <w:tcW w:w="1042" w:type="dxa"/>
            <w:shd w:val="clear" w:color="auto" w:fill="92D050"/>
          </w:tcPr>
          <w:p w14:paraId="3372E90E" w14:textId="77777777" w:rsidR="00F4752F" w:rsidRPr="003E2545"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4775" w:type="dxa"/>
          </w:tcPr>
          <w:p w14:paraId="5A638950" w14:textId="3E0A44B7" w:rsidR="00F4752F" w:rsidRPr="003E2545"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acknowledges the value of greater integration between individual </w:t>
            </w:r>
            <w:r w:rsidR="000B62C2">
              <w:rPr>
                <w:rFonts w:asciiTheme="majorHAnsi" w:hAnsiTheme="majorHAnsi"/>
                <w:spacing w:val="-2"/>
                <w:sz w:val="21"/>
                <w:szCs w:val="21"/>
              </w:rPr>
              <w:t xml:space="preserve">components and </w:t>
            </w:r>
            <w:r>
              <w:rPr>
                <w:rFonts w:asciiTheme="majorHAnsi" w:hAnsiTheme="majorHAnsi"/>
                <w:spacing w:val="-2"/>
                <w:sz w:val="21"/>
                <w:szCs w:val="21"/>
              </w:rPr>
              <w:t>investments under multiyear packages in order to maximise whole-of-package impacts.</w:t>
            </w:r>
          </w:p>
        </w:tc>
        <w:tc>
          <w:tcPr>
            <w:tcW w:w="4394" w:type="dxa"/>
          </w:tcPr>
          <w:p w14:paraId="3797A9FD" w14:textId="60AEB468" w:rsidR="00F4752F" w:rsidRPr="003E2545" w:rsidRDefault="00F4752F" w:rsidP="004D6AC0">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will leverage learnings to strengthen linkages and integration between its multiyear package investments that bridge sectors and themes</w:t>
            </w:r>
            <w:r w:rsidR="004D6AC0">
              <w:rPr>
                <w:rFonts w:asciiTheme="majorHAnsi" w:hAnsiTheme="majorHAnsi"/>
                <w:spacing w:val="-2"/>
                <w:sz w:val="21"/>
                <w:szCs w:val="21"/>
              </w:rPr>
              <w:t xml:space="preserve">. </w:t>
            </w:r>
            <w:r>
              <w:rPr>
                <w:rFonts w:asciiTheme="majorHAnsi" w:hAnsiTheme="majorHAnsi"/>
                <w:spacing w:val="-2"/>
                <w:sz w:val="21"/>
                <w:szCs w:val="21"/>
              </w:rPr>
              <w:t>DFAT will utilise monitoring and evaluation tools to assemble cross-sectoral data.</w:t>
            </w:r>
          </w:p>
        </w:tc>
        <w:tc>
          <w:tcPr>
            <w:tcW w:w="1276" w:type="dxa"/>
          </w:tcPr>
          <w:p w14:paraId="50612647" w14:textId="77777777" w:rsidR="00F4752F" w:rsidRPr="003E2545"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Ongoing / June 2020</w:t>
            </w:r>
          </w:p>
        </w:tc>
      </w:tr>
      <w:tr w:rsidR="001C3056" w14:paraId="312CD025" w14:textId="77777777" w:rsidTr="006D0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D5FA53C" w14:textId="77777777" w:rsidR="00F4752F" w:rsidRPr="003E2545" w:rsidRDefault="00F4752F" w:rsidP="002609D3">
            <w:pPr>
              <w:pStyle w:val="BodyText"/>
              <w:spacing w:before="60"/>
              <w:rPr>
                <w:rFonts w:asciiTheme="majorHAnsi" w:hAnsiTheme="majorHAnsi"/>
                <w:spacing w:val="-2"/>
                <w:sz w:val="21"/>
                <w:szCs w:val="21"/>
              </w:rPr>
            </w:pPr>
            <w:r w:rsidRPr="003E2545">
              <w:rPr>
                <w:rFonts w:asciiTheme="majorHAnsi" w:hAnsiTheme="majorHAnsi"/>
                <w:spacing w:val="-2"/>
                <w:sz w:val="21"/>
                <w:szCs w:val="21"/>
              </w:rPr>
              <w:t xml:space="preserve">Recommendation </w:t>
            </w:r>
            <w:r>
              <w:rPr>
                <w:rFonts w:asciiTheme="majorHAnsi" w:hAnsiTheme="majorHAnsi"/>
                <w:spacing w:val="-2"/>
                <w:sz w:val="21"/>
                <w:szCs w:val="21"/>
              </w:rPr>
              <w:t>8</w:t>
            </w:r>
            <w:r w:rsidRPr="003E2545">
              <w:rPr>
                <w:rFonts w:asciiTheme="majorHAnsi" w:hAnsiTheme="majorHAnsi"/>
                <w:spacing w:val="-2"/>
                <w:sz w:val="21"/>
                <w:szCs w:val="21"/>
              </w:rPr>
              <w:t>:</w:t>
            </w:r>
          </w:p>
          <w:p w14:paraId="7952B0A8" w14:textId="77777777" w:rsidR="00F4752F" w:rsidRPr="003E2545" w:rsidRDefault="00F4752F" w:rsidP="002609D3">
            <w:pPr>
              <w:pStyle w:val="BodyText"/>
              <w:spacing w:before="60"/>
              <w:rPr>
                <w:rFonts w:asciiTheme="majorHAnsi" w:hAnsiTheme="majorHAnsi"/>
                <w:spacing w:val="-2"/>
                <w:sz w:val="21"/>
                <w:szCs w:val="21"/>
              </w:rPr>
            </w:pPr>
            <w:r>
              <w:rPr>
                <w:rFonts w:asciiTheme="majorHAnsi" w:hAnsiTheme="majorHAnsi"/>
                <w:spacing w:val="-2"/>
                <w:sz w:val="21"/>
                <w:szCs w:val="21"/>
              </w:rPr>
              <w:t>Future multiyear packages: ensure there is sufficient staffing at relevant posts and desks to provide quality management and maximise the outcomes from Australian assistance.</w:t>
            </w:r>
          </w:p>
        </w:tc>
        <w:tc>
          <w:tcPr>
            <w:tcW w:w="1042" w:type="dxa"/>
            <w:shd w:val="clear" w:color="auto" w:fill="92D050"/>
          </w:tcPr>
          <w:p w14:paraId="74501045" w14:textId="77777777" w:rsidR="00F4752F" w:rsidRPr="003E2545"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4775" w:type="dxa"/>
          </w:tcPr>
          <w:p w14:paraId="3E8D0EFE" w14:textId="1F2DC23C" w:rsidR="00F4752F" w:rsidRPr="003E2545" w:rsidRDefault="00F4752F" w:rsidP="000B62C2">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acknowledges the importance of dedicated expertise at posts and in Canberra to effectively design, implement and monitor multiyear packages</w:t>
            </w:r>
            <w:r w:rsidR="000B62C2">
              <w:rPr>
                <w:rFonts w:asciiTheme="majorHAnsi" w:hAnsiTheme="majorHAnsi"/>
                <w:spacing w:val="-2"/>
                <w:sz w:val="21"/>
                <w:szCs w:val="21"/>
              </w:rPr>
              <w:t>, and enable adaptive management that responds to emerging priorities and opportunities</w:t>
            </w:r>
            <w:r>
              <w:rPr>
                <w:rFonts w:asciiTheme="majorHAnsi" w:hAnsiTheme="majorHAnsi"/>
                <w:spacing w:val="-2"/>
                <w:sz w:val="21"/>
                <w:szCs w:val="21"/>
              </w:rPr>
              <w:t>. These staff are essential to leverage multiyear funding to increase DFAT’s influence.</w:t>
            </w:r>
          </w:p>
        </w:tc>
        <w:tc>
          <w:tcPr>
            <w:tcW w:w="4394" w:type="dxa"/>
          </w:tcPr>
          <w:p w14:paraId="4484FDB7" w14:textId="4A82EEAB" w:rsidR="00F4752F" w:rsidRPr="003E2545" w:rsidRDefault="00F4752F" w:rsidP="004D6AC0">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will retain experienced staff at posts and in Canberra able to provide quality management of DFAT’s multiyear packages in response to protracted crises</w:t>
            </w:r>
            <w:r w:rsidR="004D6AC0">
              <w:rPr>
                <w:rFonts w:asciiTheme="majorHAnsi" w:hAnsiTheme="majorHAnsi"/>
                <w:spacing w:val="-2"/>
                <w:sz w:val="21"/>
                <w:szCs w:val="21"/>
              </w:rPr>
              <w:t xml:space="preserve">. </w:t>
            </w:r>
          </w:p>
        </w:tc>
        <w:tc>
          <w:tcPr>
            <w:tcW w:w="1276" w:type="dxa"/>
          </w:tcPr>
          <w:p w14:paraId="3D062E59" w14:textId="77777777" w:rsidR="00F4752F" w:rsidRPr="003E2545"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Ongoing</w:t>
            </w:r>
          </w:p>
        </w:tc>
      </w:tr>
      <w:tr w:rsidR="001C3056" w14:paraId="2BA60BA0" w14:textId="77777777" w:rsidTr="006D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F39DDAE" w14:textId="77777777" w:rsidR="00F4752F" w:rsidRPr="003E2545" w:rsidRDefault="00F4752F" w:rsidP="002609D3">
            <w:pPr>
              <w:pStyle w:val="BodyText"/>
              <w:spacing w:before="60"/>
              <w:rPr>
                <w:rFonts w:asciiTheme="majorHAnsi" w:hAnsiTheme="majorHAnsi"/>
                <w:spacing w:val="-2"/>
                <w:sz w:val="21"/>
                <w:szCs w:val="21"/>
              </w:rPr>
            </w:pPr>
            <w:r w:rsidRPr="003E2545">
              <w:rPr>
                <w:rFonts w:asciiTheme="majorHAnsi" w:hAnsiTheme="majorHAnsi"/>
                <w:spacing w:val="-2"/>
                <w:sz w:val="21"/>
                <w:szCs w:val="21"/>
              </w:rPr>
              <w:t xml:space="preserve">Recommendation </w:t>
            </w:r>
            <w:r>
              <w:rPr>
                <w:rFonts w:asciiTheme="majorHAnsi" w:hAnsiTheme="majorHAnsi"/>
                <w:spacing w:val="-2"/>
                <w:sz w:val="21"/>
                <w:szCs w:val="21"/>
              </w:rPr>
              <w:t>9</w:t>
            </w:r>
            <w:r w:rsidRPr="003E2545">
              <w:rPr>
                <w:rFonts w:asciiTheme="majorHAnsi" w:hAnsiTheme="majorHAnsi"/>
                <w:spacing w:val="-2"/>
                <w:sz w:val="21"/>
                <w:szCs w:val="21"/>
              </w:rPr>
              <w:t>:</w:t>
            </w:r>
          </w:p>
          <w:p w14:paraId="09FA2592" w14:textId="77777777" w:rsidR="00F4752F" w:rsidRPr="003E2545" w:rsidRDefault="00F4752F" w:rsidP="002609D3">
            <w:pPr>
              <w:pStyle w:val="BodyText"/>
              <w:spacing w:before="60"/>
              <w:rPr>
                <w:rFonts w:asciiTheme="majorHAnsi" w:hAnsiTheme="majorHAnsi"/>
                <w:spacing w:val="-2"/>
                <w:sz w:val="21"/>
                <w:szCs w:val="21"/>
              </w:rPr>
            </w:pPr>
            <w:r>
              <w:rPr>
                <w:rFonts w:asciiTheme="majorHAnsi" w:hAnsiTheme="majorHAnsi"/>
                <w:spacing w:val="-2"/>
                <w:sz w:val="21"/>
                <w:szCs w:val="21"/>
              </w:rPr>
              <w:t>Future multiyear packages and Syria crisis: continue to support and encourage innovative and research-based approaches to improve value for money.</w:t>
            </w:r>
          </w:p>
        </w:tc>
        <w:tc>
          <w:tcPr>
            <w:tcW w:w="1042" w:type="dxa"/>
            <w:shd w:val="clear" w:color="auto" w:fill="92D050"/>
          </w:tcPr>
          <w:p w14:paraId="5C7FFED8" w14:textId="77777777" w:rsidR="00F4752F" w:rsidRPr="003E2545"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4775" w:type="dxa"/>
          </w:tcPr>
          <w:p w14:paraId="35609623" w14:textId="7E8550C4" w:rsidR="00F4752F" w:rsidRPr="003E2545" w:rsidRDefault="00F4752F" w:rsidP="000B62C2">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DFAT acknowledges the value of</w:t>
            </w:r>
            <w:r w:rsidR="000B62C2">
              <w:rPr>
                <w:rFonts w:asciiTheme="majorHAnsi" w:hAnsiTheme="majorHAnsi"/>
                <w:spacing w:val="-2"/>
                <w:sz w:val="21"/>
                <w:szCs w:val="21"/>
              </w:rPr>
              <w:t xml:space="preserve"> evidence-based research and</w:t>
            </w:r>
            <w:r>
              <w:rPr>
                <w:rFonts w:asciiTheme="majorHAnsi" w:hAnsiTheme="majorHAnsi"/>
                <w:spacing w:val="-2"/>
                <w:sz w:val="21"/>
                <w:szCs w:val="21"/>
              </w:rPr>
              <w:t xml:space="preserve"> </w:t>
            </w:r>
            <w:r w:rsidR="000B62C2">
              <w:rPr>
                <w:rFonts w:asciiTheme="majorHAnsi" w:hAnsiTheme="majorHAnsi"/>
                <w:spacing w:val="-2"/>
                <w:sz w:val="21"/>
                <w:szCs w:val="21"/>
              </w:rPr>
              <w:t xml:space="preserve">innovation in addressing the growing and </w:t>
            </w:r>
            <w:r>
              <w:rPr>
                <w:rFonts w:asciiTheme="majorHAnsi" w:hAnsiTheme="majorHAnsi"/>
                <w:spacing w:val="-2"/>
                <w:sz w:val="21"/>
                <w:szCs w:val="21"/>
              </w:rPr>
              <w:t xml:space="preserve">protracted </w:t>
            </w:r>
            <w:r w:rsidR="000B62C2">
              <w:rPr>
                <w:rFonts w:asciiTheme="majorHAnsi" w:hAnsiTheme="majorHAnsi"/>
                <w:spacing w:val="-2"/>
                <w:sz w:val="21"/>
                <w:szCs w:val="21"/>
              </w:rPr>
              <w:t xml:space="preserve">challenges in complex </w:t>
            </w:r>
            <w:r>
              <w:rPr>
                <w:rFonts w:asciiTheme="majorHAnsi" w:hAnsiTheme="majorHAnsi"/>
                <w:spacing w:val="-2"/>
                <w:sz w:val="21"/>
                <w:szCs w:val="21"/>
              </w:rPr>
              <w:t>crisis contexts.</w:t>
            </w:r>
          </w:p>
        </w:tc>
        <w:tc>
          <w:tcPr>
            <w:tcW w:w="4394" w:type="dxa"/>
          </w:tcPr>
          <w:p w14:paraId="556C853F" w14:textId="66049752" w:rsidR="00F4752F" w:rsidRPr="003E2545" w:rsidRDefault="00F4752F" w:rsidP="006D0338">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 xml:space="preserve">DFAT will continue to support innovative approaches, providing partners with operational flexibility in protracted crises. Where possible, DFAT will support and </w:t>
            </w:r>
            <w:r w:rsidR="002B628C">
              <w:rPr>
                <w:rFonts w:asciiTheme="majorHAnsi" w:hAnsiTheme="majorHAnsi"/>
                <w:spacing w:val="-2"/>
                <w:sz w:val="21"/>
                <w:szCs w:val="21"/>
              </w:rPr>
              <w:t xml:space="preserve">share </w:t>
            </w:r>
            <w:r>
              <w:rPr>
                <w:rFonts w:asciiTheme="majorHAnsi" w:hAnsiTheme="majorHAnsi"/>
                <w:spacing w:val="-2"/>
                <w:sz w:val="21"/>
                <w:szCs w:val="21"/>
              </w:rPr>
              <w:t>research that better eq</w:t>
            </w:r>
            <w:r w:rsidR="006D0338">
              <w:rPr>
                <w:rFonts w:asciiTheme="majorHAnsi" w:hAnsiTheme="majorHAnsi"/>
                <w:spacing w:val="-2"/>
                <w:sz w:val="21"/>
                <w:szCs w:val="21"/>
              </w:rPr>
              <w:t xml:space="preserve">uips the humanitarian community and seeks to assess its impact, </w:t>
            </w:r>
            <w:r>
              <w:rPr>
                <w:rFonts w:asciiTheme="majorHAnsi" w:hAnsiTheme="majorHAnsi"/>
                <w:spacing w:val="-2"/>
                <w:sz w:val="21"/>
                <w:szCs w:val="21"/>
              </w:rPr>
              <w:t xml:space="preserve">particularly in priority areas such as </w:t>
            </w:r>
            <w:r w:rsidRPr="00A279EC">
              <w:rPr>
                <w:rFonts w:asciiTheme="majorHAnsi" w:hAnsiTheme="majorHAnsi"/>
                <w:spacing w:val="-2"/>
                <w:sz w:val="21"/>
                <w:szCs w:val="21"/>
              </w:rPr>
              <w:t>disability inclusion</w:t>
            </w:r>
            <w:r w:rsidRPr="00BB53D6">
              <w:rPr>
                <w:rFonts w:asciiTheme="majorHAnsi" w:hAnsiTheme="majorHAnsi"/>
                <w:spacing w:val="-2"/>
                <w:sz w:val="21"/>
                <w:szCs w:val="21"/>
              </w:rPr>
              <w:t xml:space="preserve"> and</w:t>
            </w:r>
            <w:r>
              <w:rPr>
                <w:rFonts w:asciiTheme="majorHAnsi" w:hAnsiTheme="majorHAnsi"/>
                <w:spacing w:val="-2"/>
                <w:sz w:val="21"/>
                <w:szCs w:val="21"/>
              </w:rPr>
              <w:t xml:space="preserve"> women’s empowerment.</w:t>
            </w:r>
          </w:p>
        </w:tc>
        <w:tc>
          <w:tcPr>
            <w:tcW w:w="1276" w:type="dxa"/>
          </w:tcPr>
          <w:p w14:paraId="3F409522" w14:textId="77777777" w:rsidR="00F4752F" w:rsidRPr="003E2545" w:rsidRDefault="00F4752F" w:rsidP="002609D3">
            <w:pPr>
              <w:pStyle w:val="BodyText"/>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Ongoing</w:t>
            </w:r>
          </w:p>
        </w:tc>
      </w:tr>
      <w:tr w:rsidR="001C3056" w14:paraId="06B15C08" w14:textId="77777777" w:rsidTr="006D0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C18BD89" w14:textId="77777777" w:rsidR="00F4752F" w:rsidRPr="003E2545" w:rsidRDefault="00F4752F" w:rsidP="002609D3">
            <w:pPr>
              <w:pStyle w:val="BodyText"/>
              <w:spacing w:before="60"/>
              <w:rPr>
                <w:rFonts w:asciiTheme="majorHAnsi" w:hAnsiTheme="majorHAnsi"/>
                <w:spacing w:val="-2"/>
                <w:sz w:val="21"/>
                <w:szCs w:val="21"/>
              </w:rPr>
            </w:pPr>
            <w:r w:rsidRPr="003E2545">
              <w:rPr>
                <w:rFonts w:asciiTheme="majorHAnsi" w:hAnsiTheme="majorHAnsi"/>
                <w:spacing w:val="-2"/>
                <w:sz w:val="21"/>
                <w:szCs w:val="21"/>
              </w:rPr>
              <w:t xml:space="preserve">Recommendation </w:t>
            </w:r>
            <w:r>
              <w:rPr>
                <w:rFonts w:asciiTheme="majorHAnsi" w:hAnsiTheme="majorHAnsi"/>
                <w:spacing w:val="-2"/>
                <w:sz w:val="21"/>
                <w:szCs w:val="21"/>
              </w:rPr>
              <w:t>10</w:t>
            </w:r>
            <w:r w:rsidRPr="003E2545">
              <w:rPr>
                <w:rFonts w:asciiTheme="majorHAnsi" w:hAnsiTheme="majorHAnsi"/>
                <w:spacing w:val="-2"/>
                <w:sz w:val="21"/>
                <w:szCs w:val="21"/>
              </w:rPr>
              <w:t>:</w:t>
            </w:r>
          </w:p>
          <w:p w14:paraId="7C2C0463" w14:textId="76EB042D" w:rsidR="00F4752F" w:rsidRPr="003E2545" w:rsidRDefault="00F4752F" w:rsidP="002609D3">
            <w:pPr>
              <w:pStyle w:val="BodyText"/>
              <w:spacing w:before="60"/>
              <w:rPr>
                <w:rFonts w:asciiTheme="majorHAnsi" w:hAnsiTheme="majorHAnsi"/>
                <w:spacing w:val="-2"/>
                <w:sz w:val="21"/>
                <w:szCs w:val="21"/>
              </w:rPr>
            </w:pPr>
            <w:r w:rsidRPr="00BB53D6">
              <w:rPr>
                <w:rFonts w:asciiTheme="majorHAnsi" w:hAnsiTheme="majorHAnsi"/>
                <w:spacing w:val="-2"/>
                <w:sz w:val="21"/>
                <w:szCs w:val="21"/>
              </w:rPr>
              <w:t xml:space="preserve">Future multiyear packages and Syria crisis: </w:t>
            </w:r>
            <w:r w:rsidRPr="00A279EC">
              <w:rPr>
                <w:rFonts w:asciiTheme="majorHAnsi" w:hAnsiTheme="majorHAnsi"/>
                <w:spacing w:val="-2"/>
                <w:sz w:val="21"/>
                <w:szCs w:val="21"/>
              </w:rPr>
              <w:t>posts delivering multiyear packages should be supported to strengthen their capacity to advocate for disability inclusion. Australian advocacy for disability inclusion should emphasise the rights-based approach and the need for people with disabilities to play active and meaningful r</w:t>
            </w:r>
            <w:r w:rsidR="00341C3F">
              <w:rPr>
                <w:rFonts w:asciiTheme="majorHAnsi" w:hAnsiTheme="majorHAnsi"/>
                <w:spacing w:val="-2"/>
                <w:sz w:val="21"/>
                <w:szCs w:val="21"/>
              </w:rPr>
              <w:t>o</w:t>
            </w:r>
            <w:r w:rsidRPr="00A279EC">
              <w:rPr>
                <w:rFonts w:asciiTheme="majorHAnsi" w:hAnsiTheme="majorHAnsi"/>
                <w:spacing w:val="-2"/>
                <w:sz w:val="21"/>
                <w:szCs w:val="21"/>
              </w:rPr>
              <w:t>les.</w:t>
            </w:r>
          </w:p>
        </w:tc>
        <w:tc>
          <w:tcPr>
            <w:tcW w:w="1042" w:type="dxa"/>
            <w:shd w:val="clear" w:color="auto" w:fill="92D050"/>
          </w:tcPr>
          <w:p w14:paraId="3FB13F14" w14:textId="77777777" w:rsidR="00F4752F" w:rsidRPr="003E2545"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Agree</w:t>
            </w:r>
          </w:p>
        </w:tc>
        <w:tc>
          <w:tcPr>
            <w:tcW w:w="4775" w:type="dxa"/>
          </w:tcPr>
          <w:p w14:paraId="0DCDB883" w14:textId="0814C495" w:rsidR="001C3056" w:rsidRPr="00445B40" w:rsidRDefault="00F4752F" w:rsidP="00900311">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sidRPr="00D520C4">
              <w:rPr>
                <w:rFonts w:asciiTheme="majorHAnsi" w:hAnsiTheme="majorHAnsi"/>
                <w:spacing w:val="-2"/>
                <w:sz w:val="21"/>
                <w:szCs w:val="21"/>
              </w:rPr>
              <w:t>Disability inclusion informed by a human rights approach is a policy priority for DFAT. It is essential DFAT’s staff and partners are adequately equipped to support this objective.</w:t>
            </w:r>
            <w:r w:rsidR="00900311" w:rsidRPr="00D520C4">
              <w:rPr>
                <w:rFonts w:asciiTheme="majorHAnsi" w:hAnsiTheme="majorHAnsi"/>
                <w:spacing w:val="-2"/>
                <w:sz w:val="21"/>
                <w:szCs w:val="21"/>
              </w:rPr>
              <w:t xml:space="preserve"> </w:t>
            </w:r>
            <w:r w:rsidR="001C3056" w:rsidRPr="00D520C4">
              <w:rPr>
                <w:rFonts w:asciiTheme="majorHAnsi" w:hAnsiTheme="majorHAnsi"/>
                <w:spacing w:val="-2"/>
                <w:sz w:val="21"/>
                <w:szCs w:val="21"/>
              </w:rPr>
              <w:t>DFAT also supports gender equality and o</w:t>
            </w:r>
            <w:r w:rsidR="00900311" w:rsidRPr="00445B40">
              <w:rPr>
                <w:rFonts w:asciiTheme="majorHAnsi" w:hAnsiTheme="majorHAnsi"/>
                <w:spacing w:val="-2"/>
                <w:sz w:val="21"/>
                <w:szCs w:val="21"/>
              </w:rPr>
              <w:t>ther forms of social inclusion.</w:t>
            </w:r>
          </w:p>
        </w:tc>
        <w:tc>
          <w:tcPr>
            <w:tcW w:w="4394" w:type="dxa"/>
          </w:tcPr>
          <w:p w14:paraId="282C2FB1" w14:textId="38AF02FE" w:rsidR="00F4752F" w:rsidRPr="00445B40"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sidRPr="00445B40">
              <w:rPr>
                <w:rFonts w:asciiTheme="majorHAnsi" w:hAnsiTheme="majorHAnsi"/>
                <w:spacing w:val="-2"/>
                <w:sz w:val="21"/>
                <w:szCs w:val="21"/>
              </w:rPr>
              <w:t xml:space="preserve">DFAT will </w:t>
            </w:r>
            <w:r w:rsidR="006C5AB3" w:rsidRPr="00445B40">
              <w:rPr>
                <w:rFonts w:asciiTheme="majorHAnsi" w:hAnsiTheme="majorHAnsi"/>
                <w:spacing w:val="-2"/>
                <w:sz w:val="21"/>
                <w:szCs w:val="21"/>
              </w:rPr>
              <w:t xml:space="preserve">continue to advocate for rights-based disability-inclusive humanitarian action and </w:t>
            </w:r>
            <w:r w:rsidR="00BD2786" w:rsidRPr="00445B40">
              <w:rPr>
                <w:rFonts w:asciiTheme="majorHAnsi" w:hAnsiTheme="majorHAnsi"/>
                <w:spacing w:val="-2"/>
                <w:sz w:val="21"/>
                <w:szCs w:val="21"/>
              </w:rPr>
              <w:t xml:space="preserve">encourage partners to strengthen their policies and practices accordingly. </w:t>
            </w:r>
            <w:r w:rsidR="001C3056" w:rsidRPr="00445B40">
              <w:rPr>
                <w:rFonts w:asciiTheme="majorHAnsi" w:hAnsiTheme="majorHAnsi"/>
                <w:spacing w:val="-2"/>
                <w:sz w:val="21"/>
                <w:szCs w:val="21"/>
              </w:rPr>
              <w:t xml:space="preserve"> DFAT will also continue to promote gender equality and other forms of social inclusion.</w:t>
            </w:r>
          </w:p>
          <w:p w14:paraId="422E5252" w14:textId="375E7589" w:rsidR="001C3056" w:rsidRPr="00445B40"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sidRPr="00445B40">
              <w:rPr>
                <w:rFonts w:asciiTheme="majorHAnsi" w:hAnsiTheme="majorHAnsi"/>
                <w:spacing w:val="-2"/>
                <w:sz w:val="21"/>
                <w:szCs w:val="21"/>
              </w:rPr>
              <w:t>DFAT will provide training to staff and partners to support disability inclusive programming, including those responding to the Syria crisis.</w:t>
            </w:r>
          </w:p>
        </w:tc>
        <w:tc>
          <w:tcPr>
            <w:tcW w:w="1276" w:type="dxa"/>
          </w:tcPr>
          <w:p w14:paraId="0618F666" w14:textId="77777777" w:rsidR="00F4752F" w:rsidRPr="003E2545" w:rsidRDefault="00F4752F" w:rsidP="002609D3">
            <w:pPr>
              <w:pStyle w:val="BodyText"/>
              <w:spacing w:before="60"/>
              <w:cnfStyle w:val="000000010000" w:firstRow="0" w:lastRow="0" w:firstColumn="0" w:lastColumn="0" w:oddVBand="0" w:evenVBand="0" w:oddHBand="0" w:evenHBand="1" w:firstRowFirstColumn="0" w:firstRowLastColumn="0" w:lastRowFirstColumn="0" w:lastRowLastColumn="0"/>
              <w:rPr>
                <w:rFonts w:asciiTheme="majorHAnsi" w:hAnsiTheme="majorHAnsi"/>
                <w:spacing w:val="-2"/>
                <w:sz w:val="21"/>
                <w:szCs w:val="21"/>
              </w:rPr>
            </w:pPr>
            <w:r>
              <w:rPr>
                <w:rFonts w:asciiTheme="majorHAnsi" w:hAnsiTheme="majorHAnsi"/>
                <w:spacing w:val="-2"/>
                <w:sz w:val="21"/>
                <w:szCs w:val="21"/>
              </w:rPr>
              <w:t>Ongoing / June 2020</w:t>
            </w:r>
          </w:p>
        </w:tc>
      </w:tr>
    </w:tbl>
    <w:p w14:paraId="5D24627D" w14:textId="77777777" w:rsidR="00F4752F" w:rsidRDefault="00FC2ABF" w:rsidP="002609D3">
      <w:pPr>
        <w:spacing w:before="0" w:after="0" w:line="240" w:lineRule="auto"/>
        <w:rPr>
          <w:lang w:val="en-AU"/>
        </w:rPr>
      </w:pPr>
      <w:r>
        <w:rPr>
          <w:rFonts w:cstheme="minorHAnsi"/>
          <w:sz w:val="2"/>
          <w:szCs w:val="2"/>
          <w:lang w:val="en-AU"/>
        </w:rPr>
        <w:t>‘</w:t>
      </w:r>
    </w:p>
    <w:sectPr w:rsidR="00F4752F" w:rsidSect="00C85FEC">
      <w:headerReference w:type="first" r:id="rId14"/>
      <w:pgSz w:w="16838" w:h="11906" w:orient="landscape" w:code="9"/>
      <w:pgMar w:top="680" w:right="720" w:bottom="720" w:left="720" w:header="425" w:footer="493" w:gutter="0"/>
      <w:cols w:space="397"/>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9CE4D" w16cid:durableId="2003CC9B"/>
  <w16cid:commentId w16cid:paraId="7294C010" w16cid:durableId="2003ECB2"/>
  <w16cid:commentId w16cid:paraId="4B177116" w16cid:durableId="2003EFBF"/>
  <w16cid:commentId w16cid:paraId="1C46ADE4" w16cid:durableId="2003CE6D"/>
  <w16cid:commentId w16cid:paraId="42730065" w16cid:durableId="2003D04D"/>
  <w16cid:commentId w16cid:paraId="255B0168" w16cid:durableId="2003D27E"/>
  <w16cid:commentId w16cid:paraId="15D2A3F0" w16cid:durableId="2003D331"/>
  <w16cid:commentId w16cid:paraId="51A92A06" w16cid:durableId="2003D581"/>
  <w16cid:commentId w16cid:paraId="717669DB" w16cid:durableId="2003DC8F"/>
  <w16cid:commentId w16cid:paraId="181A43D5" w16cid:durableId="2003DCA2"/>
  <w16cid:commentId w16cid:paraId="0ABD233F" w16cid:durableId="2003DCB2"/>
  <w16cid:commentId w16cid:paraId="0B92B5D2" w16cid:durableId="2003DFBA"/>
  <w16cid:commentId w16cid:paraId="0B195539" w16cid:durableId="2003E0A1"/>
  <w16cid:commentId w16cid:paraId="1AFD7E2A" w16cid:durableId="2003E6B6"/>
  <w16cid:commentId w16cid:paraId="5C7B0ACA" w16cid:durableId="2003E844"/>
  <w16cid:commentId w16cid:paraId="3F4E0B16" w16cid:durableId="2003BBAF"/>
  <w16cid:commentId w16cid:paraId="300C2CED" w16cid:durableId="2003BB99"/>
  <w16cid:commentId w16cid:paraId="2801E60E" w16cid:durableId="2003EBCD"/>
  <w16cid:commentId w16cid:paraId="5E244315" w16cid:durableId="2003BD3C"/>
  <w16cid:commentId w16cid:paraId="24E13905" w16cid:durableId="2003E898"/>
  <w16cid:commentId w16cid:paraId="302E654E" w16cid:durableId="2003BF7A"/>
  <w16cid:commentId w16cid:paraId="0BCA283A" w16cid:durableId="2003EE97"/>
  <w16cid:commentId w16cid:paraId="73BE7041" w16cid:durableId="2003C205"/>
  <w16cid:commentId w16cid:paraId="10319A09" w16cid:durableId="2003E9F3"/>
  <w16cid:commentId w16cid:paraId="164854FC" w16cid:durableId="2003C3B3"/>
  <w16cid:commentId w16cid:paraId="25A82F3E" w16cid:durableId="2003C560"/>
  <w16cid:commentId w16cid:paraId="29725B34" w16cid:durableId="2003C2BC"/>
  <w16cid:commentId w16cid:paraId="3291F9BA" w16cid:durableId="2003EAC3"/>
  <w16cid:commentId w16cid:paraId="1A67A448" w16cid:durableId="2003C82B"/>
  <w16cid:commentId w16cid:paraId="6E5470AE" w16cid:durableId="2003C744"/>
  <w16cid:commentId w16cid:paraId="44EC9845" w16cid:durableId="2003F2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44EDE" w14:textId="77777777" w:rsidR="005250B2" w:rsidRDefault="005250B2" w:rsidP="00D37B04">
      <w:r>
        <w:separator/>
      </w:r>
    </w:p>
  </w:endnote>
  <w:endnote w:type="continuationSeparator" w:id="0">
    <w:p w14:paraId="23B48CC3" w14:textId="77777777" w:rsidR="005250B2" w:rsidRDefault="005250B2" w:rsidP="00D37B04">
      <w:r>
        <w:continuationSeparator/>
      </w:r>
    </w:p>
  </w:endnote>
  <w:endnote w:type="continuationNotice" w:id="1">
    <w:p w14:paraId="7A571EA5" w14:textId="77777777" w:rsidR="005250B2" w:rsidRDefault="005250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09EC" w14:textId="77777777" w:rsidR="002C3314" w:rsidRDefault="002C3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788939426"/>
      <w:docPartObj>
        <w:docPartGallery w:val="Page Numbers (Bottom of Page)"/>
        <w:docPartUnique/>
      </w:docPartObj>
    </w:sdtPr>
    <w:sdtEndPr/>
    <w:sdtContent>
      <w:sdt>
        <w:sdtPr>
          <w:rPr>
            <w:color w:val="auto"/>
          </w:rPr>
          <w:id w:val="-1939216305"/>
          <w:docPartObj>
            <w:docPartGallery w:val="Page Numbers (Top of Page)"/>
            <w:docPartUnique/>
          </w:docPartObj>
        </w:sdtPr>
        <w:sdtEndPr/>
        <w:sdtContent>
          <w:p w14:paraId="5487AAD3" w14:textId="0F7EDB09" w:rsidR="00997850" w:rsidRPr="00997850" w:rsidRDefault="00997850">
            <w:pPr>
              <w:pStyle w:val="Footer"/>
              <w:jc w:val="center"/>
              <w:rPr>
                <w:color w:val="auto"/>
              </w:rPr>
            </w:pPr>
            <w:r w:rsidRPr="00997850">
              <w:rPr>
                <w:color w:val="auto"/>
              </w:rPr>
              <w:t xml:space="preserve">Page </w:t>
            </w:r>
            <w:r w:rsidRPr="00997850">
              <w:rPr>
                <w:b/>
                <w:bCs/>
                <w:color w:val="auto"/>
                <w:sz w:val="24"/>
                <w:szCs w:val="24"/>
              </w:rPr>
              <w:fldChar w:fldCharType="begin"/>
            </w:r>
            <w:r w:rsidRPr="00997850">
              <w:rPr>
                <w:b/>
                <w:bCs/>
                <w:color w:val="auto"/>
              </w:rPr>
              <w:instrText xml:space="preserve"> PAGE </w:instrText>
            </w:r>
            <w:r w:rsidRPr="00997850">
              <w:rPr>
                <w:b/>
                <w:bCs/>
                <w:color w:val="auto"/>
                <w:sz w:val="24"/>
                <w:szCs w:val="24"/>
              </w:rPr>
              <w:fldChar w:fldCharType="separate"/>
            </w:r>
            <w:r w:rsidR="002C3314">
              <w:rPr>
                <w:b/>
                <w:bCs/>
                <w:noProof/>
                <w:color w:val="auto"/>
              </w:rPr>
              <w:t>2</w:t>
            </w:r>
            <w:r w:rsidRPr="00997850">
              <w:rPr>
                <w:b/>
                <w:bCs/>
                <w:color w:val="auto"/>
                <w:sz w:val="24"/>
                <w:szCs w:val="24"/>
              </w:rPr>
              <w:fldChar w:fldCharType="end"/>
            </w:r>
            <w:r w:rsidRPr="00997850">
              <w:rPr>
                <w:color w:val="auto"/>
              </w:rPr>
              <w:t xml:space="preserve"> of </w:t>
            </w:r>
            <w:r w:rsidRPr="00997850">
              <w:rPr>
                <w:b/>
                <w:bCs/>
                <w:color w:val="auto"/>
                <w:sz w:val="24"/>
                <w:szCs w:val="24"/>
              </w:rPr>
              <w:fldChar w:fldCharType="begin"/>
            </w:r>
            <w:r w:rsidRPr="00997850">
              <w:rPr>
                <w:b/>
                <w:bCs/>
                <w:color w:val="auto"/>
              </w:rPr>
              <w:instrText xml:space="preserve"> NUMPAGES  </w:instrText>
            </w:r>
            <w:r w:rsidRPr="00997850">
              <w:rPr>
                <w:b/>
                <w:bCs/>
                <w:color w:val="auto"/>
                <w:sz w:val="24"/>
                <w:szCs w:val="24"/>
              </w:rPr>
              <w:fldChar w:fldCharType="separate"/>
            </w:r>
            <w:r w:rsidR="002C3314">
              <w:rPr>
                <w:b/>
                <w:bCs/>
                <w:noProof/>
                <w:color w:val="auto"/>
              </w:rPr>
              <w:t>5</w:t>
            </w:r>
            <w:r w:rsidRPr="00997850">
              <w:rPr>
                <w:b/>
                <w:bCs/>
                <w:color w:val="auto"/>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sz w:val="20"/>
        <w:szCs w:val="20"/>
      </w:rPr>
      <w:id w:val="-1964334915"/>
      <w:docPartObj>
        <w:docPartGallery w:val="Page Numbers (Bottom of Page)"/>
        <w:docPartUnique/>
      </w:docPartObj>
    </w:sdtPr>
    <w:sdtEndPr/>
    <w:sdtContent>
      <w:sdt>
        <w:sdtPr>
          <w:rPr>
            <w:color w:val="auto"/>
            <w:sz w:val="20"/>
            <w:szCs w:val="20"/>
          </w:rPr>
          <w:id w:val="-652911377"/>
          <w:docPartObj>
            <w:docPartGallery w:val="Page Numbers (Top of Page)"/>
            <w:docPartUnique/>
          </w:docPartObj>
        </w:sdtPr>
        <w:sdtEndPr/>
        <w:sdtContent>
          <w:p w14:paraId="21AAA79F" w14:textId="044F80C6" w:rsidR="00152A28" w:rsidRPr="00EF7D07" w:rsidRDefault="00EF7D07" w:rsidP="00EF7D07">
            <w:pPr>
              <w:pStyle w:val="Footer"/>
              <w:jc w:val="center"/>
              <w:rPr>
                <w:color w:val="auto"/>
                <w:sz w:val="20"/>
                <w:szCs w:val="20"/>
              </w:rPr>
            </w:pPr>
            <w:r w:rsidRPr="00EF7D07">
              <w:rPr>
                <w:color w:val="auto"/>
                <w:sz w:val="20"/>
                <w:szCs w:val="20"/>
              </w:rPr>
              <w:t xml:space="preserve">Page </w:t>
            </w:r>
            <w:r w:rsidRPr="00EF7D07">
              <w:rPr>
                <w:b/>
                <w:bCs/>
                <w:color w:val="auto"/>
                <w:sz w:val="20"/>
                <w:szCs w:val="20"/>
              </w:rPr>
              <w:fldChar w:fldCharType="begin"/>
            </w:r>
            <w:r w:rsidRPr="00EF7D07">
              <w:rPr>
                <w:b/>
                <w:bCs/>
                <w:color w:val="auto"/>
                <w:sz w:val="20"/>
                <w:szCs w:val="20"/>
              </w:rPr>
              <w:instrText xml:space="preserve"> PAGE </w:instrText>
            </w:r>
            <w:r w:rsidRPr="00EF7D07">
              <w:rPr>
                <w:b/>
                <w:bCs/>
                <w:color w:val="auto"/>
                <w:sz w:val="20"/>
                <w:szCs w:val="20"/>
              </w:rPr>
              <w:fldChar w:fldCharType="separate"/>
            </w:r>
            <w:r w:rsidR="002C3314">
              <w:rPr>
                <w:b/>
                <w:bCs/>
                <w:noProof/>
                <w:color w:val="auto"/>
                <w:sz w:val="20"/>
                <w:szCs w:val="20"/>
              </w:rPr>
              <w:t>3</w:t>
            </w:r>
            <w:r w:rsidRPr="00EF7D07">
              <w:rPr>
                <w:b/>
                <w:bCs/>
                <w:color w:val="auto"/>
                <w:sz w:val="20"/>
                <w:szCs w:val="20"/>
              </w:rPr>
              <w:fldChar w:fldCharType="end"/>
            </w:r>
            <w:r w:rsidRPr="00EF7D07">
              <w:rPr>
                <w:color w:val="auto"/>
                <w:sz w:val="20"/>
                <w:szCs w:val="20"/>
              </w:rPr>
              <w:t xml:space="preserve"> of </w:t>
            </w:r>
            <w:r w:rsidRPr="00EF7D07">
              <w:rPr>
                <w:b/>
                <w:bCs/>
                <w:color w:val="auto"/>
                <w:sz w:val="20"/>
                <w:szCs w:val="20"/>
              </w:rPr>
              <w:fldChar w:fldCharType="begin"/>
            </w:r>
            <w:r w:rsidRPr="00EF7D07">
              <w:rPr>
                <w:b/>
                <w:bCs/>
                <w:color w:val="auto"/>
                <w:sz w:val="20"/>
                <w:szCs w:val="20"/>
              </w:rPr>
              <w:instrText xml:space="preserve"> NUMPAGES  </w:instrText>
            </w:r>
            <w:r w:rsidRPr="00EF7D07">
              <w:rPr>
                <w:b/>
                <w:bCs/>
                <w:color w:val="auto"/>
                <w:sz w:val="20"/>
                <w:szCs w:val="20"/>
              </w:rPr>
              <w:fldChar w:fldCharType="separate"/>
            </w:r>
            <w:r w:rsidR="002C3314">
              <w:rPr>
                <w:b/>
                <w:bCs/>
                <w:noProof/>
                <w:color w:val="auto"/>
                <w:sz w:val="20"/>
                <w:szCs w:val="20"/>
              </w:rPr>
              <w:t>5</w:t>
            </w:r>
            <w:r w:rsidRPr="00EF7D07">
              <w:rPr>
                <w:b/>
                <w:bCs/>
                <w:color w:val="auto"/>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29014" w14:textId="77777777" w:rsidR="005250B2" w:rsidRPr="008C5A0E" w:rsidRDefault="005250B2" w:rsidP="00D37B04">
      <w:pPr>
        <w:pStyle w:val="Footer"/>
      </w:pPr>
    </w:p>
  </w:footnote>
  <w:footnote w:type="continuationSeparator" w:id="0">
    <w:p w14:paraId="5938D835" w14:textId="77777777" w:rsidR="005250B2" w:rsidRDefault="005250B2" w:rsidP="00D37B04">
      <w:r>
        <w:continuationSeparator/>
      </w:r>
    </w:p>
  </w:footnote>
  <w:footnote w:type="continuationNotice" w:id="1">
    <w:p w14:paraId="35133ECE" w14:textId="77777777" w:rsidR="005250B2" w:rsidRDefault="005250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86E2" w14:textId="77777777" w:rsidR="002C3314" w:rsidRDefault="002C3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0472E" w14:textId="25E19D4F" w:rsidR="005907B0" w:rsidRDefault="005907B0">
    <w:pPr>
      <w:pStyle w:val="Header"/>
    </w:pPr>
    <w:r w:rsidRPr="00943730">
      <w:rPr>
        <w:noProof/>
        <w:lang w:val="en-AU" w:eastAsia="en-AU"/>
      </w:rPr>
      <w:drawing>
        <wp:anchor distT="0" distB="0" distL="114300" distR="114300" simplePos="0" relativeHeight="251666432" behindDoc="1" locked="1" layoutInCell="1" allowOverlap="1" wp14:anchorId="5B5C945F" wp14:editId="30F7927F">
          <wp:simplePos x="0" y="0"/>
          <wp:positionH relativeFrom="page">
            <wp:align>left</wp:align>
          </wp:positionH>
          <wp:positionV relativeFrom="page">
            <wp:align>top</wp:align>
          </wp:positionV>
          <wp:extent cx="7559040" cy="10692765"/>
          <wp:effectExtent l="0" t="0" r="3810" b="0"/>
          <wp:wrapNone/>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0AE0" w14:textId="5F49AD4F" w:rsidR="00152A28" w:rsidRPr="00943730" w:rsidRDefault="00152A28" w:rsidP="00943730">
    <w:pPr>
      <w:pStyle w:val="Header"/>
    </w:pPr>
    <w:r w:rsidRPr="00943730">
      <w:fldChar w:fldCharType="begin"/>
    </w:r>
    <w:r w:rsidRPr="00943730">
      <w:instrText xml:space="preserve"> DATE  \@ "MMMM yyyy"  \* MERGEFORMAT </w:instrText>
    </w:r>
    <w:r w:rsidRPr="00943730">
      <w:fldChar w:fldCharType="separate"/>
    </w:r>
    <w:r w:rsidR="002C3314">
      <w:rPr>
        <w:noProof/>
      </w:rPr>
      <w:t>September 2019</w:t>
    </w:r>
    <w:r w:rsidRPr="00943730">
      <w:fldChar w:fldCharType="end"/>
    </w:r>
    <w:r w:rsidRPr="00252C04">
      <w:rPr>
        <w:noProof/>
        <w:lang w:val="en-AU" w:eastAsia="en-AU"/>
      </w:rPr>
      <w:drawing>
        <wp:anchor distT="0" distB="0" distL="114300" distR="114300" simplePos="0" relativeHeight="251664384" behindDoc="1" locked="1" layoutInCell="1" allowOverlap="1" wp14:anchorId="344CF52F" wp14:editId="0766D00A">
          <wp:simplePos x="0" y="0"/>
          <wp:positionH relativeFrom="page">
            <wp:posOffset>5724525</wp:posOffset>
          </wp:positionH>
          <wp:positionV relativeFrom="page">
            <wp:posOffset>918210</wp:posOffset>
          </wp:positionV>
          <wp:extent cx="1115640" cy="512640"/>
          <wp:effectExtent l="0" t="0" r="8890" b="1905"/>
          <wp:wrapNone/>
          <wp:docPr id="2" name="Picture 2"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0E47B972" wp14:editId="70A20B86">
          <wp:simplePos x="0" y="0"/>
          <wp:positionH relativeFrom="page">
            <wp:posOffset>720090</wp:posOffset>
          </wp:positionH>
          <wp:positionV relativeFrom="page">
            <wp:posOffset>882015</wp:posOffset>
          </wp:positionV>
          <wp:extent cx="3166920" cy="554400"/>
          <wp:effectExtent l="0" t="0" r="0" b="0"/>
          <wp:wrapNone/>
          <wp:docPr id="3" name="Picture 3"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3A10DF7" wp14:editId="24A180FE">
          <wp:simplePos x="0" y="0"/>
          <wp:positionH relativeFrom="page">
            <wp:posOffset>12700</wp:posOffset>
          </wp:positionH>
          <wp:positionV relativeFrom="page">
            <wp:posOffset>0</wp:posOffset>
          </wp:positionV>
          <wp:extent cx="7559040" cy="10692765"/>
          <wp:effectExtent l="0" t="0" r="3810"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1379" w14:textId="77C777B0" w:rsidR="00152A28" w:rsidRPr="00943730" w:rsidRDefault="00152A28" w:rsidP="00943730">
    <w:pPr>
      <w:pStyle w:val="Header"/>
    </w:pPr>
    <w:r w:rsidRPr="00943730">
      <w:fldChar w:fldCharType="begin"/>
    </w:r>
    <w:r w:rsidRPr="00943730">
      <w:instrText xml:space="preserve"> DATE  \@ "MMMM yyyy"  \* MERGEFORMAT </w:instrText>
    </w:r>
    <w:r w:rsidRPr="00943730">
      <w:fldChar w:fldCharType="separate"/>
    </w:r>
    <w:r w:rsidR="002C3314">
      <w:rPr>
        <w:noProof/>
      </w:rPr>
      <w:t>September 2019</w:t>
    </w:r>
    <w:r w:rsidRPr="0094373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B8E7B15"/>
    <w:multiLevelType w:val="multilevel"/>
    <w:tmpl w:val="5586660C"/>
    <w:numStyleLink w:val="BulletsList"/>
  </w:abstractNum>
  <w:abstractNum w:abstractNumId="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 w15:restartNumberingAfterBreak="0">
    <w:nsid w:val="5DCA5282"/>
    <w:multiLevelType w:val="hybridMultilevel"/>
    <w:tmpl w:val="268ABF60"/>
    <w:lvl w:ilvl="0" w:tplc="362ED02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67BA0CE5"/>
    <w:multiLevelType w:val="hybridMultilevel"/>
    <w:tmpl w:val="2EA626B6"/>
    <w:lvl w:ilvl="0" w:tplc="33B280D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107305"/>
    <w:multiLevelType w:val="multilevel"/>
    <w:tmpl w:val="5586660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6"/>
  </w:num>
  <w:num w:numId="6">
    <w:abstractNumId w:val="2"/>
  </w:num>
  <w:num w:numId="7">
    <w:abstractNumId w:val="0"/>
  </w:num>
  <w:num w:numId="8">
    <w:abstractNumId w:val="1"/>
  </w:num>
  <w:num w:numId="9">
    <w:abstractNumId w:val="9"/>
  </w:num>
  <w:num w:numId="10">
    <w:abstractNumId w:val="3"/>
  </w:num>
  <w:num w:numId="11">
    <w:abstractNumId w:val="5"/>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338"/>
    <w:rsid w:val="00001DA8"/>
    <w:rsid w:val="000020C1"/>
    <w:rsid w:val="000050F5"/>
    <w:rsid w:val="000064F0"/>
    <w:rsid w:val="000075ED"/>
    <w:rsid w:val="00007E1D"/>
    <w:rsid w:val="000163C9"/>
    <w:rsid w:val="0001666B"/>
    <w:rsid w:val="0002080A"/>
    <w:rsid w:val="000224F1"/>
    <w:rsid w:val="000237CE"/>
    <w:rsid w:val="00023BCC"/>
    <w:rsid w:val="00023C73"/>
    <w:rsid w:val="0002510B"/>
    <w:rsid w:val="0002629A"/>
    <w:rsid w:val="0002782F"/>
    <w:rsid w:val="00027E3F"/>
    <w:rsid w:val="00031944"/>
    <w:rsid w:val="00035BBF"/>
    <w:rsid w:val="00043071"/>
    <w:rsid w:val="00045CC1"/>
    <w:rsid w:val="00050806"/>
    <w:rsid w:val="000510D7"/>
    <w:rsid w:val="00051C02"/>
    <w:rsid w:val="000546D9"/>
    <w:rsid w:val="00054E4D"/>
    <w:rsid w:val="000578F3"/>
    <w:rsid w:val="00060073"/>
    <w:rsid w:val="000616C6"/>
    <w:rsid w:val="00063171"/>
    <w:rsid w:val="00064602"/>
    <w:rsid w:val="0007665A"/>
    <w:rsid w:val="00076C91"/>
    <w:rsid w:val="000804CE"/>
    <w:rsid w:val="000854FD"/>
    <w:rsid w:val="00093D7D"/>
    <w:rsid w:val="00097D9F"/>
    <w:rsid w:val="000A14AE"/>
    <w:rsid w:val="000A1A28"/>
    <w:rsid w:val="000A366B"/>
    <w:rsid w:val="000A3DA9"/>
    <w:rsid w:val="000A431C"/>
    <w:rsid w:val="000A54B7"/>
    <w:rsid w:val="000B37F5"/>
    <w:rsid w:val="000B62C2"/>
    <w:rsid w:val="000C0EAA"/>
    <w:rsid w:val="000C44CF"/>
    <w:rsid w:val="000C7A24"/>
    <w:rsid w:val="000D0467"/>
    <w:rsid w:val="000D275E"/>
    <w:rsid w:val="000D47EF"/>
    <w:rsid w:val="000D66D6"/>
    <w:rsid w:val="000E2698"/>
    <w:rsid w:val="000E512C"/>
    <w:rsid w:val="000F21F9"/>
    <w:rsid w:val="001039FB"/>
    <w:rsid w:val="00104018"/>
    <w:rsid w:val="001057B6"/>
    <w:rsid w:val="001062EB"/>
    <w:rsid w:val="00111196"/>
    <w:rsid w:val="00113288"/>
    <w:rsid w:val="00117343"/>
    <w:rsid w:val="00117A79"/>
    <w:rsid w:val="001214BE"/>
    <w:rsid w:val="0013101C"/>
    <w:rsid w:val="00134142"/>
    <w:rsid w:val="00137804"/>
    <w:rsid w:val="00143AE8"/>
    <w:rsid w:val="001461D6"/>
    <w:rsid w:val="0015071C"/>
    <w:rsid w:val="00152A28"/>
    <w:rsid w:val="001541EA"/>
    <w:rsid w:val="00155679"/>
    <w:rsid w:val="00157311"/>
    <w:rsid w:val="001617F8"/>
    <w:rsid w:val="00162392"/>
    <w:rsid w:val="0016514E"/>
    <w:rsid w:val="00165319"/>
    <w:rsid w:val="00167B32"/>
    <w:rsid w:val="00172A92"/>
    <w:rsid w:val="00173367"/>
    <w:rsid w:val="0017464B"/>
    <w:rsid w:val="00176669"/>
    <w:rsid w:val="0018069B"/>
    <w:rsid w:val="00180A31"/>
    <w:rsid w:val="001906BC"/>
    <w:rsid w:val="00196F95"/>
    <w:rsid w:val="001A0034"/>
    <w:rsid w:val="001A16B3"/>
    <w:rsid w:val="001A3BD2"/>
    <w:rsid w:val="001A4C27"/>
    <w:rsid w:val="001B5859"/>
    <w:rsid w:val="001B69A3"/>
    <w:rsid w:val="001C08AF"/>
    <w:rsid w:val="001C3056"/>
    <w:rsid w:val="001D3722"/>
    <w:rsid w:val="001D663E"/>
    <w:rsid w:val="001D6855"/>
    <w:rsid w:val="001E1DC0"/>
    <w:rsid w:val="001E276E"/>
    <w:rsid w:val="001E5AF2"/>
    <w:rsid w:val="001E5F83"/>
    <w:rsid w:val="001E7FED"/>
    <w:rsid w:val="001F46FF"/>
    <w:rsid w:val="001F702A"/>
    <w:rsid w:val="001F7D84"/>
    <w:rsid w:val="00200A83"/>
    <w:rsid w:val="00203277"/>
    <w:rsid w:val="00203C24"/>
    <w:rsid w:val="002054E9"/>
    <w:rsid w:val="002104FE"/>
    <w:rsid w:val="002200FF"/>
    <w:rsid w:val="00222950"/>
    <w:rsid w:val="00223413"/>
    <w:rsid w:val="0022377A"/>
    <w:rsid w:val="00225D7F"/>
    <w:rsid w:val="00231B9D"/>
    <w:rsid w:val="00234021"/>
    <w:rsid w:val="00236288"/>
    <w:rsid w:val="0023649F"/>
    <w:rsid w:val="00240752"/>
    <w:rsid w:val="00242347"/>
    <w:rsid w:val="002438DF"/>
    <w:rsid w:val="00243E2D"/>
    <w:rsid w:val="0024528C"/>
    <w:rsid w:val="00250A5E"/>
    <w:rsid w:val="002514D6"/>
    <w:rsid w:val="00252C04"/>
    <w:rsid w:val="00255936"/>
    <w:rsid w:val="002609D3"/>
    <w:rsid w:val="00262510"/>
    <w:rsid w:val="002637E7"/>
    <w:rsid w:val="00271F7B"/>
    <w:rsid w:val="002747E3"/>
    <w:rsid w:val="00280DDB"/>
    <w:rsid w:val="00282DB1"/>
    <w:rsid w:val="00284E84"/>
    <w:rsid w:val="0028602A"/>
    <w:rsid w:val="002868EC"/>
    <w:rsid w:val="00290B84"/>
    <w:rsid w:val="00294A64"/>
    <w:rsid w:val="00297384"/>
    <w:rsid w:val="002A0E41"/>
    <w:rsid w:val="002A1C5E"/>
    <w:rsid w:val="002A4EB7"/>
    <w:rsid w:val="002B1EA6"/>
    <w:rsid w:val="002B4C31"/>
    <w:rsid w:val="002B5E10"/>
    <w:rsid w:val="002B628C"/>
    <w:rsid w:val="002B6DBD"/>
    <w:rsid w:val="002C0DED"/>
    <w:rsid w:val="002C3314"/>
    <w:rsid w:val="002C4B45"/>
    <w:rsid w:val="002C793D"/>
    <w:rsid w:val="002D10C3"/>
    <w:rsid w:val="002D341E"/>
    <w:rsid w:val="002D48B5"/>
    <w:rsid w:val="002D5B25"/>
    <w:rsid w:val="002D64A6"/>
    <w:rsid w:val="002E1160"/>
    <w:rsid w:val="002F12CB"/>
    <w:rsid w:val="002F4F2B"/>
    <w:rsid w:val="002F74B0"/>
    <w:rsid w:val="003002C0"/>
    <w:rsid w:val="00301144"/>
    <w:rsid w:val="00302A01"/>
    <w:rsid w:val="003031C6"/>
    <w:rsid w:val="00304984"/>
    <w:rsid w:val="00307AA6"/>
    <w:rsid w:val="003123A4"/>
    <w:rsid w:val="00312BF8"/>
    <w:rsid w:val="003148B7"/>
    <w:rsid w:val="003153A9"/>
    <w:rsid w:val="003158C3"/>
    <w:rsid w:val="00316C61"/>
    <w:rsid w:val="00321998"/>
    <w:rsid w:val="003244D5"/>
    <w:rsid w:val="003274CD"/>
    <w:rsid w:val="0033194A"/>
    <w:rsid w:val="00333501"/>
    <w:rsid w:val="003352FC"/>
    <w:rsid w:val="003372A3"/>
    <w:rsid w:val="00341C3F"/>
    <w:rsid w:val="003439EA"/>
    <w:rsid w:val="003457C4"/>
    <w:rsid w:val="0034601C"/>
    <w:rsid w:val="0035119D"/>
    <w:rsid w:val="00352BF3"/>
    <w:rsid w:val="003607E2"/>
    <w:rsid w:val="003642F5"/>
    <w:rsid w:val="00372633"/>
    <w:rsid w:val="0037389A"/>
    <w:rsid w:val="003767E1"/>
    <w:rsid w:val="00381251"/>
    <w:rsid w:val="0038300B"/>
    <w:rsid w:val="003845BB"/>
    <w:rsid w:val="00384E07"/>
    <w:rsid w:val="0039344A"/>
    <w:rsid w:val="00395163"/>
    <w:rsid w:val="00396F92"/>
    <w:rsid w:val="003A3D8F"/>
    <w:rsid w:val="003B04F8"/>
    <w:rsid w:val="003B11AA"/>
    <w:rsid w:val="003B137F"/>
    <w:rsid w:val="003B1558"/>
    <w:rsid w:val="003B4F12"/>
    <w:rsid w:val="003C12B2"/>
    <w:rsid w:val="003C342B"/>
    <w:rsid w:val="003D163F"/>
    <w:rsid w:val="003D69A5"/>
    <w:rsid w:val="003E30DD"/>
    <w:rsid w:val="003E4E35"/>
    <w:rsid w:val="003E6E7D"/>
    <w:rsid w:val="003E7243"/>
    <w:rsid w:val="003F051F"/>
    <w:rsid w:val="003F2041"/>
    <w:rsid w:val="003F2BB8"/>
    <w:rsid w:val="003F7F59"/>
    <w:rsid w:val="004022A0"/>
    <w:rsid w:val="00402ACC"/>
    <w:rsid w:val="0040592F"/>
    <w:rsid w:val="0040695E"/>
    <w:rsid w:val="00407501"/>
    <w:rsid w:val="004120EC"/>
    <w:rsid w:val="00412458"/>
    <w:rsid w:val="0041641D"/>
    <w:rsid w:val="00417FD2"/>
    <w:rsid w:val="004220CB"/>
    <w:rsid w:val="004221B1"/>
    <w:rsid w:val="00423F31"/>
    <w:rsid w:val="004254A3"/>
    <w:rsid w:val="00431899"/>
    <w:rsid w:val="00433A4F"/>
    <w:rsid w:val="004345EE"/>
    <w:rsid w:val="00434B55"/>
    <w:rsid w:val="00442032"/>
    <w:rsid w:val="00442055"/>
    <w:rsid w:val="004429F1"/>
    <w:rsid w:val="00445B40"/>
    <w:rsid w:val="00450DD4"/>
    <w:rsid w:val="00454224"/>
    <w:rsid w:val="0046048F"/>
    <w:rsid w:val="004604F5"/>
    <w:rsid w:val="004626F0"/>
    <w:rsid w:val="0046674A"/>
    <w:rsid w:val="0047741B"/>
    <w:rsid w:val="00480490"/>
    <w:rsid w:val="00480A45"/>
    <w:rsid w:val="00482AE8"/>
    <w:rsid w:val="00486804"/>
    <w:rsid w:val="004912B7"/>
    <w:rsid w:val="00495E29"/>
    <w:rsid w:val="00496D8D"/>
    <w:rsid w:val="004A3208"/>
    <w:rsid w:val="004B0BAF"/>
    <w:rsid w:val="004B3775"/>
    <w:rsid w:val="004B3D7E"/>
    <w:rsid w:val="004B76BA"/>
    <w:rsid w:val="004C25DF"/>
    <w:rsid w:val="004C77FA"/>
    <w:rsid w:val="004D0BA0"/>
    <w:rsid w:val="004D1991"/>
    <w:rsid w:val="004D2C23"/>
    <w:rsid w:val="004D64FA"/>
    <w:rsid w:val="004D6882"/>
    <w:rsid w:val="004D6AC0"/>
    <w:rsid w:val="004E058F"/>
    <w:rsid w:val="004E29F2"/>
    <w:rsid w:val="004E3963"/>
    <w:rsid w:val="004E3B87"/>
    <w:rsid w:val="004E5AE7"/>
    <w:rsid w:val="004E79AE"/>
    <w:rsid w:val="004F1393"/>
    <w:rsid w:val="004F154B"/>
    <w:rsid w:val="004F2FA1"/>
    <w:rsid w:val="004F49D7"/>
    <w:rsid w:val="004F5243"/>
    <w:rsid w:val="004F53CE"/>
    <w:rsid w:val="005104E9"/>
    <w:rsid w:val="00510921"/>
    <w:rsid w:val="00510AD3"/>
    <w:rsid w:val="005130A4"/>
    <w:rsid w:val="00513348"/>
    <w:rsid w:val="00513AD8"/>
    <w:rsid w:val="00514D56"/>
    <w:rsid w:val="00515D34"/>
    <w:rsid w:val="00516D3D"/>
    <w:rsid w:val="005204D2"/>
    <w:rsid w:val="00522396"/>
    <w:rsid w:val="0052368D"/>
    <w:rsid w:val="005250B2"/>
    <w:rsid w:val="00527A5E"/>
    <w:rsid w:val="005316DC"/>
    <w:rsid w:val="00531729"/>
    <w:rsid w:val="005324D3"/>
    <w:rsid w:val="00533B5D"/>
    <w:rsid w:val="0054097C"/>
    <w:rsid w:val="0055088D"/>
    <w:rsid w:val="00554F5B"/>
    <w:rsid w:val="00557445"/>
    <w:rsid w:val="00560A65"/>
    <w:rsid w:val="005641B8"/>
    <w:rsid w:val="005713C8"/>
    <w:rsid w:val="005731F4"/>
    <w:rsid w:val="0057797D"/>
    <w:rsid w:val="00580E6A"/>
    <w:rsid w:val="005861D7"/>
    <w:rsid w:val="00586E82"/>
    <w:rsid w:val="005907B0"/>
    <w:rsid w:val="005966BC"/>
    <w:rsid w:val="005A20F6"/>
    <w:rsid w:val="005A33F1"/>
    <w:rsid w:val="005A5C01"/>
    <w:rsid w:val="005A6F8D"/>
    <w:rsid w:val="005A7133"/>
    <w:rsid w:val="005B595F"/>
    <w:rsid w:val="005B6CC8"/>
    <w:rsid w:val="005B79E4"/>
    <w:rsid w:val="005B7CA3"/>
    <w:rsid w:val="005C47A6"/>
    <w:rsid w:val="005D3655"/>
    <w:rsid w:val="005E000C"/>
    <w:rsid w:val="005E0045"/>
    <w:rsid w:val="005E28A2"/>
    <w:rsid w:val="005E4830"/>
    <w:rsid w:val="005E6590"/>
    <w:rsid w:val="005F0A0E"/>
    <w:rsid w:val="005F3344"/>
    <w:rsid w:val="005F5099"/>
    <w:rsid w:val="005F7DDA"/>
    <w:rsid w:val="0061449A"/>
    <w:rsid w:val="00622B86"/>
    <w:rsid w:val="0062319C"/>
    <w:rsid w:val="00623BA1"/>
    <w:rsid w:val="0062793F"/>
    <w:rsid w:val="006346BC"/>
    <w:rsid w:val="00636BB1"/>
    <w:rsid w:val="00637C90"/>
    <w:rsid w:val="0064245E"/>
    <w:rsid w:val="006479BF"/>
    <w:rsid w:val="00647B56"/>
    <w:rsid w:val="00650861"/>
    <w:rsid w:val="006554B0"/>
    <w:rsid w:val="00660342"/>
    <w:rsid w:val="00661884"/>
    <w:rsid w:val="006634D2"/>
    <w:rsid w:val="00663DA8"/>
    <w:rsid w:val="00664D79"/>
    <w:rsid w:val="0066652A"/>
    <w:rsid w:val="006679D3"/>
    <w:rsid w:val="006719C3"/>
    <w:rsid w:val="00672C2A"/>
    <w:rsid w:val="006802D4"/>
    <w:rsid w:val="00680522"/>
    <w:rsid w:val="00682167"/>
    <w:rsid w:val="00693F5C"/>
    <w:rsid w:val="00695EB0"/>
    <w:rsid w:val="006A0313"/>
    <w:rsid w:val="006A317C"/>
    <w:rsid w:val="006A5227"/>
    <w:rsid w:val="006A5CAC"/>
    <w:rsid w:val="006A6F5E"/>
    <w:rsid w:val="006A75BE"/>
    <w:rsid w:val="006B51F0"/>
    <w:rsid w:val="006C00D2"/>
    <w:rsid w:val="006C42AF"/>
    <w:rsid w:val="006C5A13"/>
    <w:rsid w:val="006C5AB3"/>
    <w:rsid w:val="006C79E3"/>
    <w:rsid w:val="006D0338"/>
    <w:rsid w:val="006D15DC"/>
    <w:rsid w:val="006D1FA6"/>
    <w:rsid w:val="006D4586"/>
    <w:rsid w:val="006D4BD6"/>
    <w:rsid w:val="006D7D50"/>
    <w:rsid w:val="006E06F6"/>
    <w:rsid w:val="006E0ABE"/>
    <w:rsid w:val="006E7D29"/>
    <w:rsid w:val="006F060B"/>
    <w:rsid w:val="006F12B6"/>
    <w:rsid w:val="00710E8B"/>
    <w:rsid w:val="00711D8E"/>
    <w:rsid w:val="00712672"/>
    <w:rsid w:val="00722E0D"/>
    <w:rsid w:val="007234F6"/>
    <w:rsid w:val="007235E8"/>
    <w:rsid w:val="00726300"/>
    <w:rsid w:val="0073227E"/>
    <w:rsid w:val="00733611"/>
    <w:rsid w:val="00734E3F"/>
    <w:rsid w:val="00736985"/>
    <w:rsid w:val="007408C6"/>
    <w:rsid w:val="00740C35"/>
    <w:rsid w:val="0074481B"/>
    <w:rsid w:val="00745DF5"/>
    <w:rsid w:val="00753A28"/>
    <w:rsid w:val="00756D2A"/>
    <w:rsid w:val="0076250F"/>
    <w:rsid w:val="00766B99"/>
    <w:rsid w:val="007737B5"/>
    <w:rsid w:val="00774B8F"/>
    <w:rsid w:val="00777210"/>
    <w:rsid w:val="00780FA5"/>
    <w:rsid w:val="00784253"/>
    <w:rsid w:val="007909C5"/>
    <w:rsid w:val="007965B5"/>
    <w:rsid w:val="007A074E"/>
    <w:rsid w:val="007B12FB"/>
    <w:rsid w:val="007B51A7"/>
    <w:rsid w:val="007B6200"/>
    <w:rsid w:val="007C1FB7"/>
    <w:rsid w:val="007C653D"/>
    <w:rsid w:val="007C668D"/>
    <w:rsid w:val="007C7772"/>
    <w:rsid w:val="007C7D8E"/>
    <w:rsid w:val="007D136C"/>
    <w:rsid w:val="007D3D83"/>
    <w:rsid w:val="007D6DCB"/>
    <w:rsid w:val="007E2334"/>
    <w:rsid w:val="007E2B70"/>
    <w:rsid w:val="007E78D2"/>
    <w:rsid w:val="007F26B7"/>
    <w:rsid w:val="007F3395"/>
    <w:rsid w:val="007F4308"/>
    <w:rsid w:val="007F58E3"/>
    <w:rsid w:val="00801B9F"/>
    <w:rsid w:val="0080204D"/>
    <w:rsid w:val="00802516"/>
    <w:rsid w:val="00811C30"/>
    <w:rsid w:val="00813948"/>
    <w:rsid w:val="0081591E"/>
    <w:rsid w:val="00816A28"/>
    <w:rsid w:val="00820F3C"/>
    <w:rsid w:val="008225A0"/>
    <w:rsid w:val="00823E32"/>
    <w:rsid w:val="008240B2"/>
    <w:rsid w:val="00825AF2"/>
    <w:rsid w:val="00832237"/>
    <w:rsid w:val="00833F84"/>
    <w:rsid w:val="008415B8"/>
    <w:rsid w:val="00842CF1"/>
    <w:rsid w:val="008475F0"/>
    <w:rsid w:val="008557A7"/>
    <w:rsid w:val="00856921"/>
    <w:rsid w:val="008649D3"/>
    <w:rsid w:val="00870928"/>
    <w:rsid w:val="0087137B"/>
    <w:rsid w:val="00871B5D"/>
    <w:rsid w:val="0087210C"/>
    <w:rsid w:val="00872A34"/>
    <w:rsid w:val="008750D7"/>
    <w:rsid w:val="008801E4"/>
    <w:rsid w:val="00886262"/>
    <w:rsid w:val="008867DE"/>
    <w:rsid w:val="00887C08"/>
    <w:rsid w:val="008915CD"/>
    <w:rsid w:val="0089405C"/>
    <w:rsid w:val="00897F51"/>
    <w:rsid w:val="00897FA2"/>
    <w:rsid w:val="008A10F0"/>
    <w:rsid w:val="008A297C"/>
    <w:rsid w:val="008A298E"/>
    <w:rsid w:val="008A5AFE"/>
    <w:rsid w:val="008A6760"/>
    <w:rsid w:val="008B4166"/>
    <w:rsid w:val="008B48C7"/>
    <w:rsid w:val="008B6894"/>
    <w:rsid w:val="008B79A5"/>
    <w:rsid w:val="008B7CCD"/>
    <w:rsid w:val="008C250D"/>
    <w:rsid w:val="008C5A0E"/>
    <w:rsid w:val="008C6E42"/>
    <w:rsid w:val="008D012F"/>
    <w:rsid w:val="008D354E"/>
    <w:rsid w:val="008D6761"/>
    <w:rsid w:val="008E1021"/>
    <w:rsid w:val="008E176C"/>
    <w:rsid w:val="008E32BF"/>
    <w:rsid w:val="008E3C6E"/>
    <w:rsid w:val="008E5ECF"/>
    <w:rsid w:val="008F2335"/>
    <w:rsid w:val="008F559E"/>
    <w:rsid w:val="008F6B64"/>
    <w:rsid w:val="00900311"/>
    <w:rsid w:val="009108A5"/>
    <w:rsid w:val="00912FB4"/>
    <w:rsid w:val="0091300E"/>
    <w:rsid w:val="00914F5B"/>
    <w:rsid w:val="00915991"/>
    <w:rsid w:val="009227DC"/>
    <w:rsid w:val="00922DA4"/>
    <w:rsid w:val="00924576"/>
    <w:rsid w:val="00924FE9"/>
    <w:rsid w:val="00943730"/>
    <w:rsid w:val="00945B97"/>
    <w:rsid w:val="00945C65"/>
    <w:rsid w:val="00946F60"/>
    <w:rsid w:val="00946FD0"/>
    <w:rsid w:val="009503BC"/>
    <w:rsid w:val="00953E8B"/>
    <w:rsid w:val="0096278C"/>
    <w:rsid w:val="00962DB9"/>
    <w:rsid w:val="00964C78"/>
    <w:rsid w:val="00975CA5"/>
    <w:rsid w:val="009807DC"/>
    <w:rsid w:val="009841F9"/>
    <w:rsid w:val="00985632"/>
    <w:rsid w:val="00986590"/>
    <w:rsid w:val="00990B00"/>
    <w:rsid w:val="00992123"/>
    <w:rsid w:val="00992C76"/>
    <w:rsid w:val="009969D6"/>
    <w:rsid w:val="0099766E"/>
    <w:rsid w:val="00997850"/>
    <w:rsid w:val="009A0DA5"/>
    <w:rsid w:val="009A0E39"/>
    <w:rsid w:val="009A62C7"/>
    <w:rsid w:val="009A664A"/>
    <w:rsid w:val="009B129C"/>
    <w:rsid w:val="009B4D3B"/>
    <w:rsid w:val="009C170F"/>
    <w:rsid w:val="009C2E07"/>
    <w:rsid w:val="009C7217"/>
    <w:rsid w:val="009C7656"/>
    <w:rsid w:val="009D56FB"/>
    <w:rsid w:val="009D6C7A"/>
    <w:rsid w:val="009D7407"/>
    <w:rsid w:val="009E0866"/>
    <w:rsid w:val="009E171C"/>
    <w:rsid w:val="009E273C"/>
    <w:rsid w:val="009E3089"/>
    <w:rsid w:val="009E77BC"/>
    <w:rsid w:val="009F1350"/>
    <w:rsid w:val="009F257C"/>
    <w:rsid w:val="009F4928"/>
    <w:rsid w:val="009F626A"/>
    <w:rsid w:val="009F6423"/>
    <w:rsid w:val="009F7A0B"/>
    <w:rsid w:val="00A03DB0"/>
    <w:rsid w:val="00A03FF9"/>
    <w:rsid w:val="00A12647"/>
    <w:rsid w:val="00A16F06"/>
    <w:rsid w:val="00A16FCE"/>
    <w:rsid w:val="00A22F4C"/>
    <w:rsid w:val="00A23E9C"/>
    <w:rsid w:val="00A24A62"/>
    <w:rsid w:val="00A24D64"/>
    <w:rsid w:val="00A279EC"/>
    <w:rsid w:val="00A27B83"/>
    <w:rsid w:val="00A3074E"/>
    <w:rsid w:val="00A30C38"/>
    <w:rsid w:val="00A30D1A"/>
    <w:rsid w:val="00A31C9F"/>
    <w:rsid w:val="00A334F1"/>
    <w:rsid w:val="00A365C8"/>
    <w:rsid w:val="00A374A5"/>
    <w:rsid w:val="00A4144F"/>
    <w:rsid w:val="00A45169"/>
    <w:rsid w:val="00A45F7C"/>
    <w:rsid w:val="00A47187"/>
    <w:rsid w:val="00A510E8"/>
    <w:rsid w:val="00A5235C"/>
    <w:rsid w:val="00A5292F"/>
    <w:rsid w:val="00A539E7"/>
    <w:rsid w:val="00A61B4D"/>
    <w:rsid w:val="00A62E56"/>
    <w:rsid w:val="00A659E0"/>
    <w:rsid w:val="00A65EFB"/>
    <w:rsid w:val="00A70C7E"/>
    <w:rsid w:val="00A71694"/>
    <w:rsid w:val="00A72C79"/>
    <w:rsid w:val="00A80BA2"/>
    <w:rsid w:val="00A80F95"/>
    <w:rsid w:val="00A8235D"/>
    <w:rsid w:val="00A84235"/>
    <w:rsid w:val="00A8582B"/>
    <w:rsid w:val="00A85F09"/>
    <w:rsid w:val="00A86042"/>
    <w:rsid w:val="00A929FC"/>
    <w:rsid w:val="00A96322"/>
    <w:rsid w:val="00A964C8"/>
    <w:rsid w:val="00A965AB"/>
    <w:rsid w:val="00A965F0"/>
    <w:rsid w:val="00A97BF1"/>
    <w:rsid w:val="00AA0735"/>
    <w:rsid w:val="00AA1146"/>
    <w:rsid w:val="00AA1EE2"/>
    <w:rsid w:val="00AA298A"/>
    <w:rsid w:val="00AA5AB4"/>
    <w:rsid w:val="00AB13D2"/>
    <w:rsid w:val="00AB6516"/>
    <w:rsid w:val="00AB6EDF"/>
    <w:rsid w:val="00AB7D10"/>
    <w:rsid w:val="00AC164A"/>
    <w:rsid w:val="00AC1D79"/>
    <w:rsid w:val="00AC28D2"/>
    <w:rsid w:val="00AC2B65"/>
    <w:rsid w:val="00AD066A"/>
    <w:rsid w:val="00AD06BE"/>
    <w:rsid w:val="00AE293E"/>
    <w:rsid w:val="00AE448A"/>
    <w:rsid w:val="00AF2050"/>
    <w:rsid w:val="00AF790F"/>
    <w:rsid w:val="00AF7D74"/>
    <w:rsid w:val="00AF7F72"/>
    <w:rsid w:val="00B03CA8"/>
    <w:rsid w:val="00B04B17"/>
    <w:rsid w:val="00B10A59"/>
    <w:rsid w:val="00B16025"/>
    <w:rsid w:val="00B161BE"/>
    <w:rsid w:val="00B17490"/>
    <w:rsid w:val="00B21249"/>
    <w:rsid w:val="00B21E83"/>
    <w:rsid w:val="00B26034"/>
    <w:rsid w:val="00B27154"/>
    <w:rsid w:val="00B27AE5"/>
    <w:rsid w:val="00B33C0A"/>
    <w:rsid w:val="00B37272"/>
    <w:rsid w:val="00B42654"/>
    <w:rsid w:val="00B469F8"/>
    <w:rsid w:val="00B54DAD"/>
    <w:rsid w:val="00B55E19"/>
    <w:rsid w:val="00B61408"/>
    <w:rsid w:val="00B65079"/>
    <w:rsid w:val="00B66460"/>
    <w:rsid w:val="00B70BFC"/>
    <w:rsid w:val="00B7142F"/>
    <w:rsid w:val="00B73938"/>
    <w:rsid w:val="00B75F0C"/>
    <w:rsid w:val="00B806FF"/>
    <w:rsid w:val="00B81734"/>
    <w:rsid w:val="00B870CD"/>
    <w:rsid w:val="00B876C7"/>
    <w:rsid w:val="00B92700"/>
    <w:rsid w:val="00B94758"/>
    <w:rsid w:val="00B96176"/>
    <w:rsid w:val="00B97251"/>
    <w:rsid w:val="00BA0B91"/>
    <w:rsid w:val="00BA27F6"/>
    <w:rsid w:val="00BA2B58"/>
    <w:rsid w:val="00BA4B6D"/>
    <w:rsid w:val="00BA6EF8"/>
    <w:rsid w:val="00BB26C5"/>
    <w:rsid w:val="00BB53D6"/>
    <w:rsid w:val="00BC2C56"/>
    <w:rsid w:val="00BD2786"/>
    <w:rsid w:val="00BD4185"/>
    <w:rsid w:val="00BD5ED7"/>
    <w:rsid w:val="00BE498B"/>
    <w:rsid w:val="00BE524F"/>
    <w:rsid w:val="00BE704C"/>
    <w:rsid w:val="00BF29DE"/>
    <w:rsid w:val="00BF3018"/>
    <w:rsid w:val="00BF3353"/>
    <w:rsid w:val="00BF33A3"/>
    <w:rsid w:val="00BF3AC8"/>
    <w:rsid w:val="00BF4DE6"/>
    <w:rsid w:val="00BF6A93"/>
    <w:rsid w:val="00C033E5"/>
    <w:rsid w:val="00C06B13"/>
    <w:rsid w:val="00C07FE8"/>
    <w:rsid w:val="00C16A30"/>
    <w:rsid w:val="00C224A3"/>
    <w:rsid w:val="00C22D40"/>
    <w:rsid w:val="00C266BE"/>
    <w:rsid w:val="00C27D25"/>
    <w:rsid w:val="00C31757"/>
    <w:rsid w:val="00C336A7"/>
    <w:rsid w:val="00C33AC3"/>
    <w:rsid w:val="00C375BE"/>
    <w:rsid w:val="00C37C18"/>
    <w:rsid w:val="00C40B14"/>
    <w:rsid w:val="00C410D2"/>
    <w:rsid w:val="00C42541"/>
    <w:rsid w:val="00C42CDE"/>
    <w:rsid w:val="00C42E6A"/>
    <w:rsid w:val="00C4332D"/>
    <w:rsid w:val="00C44ABB"/>
    <w:rsid w:val="00C50708"/>
    <w:rsid w:val="00C511B7"/>
    <w:rsid w:val="00C5182A"/>
    <w:rsid w:val="00C56A5A"/>
    <w:rsid w:val="00C60EA6"/>
    <w:rsid w:val="00C63EE9"/>
    <w:rsid w:val="00C850CB"/>
    <w:rsid w:val="00C85FEC"/>
    <w:rsid w:val="00C86FB3"/>
    <w:rsid w:val="00C907D1"/>
    <w:rsid w:val="00C926DE"/>
    <w:rsid w:val="00C92834"/>
    <w:rsid w:val="00C95F86"/>
    <w:rsid w:val="00CA0845"/>
    <w:rsid w:val="00CA16F3"/>
    <w:rsid w:val="00CA217D"/>
    <w:rsid w:val="00CA37B1"/>
    <w:rsid w:val="00CA7A97"/>
    <w:rsid w:val="00CB0452"/>
    <w:rsid w:val="00CB136E"/>
    <w:rsid w:val="00CB1959"/>
    <w:rsid w:val="00CC23AC"/>
    <w:rsid w:val="00CC34D1"/>
    <w:rsid w:val="00CC6B6A"/>
    <w:rsid w:val="00CC741B"/>
    <w:rsid w:val="00CD0ABF"/>
    <w:rsid w:val="00CD0E4B"/>
    <w:rsid w:val="00CD1E87"/>
    <w:rsid w:val="00CD5B9A"/>
    <w:rsid w:val="00CD68E9"/>
    <w:rsid w:val="00CE456E"/>
    <w:rsid w:val="00CE4C89"/>
    <w:rsid w:val="00CF07BA"/>
    <w:rsid w:val="00CF7F07"/>
    <w:rsid w:val="00D02933"/>
    <w:rsid w:val="00D0296C"/>
    <w:rsid w:val="00D07425"/>
    <w:rsid w:val="00D110D5"/>
    <w:rsid w:val="00D11A32"/>
    <w:rsid w:val="00D123E5"/>
    <w:rsid w:val="00D23361"/>
    <w:rsid w:val="00D261ED"/>
    <w:rsid w:val="00D26582"/>
    <w:rsid w:val="00D27B73"/>
    <w:rsid w:val="00D3247C"/>
    <w:rsid w:val="00D32D6F"/>
    <w:rsid w:val="00D34CCB"/>
    <w:rsid w:val="00D37B04"/>
    <w:rsid w:val="00D40133"/>
    <w:rsid w:val="00D40AE7"/>
    <w:rsid w:val="00D45C9B"/>
    <w:rsid w:val="00D5187E"/>
    <w:rsid w:val="00D520C4"/>
    <w:rsid w:val="00D540C6"/>
    <w:rsid w:val="00D600A6"/>
    <w:rsid w:val="00D61F53"/>
    <w:rsid w:val="00D61F6D"/>
    <w:rsid w:val="00D64BD1"/>
    <w:rsid w:val="00D704BB"/>
    <w:rsid w:val="00D71063"/>
    <w:rsid w:val="00D73217"/>
    <w:rsid w:val="00D738F3"/>
    <w:rsid w:val="00D841B6"/>
    <w:rsid w:val="00D85589"/>
    <w:rsid w:val="00D878F4"/>
    <w:rsid w:val="00D92254"/>
    <w:rsid w:val="00D93E2A"/>
    <w:rsid w:val="00D942C7"/>
    <w:rsid w:val="00DA174B"/>
    <w:rsid w:val="00DA298B"/>
    <w:rsid w:val="00DA356F"/>
    <w:rsid w:val="00DA3F0E"/>
    <w:rsid w:val="00DA57D3"/>
    <w:rsid w:val="00DB25A4"/>
    <w:rsid w:val="00DC13EE"/>
    <w:rsid w:val="00DC42A3"/>
    <w:rsid w:val="00DC6E57"/>
    <w:rsid w:val="00DC6EFB"/>
    <w:rsid w:val="00DC77FD"/>
    <w:rsid w:val="00DD1037"/>
    <w:rsid w:val="00DE0663"/>
    <w:rsid w:val="00DE084C"/>
    <w:rsid w:val="00DE351A"/>
    <w:rsid w:val="00DE36C4"/>
    <w:rsid w:val="00DF38DE"/>
    <w:rsid w:val="00DF396D"/>
    <w:rsid w:val="00DF703E"/>
    <w:rsid w:val="00E02060"/>
    <w:rsid w:val="00E0229A"/>
    <w:rsid w:val="00E1462E"/>
    <w:rsid w:val="00E14F51"/>
    <w:rsid w:val="00E16AC7"/>
    <w:rsid w:val="00E25738"/>
    <w:rsid w:val="00E27F6F"/>
    <w:rsid w:val="00E30704"/>
    <w:rsid w:val="00E342F5"/>
    <w:rsid w:val="00E3454B"/>
    <w:rsid w:val="00E357B7"/>
    <w:rsid w:val="00E35D24"/>
    <w:rsid w:val="00E43FA1"/>
    <w:rsid w:val="00E510F7"/>
    <w:rsid w:val="00E53800"/>
    <w:rsid w:val="00E54599"/>
    <w:rsid w:val="00E55F41"/>
    <w:rsid w:val="00E562EE"/>
    <w:rsid w:val="00E5684F"/>
    <w:rsid w:val="00E57F20"/>
    <w:rsid w:val="00E6081F"/>
    <w:rsid w:val="00E6295C"/>
    <w:rsid w:val="00E62B06"/>
    <w:rsid w:val="00E65B6F"/>
    <w:rsid w:val="00E67B35"/>
    <w:rsid w:val="00E72F34"/>
    <w:rsid w:val="00E7349D"/>
    <w:rsid w:val="00E76CAA"/>
    <w:rsid w:val="00E76CAF"/>
    <w:rsid w:val="00E8296D"/>
    <w:rsid w:val="00E8457B"/>
    <w:rsid w:val="00E85368"/>
    <w:rsid w:val="00E929FA"/>
    <w:rsid w:val="00E94A8D"/>
    <w:rsid w:val="00EA04B2"/>
    <w:rsid w:val="00EA16A7"/>
    <w:rsid w:val="00EA1D90"/>
    <w:rsid w:val="00EA20F3"/>
    <w:rsid w:val="00EA38B9"/>
    <w:rsid w:val="00EA5ADE"/>
    <w:rsid w:val="00EA658C"/>
    <w:rsid w:val="00EB0932"/>
    <w:rsid w:val="00EB4018"/>
    <w:rsid w:val="00EC04EA"/>
    <w:rsid w:val="00EC71EC"/>
    <w:rsid w:val="00ED0212"/>
    <w:rsid w:val="00ED2831"/>
    <w:rsid w:val="00ED3D1A"/>
    <w:rsid w:val="00ED43D1"/>
    <w:rsid w:val="00ED4430"/>
    <w:rsid w:val="00ED4A01"/>
    <w:rsid w:val="00ED580E"/>
    <w:rsid w:val="00EE2141"/>
    <w:rsid w:val="00EE3D7F"/>
    <w:rsid w:val="00EE439B"/>
    <w:rsid w:val="00EE4EE1"/>
    <w:rsid w:val="00EF02CD"/>
    <w:rsid w:val="00EF0982"/>
    <w:rsid w:val="00EF12E0"/>
    <w:rsid w:val="00EF2939"/>
    <w:rsid w:val="00EF41AA"/>
    <w:rsid w:val="00EF4574"/>
    <w:rsid w:val="00EF7D07"/>
    <w:rsid w:val="00F0050A"/>
    <w:rsid w:val="00F11180"/>
    <w:rsid w:val="00F13A90"/>
    <w:rsid w:val="00F14C2F"/>
    <w:rsid w:val="00F167E5"/>
    <w:rsid w:val="00F170C3"/>
    <w:rsid w:val="00F17387"/>
    <w:rsid w:val="00F25A93"/>
    <w:rsid w:val="00F2684E"/>
    <w:rsid w:val="00F26B5D"/>
    <w:rsid w:val="00F32784"/>
    <w:rsid w:val="00F33E14"/>
    <w:rsid w:val="00F34C7E"/>
    <w:rsid w:val="00F35AA6"/>
    <w:rsid w:val="00F4182F"/>
    <w:rsid w:val="00F47305"/>
    <w:rsid w:val="00F4752F"/>
    <w:rsid w:val="00F52696"/>
    <w:rsid w:val="00F5404C"/>
    <w:rsid w:val="00F54674"/>
    <w:rsid w:val="00F56117"/>
    <w:rsid w:val="00F64CE6"/>
    <w:rsid w:val="00F70A1B"/>
    <w:rsid w:val="00F729EF"/>
    <w:rsid w:val="00F77CAE"/>
    <w:rsid w:val="00F80821"/>
    <w:rsid w:val="00F82271"/>
    <w:rsid w:val="00F82CED"/>
    <w:rsid w:val="00F83428"/>
    <w:rsid w:val="00F83E21"/>
    <w:rsid w:val="00F87D08"/>
    <w:rsid w:val="00F90941"/>
    <w:rsid w:val="00F91C13"/>
    <w:rsid w:val="00F96BB3"/>
    <w:rsid w:val="00F96BB9"/>
    <w:rsid w:val="00F96C62"/>
    <w:rsid w:val="00FA1C2D"/>
    <w:rsid w:val="00FA4EEC"/>
    <w:rsid w:val="00FB7892"/>
    <w:rsid w:val="00FC11EE"/>
    <w:rsid w:val="00FC2ABF"/>
    <w:rsid w:val="00FC322F"/>
    <w:rsid w:val="00FC3803"/>
    <w:rsid w:val="00FC7F74"/>
    <w:rsid w:val="00FD1A05"/>
    <w:rsid w:val="00FD3D90"/>
    <w:rsid w:val="00FD3E2F"/>
    <w:rsid w:val="00FD44AA"/>
    <w:rsid w:val="00FD71FB"/>
    <w:rsid w:val="00FE1AA7"/>
    <w:rsid w:val="00FE3701"/>
    <w:rsid w:val="00FE6D51"/>
    <w:rsid w:val="00FE6F2A"/>
    <w:rsid w:val="00FE7C03"/>
    <w:rsid w:val="00FF01A9"/>
    <w:rsid w:val="00FF3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C0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A97"/>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0A3DA9"/>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1A4C27"/>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0A3DA9"/>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DA9"/>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1A4C2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0A3DA9"/>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0A3DA9"/>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A3DA9"/>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0A3DA9"/>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ASI Footer,ftref,16 Point,Superscript 6 Point, BVI fnr,BVI fnr, BVI fnr Car Car,BVI fnr Car, BVI fnr Car Car Car Car, BVI fnr Car Car Car Car Char,BVI fnr Car Car,BVI fnr Car Car Car Car,Footnotes refss,Footnote Reference1"/>
    <w:basedOn w:val="DefaultParagraphFont"/>
    <w:link w:val="Char2"/>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7D6DCB"/>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Recommendation,L,List Paragraph1,List Paragraph11,Medium Grid 1 - Accent 21,Numbered Paragraph,CV text,Table text,F5 List Paragraph,Dot pt,Bulleted Para,NFP GP Bulleted List,FooterText,numbered,Paragraphe de liste1,Bulletr List Paragraph"/>
    <w:basedOn w:val="Normal"/>
    <w:link w:val="ListParagraphChar"/>
    <w:uiPriority w:val="34"/>
    <w:qFormat/>
    <w:locked/>
    <w:rsid w:val="00E02060"/>
    <w:pPr>
      <w:ind w:left="720"/>
      <w:contextualSpacing/>
    </w:pPr>
  </w:style>
  <w:style w:type="paragraph" w:customStyle="1" w:styleId="Normal1">
    <w:name w:val="Normal1"/>
    <w:rsid w:val="00E02060"/>
    <w:pPr>
      <w:widowControl w:val="0"/>
      <w:spacing w:after="0" w:line="240" w:lineRule="auto"/>
    </w:pPr>
    <w:rPr>
      <w:rFonts w:ascii="Calibri" w:eastAsia="Calibri" w:hAnsi="Calibri" w:cs="Calibri"/>
      <w:color w:val="000000"/>
      <w:sz w:val="24"/>
      <w:szCs w:val="24"/>
    </w:rPr>
  </w:style>
  <w:style w:type="table" w:customStyle="1" w:styleId="ListTable4-Accent14">
    <w:name w:val="List Table 4 - Accent 14"/>
    <w:basedOn w:val="TableNormal"/>
    <w:next w:val="ListTable4-Accent1"/>
    <w:uiPriority w:val="49"/>
    <w:rsid w:val="00E02060"/>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character" w:customStyle="1" w:styleId="ListParagraphChar">
    <w:name w:val="List Paragraph Char"/>
    <w:aliases w:val="Recommendation Char,L Char,List Paragraph1 Char,List Paragraph11 Char,Medium Grid 1 - Accent 21 Char,Numbered Paragraph Char,CV text Char,Table text Char,F5 List Paragraph Char,Dot pt Char,Bulleted Para Char,NFP GP Bulleted List Char"/>
    <w:link w:val="ListParagraph"/>
    <w:uiPriority w:val="34"/>
    <w:qFormat/>
    <w:locked/>
    <w:rsid w:val="00E02060"/>
    <w:rPr>
      <w:color w:val="495965" w:themeColor="text2"/>
      <w:lang w:val="en-GB"/>
    </w:rPr>
  </w:style>
  <w:style w:type="table" w:styleId="ListTable4-Accent1">
    <w:name w:val="List Table 4 Accent 1"/>
    <w:basedOn w:val="TableNormal"/>
    <w:uiPriority w:val="49"/>
    <w:locked/>
    <w:rsid w:val="00E02060"/>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customStyle="1" w:styleId="Tablebullet">
    <w:name w:val="Table bullet"/>
    <w:basedOn w:val="ListParagraph"/>
    <w:link w:val="TablebulletChar"/>
    <w:qFormat/>
    <w:rsid w:val="00740C35"/>
    <w:pPr>
      <w:numPr>
        <w:numId w:val="11"/>
      </w:numPr>
      <w:spacing w:before="60"/>
      <w:ind w:left="349"/>
    </w:pPr>
    <w:rPr>
      <w:rFonts w:asciiTheme="majorHAnsi" w:hAnsiTheme="majorHAnsi"/>
    </w:rPr>
  </w:style>
  <w:style w:type="character" w:styleId="EndnoteReference">
    <w:name w:val="endnote reference"/>
    <w:basedOn w:val="DefaultParagraphFont"/>
    <w:uiPriority w:val="99"/>
    <w:semiHidden/>
    <w:unhideWhenUsed/>
    <w:rsid w:val="006679D3"/>
    <w:rPr>
      <w:vertAlign w:val="superscript"/>
    </w:rPr>
  </w:style>
  <w:style w:type="character" w:customStyle="1" w:styleId="TablebulletChar">
    <w:name w:val="Table bullet Char"/>
    <w:basedOn w:val="ListParagraphChar"/>
    <w:link w:val="Tablebullet"/>
    <w:rsid w:val="00740C35"/>
    <w:rPr>
      <w:rFonts w:asciiTheme="majorHAnsi" w:hAnsiTheme="majorHAnsi"/>
      <w:color w:val="495965" w:themeColor="text2"/>
      <w:lang w:val="en-GB"/>
    </w:rPr>
  </w:style>
  <w:style w:type="character" w:styleId="PlaceholderText">
    <w:name w:val="Placeholder Text"/>
    <w:basedOn w:val="DefaultParagraphFont"/>
    <w:uiPriority w:val="99"/>
    <w:semiHidden/>
    <w:locked/>
    <w:rsid w:val="00AB6EDF"/>
    <w:rPr>
      <w:color w:val="808080"/>
    </w:rPr>
  </w:style>
  <w:style w:type="paragraph" w:customStyle="1" w:styleId="Char2">
    <w:name w:val="Char2"/>
    <w:basedOn w:val="Normal"/>
    <w:link w:val="FootnoteReference"/>
    <w:rsid w:val="0017464B"/>
    <w:pPr>
      <w:suppressAutoHyphens w:val="0"/>
      <w:spacing w:before="0" w:after="160" w:line="240" w:lineRule="exact"/>
    </w:pPr>
    <w:rPr>
      <w:color w:val="auto"/>
      <w:vertAlign w:val="superscript"/>
      <w:lang w:val="en-AU"/>
    </w:rPr>
  </w:style>
  <w:style w:type="paragraph" w:styleId="Revision">
    <w:name w:val="Revision"/>
    <w:hidden/>
    <w:uiPriority w:val="99"/>
    <w:semiHidden/>
    <w:rsid w:val="00C224A3"/>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507">
      <w:bodyDiv w:val="1"/>
      <w:marLeft w:val="0"/>
      <w:marRight w:val="0"/>
      <w:marTop w:val="0"/>
      <w:marBottom w:val="0"/>
      <w:divBdr>
        <w:top w:val="none" w:sz="0" w:space="0" w:color="auto"/>
        <w:left w:val="none" w:sz="0" w:space="0" w:color="auto"/>
        <w:bottom w:val="none" w:sz="0" w:space="0" w:color="auto"/>
        <w:right w:val="none" w:sz="0" w:space="0" w:color="auto"/>
      </w:divBdr>
    </w:div>
    <w:div w:id="469442788">
      <w:bodyDiv w:val="1"/>
      <w:marLeft w:val="0"/>
      <w:marRight w:val="0"/>
      <w:marTop w:val="0"/>
      <w:marBottom w:val="0"/>
      <w:divBdr>
        <w:top w:val="none" w:sz="0" w:space="0" w:color="auto"/>
        <w:left w:val="none" w:sz="0" w:space="0" w:color="auto"/>
        <w:bottom w:val="none" w:sz="0" w:space="0" w:color="auto"/>
        <w:right w:val="none" w:sz="0" w:space="0" w:color="auto"/>
      </w:divBdr>
    </w:div>
    <w:div w:id="501549786">
      <w:bodyDiv w:val="1"/>
      <w:marLeft w:val="0"/>
      <w:marRight w:val="0"/>
      <w:marTop w:val="0"/>
      <w:marBottom w:val="0"/>
      <w:divBdr>
        <w:top w:val="none" w:sz="0" w:space="0" w:color="auto"/>
        <w:left w:val="none" w:sz="0" w:space="0" w:color="auto"/>
        <w:bottom w:val="none" w:sz="0" w:space="0" w:color="auto"/>
        <w:right w:val="none" w:sz="0" w:space="0" w:color="auto"/>
      </w:divBdr>
    </w:div>
    <w:div w:id="679504393">
      <w:bodyDiv w:val="1"/>
      <w:marLeft w:val="0"/>
      <w:marRight w:val="0"/>
      <w:marTop w:val="0"/>
      <w:marBottom w:val="0"/>
      <w:divBdr>
        <w:top w:val="none" w:sz="0" w:space="0" w:color="auto"/>
        <w:left w:val="none" w:sz="0" w:space="0" w:color="auto"/>
        <w:bottom w:val="none" w:sz="0" w:space="0" w:color="auto"/>
        <w:right w:val="none" w:sz="0" w:space="0" w:color="auto"/>
      </w:divBdr>
      <w:divsChild>
        <w:div w:id="741147128">
          <w:marLeft w:val="0"/>
          <w:marRight w:val="0"/>
          <w:marTop w:val="0"/>
          <w:marBottom w:val="0"/>
          <w:divBdr>
            <w:top w:val="none" w:sz="0" w:space="0" w:color="auto"/>
            <w:left w:val="none" w:sz="0" w:space="0" w:color="auto"/>
            <w:bottom w:val="none" w:sz="0" w:space="0" w:color="auto"/>
            <w:right w:val="none" w:sz="0" w:space="0" w:color="auto"/>
          </w:divBdr>
        </w:div>
        <w:div w:id="366489598">
          <w:marLeft w:val="0"/>
          <w:marRight w:val="0"/>
          <w:marTop w:val="0"/>
          <w:marBottom w:val="0"/>
          <w:divBdr>
            <w:top w:val="none" w:sz="0" w:space="0" w:color="auto"/>
            <w:left w:val="none" w:sz="0" w:space="0" w:color="auto"/>
            <w:bottom w:val="none" w:sz="0" w:space="0" w:color="auto"/>
            <w:right w:val="none" w:sz="0" w:space="0" w:color="auto"/>
          </w:divBdr>
        </w:div>
      </w:divsChild>
    </w:div>
    <w:div w:id="1056472418">
      <w:bodyDiv w:val="1"/>
      <w:marLeft w:val="0"/>
      <w:marRight w:val="0"/>
      <w:marTop w:val="0"/>
      <w:marBottom w:val="0"/>
      <w:divBdr>
        <w:top w:val="none" w:sz="0" w:space="0" w:color="auto"/>
        <w:left w:val="none" w:sz="0" w:space="0" w:color="auto"/>
        <w:bottom w:val="none" w:sz="0" w:space="0" w:color="auto"/>
        <w:right w:val="none" w:sz="0" w:space="0" w:color="auto"/>
      </w:divBdr>
    </w:div>
    <w:div w:id="1225137853">
      <w:bodyDiv w:val="1"/>
      <w:marLeft w:val="0"/>
      <w:marRight w:val="0"/>
      <w:marTop w:val="0"/>
      <w:marBottom w:val="0"/>
      <w:divBdr>
        <w:top w:val="none" w:sz="0" w:space="0" w:color="auto"/>
        <w:left w:val="none" w:sz="0" w:space="0" w:color="auto"/>
        <w:bottom w:val="none" w:sz="0" w:space="0" w:color="auto"/>
        <w:right w:val="none" w:sz="0" w:space="0" w:color="auto"/>
      </w:divBdr>
    </w:div>
    <w:div w:id="21450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DBEB2E-48DD-4334-9D76-047B4C899394}"/>
</file>

<file path=customXml/itemProps2.xml><?xml version="1.0" encoding="utf-8"?>
<ds:datastoreItem xmlns:ds="http://schemas.openxmlformats.org/officeDocument/2006/customXml" ds:itemID="{4D32793A-83F9-4D89-93E6-A4EE8F0AF7E4}"/>
</file>

<file path=customXml/itemProps3.xml><?xml version="1.0" encoding="utf-8"?>
<ds:datastoreItem xmlns:ds="http://schemas.openxmlformats.org/officeDocument/2006/customXml" ds:itemID="{9DEB3F4C-7B14-4D2C-B4CB-E77CA9D5F929}"/>
</file>

<file path=customXml/itemProps4.xml><?xml version="1.0" encoding="utf-8"?>
<ds:datastoreItem xmlns:ds="http://schemas.openxmlformats.org/officeDocument/2006/customXml" ds:itemID="{3E7A1CCD-2AD8-4A24-9065-AB6BCB497329}"/>
</file>

<file path=docProps/app.xml><?xml version="1.0" encoding="utf-8"?>
<Properties xmlns="http://schemas.openxmlformats.org/officeDocument/2006/extended-properties" xmlns:vt="http://schemas.openxmlformats.org/officeDocument/2006/docPropsVTypes">
  <Template>Normal.dotm</Template>
  <TotalTime>0</TotalTime>
  <Pages>5</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2019-09-26T01:19:00Z</dcterms:created>
  <dcterms:modified xsi:type="dcterms:W3CDTF">2019-09-26T01:20:00Z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75b771ae-ef6b-4219-94d5-80b21b273c27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1266900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