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9472" w14:textId="01F3D1DA" w:rsidR="00FE6F2A" w:rsidRDefault="00955ABA" w:rsidP="00955ABA">
      <w:pPr>
        <w:pStyle w:val="SpacebeforeTitle"/>
        <w:tabs>
          <w:tab w:val="left" w:pos="1114"/>
        </w:tabs>
      </w:pPr>
      <w:r>
        <w:tab/>
      </w:r>
      <w:r w:rsidR="003555AD">
        <w:t xml:space="preserve"> </w:t>
      </w:r>
    </w:p>
    <w:p w14:paraId="70FFC53C" w14:textId="354407B5" w:rsidR="00490CDB" w:rsidRDefault="00490CDB" w:rsidP="00490CDB">
      <w:pPr>
        <w:pStyle w:val="Heading2"/>
        <w:spacing w:before="0" w:after="60"/>
        <w:rPr>
          <w:b/>
          <w:sz w:val="36"/>
          <w:szCs w:val="36"/>
        </w:rPr>
      </w:pPr>
      <w:bookmarkStart w:id="0" w:name="_Toc399508768"/>
      <w:bookmarkStart w:id="1" w:name="_Toc399508866"/>
      <w:bookmarkStart w:id="2" w:name="_Toc416685112"/>
      <w:r w:rsidRPr="00A10300">
        <w:rPr>
          <w:b/>
          <w:sz w:val="36"/>
          <w:szCs w:val="36"/>
        </w:rPr>
        <w:t xml:space="preserve">Investment Concept </w:t>
      </w:r>
      <w:bookmarkEnd w:id="0"/>
      <w:bookmarkEnd w:id="1"/>
      <w:bookmarkEnd w:id="2"/>
    </w:p>
    <w:p w14:paraId="3A718DD2" w14:textId="2A70B322"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Investment Concept Title:</w:t>
      </w:r>
      <w:r w:rsidRPr="00490CDB">
        <w:rPr>
          <w:b/>
          <w:sz w:val="21"/>
          <w:szCs w:val="21"/>
        </w:rPr>
        <w:tab/>
      </w:r>
      <w:r w:rsidR="0053749A">
        <w:rPr>
          <w:b/>
          <w:sz w:val="21"/>
          <w:szCs w:val="21"/>
        </w:rPr>
        <w:t>Support Unit</w:t>
      </w:r>
      <w:r w:rsidR="00806296">
        <w:rPr>
          <w:b/>
          <w:sz w:val="21"/>
          <w:szCs w:val="21"/>
        </w:rPr>
        <w:t xml:space="preserve"> for</w:t>
      </w:r>
      <w:r w:rsidR="00806296" w:rsidRPr="00806296">
        <w:rPr>
          <w:b/>
          <w:sz w:val="21"/>
          <w:szCs w:val="21"/>
        </w:rPr>
        <w:t xml:space="preserve"> </w:t>
      </w:r>
      <w:r w:rsidR="00806296">
        <w:rPr>
          <w:b/>
          <w:sz w:val="21"/>
          <w:szCs w:val="21"/>
        </w:rPr>
        <w:t>Gender Equality (SURGE)</w:t>
      </w:r>
      <w:r w:rsidRPr="00490CDB">
        <w:rPr>
          <w:b/>
          <w:sz w:val="21"/>
          <w:szCs w:val="21"/>
        </w:rPr>
        <w:tab/>
      </w:r>
      <w:r w:rsidRPr="00490CDB">
        <w:rPr>
          <w:b/>
          <w:sz w:val="21"/>
          <w:szCs w:val="21"/>
        </w:rPr>
        <w:tab/>
      </w:r>
      <w:r w:rsidRPr="00490CDB">
        <w:rPr>
          <w:b/>
          <w:sz w:val="21"/>
          <w:szCs w:val="21"/>
        </w:rPr>
        <w:tab/>
      </w:r>
      <w:r w:rsidRPr="00490CDB">
        <w:rPr>
          <w:b/>
          <w:sz w:val="21"/>
          <w:szCs w:val="21"/>
        </w:rPr>
        <w:tab/>
      </w:r>
      <w:r w:rsidRPr="00490CDB">
        <w:rPr>
          <w:b/>
          <w:sz w:val="21"/>
          <w:szCs w:val="21"/>
        </w:rPr>
        <w:tab/>
      </w:r>
    </w:p>
    <w:p w14:paraId="315A7447" w14:textId="7A14E3D2"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Start date:</w:t>
      </w:r>
      <w:r w:rsidRPr="00490CDB">
        <w:rPr>
          <w:b/>
          <w:sz w:val="21"/>
          <w:szCs w:val="21"/>
        </w:rPr>
        <w:tab/>
      </w:r>
      <w:r w:rsidR="00FB50DD">
        <w:rPr>
          <w:b/>
          <w:sz w:val="21"/>
          <w:szCs w:val="21"/>
        </w:rPr>
        <w:t>30 January 2022</w:t>
      </w:r>
      <w:r w:rsidRPr="00490CDB">
        <w:rPr>
          <w:b/>
          <w:sz w:val="21"/>
          <w:szCs w:val="21"/>
        </w:rPr>
        <w:tab/>
      </w:r>
      <w:r w:rsidRPr="00490CDB">
        <w:rPr>
          <w:b/>
          <w:sz w:val="21"/>
          <w:szCs w:val="21"/>
        </w:rPr>
        <w:tab/>
      </w:r>
      <w:r w:rsidR="00DC11E3">
        <w:rPr>
          <w:b/>
          <w:sz w:val="21"/>
          <w:szCs w:val="21"/>
        </w:rPr>
        <w:t xml:space="preserve">     </w:t>
      </w:r>
      <w:r w:rsidRPr="00490CDB">
        <w:rPr>
          <w:b/>
          <w:sz w:val="21"/>
          <w:szCs w:val="21"/>
        </w:rPr>
        <w:t xml:space="preserve">End date: </w:t>
      </w:r>
      <w:r w:rsidR="0053749A">
        <w:rPr>
          <w:b/>
          <w:sz w:val="21"/>
          <w:szCs w:val="21"/>
        </w:rPr>
        <w:t>3</w:t>
      </w:r>
      <w:r w:rsidR="00185182">
        <w:rPr>
          <w:b/>
          <w:sz w:val="21"/>
          <w:szCs w:val="21"/>
        </w:rPr>
        <w:t>0</w:t>
      </w:r>
      <w:r w:rsidR="00AE2BC0">
        <w:rPr>
          <w:b/>
          <w:sz w:val="21"/>
          <w:szCs w:val="21"/>
        </w:rPr>
        <w:t xml:space="preserve"> </w:t>
      </w:r>
      <w:r w:rsidR="00185182">
        <w:rPr>
          <w:b/>
          <w:sz w:val="21"/>
          <w:szCs w:val="21"/>
        </w:rPr>
        <w:t>January</w:t>
      </w:r>
      <w:r w:rsidR="00196729">
        <w:rPr>
          <w:b/>
          <w:sz w:val="21"/>
          <w:szCs w:val="21"/>
        </w:rPr>
        <w:t xml:space="preserve"> </w:t>
      </w:r>
      <w:r w:rsidR="0053749A">
        <w:rPr>
          <w:b/>
          <w:sz w:val="21"/>
          <w:szCs w:val="21"/>
        </w:rPr>
        <w:t>202</w:t>
      </w:r>
      <w:r w:rsidR="00185182">
        <w:rPr>
          <w:b/>
          <w:sz w:val="21"/>
          <w:szCs w:val="21"/>
        </w:rPr>
        <w:t>4</w:t>
      </w:r>
      <w:r w:rsidR="00DC11E3">
        <w:rPr>
          <w:b/>
          <w:sz w:val="21"/>
          <w:szCs w:val="21"/>
        </w:rPr>
        <w:t xml:space="preserve"> (with an option to extend for three years)</w:t>
      </w:r>
    </w:p>
    <w:p w14:paraId="762B8A1A" w14:textId="18CC0059"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 xml:space="preserve">Total proposed DFAT funding: </w:t>
      </w:r>
      <w:r w:rsidR="003A4831">
        <w:rPr>
          <w:b/>
          <w:i/>
          <w:iCs/>
          <w:sz w:val="21"/>
          <w:szCs w:val="21"/>
        </w:rPr>
        <w:t xml:space="preserve">up to </w:t>
      </w:r>
      <w:r w:rsidR="003A4831">
        <w:rPr>
          <w:sz w:val="21"/>
          <w:szCs w:val="21"/>
        </w:rPr>
        <w:t>$</w:t>
      </w:r>
      <w:r w:rsidR="00251BC2">
        <w:rPr>
          <w:sz w:val="21"/>
          <w:szCs w:val="21"/>
        </w:rPr>
        <w:t>2</w:t>
      </w:r>
      <w:r w:rsidR="00835BA7">
        <w:rPr>
          <w:sz w:val="21"/>
          <w:szCs w:val="21"/>
        </w:rPr>
        <w:t xml:space="preserve"> million</w:t>
      </w:r>
      <w:r w:rsidRPr="00490CDB">
        <w:rPr>
          <w:b/>
          <w:sz w:val="21"/>
          <w:szCs w:val="21"/>
        </w:rPr>
        <w:tab/>
      </w:r>
      <w:r w:rsidRPr="00490CDB">
        <w:rPr>
          <w:b/>
          <w:sz w:val="21"/>
          <w:szCs w:val="21"/>
        </w:rPr>
        <w:tab/>
      </w:r>
      <w:r w:rsidRPr="00490CDB">
        <w:rPr>
          <w:b/>
          <w:sz w:val="21"/>
          <w:szCs w:val="21"/>
        </w:rPr>
        <w:tab/>
        <w:t xml:space="preserve">Total proposed funding from all donor/s: </w:t>
      </w:r>
      <w:r w:rsidR="00AE2BC0">
        <w:rPr>
          <w:sz w:val="21"/>
          <w:szCs w:val="21"/>
        </w:rPr>
        <w:t>n/a</w:t>
      </w:r>
    </w:p>
    <w:p w14:paraId="7F5DFE21" w14:textId="653610C6"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rFonts w:cs="Arial"/>
          <w:b/>
          <w:sz w:val="21"/>
          <w:szCs w:val="21"/>
        </w:rPr>
        <w:t xml:space="preserve">Current program fund annual allocation: </w:t>
      </w:r>
      <w:r w:rsidR="003A4831">
        <w:rPr>
          <w:rFonts w:cs="Arial"/>
          <w:sz w:val="21"/>
          <w:szCs w:val="21"/>
        </w:rPr>
        <w:t>$</w:t>
      </w:r>
      <w:r w:rsidR="0053749A">
        <w:rPr>
          <w:rFonts w:cs="Arial"/>
          <w:sz w:val="21"/>
          <w:szCs w:val="21"/>
        </w:rPr>
        <w:t>65m</w:t>
      </w:r>
      <w:r w:rsidRPr="00490CDB">
        <w:rPr>
          <w:rFonts w:cs="Arial"/>
          <w:b/>
          <w:sz w:val="21"/>
          <w:szCs w:val="21"/>
        </w:rPr>
        <w:tab/>
      </w:r>
      <w:r w:rsidRPr="00490CDB">
        <w:rPr>
          <w:rFonts w:cs="Arial"/>
          <w:b/>
          <w:sz w:val="21"/>
          <w:szCs w:val="21"/>
        </w:rPr>
        <w:tab/>
      </w:r>
      <w:r w:rsidRPr="00490CDB">
        <w:rPr>
          <w:b/>
          <w:sz w:val="21"/>
          <w:szCs w:val="21"/>
        </w:rPr>
        <w:t>AidWorks investment number:</w:t>
      </w:r>
      <w:r w:rsidR="0053749A">
        <w:rPr>
          <w:b/>
          <w:sz w:val="21"/>
          <w:szCs w:val="21"/>
        </w:rPr>
        <w:t xml:space="preserve"> INM617</w:t>
      </w:r>
    </w:p>
    <w:p w14:paraId="53EB2D66" w14:textId="087C976C" w:rsidR="00490CDB" w:rsidRPr="00490CDB" w:rsidRDefault="0037149C"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Overall </w:t>
      </w:r>
      <w:r w:rsidR="00490CDB" w:rsidRPr="00490CDB">
        <w:rPr>
          <w:b/>
          <w:sz w:val="21"/>
          <w:szCs w:val="21"/>
        </w:rPr>
        <w:t>Risk Profile</w:t>
      </w:r>
      <w:r w:rsidR="00490CDB" w:rsidRPr="00490CDB">
        <w:rPr>
          <w:sz w:val="21"/>
          <w:szCs w:val="21"/>
        </w:rPr>
        <w:t xml:space="preserve">: </w:t>
      </w:r>
      <w:r w:rsidR="0053749A">
        <w:rPr>
          <w:i/>
          <w:sz w:val="21"/>
          <w:szCs w:val="21"/>
        </w:rPr>
        <w:t>low</w:t>
      </w:r>
      <w:r>
        <w:rPr>
          <w:b/>
          <w:sz w:val="21"/>
          <w:szCs w:val="21"/>
        </w:rPr>
        <w:t xml:space="preserve">    Risk </w:t>
      </w:r>
      <w:r w:rsidR="0053749A">
        <w:rPr>
          <w:i/>
          <w:sz w:val="21"/>
          <w:szCs w:val="21"/>
        </w:rPr>
        <w:t>low</w:t>
      </w:r>
      <w:r w:rsidRPr="00490CDB">
        <w:rPr>
          <w:b/>
          <w:sz w:val="21"/>
          <w:szCs w:val="21"/>
        </w:rPr>
        <w:t xml:space="preserve"> </w:t>
      </w:r>
      <w:r w:rsidR="00490CDB" w:rsidRPr="00490CDB">
        <w:rPr>
          <w:b/>
          <w:sz w:val="21"/>
          <w:szCs w:val="21"/>
        </w:rPr>
        <w:t xml:space="preserve"> </w:t>
      </w:r>
      <w:r>
        <w:rPr>
          <w:b/>
          <w:sz w:val="21"/>
          <w:szCs w:val="21"/>
        </w:rPr>
        <w:t xml:space="preserve">   </w:t>
      </w:r>
      <w:r w:rsidR="00490CDB" w:rsidRPr="00490CDB">
        <w:rPr>
          <w:b/>
          <w:sz w:val="21"/>
          <w:szCs w:val="21"/>
        </w:rPr>
        <w:t>Value</w:t>
      </w:r>
      <w:r w:rsidR="00490CDB" w:rsidRPr="00490CDB">
        <w:rPr>
          <w:b/>
          <w:sz w:val="21"/>
          <w:szCs w:val="21"/>
        </w:rPr>
        <w:tab/>
      </w:r>
      <w:r w:rsidR="0053749A" w:rsidRPr="00335E65">
        <w:rPr>
          <w:bCs/>
          <w:i/>
          <w:iCs/>
          <w:sz w:val="21"/>
          <w:szCs w:val="21"/>
        </w:rPr>
        <w:t>low</w:t>
      </w:r>
    </w:p>
    <w:p w14:paraId="0039942D" w14:textId="4F6B8198"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A23453">
        <w:rPr>
          <w:b/>
          <w:sz w:val="21"/>
          <w:szCs w:val="21"/>
        </w:rPr>
        <w:t>Proposed design pathway:</w:t>
      </w:r>
      <w:r w:rsidRPr="00490CDB">
        <w:rPr>
          <w:b/>
          <w:sz w:val="21"/>
          <w:szCs w:val="21"/>
        </w:rPr>
        <w:t xml:space="preserve"> </w:t>
      </w:r>
      <w:r w:rsidR="00003350" w:rsidRPr="00003350">
        <w:rPr>
          <w:bCs/>
          <w:sz w:val="21"/>
          <w:szCs w:val="21"/>
        </w:rPr>
        <w:t>C</w:t>
      </w:r>
      <w:r w:rsidR="00C1666E" w:rsidRPr="00C1666E">
        <w:rPr>
          <w:bCs/>
          <w:sz w:val="21"/>
          <w:szCs w:val="21"/>
        </w:rPr>
        <w:t>oncept to tender</w:t>
      </w:r>
    </w:p>
    <w:p w14:paraId="3BF627F6" w14:textId="564D5AFA"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Concept endorsed by AGB: </w:t>
      </w:r>
      <w:r w:rsidRPr="00490CDB">
        <w:rPr>
          <w:i/>
          <w:sz w:val="21"/>
          <w:szCs w:val="21"/>
        </w:rPr>
        <w:t>NA</w:t>
      </w:r>
      <w:r w:rsidRPr="00490CDB">
        <w:rPr>
          <w:b/>
          <w:sz w:val="21"/>
          <w:szCs w:val="21"/>
        </w:rPr>
        <w:tab/>
      </w:r>
      <w:r w:rsidRPr="00490CDB">
        <w:rPr>
          <w:b/>
          <w:sz w:val="21"/>
          <w:szCs w:val="21"/>
        </w:rPr>
        <w:tab/>
      </w:r>
      <w:r w:rsidRPr="00490CDB">
        <w:rPr>
          <w:b/>
          <w:sz w:val="21"/>
          <w:szCs w:val="21"/>
        </w:rPr>
        <w:tab/>
      </w:r>
      <w:r w:rsidRPr="00490CDB">
        <w:rPr>
          <w:b/>
          <w:sz w:val="21"/>
          <w:szCs w:val="21"/>
        </w:rPr>
        <w:tab/>
      </w:r>
    </w:p>
    <w:p w14:paraId="6D67E940" w14:textId="2ACD2525" w:rsidR="00490CDB" w:rsidRPr="00490CDB" w:rsidRDefault="007A22E6"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Pr>
          <w:b/>
          <w:sz w:val="21"/>
          <w:szCs w:val="21"/>
        </w:rPr>
        <w:t>Quality Assurance</w:t>
      </w:r>
      <w:r w:rsidR="00490CDB" w:rsidRPr="00490CDB">
        <w:rPr>
          <w:b/>
          <w:sz w:val="21"/>
          <w:szCs w:val="21"/>
        </w:rPr>
        <w:t xml:space="preserve">: </w:t>
      </w:r>
      <w:r w:rsidR="00542398" w:rsidRPr="00542398">
        <w:rPr>
          <w:bCs/>
          <w:sz w:val="21"/>
          <w:szCs w:val="21"/>
        </w:rPr>
        <w:t>Internal review</w:t>
      </w:r>
    </w:p>
    <w:p w14:paraId="466C1F28" w14:textId="662E6FD7" w:rsidR="00490CDB" w:rsidRPr="00490CDB" w:rsidRDefault="00235821"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Policy </w:t>
      </w:r>
      <w:r w:rsidR="00490CDB" w:rsidRPr="00490CDB">
        <w:rPr>
          <w:b/>
          <w:sz w:val="21"/>
          <w:szCs w:val="21"/>
        </w:rPr>
        <w:t xml:space="preserve">Approval: Delegate at Post: </w:t>
      </w:r>
      <w:r w:rsidR="0053749A">
        <w:rPr>
          <w:i/>
          <w:sz w:val="21"/>
          <w:szCs w:val="21"/>
        </w:rPr>
        <w:t>N/A</w:t>
      </w:r>
      <w:r w:rsidR="00490CDB" w:rsidRPr="00490CDB">
        <w:rPr>
          <w:b/>
          <w:sz w:val="21"/>
          <w:szCs w:val="21"/>
        </w:rPr>
        <w:tab/>
      </w:r>
      <w:r w:rsidR="00490CDB" w:rsidRPr="00490CDB">
        <w:rPr>
          <w:b/>
          <w:sz w:val="21"/>
          <w:szCs w:val="21"/>
        </w:rPr>
        <w:tab/>
        <w:t xml:space="preserve">Delegate in Canberra: </w:t>
      </w:r>
      <w:r w:rsidR="003A4831">
        <w:rPr>
          <w:iCs/>
          <w:sz w:val="21"/>
          <w:szCs w:val="21"/>
        </w:rPr>
        <w:t xml:space="preserve">Sarah Goulding, AS, </w:t>
      </w:r>
      <w:r w:rsidR="00871D4E">
        <w:rPr>
          <w:iCs/>
          <w:sz w:val="21"/>
          <w:szCs w:val="21"/>
        </w:rPr>
        <w:t>GEB</w:t>
      </w:r>
    </w:p>
    <w:p w14:paraId="3CF41261" w14:textId="77777777" w:rsidR="00490CDB" w:rsidRPr="00490CDB" w:rsidRDefault="00490CDB" w:rsidP="00490CDB">
      <w:pPr>
        <w:spacing w:before="0" w:after="0"/>
        <w:rPr>
          <w:sz w:val="2"/>
          <w:szCs w:val="2"/>
        </w:rPr>
      </w:pPr>
    </w:p>
    <w:p w14:paraId="7A71ECB3" w14:textId="6CE92C5B" w:rsidR="00490CDB" w:rsidRPr="00490CDB" w:rsidRDefault="00BE4DC3" w:rsidP="006B6FD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Pr>
          <w:rFonts w:asciiTheme="majorHAnsi" w:hAnsiTheme="majorHAnsi"/>
          <w:b/>
          <w:szCs w:val="21"/>
        </w:rPr>
        <w:t>Development Context (</w:t>
      </w:r>
      <w:r w:rsidR="004776A5">
        <w:rPr>
          <w:rFonts w:asciiTheme="majorHAnsi" w:hAnsiTheme="majorHAnsi"/>
          <w:b/>
          <w:szCs w:val="21"/>
        </w:rPr>
        <w:t xml:space="preserve">What </w:t>
      </w:r>
      <w:r w:rsidR="00193353">
        <w:rPr>
          <w:rFonts w:asciiTheme="majorHAnsi" w:hAnsiTheme="majorHAnsi"/>
          <w:b/>
          <w:szCs w:val="21"/>
        </w:rPr>
        <w:t xml:space="preserve">is the </w:t>
      </w:r>
      <w:r w:rsidR="004776A5">
        <w:rPr>
          <w:rFonts w:asciiTheme="majorHAnsi" w:hAnsiTheme="majorHAnsi"/>
          <w:b/>
          <w:szCs w:val="21"/>
        </w:rPr>
        <w:t>problem</w:t>
      </w:r>
      <w:r>
        <w:rPr>
          <w:rFonts w:asciiTheme="majorHAnsi" w:hAnsiTheme="majorHAnsi"/>
          <w:b/>
          <w:szCs w:val="21"/>
        </w:rPr>
        <w:t>?)</w:t>
      </w:r>
    </w:p>
    <w:p w14:paraId="0CE55F65" w14:textId="02922BDC" w:rsidR="00AF72C5" w:rsidRDefault="00AF72C5" w:rsidP="0085043B">
      <w:pPr>
        <w:tabs>
          <w:tab w:val="left" w:pos="284"/>
        </w:tabs>
        <w:suppressAutoHyphens w:val="0"/>
        <w:spacing w:before="0" w:line="280" w:lineRule="exact"/>
        <w:jc w:val="both"/>
        <w:rPr>
          <w:rFonts w:eastAsia="Times New Roman" w:cs="Times New Roman"/>
          <w:sz w:val="21"/>
          <w:szCs w:val="21"/>
          <w:lang w:val="en-AU"/>
        </w:rPr>
      </w:pPr>
      <w:bookmarkStart w:id="3" w:name="_Hlk84924278"/>
      <w:r w:rsidRPr="00AF72C5">
        <w:rPr>
          <w:rFonts w:eastAsia="Times New Roman" w:cs="Times New Roman"/>
          <w:sz w:val="21"/>
          <w:szCs w:val="21"/>
          <w:lang w:val="en-AU"/>
        </w:rPr>
        <w:t xml:space="preserve">COVID-19 has had a </w:t>
      </w:r>
      <w:r w:rsidR="009F4A93">
        <w:rPr>
          <w:rFonts w:eastAsia="Times New Roman" w:cs="Times New Roman"/>
          <w:sz w:val="21"/>
          <w:szCs w:val="21"/>
          <w:lang w:val="en-AU"/>
        </w:rPr>
        <w:t>significant</w:t>
      </w:r>
      <w:r w:rsidRPr="00AF72C5">
        <w:rPr>
          <w:rFonts w:eastAsia="Times New Roman" w:cs="Times New Roman"/>
          <w:sz w:val="21"/>
          <w:szCs w:val="21"/>
          <w:lang w:val="en-AU"/>
        </w:rPr>
        <w:t xml:space="preserve"> impact on women and girls</w:t>
      </w:r>
      <w:r w:rsidR="009F4A93">
        <w:rPr>
          <w:rFonts w:eastAsia="Times New Roman" w:cs="Times New Roman"/>
          <w:sz w:val="21"/>
          <w:szCs w:val="21"/>
          <w:lang w:val="en-AU"/>
        </w:rPr>
        <w:t xml:space="preserve">.  They are </w:t>
      </w:r>
      <w:r w:rsidRPr="00AF72C5">
        <w:rPr>
          <w:rFonts w:eastAsia="Times New Roman" w:cs="Times New Roman"/>
          <w:sz w:val="21"/>
          <w:szCs w:val="21"/>
          <w:lang w:val="en-AU"/>
        </w:rPr>
        <w:t xml:space="preserve">overrepresented in sectors hardest hit by COVID-19 disruptions, are doing more unpaid care work, and are at even greater risk of exploitation, </w:t>
      </w:r>
      <w:proofErr w:type="gramStart"/>
      <w:r w:rsidRPr="00AF72C5">
        <w:rPr>
          <w:rFonts w:eastAsia="Times New Roman" w:cs="Times New Roman"/>
          <w:sz w:val="21"/>
          <w:szCs w:val="21"/>
          <w:lang w:val="en-AU"/>
        </w:rPr>
        <w:t>violence</w:t>
      </w:r>
      <w:proofErr w:type="gramEnd"/>
      <w:r w:rsidRPr="00AF72C5">
        <w:rPr>
          <w:rFonts w:eastAsia="Times New Roman" w:cs="Times New Roman"/>
          <w:sz w:val="21"/>
          <w:szCs w:val="21"/>
          <w:lang w:val="en-AU"/>
        </w:rPr>
        <w:t xml:space="preserve"> and abuse</w:t>
      </w:r>
      <w:r w:rsidR="0049720D">
        <w:rPr>
          <w:rStyle w:val="FootnoteReference"/>
          <w:rFonts w:eastAsia="Times New Roman" w:cs="Times New Roman"/>
          <w:sz w:val="21"/>
          <w:szCs w:val="21"/>
          <w:lang w:val="en-AU"/>
        </w:rPr>
        <w:footnoteReference w:id="1"/>
      </w:r>
      <w:r w:rsidRPr="00AF72C5">
        <w:rPr>
          <w:rFonts w:eastAsia="Times New Roman" w:cs="Times New Roman"/>
          <w:sz w:val="21"/>
          <w:szCs w:val="21"/>
          <w:lang w:val="en-AU"/>
        </w:rPr>
        <w:t>.</w:t>
      </w:r>
      <w:r>
        <w:rPr>
          <w:rFonts w:eastAsia="Times New Roman" w:cs="Times New Roman"/>
          <w:sz w:val="21"/>
          <w:szCs w:val="21"/>
          <w:lang w:val="en-AU"/>
        </w:rPr>
        <w:t xml:space="preserve"> </w:t>
      </w:r>
      <w:r w:rsidR="00547CAE">
        <w:rPr>
          <w:rFonts w:eastAsia="Times New Roman" w:cs="Times New Roman"/>
          <w:sz w:val="21"/>
          <w:szCs w:val="21"/>
          <w:lang w:val="en-AU"/>
        </w:rPr>
        <w:t xml:space="preserve">The pandemic has raised the risk that hard-won gains on gender equality are reversed. </w:t>
      </w:r>
      <w:r w:rsidR="000D7793">
        <w:rPr>
          <w:rFonts w:eastAsia="Times New Roman" w:cs="Times New Roman"/>
          <w:sz w:val="21"/>
          <w:szCs w:val="21"/>
          <w:lang w:val="en-AU"/>
        </w:rPr>
        <w:t xml:space="preserve">Outlined in </w:t>
      </w:r>
      <w:r w:rsidR="000D7793">
        <w:rPr>
          <w:rFonts w:eastAsia="Times New Roman" w:cs="Times New Roman"/>
          <w:i/>
          <w:iCs/>
          <w:sz w:val="21"/>
          <w:szCs w:val="21"/>
          <w:lang w:val="en-AU"/>
        </w:rPr>
        <w:t>Partnerships for Recovery,</w:t>
      </w:r>
      <w:r w:rsidR="000D7793">
        <w:rPr>
          <w:rFonts w:eastAsia="Times New Roman" w:cs="Times New Roman"/>
          <w:sz w:val="21"/>
          <w:szCs w:val="21"/>
          <w:lang w:val="en-AU"/>
        </w:rPr>
        <w:t xml:space="preserve"> </w:t>
      </w:r>
      <w:r w:rsidRPr="00AF72C5">
        <w:rPr>
          <w:rFonts w:eastAsia="Times New Roman" w:cs="Times New Roman"/>
          <w:sz w:val="21"/>
          <w:szCs w:val="21"/>
          <w:lang w:val="en-AU"/>
        </w:rPr>
        <w:t>Australia’s response to COVID-19 seeks to address the specific needs of women and girls in our region and ensure they can participate meaningfully in decision-making about response and recovery efforts.</w:t>
      </w:r>
      <w:r w:rsidR="00542398" w:rsidRPr="00542398">
        <w:rPr>
          <w:rFonts w:eastAsia="Times New Roman" w:cs="Times New Roman"/>
          <w:sz w:val="21"/>
          <w:szCs w:val="21"/>
          <w:lang w:val="en-AU"/>
        </w:rPr>
        <w:t xml:space="preserve"> </w:t>
      </w:r>
    </w:p>
    <w:p w14:paraId="792C652D" w14:textId="1F85C8E1" w:rsidR="00A82F3E" w:rsidRDefault="00542398" w:rsidP="0085043B">
      <w:pPr>
        <w:tabs>
          <w:tab w:val="left" w:pos="284"/>
        </w:tabs>
        <w:suppressAutoHyphens w:val="0"/>
        <w:spacing w:before="0" w:line="280" w:lineRule="exact"/>
        <w:jc w:val="both"/>
        <w:rPr>
          <w:rFonts w:eastAsia="Times New Roman" w:cs="Times New Roman"/>
          <w:sz w:val="21"/>
          <w:szCs w:val="21"/>
          <w:lang w:val="en-AU"/>
        </w:rPr>
      </w:pPr>
      <w:bookmarkStart w:id="4" w:name="_Hlk84924409"/>
      <w:bookmarkEnd w:id="3"/>
      <w:r w:rsidRPr="00AF72C5">
        <w:rPr>
          <w:rFonts w:eastAsia="Times New Roman" w:cs="Times New Roman"/>
          <w:sz w:val="21"/>
          <w:szCs w:val="21"/>
          <w:lang w:val="en-AU"/>
        </w:rPr>
        <w:t xml:space="preserve">Australia </w:t>
      </w:r>
      <w:r>
        <w:rPr>
          <w:rFonts w:eastAsia="Times New Roman" w:cs="Times New Roman"/>
          <w:sz w:val="21"/>
          <w:szCs w:val="21"/>
          <w:lang w:val="en-AU"/>
        </w:rPr>
        <w:t xml:space="preserve">is a trusted partner in the Indo-Pacific region </w:t>
      </w:r>
      <w:r w:rsidRPr="00AF72C5">
        <w:rPr>
          <w:rFonts w:eastAsia="Times New Roman" w:cs="Times New Roman"/>
          <w:sz w:val="21"/>
          <w:szCs w:val="21"/>
          <w:lang w:val="en-AU"/>
        </w:rPr>
        <w:t>on gender equality</w:t>
      </w:r>
      <w:r w:rsidR="00547CAE">
        <w:rPr>
          <w:rFonts w:eastAsia="Times New Roman" w:cs="Times New Roman"/>
          <w:sz w:val="21"/>
          <w:szCs w:val="21"/>
          <w:lang w:val="en-AU"/>
        </w:rPr>
        <w:t xml:space="preserve"> and women’s and girls’ empowerment</w:t>
      </w:r>
      <w:r w:rsidRPr="00AF72C5">
        <w:rPr>
          <w:rFonts w:eastAsia="Times New Roman" w:cs="Times New Roman"/>
          <w:sz w:val="21"/>
          <w:szCs w:val="21"/>
          <w:lang w:val="en-AU"/>
        </w:rPr>
        <w:t xml:space="preserve">. </w:t>
      </w:r>
      <w:r w:rsidR="00547CAE">
        <w:rPr>
          <w:rFonts w:eastAsia="Times New Roman" w:cs="Times New Roman"/>
          <w:sz w:val="21"/>
          <w:szCs w:val="21"/>
          <w:lang w:val="en-AU"/>
        </w:rPr>
        <w:t>In 2019-20, an estimated $1.3 billion of our Official Development Assistance contributed to gender equality</w:t>
      </w:r>
      <w:r w:rsidR="00984C69">
        <w:rPr>
          <w:rFonts w:eastAsia="Times New Roman" w:cs="Times New Roman"/>
          <w:sz w:val="21"/>
          <w:szCs w:val="21"/>
          <w:lang w:val="en-AU"/>
        </w:rPr>
        <w:t xml:space="preserve">, the majority of which was through strategic gender mainstreaming approaches in global, </w:t>
      </w:r>
      <w:proofErr w:type="gramStart"/>
      <w:r w:rsidR="00984C69">
        <w:rPr>
          <w:rFonts w:eastAsia="Times New Roman" w:cs="Times New Roman"/>
          <w:sz w:val="21"/>
          <w:szCs w:val="21"/>
          <w:lang w:val="en-AU"/>
        </w:rPr>
        <w:t>regional</w:t>
      </w:r>
      <w:proofErr w:type="gramEnd"/>
      <w:r w:rsidR="00984C69">
        <w:rPr>
          <w:rFonts w:eastAsia="Times New Roman" w:cs="Times New Roman"/>
          <w:sz w:val="21"/>
          <w:szCs w:val="21"/>
          <w:lang w:val="en-AU"/>
        </w:rPr>
        <w:t xml:space="preserve"> and bilateral initiatives</w:t>
      </w:r>
      <w:r w:rsidR="00547CAE">
        <w:rPr>
          <w:rFonts w:eastAsia="Times New Roman" w:cs="Times New Roman"/>
          <w:sz w:val="21"/>
          <w:szCs w:val="21"/>
          <w:lang w:val="en-AU"/>
        </w:rPr>
        <w:t xml:space="preserve">. </w:t>
      </w:r>
      <w:r>
        <w:rPr>
          <w:rFonts w:eastAsia="Times New Roman" w:cs="Times New Roman"/>
          <w:sz w:val="21"/>
          <w:szCs w:val="21"/>
          <w:lang w:val="en-AU"/>
        </w:rPr>
        <w:t>Effectively d</w:t>
      </w:r>
      <w:r w:rsidR="00A82F3E">
        <w:rPr>
          <w:rFonts w:eastAsia="Times New Roman" w:cs="Times New Roman"/>
          <w:sz w:val="21"/>
          <w:szCs w:val="21"/>
          <w:lang w:val="en-AU"/>
        </w:rPr>
        <w:t>eliver</w:t>
      </w:r>
      <w:r w:rsidR="009F4A93">
        <w:rPr>
          <w:rFonts w:eastAsia="Times New Roman" w:cs="Times New Roman"/>
          <w:sz w:val="21"/>
          <w:szCs w:val="21"/>
          <w:lang w:val="en-AU"/>
        </w:rPr>
        <w:t>ing</w:t>
      </w:r>
      <w:r w:rsidR="00A82F3E">
        <w:rPr>
          <w:rFonts w:eastAsia="Times New Roman" w:cs="Times New Roman"/>
          <w:sz w:val="21"/>
          <w:szCs w:val="21"/>
          <w:lang w:val="en-AU"/>
        </w:rPr>
        <w:t xml:space="preserve"> </w:t>
      </w:r>
      <w:r>
        <w:rPr>
          <w:rFonts w:eastAsia="Times New Roman" w:cs="Times New Roman"/>
          <w:sz w:val="21"/>
          <w:szCs w:val="21"/>
          <w:lang w:val="en-AU"/>
        </w:rPr>
        <w:t>results</w:t>
      </w:r>
      <w:r w:rsidR="00A82F3E">
        <w:rPr>
          <w:rFonts w:eastAsia="Times New Roman" w:cs="Times New Roman"/>
          <w:sz w:val="21"/>
          <w:szCs w:val="21"/>
          <w:lang w:val="en-AU"/>
        </w:rPr>
        <w:t xml:space="preserve"> for gender equality</w:t>
      </w:r>
      <w:r w:rsidR="009F4A93">
        <w:rPr>
          <w:rFonts w:eastAsia="Times New Roman" w:cs="Times New Roman"/>
          <w:sz w:val="21"/>
          <w:szCs w:val="21"/>
          <w:lang w:val="en-AU"/>
        </w:rPr>
        <w:t xml:space="preserve"> requires </w:t>
      </w:r>
      <w:r>
        <w:rPr>
          <w:rFonts w:eastAsia="Times New Roman" w:cs="Times New Roman"/>
          <w:sz w:val="21"/>
          <w:szCs w:val="21"/>
          <w:lang w:val="en-AU"/>
        </w:rPr>
        <w:t xml:space="preserve">high quality implementation of DFAT’s twin-track approach to gender equality, including </w:t>
      </w:r>
      <w:r w:rsidR="009F4A93">
        <w:rPr>
          <w:rFonts w:eastAsia="Times New Roman" w:cs="Times New Roman"/>
          <w:sz w:val="21"/>
          <w:szCs w:val="21"/>
          <w:lang w:val="en-AU"/>
        </w:rPr>
        <w:t>development of new designs and implementation of programs</w:t>
      </w:r>
      <w:r w:rsidR="00ED01CC">
        <w:rPr>
          <w:rFonts w:eastAsia="Times New Roman" w:cs="Times New Roman"/>
          <w:sz w:val="21"/>
          <w:szCs w:val="21"/>
          <w:lang w:val="en-AU"/>
        </w:rPr>
        <w:t xml:space="preserve"> with </w:t>
      </w:r>
      <w:r>
        <w:rPr>
          <w:rFonts w:eastAsia="Times New Roman" w:cs="Times New Roman"/>
          <w:sz w:val="21"/>
          <w:szCs w:val="21"/>
          <w:lang w:val="en-AU"/>
        </w:rPr>
        <w:t xml:space="preserve">strong </w:t>
      </w:r>
      <w:r w:rsidR="00547CAE">
        <w:rPr>
          <w:rFonts w:eastAsia="Times New Roman" w:cs="Times New Roman"/>
          <w:sz w:val="21"/>
          <w:szCs w:val="21"/>
          <w:lang w:val="en-AU"/>
        </w:rPr>
        <w:t xml:space="preserve">focus </w:t>
      </w:r>
      <w:r w:rsidR="00ED01CC">
        <w:rPr>
          <w:rFonts w:eastAsia="Times New Roman" w:cs="Times New Roman"/>
          <w:sz w:val="21"/>
          <w:szCs w:val="21"/>
          <w:lang w:val="en-AU"/>
        </w:rPr>
        <w:t>on gender equality</w:t>
      </w:r>
      <w:bookmarkEnd w:id="4"/>
      <w:r w:rsidR="009F4A93">
        <w:rPr>
          <w:rFonts w:eastAsia="Times New Roman" w:cs="Times New Roman"/>
          <w:sz w:val="21"/>
          <w:szCs w:val="21"/>
          <w:lang w:val="en-AU"/>
        </w:rPr>
        <w:t xml:space="preserve">.  </w:t>
      </w:r>
      <w:r w:rsidR="00CB4CAE">
        <w:rPr>
          <w:rFonts w:eastAsia="Times New Roman" w:cs="Times New Roman"/>
          <w:sz w:val="21"/>
          <w:szCs w:val="21"/>
          <w:lang w:val="en-AU"/>
        </w:rPr>
        <w:t>Providing high quality</w:t>
      </w:r>
      <w:r w:rsidR="003947C8">
        <w:rPr>
          <w:rFonts w:eastAsia="Times New Roman" w:cs="Times New Roman"/>
          <w:sz w:val="21"/>
          <w:szCs w:val="21"/>
          <w:lang w:val="en-AU"/>
        </w:rPr>
        <w:t>, targeted</w:t>
      </w:r>
      <w:r w:rsidR="00CB4CAE">
        <w:rPr>
          <w:rFonts w:eastAsia="Times New Roman" w:cs="Times New Roman"/>
          <w:sz w:val="21"/>
          <w:szCs w:val="21"/>
          <w:lang w:val="en-AU"/>
        </w:rPr>
        <w:t xml:space="preserve"> t</w:t>
      </w:r>
      <w:r w:rsidR="002908A1">
        <w:rPr>
          <w:rFonts w:eastAsia="Times New Roman" w:cs="Times New Roman"/>
          <w:sz w:val="21"/>
          <w:szCs w:val="21"/>
          <w:lang w:val="en-AU"/>
        </w:rPr>
        <w:t xml:space="preserve">echnical and other assistance </w:t>
      </w:r>
      <w:r w:rsidR="00CB4CAE">
        <w:rPr>
          <w:rFonts w:eastAsia="Times New Roman" w:cs="Times New Roman"/>
          <w:sz w:val="21"/>
          <w:szCs w:val="21"/>
          <w:lang w:val="en-AU"/>
        </w:rPr>
        <w:t>to programs across the Department</w:t>
      </w:r>
      <w:r w:rsidR="002908A1">
        <w:rPr>
          <w:rFonts w:eastAsia="Times New Roman" w:cs="Times New Roman"/>
          <w:sz w:val="21"/>
          <w:szCs w:val="21"/>
          <w:lang w:val="en-AU"/>
        </w:rPr>
        <w:t xml:space="preserve"> </w:t>
      </w:r>
      <w:r w:rsidR="003947C8">
        <w:rPr>
          <w:rFonts w:eastAsia="Times New Roman" w:cs="Times New Roman"/>
          <w:sz w:val="21"/>
          <w:szCs w:val="21"/>
          <w:lang w:val="en-AU"/>
        </w:rPr>
        <w:t xml:space="preserve">helps </w:t>
      </w:r>
      <w:r w:rsidR="00CB4CAE">
        <w:rPr>
          <w:rFonts w:eastAsia="Times New Roman" w:cs="Times New Roman"/>
          <w:sz w:val="21"/>
          <w:szCs w:val="21"/>
          <w:lang w:val="en-AU"/>
        </w:rPr>
        <w:t xml:space="preserve">with both </w:t>
      </w:r>
      <w:r w:rsidR="003947C8">
        <w:rPr>
          <w:rFonts w:eastAsia="Times New Roman" w:cs="Times New Roman"/>
          <w:sz w:val="21"/>
          <w:szCs w:val="21"/>
          <w:lang w:val="en-AU"/>
        </w:rPr>
        <w:t xml:space="preserve">the </w:t>
      </w:r>
      <w:r w:rsidR="002908A1">
        <w:rPr>
          <w:rFonts w:eastAsia="Times New Roman" w:cs="Times New Roman"/>
          <w:sz w:val="21"/>
          <w:szCs w:val="21"/>
          <w:lang w:val="en-AU"/>
        </w:rPr>
        <w:t>deliver</w:t>
      </w:r>
      <w:r w:rsidR="00CB4CAE">
        <w:rPr>
          <w:rFonts w:eastAsia="Times New Roman" w:cs="Times New Roman"/>
          <w:sz w:val="21"/>
          <w:szCs w:val="21"/>
          <w:lang w:val="en-AU"/>
        </w:rPr>
        <w:t>y</w:t>
      </w:r>
      <w:r w:rsidR="002908A1">
        <w:rPr>
          <w:rFonts w:eastAsia="Times New Roman" w:cs="Times New Roman"/>
          <w:sz w:val="21"/>
          <w:szCs w:val="21"/>
          <w:lang w:val="en-AU"/>
        </w:rPr>
        <w:t xml:space="preserve"> </w:t>
      </w:r>
      <w:r w:rsidR="00CB4CAE">
        <w:rPr>
          <w:rFonts w:eastAsia="Times New Roman" w:cs="Times New Roman"/>
          <w:sz w:val="21"/>
          <w:szCs w:val="21"/>
          <w:lang w:val="en-AU"/>
        </w:rPr>
        <w:t>of</w:t>
      </w:r>
      <w:r w:rsidR="002908A1">
        <w:rPr>
          <w:rFonts w:eastAsia="Times New Roman" w:cs="Times New Roman"/>
          <w:sz w:val="21"/>
          <w:szCs w:val="21"/>
          <w:lang w:val="en-AU"/>
        </w:rPr>
        <w:t xml:space="preserve"> effective </w:t>
      </w:r>
      <w:r w:rsidR="00934C93">
        <w:rPr>
          <w:rFonts w:eastAsia="Times New Roman" w:cs="Times New Roman"/>
          <w:sz w:val="21"/>
          <w:szCs w:val="21"/>
          <w:lang w:val="en-AU"/>
        </w:rPr>
        <w:t>program</w:t>
      </w:r>
      <w:r w:rsidR="00CB4CAE">
        <w:rPr>
          <w:rFonts w:eastAsia="Times New Roman" w:cs="Times New Roman"/>
          <w:sz w:val="21"/>
          <w:szCs w:val="21"/>
          <w:lang w:val="en-AU"/>
        </w:rPr>
        <w:t xml:space="preserve">s and </w:t>
      </w:r>
      <w:r w:rsidR="00E13F2F">
        <w:rPr>
          <w:rFonts w:eastAsia="Times New Roman" w:cs="Times New Roman"/>
          <w:sz w:val="21"/>
          <w:szCs w:val="21"/>
          <w:lang w:val="en-AU"/>
        </w:rPr>
        <w:t xml:space="preserve">accountability </w:t>
      </w:r>
      <w:r w:rsidR="003947C8">
        <w:rPr>
          <w:rFonts w:eastAsia="Times New Roman" w:cs="Times New Roman"/>
          <w:sz w:val="21"/>
          <w:szCs w:val="21"/>
          <w:lang w:val="en-AU"/>
        </w:rPr>
        <w:t>under</w:t>
      </w:r>
      <w:r w:rsidR="00E13F2F">
        <w:rPr>
          <w:rFonts w:eastAsia="Times New Roman" w:cs="Times New Roman"/>
          <w:sz w:val="21"/>
          <w:szCs w:val="21"/>
          <w:lang w:val="en-AU"/>
        </w:rPr>
        <w:t xml:space="preserve"> </w:t>
      </w:r>
      <w:r w:rsidR="002B7E34">
        <w:rPr>
          <w:rFonts w:eastAsia="Times New Roman" w:cs="Times New Roman"/>
          <w:sz w:val="21"/>
          <w:szCs w:val="21"/>
          <w:lang w:val="en-AU"/>
        </w:rPr>
        <w:t xml:space="preserve">Australia’s </w:t>
      </w:r>
      <w:r w:rsidR="003947C8">
        <w:rPr>
          <w:rFonts w:eastAsia="Times New Roman" w:cs="Times New Roman"/>
          <w:sz w:val="21"/>
          <w:szCs w:val="21"/>
          <w:lang w:val="en-AU"/>
        </w:rPr>
        <w:t xml:space="preserve">international </w:t>
      </w:r>
      <w:r w:rsidR="002B7E34">
        <w:rPr>
          <w:rFonts w:eastAsia="Times New Roman" w:cs="Times New Roman"/>
          <w:sz w:val="21"/>
          <w:szCs w:val="21"/>
          <w:lang w:val="en-AU"/>
        </w:rPr>
        <w:t>commitments to</w:t>
      </w:r>
      <w:r w:rsidR="00934C93">
        <w:rPr>
          <w:rFonts w:eastAsia="Times New Roman" w:cs="Times New Roman"/>
          <w:sz w:val="21"/>
          <w:szCs w:val="21"/>
          <w:lang w:val="en-AU"/>
        </w:rPr>
        <w:t xml:space="preserve"> gender equality</w:t>
      </w:r>
      <w:r w:rsidR="00E13F2F">
        <w:rPr>
          <w:rFonts w:eastAsia="Times New Roman" w:cs="Times New Roman"/>
          <w:sz w:val="21"/>
          <w:szCs w:val="21"/>
          <w:lang w:val="en-AU"/>
        </w:rPr>
        <w:t xml:space="preserve">.  </w:t>
      </w:r>
    </w:p>
    <w:p w14:paraId="7516DF43" w14:textId="2CDA8A98" w:rsidR="0049720D" w:rsidRDefault="00547CAE" w:rsidP="00984C69">
      <w:pPr>
        <w:tabs>
          <w:tab w:val="left" w:pos="284"/>
        </w:tabs>
        <w:suppressAutoHyphens w:val="0"/>
        <w:spacing w:before="0" w:line="280" w:lineRule="exact"/>
        <w:jc w:val="both"/>
        <w:rPr>
          <w:rFonts w:eastAsia="Times New Roman" w:cs="Times New Roman"/>
          <w:sz w:val="21"/>
          <w:szCs w:val="21"/>
          <w:lang w:val="en-AU"/>
        </w:rPr>
      </w:pPr>
      <w:r w:rsidRPr="00547CAE">
        <w:rPr>
          <w:rFonts w:eastAsia="Times New Roman" w:cs="Times New Roman"/>
          <w:sz w:val="21"/>
          <w:szCs w:val="21"/>
          <w:lang w:val="en-AU"/>
        </w:rPr>
        <w:t xml:space="preserve">Given </w:t>
      </w:r>
      <w:r w:rsidR="00984C69">
        <w:rPr>
          <w:rFonts w:eastAsia="Times New Roman" w:cs="Times New Roman"/>
          <w:sz w:val="21"/>
          <w:szCs w:val="21"/>
          <w:lang w:val="en-AU"/>
        </w:rPr>
        <w:t>the persistent or widening gender equality gaps</w:t>
      </w:r>
      <w:r w:rsidRPr="00547CAE">
        <w:rPr>
          <w:rFonts w:eastAsia="Times New Roman" w:cs="Times New Roman"/>
          <w:sz w:val="21"/>
          <w:szCs w:val="21"/>
          <w:lang w:val="en-AU"/>
        </w:rPr>
        <w:t xml:space="preserve"> and the range of challenging contexts in which DFAT </w:t>
      </w:r>
      <w:proofErr w:type="gramStart"/>
      <w:r w:rsidRPr="00547CAE">
        <w:rPr>
          <w:rFonts w:eastAsia="Times New Roman" w:cs="Times New Roman"/>
          <w:sz w:val="21"/>
          <w:szCs w:val="21"/>
          <w:lang w:val="en-AU"/>
        </w:rPr>
        <w:t>works,</w:t>
      </w:r>
      <w:proofErr w:type="gramEnd"/>
      <w:r w:rsidRPr="00547CAE">
        <w:rPr>
          <w:rFonts w:eastAsia="Times New Roman" w:cs="Times New Roman"/>
          <w:sz w:val="21"/>
          <w:szCs w:val="21"/>
          <w:lang w:val="en-AU"/>
        </w:rPr>
        <w:t xml:space="preserve"> effective implementation of DFAT’s </w:t>
      </w:r>
      <w:r w:rsidR="00984C69">
        <w:rPr>
          <w:rFonts w:eastAsia="Times New Roman" w:cs="Times New Roman"/>
          <w:sz w:val="21"/>
          <w:szCs w:val="21"/>
          <w:lang w:val="en-AU"/>
        </w:rPr>
        <w:t>gender equality agenda</w:t>
      </w:r>
      <w:r w:rsidRPr="00547CAE">
        <w:rPr>
          <w:rFonts w:eastAsia="Times New Roman" w:cs="Times New Roman"/>
          <w:sz w:val="21"/>
          <w:szCs w:val="21"/>
          <w:lang w:val="en-AU"/>
        </w:rPr>
        <w:t xml:space="preserve"> requires access to a range of specialised technical assistance, alongside strategic coordination and thematic oversight by DFAT.</w:t>
      </w:r>
    </w:p>
    <w:p w14:paraId="0E4719D5" w14:textId="77777777" w:rsidR="0049720D" w:rsidRDefault="0049720D" w:rsidP="00AF72C5">
      <w:pPr>
        <w:tabs>
          <w:tab w:val="left" w:pos="284"/>
        </w:tabs>
        <w:suppressAutoHyphens w:val="0"/>
        <w:spacing w:before="0" w:line="280" w:lineRule="exact"/>
        <w:rPr>
          <w:rFonts w:eastAsia="Times New Roman" w:cs="Times New Roman"/>
          <w:sz w:val="21"/>
          <w:szCs w:val="21"/>
          <w:lang w:val="en-AU"/>
        </w:rPr>
      </w:pPr>
    </w:p>
    <w:p w14:paraId="6F7CED00" w14:textId="43E9A097" w:rsidR="00490CDB" w:rsidRPr="00490CDB" w:rsidRDefault="00BE4DC3" w:rsidP="006B6FD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Strategic Intent and Rationale (</w:t>
      </w:r>
      <w:r w:rsidR="00490CDB" w:rsidRPr="00490CDB">
        <w:rPr>
          <w:rFonts w:asciiTheme="majorHAnsi" w:hAnsiTheme="majorHAnsi" w:cs="Arial"/>
          <w:b/>
        </w:rPr>
        <w:t>Why</w:t>
      </w:r>
      <w:r w:rsidR="00F441AE">
        <w:rPr>
          <w:rFonts w:asciiTheme="majorHAnsi" w:hAnsiTheme="majorHAnsi" w:cs="Arial"/>
          <w:b/>
        </w:rPr>
        <w:t xml:space="preserve"> should Australia</w:t>
      </w:r>
      <w:r w:rsidR="00193353">
        <w:rPr>
          <w:rFonts w:asciiTheme="majorHAnsi" w:hAnsiTheme="majorHAnsi" w:cs="Arial"/>
          <w:b/>
        </w:rPr>
        <w:t xml:space="preserve"> invest</w:t>
      </w:r>
      <w:r>
        <w:rPr>
          <w:rFonts w:asciiTheme="majorHAnsi" w:hAnsiTheme="majorHAnsi" w:cs="Arial"/>
          <w:b/>
        </w:rPr>
        <w:t>?)</w:t>
      </w:r>
    </w:p>
    <w:p w14:paraId="08C3784C" w14:textId="5703BFD6" w:rsidR="00AF72C5" w:rsidRDefault="00E13F2F" w:rsidP="0085043B">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Under the </w:t>
      </w:r>
      <w:r w:rsidR="00DF0673" w:rsidRPr="00DF0673">
        <w:rPr>
          <w:rFonts w:eastAsia="Times New Roman" w:cs="Times New Roman"/>
          <w:sz w:val="21"/>
          <w:szCs w:val="21"/>
          <w:lang w:val="en-AU"/>
        </w:rPr>
        <w:t xml:space="preserve">Australian Government's </w:t>
      </w:r>
      <w:r w:rsidR="00DF0673" w:rsidRPr="00DF0673">
        <w:rPr>
          <w:rFonts w:eastAsia="Times New Roman" w:cs="Times New Roman"/>
          <w:i/>
          <w:iCs/>
          <w:sz w:val="21"/>
          <w:szCs w:val="21"/>
          <w:lang w:val="en-AU"/>
        </w:rPr>
        <w:t>Gender Equality and Women's Empowerment Strategy</w:t>
      </w:r>
      <w:r w:rsidR="00DF0673" w:rsidRPr="00DF0673">
        <w:rPr>
          <w:rFonts w:eastAsia="Times New Roman" w:cs="Times New Roman"/>
          <w:sz w:val="21"/>
          <w:szCs w:val="21"/>
          <w:lang w:val="en-AU"/>
        </w:rPr>
        <w:t xml:space="preserve"> (2016) and the </w:t>
      </w:r>
      <w:r w:rsidR="00DF0673" w:rsidRPr="00DF0673">
        <w:rPr>
          <w:rFonts w:eastAsia="Times New Roman" w:cs="Times New Roman"/>
          <w:i/>
          <w:iCs/>
          <w:sz w:val="21"/>
          <w:szCs w:val="21"/>
          <w:lang w:val="en-AU"/>
        </w:rPr>
        <w:t>Foreign Policy White Paper</w:t>
      </w:r>
      <w:r>
        <w:rPr>
          <w:rFonts w:eastAsia="Times New Roman" w:cs="Times New Roman"/>
          <w:sz w:val="21"/>
          <w:szCs w:val="21"/>
          <w:lang w:val="en-AU"/>
        </w:rPr>
        <w:t xml:space="preserve"> </w:t>
      </w:r>
      <w:r w:rsidR="004109DE">
        <w:rPr>
          <w:rFonts w:eastAsia="Times New Roman" w:cs="Times New Roman"/>
          <w:sz w:val="21"/>
          <w:szCs w:val="21"/>
          <w:lang w:val="en-AU"/>
        </w:rPr>
        <w:t xml:space="preserve">DFAT has </w:t>
      </w:r>
      <w:r>
        <w:rPr>
          <w:rFonts w:eastAsia="Times New Roman" w:cs="Times New Roman"/>
          <w:sz w:val="21"/>
          <w:szCs w:val="21"/>
          <w:lang w:val="en-AU"/>
        </w:rPr>
        <w:t>adopted a twin-track approach with targeted gender equality initiatives and mainstreaming gender equality across our</w:t>
      </w:r>
      <w:r w:rsidR="00DF0673" w:rsidRPr="00DF0673">
        <w:rPr>
          <w:rFonts w:eastAsia="Times New Roman" w:cs="Times New Roman"/>
          <w:sz w:val="21"/>
          <w:szCs w:val="21"/>
          <w:lang w:val="en-AU"/>
        </w:rPr>
        <w:t xml:space="preserve"> foreign policy, </w:t>
      </w:r>
      <w:r>
        <w:rPr>
          <w:rFonts w:eastAsia="Times New Roman" w:cs="Times New Roman"/>
          <w:sz w:val="21"/>
          <w:szCs w:val="21"/>
          <w:lang w:val="en-AU"/>
        </w:rPr>
        <w:t xml:space="preserve">trade and </w:t>
      </w:r>
      <w:r w:rsidR="00DF0673" w:rsidRPr="00DF0673">
        <w:rPr>
          <w:rFonts w:eastAsia="Times New Roman" w:cs="Times New Roman"/>
          <w:sz w:val="21"/>
          <w:szCs w:val="21"/>
          <w:lang w:val="en-AU"/>
        </w:rPr>
        <w:t>economic diplomacy and development investments</w:t>
      </w:r>
      <w:r w:rsidR="00DF0673">
        <w:rPr>
          <w:rFonts w:eastAsia="Times New Roman" w:cs="Times New Roman"/>
          <w:sz w:val="21"/>
          <w:szCs w:val="21"/>
          <w:lang w:val="en-AU"/>
        </w:rPr>
        <w:t xml:space="preserve">. </w:t>
      </w:r>
      <w:r w:rsidR="00AF72C5" w:rsidRPr="00AF72C5">
        <w:rPr>
          <w:rFonts w:eastAsia="Times New Roman" w:cs="Times New Roman"/>
          <w:sz w:val="21"/>
          <w:szCs w:val="21"/>
          <w:lang w:val="en-AU"/>
        </w:rPr>
        <w:t xml:space="preserve">Support for those who are hardest hit, particularly women and girls, underpins </w:t>
      </w:r>
      <w:r w:rsidR="00AF72C5" w:rsidRPr="00547CAE">
        <w:rPr>
          <w:rFonts w:eastAsia="Times New Roman" w:cs="Times New Roman"/>
          <w:sz w:val="21"/>
          <w:szCs w:val="21"/>
          <w:lang w:val="en-AU"/>
        </w:rPr>
        <w:t>Australia’s</w:t>
      </w:r>
      <w:r w:rsidR="00AF72C5" w:rsidRPr="00D0508E">
        <w:rPr>
          <w:rFonts w:eastAsia="Times New Roman" w:cs="Times New Roman"/>
          <w:i/>
          <w:iCs/>
          <w:sz w:val="21"/>
          <w:szCs w:val="21"/>
          <w:lang w:val="en-AU"/>
        </w:rPr>
        <w:t xml:space="preserve"> Partnerships for Recovery</w:t>
      </w:r>
      <w:r w:rsidR="00AF72C5" w:rsidRPr="00AF72C5">
        <w:rPr>
          <w:rFonts w:eastAsia="Times New Roman" w:cs="Times New Roman"/>
          <w:sz w:val="21"/>
          <w:szCs w:val="21"/>
          <w:lang w:val="en-AU"/>
        </w:rPr>
        <w:t xml:space="preserve"> COVID-19 response and recovery strategy, recognising that gender equality is an important contributor </w:t>
      </w:r>
      <w:r w:rsidR="00AF72C5" w:rsidRPr="00AF72C5">
        <w:rPr>
          <w:rFonts w:eastAsia="Times New Roman" w:cs="Times New Roman"/>
          <w:sz w:val="21"/>
          <w:szCs w:val="21"/>
          <w:lang w:val="en-AU"/>
        </w:rPr>
        <w:lastRenderedPageBreak/>
        <w:t xml:space="preserve">to prosperity, </w:t>
      </w:r>
      <w:proofErr w:type="gramStart"/>
      <w:r w:rsidR="00AF72C5" w:rsidRPr="00AF72C5">
        <w:rPr>
          <w:rFonts w:eastAsia="Times New Roman" w:cs="Times New Roman"/>
          <w:sz w:val="21"/>
          <w:szCs w:val="21"/>
          <w:lang w:val="en-AU"/>
        </w:rPr>
        <w:t>stability</w:t>
      </w:r>
      <w:proofErr w:type="gramEnd"/>
      <w:r w:rsidR="00AF72C5" w:rsidRPr="00AF72C5">
        <w:rPr>
          <w:rFonts w:eastAsia="Times New Roman" w:cs="Times New Roman"/>
          <w:sz w:val="21"/>
          <w:szCs w:val="21"/>
          <w:lang w:val="en-AU"/>
        </w:rPr>
        <w:t xml:space="preserve"> and security. </w:t>
      </w:r>
      <w:r w:rsidR="004109DE">
        <w:rPr>
          <w:rFonts w:eastAsia="Times New Roman" w:cs="Times New Roman"/>
          <w:sz w:val="21"/>
          <w:szCs w:val="21"/>
          <w:lang w:val="en-AU"/>
        </w:rPr>
        <w:t>DFAT’s</w:t>
      </w:r>
      <w:r w:rsidR="004109DE" w:rsidRPr="00AF72C5">
        <w:rPr>
          <w:rFonts w:eastAsia="Times New Roman" w:cs="Times New Roman"/>
          <w:sz w:val="21"/>
          <w:szCs w:val="21"/>
          <w:lang w:val="en-AU"/>
        </w:rPr>
        <w:t xml:space="preserve"> </w:t>
      </w:r>
      <w:r w:rsidR="00AF72C5" w:rsidRPr="00AF72C5">
        <w:rPr>
          <w:rFonts w:eastAsia="Times New Roman" w:cs="Times New Roman"/>
          <w:sz w:val="21"/>
          <w:szCs w:val="21"/>
          <w:lang w:val="en-AU"/>
        </w:rPr>
        <w:t xml:space="preserve">response seeks to address the specific needs of all women and girls in </w:t>
      </w:r>
      <w:r w:rsidR="00542398">
        <w:rPr>
          <w:rFonts w:eastAsia="Times New Roman" w:cs="Times New Roman"/>
          <w:sz w:val="21"/>
          <w:szCs w:val="21"/>
          <w:lang w:val="en-AU"/>
        </w:rPr>
        <w:t>the Indo-Pacific</w:t>
      </w:r>
      <w:r w:rsidR="00542398" w:rsidRPr="00AF72C5">
        <w:rPr>
          <w:rFonts w:eastAsia="Times New Roman" w:cs="Times New Roman"/>
          <w:sz w:val="21"/>
          <w:szCs w:val="21"/>
          <w:lang w:val="en-AU"/>
        </w:rPr>
        <w:t xml:space="preserve"> </w:t>
      </w:r>
      <w:r w:rsidR="00AF72C5" w:rsidRPr="00AF72C5">
        <w:rPr>
          <w:rFonts w:eastAsia="Times New Roman" w:cs="Times New Roman"/>
          <w:sz w:val="21"/>
          <w:szCs w:val="21"/>
          <w:lang w:val="en-AU"/>
        </w:rPr>
        <w:t xml:space="preserve">region, and to include them in decision-making as powerful agents for change and ‘building back better’. </w:t>
      </w:r>
    </w:p>
    <w:p w14:paraId="2F636BDB" w14:textId="77777777" w:rsidR="00253680" w:rsidRDefault="00AF72C5" w:rsidP="0085043B">
      <w:pPr>
        <w:tabs>
          <w:tab w:val="left" w:pos="284"/>
        </w:tabs>
        <w:suppressAutoHyphens w:val="0"/>
        <w:spacing w:before="0" w:line="280" w:lineRule="exact"/>
        <w:jc w:val="both"/>
        <w:rPr>
          <w:rFonts w:eastAsia="Times New Roman" w:cs="Times New Roman"/>
          <w:sz w:val="21"/>
          <w:szCs w:val="21"/>
          <w:lang w:val="en-AU"/>
        </w:rPr>
      </w:pPr>
      <w:r w:rsidRPr="0053749A">
        <w:rPr>
          <w:rFonts w:eastAsia="Times New Roman" w:cs="Times New Roman"/>
          <w:sz w:val="21"/>
          <w:szCs w:val="21"/>
          <w:lang w:val="en-AU"/>
        </w:rPr>
        <w:t xml:space="preserve">Improving </w:t>
      </w:r>
      <w:r w:rsidR="00542398">
        <w:rPr>
          <w:rFonts w:eastAsia="Times New Roman" w:cs="Times New Roman"/>
          <w:sz w:val="21"/>
          <w:szCs w:val="21"/>
          <w:lang w:val="en-AU"/>
        </w:rPr>
        <w:t xml:space="preserve">and sustaining </w:t>
      </w:r>
      <w:r w:rsidRPr="0053749A">
        <w:rPr>
          <w:rFonts w:eastAsia="Times New Roman" w:cs="Times New Roman"/>
          <w:sz w:val="21"/>
          <w:szCs w:val="21"/>
          <w:lang w:val="en-AU"/>
        </w:rPr>
        <w:t>gender performance requires program level technical advice</w:t>
      </w:r>
      <w:r w:rsidR="00542398">
        <w:rPr>
          <w:rFonts w:eastAsia="Times New Roman" w:cs="Times New Roman"/>
          <w:sz w:val="21"/>
          <w:szCs w:val="21"/>
          <w:lang w:val="en-AU"/>
        </w:rPr>
        <w:t xml:space="preserve"> across the aid program</w:t>
      </w:r>
      <w:r w:rsidR="00C9603D">
        <w:rPr>
          <w:rFonts w:eastAsia="Times New Roman" w:cs="Times New Roman"/>
          <w:sz w:val="21"/>
          <w:szCs w:val="21"/>
          <w:lang w:val="en-AU"/>
        </w:rPr>
        <w:t>, coordinated and quality assured by DFAT’s Gender Equality Branch</w:t>
      </w:r>
      <w:r w:rsidRPr="0053749A">
        <w:rPr>
          <w:rFonts w:eastAsia="Times New Roman" w:cs="Times New Roman"/>
          <w:sz w:val="21"/>
          <w:szCs w:val="21"/>
          <w:lang w:val="en-AU"/>
        </w:rPr>
        <w:t>.</w:t>
      </w:r>
      <w:r w:rsidR="00984C69">
        <w:rPr>
          <w:rFonts w:eastAsia="Times New Roman" w:cs="Times New Roman"/>
          <w:sz w:val="21"/>
          <w:szCs w:val="21"/>
          <w:lang w:val="en-AU"/>
        </w:rPr>
        <w:t xml:space="preserve"> </w:t>
      </w:r>
      <w:r w:rsidRPr="0053749A">
        <w:rPr>
          <w:rFonts w:eastAsia="Times New Roman" w:cs="Times New Roman"/>
          <w:sz w:val="21"/>
          <w:szCs w:val="21"/>
          <w:lang w:val="en-AU"/>
        </w:rPr>
        <w:t xml:space="preserve">There is ongoing demand from </w:t>
      </w:r>
      <w:r w:rsidR="00F30D35">
        <w:rPr>
          <w:rFonts w:eastAsia="Times New Roman" w:cs="Times New Roman"/>
          <w:sz w:val="21"/>
          <w:szCs w:val="21"/>
          <w:lang w:val="en-AU"/>
        </w:rPr>
        <w:t xml:space="preserve">aid </w:t>
      </w:r>
      <w:r w:rsidRPr="0053749A">
        <w:rPr>
          <w:rFonts w:eastAsia="Times New Roman" w:cs="Times New Roman"/>
          <w:sz w:val="21"/>
          <w:szCs w:val="21"/>
          <w:lang w:val="en-AU"/>
        </w:rPr>
        <w:t xml:space="preserve">program areas for a broad range of internal and external support to ensure high quality, technically accurate and effective </w:t>
      </w:r>
      <w:proofErr w:type="gramStart"/>
      <w:r w:rsidRPr="0053749A">
        <w:rPr>
          <w:rFonts w:eastAsia="Times New Roman" w:cs="Times New Roman"/>
          <w:sz w:val="21"/>
          <w:szCs w:val="21"/>
          <w:lang w:val="en-AU"/>
        </w:rPr>
        <w:t>policy</w:t>
      </w:r>
      <w:proofErr w:type="gramEnd"/>
      <w:r w:rsidRPr="0053749A">
        <w:rPr>
          <w:rFonts w:eastAsia="Times New Roman" w:cs="Times New Roman"/>
          <w:sz w:val="21"/>
          <w:szCs w:val="21"/>
          <w:lang w:val="en-AU"/>
        </w:rPr>
        <w:t xml:space="preserve"> and programming</w:t>
      </w:r>
      <w:r w:rsidR="00365115">
        <w:rPr>
          <w:rFonts w:eastAsia="Times New Roman" w:cs="Times New Roman"/>
          <w:sz w:val="21"/>
          <w:szCs w:val="21"/>
          <w:lang w:val="en-AU"/>
        </w:rPr>
        <w:t xml:space="preserve"> across </w:t>
      </w:r>
      <w:r w:rsidR="00253680">
        <w:rPr>
          <w:rFonts w:eastAsia="Times New Roman" w:cs="Times New Roman"/>
          <w:sz w:val="21"/>
          <w:szCs w:val="21"/>
          <w:lang w:val="en-AU"/>
        </w:rPr>
        <w:t xml:space="preserve">gender equality priority areas as well as </w:t>
      </w:r>
      <w:r w:rsidR="00365115">
        <w:rPr>
          <w:rFonts w:eastAsia="Times New Roman" w:cs="Times New Roman"/>
          <w:sz w:val="21"/>
          <w:szCs w:val="21"/>
          <w:lang w:val="en-AU"/>
        </w:rPr>
        <w:t>various sectors</w:t>
      </w:r>
      <w:r w:rsidR="008E7EB7">
        <w:rPr>
          <w:rFonts w:eastAsia="Times New Roman" w:cs="Times New Roman"/>
          <w:sz w:val="21"/>
          <w:szCs w:val="21"/>
          <w:lang w:val="en-AU"/>
        </w:rPr>
        <w:t>, including climate change, infrastructure, economic governance, education, etc</w:t>
      </w:r>
      <w:r w:rsidRPr="0053749A">
        <w:rPr>
          <w:rFonts w:eastAsia="Times New Roman" w:cs="Times New Roman"/>
          <w:sz w:val="21"/>
          <w:szCs w:val="21"/>
          <w:lang w:val="en-AU"/>
        </w:rPr>
        <w:t>.</w:t>
      </w:r>
      <w:r w:rsidR="00DF0673">
        <w:rPr>
          <w:rFonts w:eastAsia="Times New Roman" w:cs="Times New Roman"/>
          <w:sz w:val="21"/>
          <w:szCs w:val="21"/>
          <w:lang w:val="en-AU"/>
        </w:rPr>
        <w:t xml:space="preserve"> </w:t>
      </w:r>
    </w:p>
    <w:p w14:paraId="292B0DAC" w14:textId="77777777" w:rsidR="00253680" w:rsidRDefault="00806296" w:rsidP="0085043B">
      <w:pPr>
        <w:tabs>
          <w:tab w:val="left" w:pos="284"/>
        </w:tabs>
        <w:suppressAutoHyphens w:val="0"/>
        <w:spacing w:before="0" w:line="280" w:lineRule="exact"/>
        <w:jc w:val="both"/>
        <w:rPr>
          <w:rFonts w:eastAsia="Times New Roman" w:cs="Times New Roman"/>
          <w:sz w:val="21"/>
          <w:szCs w:val="21"/>
          <w:lang w:val="en-AU"/>
        </w:rPr>
      </w:pPr>
      <w:r w:rsidRPr="00806296">
        <w:rPr>
          <w:rFonts w:eastAsia="Times New Roman" w:cs="Times New Roman"/>
          <w:sz w:val="21"/>
          <w:szCs w:val="21"/>
          <w:lang w:val="en-AU"/>
        </w:rPr>
        <w:t>Policy and geographical program areas within DFAT, including posts, are largely staffed by generalists, who need access to specialist support. As such, there is a need for ongoing investment in an organised and engaging workforce development program to support capability.</w:t>
      </w:r>
      <w:r>
        <w:rPr>
          <w:rFonts w:eastAsia="Times New Roman" w:cs="Times New Roman"/>
          <w:sz w:val="21"/>
          <w:szCs w:val="21"/>
          <w:lang w:val="en-AU"/>
        </w:rPr>
        <w:t xml:space="preserve"> </w:t>
      </w:r>
    </w:p>
    <w:p w14:paraId="78250247" w14:textId="3D5066C0" w:rsidR="00E13235" w:rsidRPr="00881F90" w:rsidRDefault="00EC1D97" w:rsidP="0085043B">
      <w:pPr>
        <w:tabs>
          <w:tab w:val="left" w:pos="284"/>
        </w:tabs>
        <w:suppressAutoHyphens w:val="0"/>
        <w:spacing w:before="0" w:line="280" w:lineRule="exact"/>
        <w:jc w:val="both"/>
        <w:rPr>
          <w:rFonts w:eastAsia="Times New Roman" w:cs="Arial"/>
          <w:sz w:val="21"/>
          <w:szCs w:val="21"/>
          <w:lang w:val="en-AU" w:eastAsia="en-AU"/>
        </w:rPr>
      </w:pPr>
      <w:r w:rsidRPr="00FE6B52">
        <w:rPr>
          <w:rFonts w:eastAsia="Times New Roman" w:cs="Times New Roman"/>
          <w:sz w:val="21"/>
          <w:szCs w:val="21"/>
          <w:lang w:val="en-AU"/>
        </w:rPr>
        <w:t>Establishing an external</w:t>
      </w:r>
      <w:r w:rsidR="00FD032B">
        <w:rPr>
          <w:rFonts w:eastAsia="Times New Roman" w:cs="Times New Roman"/>
          <w:sz w:val="21"/>
          <w:szCs w:val="21"/>
          <w:lang w:val="en-AU"/>
        </w:rPr>
        <w:t xml:space="preserve"> </w:t>
      </w:r>
      <w:r w:rsidR="00FD032B" w:rsidRPr="00FE6B52">
        <w:rPr>
          <w:rFonts w:eastAsia="Times New Roman" w:cs="Times New Roman"/>
          <w:sz w:val="21"/>
          <w:szCs w:val="21"/>
          <w:lang w:val="en-AU"/>
        </w:rPr>
        <w:t xml:space="preserve">Support Unit </w:t>
      </w:r>
      <w:r w:rsidR="00FD032B">
        <w:rPr>
          <w:rFonts w:eastAsia="Times New Roman" w:cs="Times New Roman"/>
          <w:sz w:val="21"/>
          <w:szCs w:val="21"/>
          <w:lang w:val="en-AU"/>
        </w:rPr>
        <w:t xml:space="preserve">for </w:t>
      </w:r>
      <w:r w:rsidR="00FD032B" w:rsidRPr="00FE6B52">
        <w:rPr>
          <w:rFonts w:eastAsia="Times New Roman" w:cs="Times New Roman"/>
          <w:sz w:val="21"/>
          <w:szCs w:val="21"/>
          <w:lang w:val="en-AU"/>
        </w:rPr>
        <w:t>Gender Equality</w:t>
      </w:r>
      <w:r w:rsidR="00FD032B">
        <w:rPr>
          <w:rFonts w:eastAsia="Times New Roman" w:cs="Times New Roman"/>
          <w:sz w:val="21"/>
          <w:szCs w:val="21"/>
          <w:lang w:val="en-AU"/>
        </w:rPr>
        <w:t xml:space="preserve"> (SURGE)</w:t>
      </w:r>
      <w:r w:rsidR="00FD032B" w:rsidRPr="00FE6B52">
        <w:rPr>
          <w:rFonts w:eastAsia="Times New Roman" w:cs="Times New Roman"/>
          <w:sz w:val="21"/>
          <w:szCs w:val="21"/>
          <w:lang w:val="en-AU"/>
        </w:rPr>
        <w:t xml:space="preserve"> </w:t>
      </w:r>
      <w:r w:rsidRPr="00FE6B52">
        <w:rPr>
          <w:rFonts w:eastAsia="Times New Roman" w:cs="Times New Roman"/>
          <w:sz w:val="21"/>
          <w:szCs w:val="21"/>
          <w:lang w:val="en-AU"/>
        </w:rPr>
        <w:t xml:space="preserve">will </w:t>
      </w:r>
      <w:r w:rsidR="00E13235">
        <w:rPr>
          <w:rFonts w:eastAsia="Times New Roman" w:cs="Times New Roman"/>
          <w:sz w:val="21"/>
          <w:szCs w:val="21"/>
          <w:lang w:val="en-AU"/>
        </w:rPr>
        <w:t>improve the capacity of</w:t>
      </w:r>
      <w:r w:rsidRPr="00FE6B52">
        <w:rPr>
          <w:rFonts w:eastAsia="Times New Roman" w:cs="Times New Roman"/>
          <w:sz w:val="21"/>
          <w:szCs w:val="21"/>
          <w:lang w:val="en-AU"/>
        </w:rPr>
        <w:t xml:space="preserve"> </w:t>
      </w:r>
      <w:r w:rsidR="00806296">
        <w:rPr>
          <w:rFonts w:eastAsia="Times New Roman" w:cs="Times New Roman"/>
          <w:sz w:val="21"/>
          <w:szCs w:val="21"/>
          <w:lang w:val="en-AU"/>
        </w:rPr>
        <w:t xml:space="preserve">DFAT’s </w:t>
      </w:r>
      <w:r w:rsidR="00881F90" w:rsidRPr="00FE6B52">
        <w:rPr>
          <w:rFonts w:eastAsia="Times New Roman" w:cs="Times New Roman"/>
          <w:sz w:val="21"/>
          <w:szCs w:val="21"/>
          <w:lang w:val="en-AU"/>
        </w:rPr>
        <w:t>G</w:t>
      </w:r>
      <w:r w:rsidR="00806296">
        <w:rPr>
          <w:rFonts w:eastAsia="Times New Roman" w:cs="Times New Roman"/>
          <w:sz w:val="21"/>
          <w:szCs w:val="21"/>
          <w:lang w:val="en-AU"/>
        </w:rPr>
        <w:t xml:space="preserve">ender </w:t>
      </w:r>
      <w:r w:rsidR="00881F90" w:rsidRPr="00FE6B52">
        <w:rPr>
          <w:rFonts w:eastAsia="Times New Roman" w:cs="Times New Roman"/>
          <w:sz w:val="21"/>
          <w:szCs w:val="21"/>
          <w:lang w:val="en-AU"/>
        </w:rPr>
        <w:t>E</w:t>
      </w:r>
      <w:r w:rsidR="00806296">
        <w:rPr>
          <w:rFonts w:eastAsia="Times New Roman" w:cs="Times New Roman"/>
          <w:sz w:val="21"/>
          <w:szCs w:val="21"/>
          <w:lang w:val="en-AU"/>
        </w:rPr>
        <w:t xml:space="preserve">quality </w:t>
      </w:r>
      <w:r w:rsidR="00881F90" w:rsidRPr="00FE6B52">
        <w:rPr>
          <w:rFonts w:eastAsia="Times New Roman" w:cs="Times New Roman"/>
          <w:sz w:val="21"/>
          <w:szCs w:val="21"/>
          <w:lang w:val="en-AU"/>
        </w:rPr>
        <w:t>B</w:t>
      </w:r>
      <w:r w:rsidR="00806296">
        <w:rPr>
          <w:rFonts w:eastAsia="Times New Roman" w:cs="Times New Roman"/>
          <w:sz w:val="21"/>
          <w:szCs w:val="21"/>
          <w:lang w:val="en-AU"/>
        </w:rPr>
        <w:t>ranch</w:t>
      </w:r>
      <w:r w:rsidR="00881F90" w:rsidRPr="00FE6B52">
        <w:rPr>
          <w:rFonts w:eastAsia="Times New Roman" w:cs="Times New Roman"/>
          <w:sz w:val="21"/>
          <w:szCs w:val="21"/>
          <w:lang w:val="en-AU"/>
        </w:rPr>
        <w:t xml:space="preserve"> to respond efficiently and effectively to </w:t>
      </w:r>
      <w:r w:rsidR="00E13235">
        <w:rPr>
          <w:rFonts w:eastAsia="Times New Roman" w:cs="Times New Roman"/>
          <w:sz w:val="21"/>
          <w:szCs w:val="21"/>
          <w:lang w:val="en-AU"/>
        </w:rPr>
        <w:t>a wider range of</w:t>
      </w:r>
      <w:r w:rsidR="006C5E98">
        <w:rPr>
          <w:rFonts w:eastAsia="Times New Roman" w:cs="Times New Roman"/>
          <w:sz w:val="21"/>
          <w:szCs w:val="21"/>
          <w:lang w:val="en-AU"/>
        </w:rPr>
        <w:t xml:space="preserve"> </w:t>
      </w:r>
      <w:r w:rsidR="00881F90" w:rsidRPr="00FE6B52">
        <w:rPr>
          <w:rFonts w:eastAsia="Times New Roman" w:cs="Times New Roman"/>
          <w:sz w:val="21"/>
          <w:szCs w:val="21"/>
          <w:lang w:val="en-AU"/>
        </w:rPr>
        <w:t>demand for</w:t>
      </w:r>
      <w:r w:rsidRPr="00FE6B52">
        <w:rPr>
          <w:rFonts w:eastAsia="Times New Roman" w:cs="Times New Roman"/>
          <w:sz w:val="21"/>
          <w:szCs w:val="21"/>
          <w:lang w:val="en-AU"/>
        </w:rPr>
        <w:t xml:space="preserve"> technical assistance across DFAT</w:t>
      </w:r>
      <w:r w:rsidR="00253680">
        <w:rPr>
          <w:rFonts w:eastAsia="Times New Roman" w:cs="Times New Roman"/>
          <w:sz w:val="21"/>
          <w:szCs w:val="21"/>
          <w:lang w:val="en-AU"/>
        </w:rPr>
        <w:t>, with</w:t>
      </w:r>
      <w:r w:rsidR="00253680" w:rsidRPr="00253680">
        <w:rPr>
          <w:rFonts w:eastAsia="Times New Roman" w:cs="Arial"/>
          <w:sz w:val="21"/>
          <w:szCs w:val="21"/>
          <w:lang w:val="en-AU" w:eastAsia="en-AU"/>
        </w:rPr>
        <w:t xml:space="preserve"> </w:t>
      </w:r>
      <w:r w:rsidR="00253680">
        <w:rPr>
          <w:rFonts w:eastAsia="Times New Roman" w:cs="Arial"/>
          <w:sz w:val="21"/>
          <w:szCs w:val="21"/>
          <w:lang w:val="en-AU" w:eastAsia="en-AU"/>
        </w:rPr>
        <w:t>focus on South East Asia and the Pacific</w:t>
      </w:r>
      <w:r w:rsidR="00BD39A8">
        <w:rPr>
          <w:rFonts w:eastAsia="Times New Roman" w:cs="Times New Roman"/>
          <w:sz w:val="21"/>
          <w:szCs w:val="21"/>
          <w:lang w:val="en-AU"/>
        </w:rPr>
        <w:t>.</w:t>
      </w:r>
      <w:r w:rsidRPr="00FE6B52">
        <w:rPr>
          <w:rFonts w:eastAsia="Times New Roman" w:cs="Times New Roman"/>
          <w:sz w:val="21"/>
          <w:szCs w:val="21"/>
          <w:lang w:val="en-AU"/>
        </w:rPr>
        <w:t xml:space="preserve"> </w:t>
      </w:r>
      <w:r w:rsidR="00BD39A8">
        <w:rPr>
          <w:rFonts w:eastAsia="Times New Roman" w:cs="Times New Roman"/>
          <w:sz w:val="21"/>
          <w:szCs w:val="21"/>
          <w:lang w:val="en-AU"/>
        </w:rPr>
        <w:t xml:space="preserve">The Unit will </w:t>
      </w:r>
      <w:r w:rsidR="006B340E">
        <w:rPr>
          <w:rFonts w:eastAsia="Times New Roman" w:cs="Times New Roman"/>
          <w:sz w:val="21"/>
          <w:szCs w:val="21"/>
          <w:lang w:val="en-AU"/>
        </w:rPr>
        <w:t xml:space="preserve">support </w:t>
      </w:r>
      <w:r w:rsidR="006C5E98">
        <w:rPr>
          <w:rFonts w:eastAsia="Times New Roman" w:cs="Times New Roman"/>
          <w:sz w:val="21"/>
          <w:szCs w:val="21"/>
          <w:lang w:val="en-AU"/>
        </w:rPr>
        <w:t>DFAT</w:t>
      </w:r>
      <w:r w:rsidRPr="00FE6B52">
        <w:rPr>
          <w:rFonts w:eastAsia="Times New Roman" w:cs="Times New Roman"/>
          <w:sz w:val="21"/>
          <w:szCs w:val="21"/>
          <w:lang w:val="en-AU"/>
        </w:rPr>
        <w:t xml:space="preserve"> gender </w:t>
      </w:r>
      <w:r w:rsidR="00253680">
        <w:rPr>
          <w:rFonts w:eastAsia="Times New Roman" w:cs="Times New Roman"/>
          <w:sz w:val="21"/>
          <w:szCs w:val="21"/>
          <w:lang w:val="en-AU"/>
        </w:rPr>
        <w:t>staff</w:t>
      </w:r>
      <w:r w:rsidRPr="00FE6B52">
        <w:rPr>
          <w:rFonts w:eastAsia="Times New Roman" w:cs="Times New Roman"/>
          <w:sz w:val="21"/>
          <w:szCs w:val="21"/>
          <w:lang w:val="en-AU"/>
        </w:rPr>
        <w:t xml:space="preserve"> </w:t>
      </w:r>
      <w:r w:rsidR="0032722B" w:rsidRPr="00FE6B52">
        <w:rPr>
          <w:rFonts w:eastAsia="Times New Roman" w:cs="Times New Roman"/>
          <w:sz w:val="21"/>
          <w:szCs w:val="21"/>
          <w:lang w:val="en-AU"/>
        </w:rPr>
        <w:t xml:space="preserve">to provide </w:t>
      </w:r>
      <w:r w:rsidR="00881F90" w:rsidRPr="00FE6B52">
        <w:rPr>
          <w:rFonts w:eastAsia="Times New Roman" w:cs="Times New Roman"/>
          <w:sz w:val="21"/>
          <w:szCs w:val="21"/>
          <w:lang w:val="en-AU"/>
        </w:rPr>
        <w:t xml:space="preserve">strategic </w:t>
      </w:r>
      <w:r w:rsidR="0032722B" w:rsidRPr="00FE6B52">
        <w:rPr>
          <w:rFonts w:eastAsia="Times New Roman" w:cs="Times New Roman"/>
          <w:sz w:val="21"/>
          <w:szCs w:val="21"/>
          <w:lang w:val="en-AU"/>
        </w:rPr>
        <w:t>advice that is aligned with domestic and global policy directions</w:t>
      </w:r>
      <w:r w:rsidRPr="00FE6B52">
        <w:rPr>
          <w:rFonts w:eastAsia="Times New Roman" w:cs="Times New Roman"/>
          <w:sz w:val="21"/>
          <w:szCs w:val="21"/>
          <w:lang w:val="en-AU"/>
        </w:rPr>
        <w:t>, by</w:t>
      </w:r>
      <w:r w:rsidRPr="00FE6B52">
        <w:rPr>
          <w:rFonts w:eastAsia="Times New Roman" w:cs="Arial"/>
          <w:sz w:val="21"/>
          <w:szCs w:val="21"/>
          <w:lang w:val="en-AU" w:eastAsia="en-AU"/>
        </w:rPr>
        <w:t xml:space="preserve"> equipping them with evidence, </w:t>
      </w:r>
      <w:r w:rsidR="00881F90" w:rsidRPr="00FE6B52">
        <w:rPr>
          <w:rFonts w:eastAsia="Times New Roman" w:cs="Arial"/>
          <w:sz w:val="21"/>
          <w:szCs w:val="21"/>
          <w:lang w:val="en-AU" w:eastAsia="en-AU"/>
        </w:rPr>
        <w:t xml:space="preserve">bespoke </w:t>
      </w:r>
      <w:proofErr w:type="gramStart"/>
      <w:r w:rsidRPr="00FE6B52">
        <w:rPr>
          <w:rFonts w:eastAsia="Times New Roman" w:cs="Arial"/>
          <w:sz w:val="21"/>
          <w:szCs w:val="21"/>
          <w:lang w:val="en-AU" w:eastAsia="en-AU"/>
        </w:rPr>
        <w:t>tools</w:t>
      </w:r>
      <w:proofErr w:type="gramEnd"/>
      <w:r w:rsidRPr="00FE6B52">
        <w:rPr>
          <w:rFonts w:eastAsia="Times New Roman" w:cs="Arial"/>
          <w:sz w:val="21"/>
          <w:szCs w:val="21"/>
          <w:lang w:val="en-AU" w:eastAsia="en-AU"/>
        </w:rPr>
        <w:t xml:space="preserve"> and information to influence the Department’s </w:t>
      </w:r>
      <w:r w:rsidR="0089068D" w:rsidRPr="00FE6B52">
        <w:rPr>
          <w:rFonts w:eastAsia="Times New Roman" w:cs="Arial"/>
          <w:sz w:val="21"/>
          <w:szCs w:val="21"/>
          <w:lang w:val="en-AU" w:eastAsia="en-AU"/>
        </w:rPr>
        <w:t>forward agenda</w:t>
      </w:r>
      <w:r w:rsidR="006B6C36" w:rsidRPr="00FE6B52">
        <w:rPr>
          <w:rFonts w:eastAsia="Times New Roman" w:cs="Arial"/>
          <w:sz w:val="21"/>
          <w:szCs w:val="21"/>
          <w:lang w:val="en-AU" w:eastAsia="en-AU"/>
        </w:rPr>
        <w:t xml:space="preserve"> and </w:t>
      </w:r>
      <w:r w:rsidR="0089068D" w:rsidRPr="00FE6B52">
        <w:rPr>
          <w:rFonts w:eastAsia="Times New Roman" w:cs="Arial"/>
          <w:sz w:val="21"/>
          <w:szCs w:val="21"/>
          <w:lang w:val="en-AU" w:eastAsia="en-AU"/>
        </w:rPr>
        <w:t>oversee</w:t>
      </w:r>
      <w:r w:rsidRPr="00FE6B52">
        <w:rPr>
          <w:rFonts w:eastAsia="Times New Roman" w:cs="Arial"/>
          <w:sz w:val="21"/>
          <w:szCs w:val="21"/>
          <w:lang w:val="en-AU" w:eastAsia="en-AU"/>
        </w:rPr>
        <w:t xml:space="preserve"> policy and programming </w:t>
      </w:r>
      <w:r w:rsidR="0089068D" w:rsidRPr="00FE6B52">
        <w:rPr>
          <w:rFonts w:eastAsia="Times New Roman" w:cs="Arial"/>
          <w:sz w:val="21"/>
          <w:szCs w:val="21"/>
          <w:lang w:val="en-AU" w:eastAsia="en-AU"/>
        </w:rPr>
        <w:t>coherence</w:t>
      </w:r>
      <w:r w:rsidRPr="00FE6B52">
        <w:rPr>
          <w:rFonts w:eastAsia="Times New Roman" w:cs="Arial"/>
          <w:sz w:val="21"/>
          <w:szCs w:val="21"/>
          <w:lang w:val="en-AU" w:eastAsia="en-AU"/>
        </w:rPr>
        <w:t>.</w:t>
      </w:r>
    </w:p>
    <w:p w14:paraId="477D5DBE" w14:textId="77777777" w:rsidR="00AF72C5" w:rsidRDefault="00AF72C5" w:rsidP="0053749A">
      <w:pPr>
        <w:tabs>
          <w:tab w:val="left" w:pos="284"/>
        </w:tabs>
        <w:suppressAutoHyphens w:val="0"/>
        <w:spacing w:before="0" w:line="280" w:lineRule="exact"/>
        <w:rPr>
          <w:rFonts w:eastAsia="Times New Roman" w:cs="Arial"/>
          <w:sz w:val="21"/>
          <w:szCs w:val="21"/>
          <w:lang w:val="en-AU" w:eastAsia="en-AU"/>
        </w:rPr>
      </w:pPr>
    </w:p>
    <w:p w14:paraId="162E2AF3" w14:textId="37C56462" w:rsidR="00490CDB" w:rsidRPr="00490CDB" w:rsidRDefault="00BE4DC3" w:rsidP="006B6FD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Proposed</w:t>
      </w:r>
      <w:r w:rsidRPr="00490CDB">
        <w:rPr>
          <w:rFonts w:asciiTheme="majorHAnsi" w:hAnsiTheme="majorHAnsi" w:cs="Arial"/>
          <w:b/>
        </w:rPr>
        <w:t xml:space="preserve"> Outcomes and Investment Options </w:t>
      </w:r>
      <w:r>
        <w:rPr>
          <w:rFonts w:asciiTheme="majorHAnsi" w:hAnsiTheme="majorHAnsi" w:cs="Arial"/>
          <w:b/>
        </w:rPr>
        <w:t>(</w:t>
      </w:r>
      <w:r w:rsidR="00490CDB" w:rsidRPr="00490CDB">
        <w:rPr>
          <w:rFonts w:asciiTheme="majorHAnsi" w:hAnsiTheme="majorHAnsi" w:cs="Arial"/>
          <w:b/>
        </w:rPr>
        <w:t>What</w:t>
      </w:r>
      <w:r>
        <w:rPr>
          <w:rFonts w:asciiTheme="majorHAnsi" w:hAnsiTheme="majorHAnsi" w:cs="Arial"/>
          <w:b/>
        </w:rPr>
        <w:t>?)</w:t>
      </w:r>
    </w:p>
    <w:p w14:paraId="028B0665" w14:textId="296F22E0" w:rsidR="00F568BC" w:rsidRDefault="00631E99" w:rsidP="0085043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T</w:t>
      </w:r>
      <w:r w:rsidR="00AA4D16">
        <w:rPr>
          <w:rFonts w:eastAsia="Times New Roman" w:cs="Arial"/>
          <w:sz w:val="21"/>
          <w:szCs w:val="21"/>
          <w:lang w:val="en-AU" w:eastAsia="en-AU"/>
        </w:rPr>
        <w:t>h</w:t>
      </w:r>
      <w:r w:rsidR="00C568CB">
        <w:rPr>
          <w:rFonts w:eastAsia="Times New Roman" w:cs="Arial"/>
          <w:sz w:val="21"/>
          <w:szCs w:val="21"/>
          <w:lang w:val="en-AU" w:eastAsia="en-AU"/>
        </w:rPr>
        <w:t xml:space="preserve">e overarching goal of this </w:t>
      </w:r>
      <w:r w:rsidR="00AA4D16">
        <w:rPr>
          <w:rFonts w:eastAsia="Times New Roman" w:cs="Arial"/>
          <w:sz w:val="21"/>
          <w:szCs w:val="21"/>
          <w:lang w:val="en-AU" w:eastAsia="en-AU"/>
        </w:rPr>
        <w:t xml:space="preserve">investment </w:t>
      </w:r>
      <w:r w:rsidR="00C568CB">
        <w:rPr>
          <w:rFonts w:eastAsia="Times New Roman" w:cs="Arial"/>
          <w:sz w:val="21"/>
          <w:szCs w:val="21"/>
          <w:lang w:val="en-AU" w:eastAsia="en-AU"/>
        </w:rPr>
        <w:t>will be to</w:t>
      </w:r>
      <w:r w:rsidR="00AA4D16">
        <w:rPr>
          <w:rFonts w:eastAsia="Times New Roman" w:cs="Arial"/>
          <w:sz w:val="21"/>
          <w:szCs w:val="21"/>
          <w:lang w:val="en-AU" w:eastAsia="en-AU"/>
        </w:rPr>
        <w:t xml:space="preserve"> improve the outcomes of Australia’s development program</w:t>
      </w:r>
      <w:r w:rsidR="00C568CB">
        <w:rPr>
          <w:rFonts w:eastAsia="Times New Roman" w:cs="Arial"/>
          <w:sz w:val="21"/>
          <w:szCs w:val="21"/>
          <w:lang w:val="en-AU" w:eastAsia="en-AU"/>
        </w:rPr>
        <w:t xml:space="preserve"> </w:t>
      </w:r>
      <w:r w:rsidR="004A7A9D">
        <w:rPr>
          <w:rFonts w:eastAsia="Times New Roman" w:cs="Arial"/>
          <w:sz w:val="21"/>
          <w:szCs w:val="21"/>
          <w:lang w:val="en-AU" w:eastAsia="en-AU"/>
        </w:rPr>
        <w:t xml:space="preserve">on gender equality and women’s empowerment </w:t>
      </w:r>
      <w:r w:rsidR="00C568CB">
        <w:rPr>
          <w:rFonts w:eastAsia="Times New Roman" w:cs="Arial"/>
          <w:sz w:val="21"/>
          <w:szCs w:val="21"/>
          <w:lang w:val="en-AU" w:eastAsia="en-AU"/>
        </w:rPr>
        <w:t xml:space="preserve">through </w:t>
      </w:r>
      <w:r w:rsidR="00F568BC">
        <w:rPr>
          <w:rFonts w:eastAsia="Times New Roman" w:cs="Arial"/>
          <w:sz w:val="21"/>
          <w:szCs w:val="21"/>
          <w:lang w:val="en-AU" w:eastAsia="en-AU"/>
        </w:rPr>
        <w:t>the provision</w:t>
      </w:r>
      <w:r w:rsidR="00CC35E0">
        <w:rPr>
          <w:rFonts w:eastAsia="Times New Roman" w:cs="Arial"/>
          <w:sz w:val="21"/>
          <w:szCs w:val="21"/>
          <w:lang w:val="en-AU" w:eastAsia="en-AU"/>
        </w:rPr>
        <w:t xml:space="preserve"> </w:t>
      </w:r>
      <w:r w:rsidR="00F568BC">
        <w:rPr>
          <w:rFonts w:eastAsia="Times New Roman" w:cs="Arial"/>
          <w:sz w:val="21"/>
          <w:szCs w:val="21"/>
          <w:lang w:val="en-AU" w:eastAsia="en-AU"/>
        </w:rPr>
        <w:t xml:space="preserve">of </w:t>
      </w:r>
      <w:proofErr w:type="gramStart"/>
      <w:r w:rsidR="00F568BC">
        <w:rPr>
          <w:rFonts w:eastAsia="Times New Roman" w:cs="Arial"/>
          <w:sz w:val="21"/>
          <w:szCs w:val="21"/>
          <w:lang w:val="en-AU" w:eastAsia="en-AU"/>
        </w:rPr>
        <w:t>high</w:t>
      </w:r>
      <w:r w:rsidR="003A4831">
        <w:rPr>
          <w:rFonts w:eastAsia="Times New Roman" w:cs="Arial"/>
          <w:sz w:val="21"/>
          <w:szCs w:val="21"/>
          <w:lang w:val="en-AU" w:eastAsia="en-AU"/>
        </w:rPr>
        <w:t xml:space="preserve"> </w:t>
      </w:r>
      <w:r w:rsidR="00F568BC">
        <w:rPr>
          <w:rFonts w:eastAsia="Times New Roman" w:cs="Arial"/>
          <w:sz w:val="21"/>
          <w:szCs w:val="21"/>
          <w:lang w:val="en-AU" w:eastAsia="en-AU"/>
        </w:rPr>
        <w:t>quality</w:t>
      </w:r>
      <w:proofErr w:type="gramEnd"/>
      <w:r w:rsidR="00F568BC">
        <w:rPr>
          <w:rFonts w:eastAsia="Times New Roman" w:cs="Arial"/>
          <w:sz w:val="21"/>
          <w:szCs w:val="21"/>
          <w:lang w:val="en-AU" w:eastAsia="en-AU"/>
        </w:rPr>
        <w:t xml:space="preserve"> technical expertise.</w:t>
      </w:r>
    </w:p>
    <w:p w14:paraId="58C56B1D" w14:textId="24C461DB" w:rsidR="00AA4D16" w:rsidRDefault="00F568BC" w:rsidP="0085043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The proposed End of Program Outcome of the </w:t>
      </w:r>
      <w:r w:rsidR="001E4FEA">
        <w:rPr>
          <w:rFonts w:eastAsia="Times New Roman" w:cs="Arial"/>
          <w:sz w:val="21"/>
          <w:szCs w:val="21"/>
          <w:lang w:val="en-AU" w:eastAsia="en-AU"/>
        </w:rPr>
        <w:t xml:space="preserve">Support Unit for Gender Equality </w:t>
      </w:r>
      <w:r w:rsidR="003A4831">
        <w:rPr>
          <w:rFonts w:eastAsia="Times New Roman" w:cs="Arial"/>
          <w:sz w:val="21"/>
          <w:szCs w:val="21"/>
          <w:lang w:val="en-AU" w:eastAsia="en-AU"/>
        </w:rPr>
        <w:t xml:space="preserve">is that DFAT staff have access to timely, high quality advice </w:t>
      </w:r>
      <w:r w:rsidR="004A7A9D">
        <w:rPr>
          <w:rFonts w:eastAsia="Times New Roman" w:cs="Arial"/>
          <w:sz w:val="21"/>
          <w:szCs w:val="21"/>
          <w:lang w:val="en-AU" w:eastAsia="en-AU"/>
        </w:rPr>
        <w:t xml:space="preserve">and resources </w:t>
      </w:r>
      <w:r w:rsidR="003A4831">
        <w:rPr>
          <w:rFonts w:eastAsia="Times New Roman" w:cs="Arial"/>
          <w:sz w:val="21"/>
          <w:szCs w:val="21"/>
          <w:lang w:val="en-AU" w:eastAsia="en-AU"/>
        </w:rPr>
        <w:t>to strengthen DFAT’s global</w:t>
      </w:r>
      <w:r w:rsidR="004A7A9D">
        <w:rPr>
          <w:rFonts w:eastAsia="Times New Roman" w:cs="Arial"/>
          <w:sz w:val="21"/>
          <w:szCs w:val="21"/>
          <w:lang w:val="en-AU" w:eastAsia="en-AU"/>
        </w:rPr>
        <w:t>,</w:t>
      </w:r>
      <w:r w:rsidR="003A4831">
        <w:rPr>
          <w:rFonts w:eastAsia="Times New Roman" w:cs="Arial"/>
          <w:sz w:val="21"/>
          <w:szCs w:val="21"/>
          <w:lang w:val="en-AU" w:eastAsia="en-AU"/>
        </w:rPr>
        <w:t xml:space="preserve"> </w:t>
      </w:r>
      <w:proofErr w:type="gramStart"/>
      <w:r w:rsidR="003A4831">
        <w:rPr>
          <w:rFonts w:eastAsia="Times New Roman" w:cs="Arial"/>
          <w:sz w:val="21"/>
          <w:szCs w:val="21"/>
          <w:lang w:val="en-AU" w:eastAsia="en-AU"/>
        </w:rPr>
        <w:t>regional</w:t>
      </w:r>
      <w:proofErr w:type="gramEnd"/>
      <w:r w:rsidR="003A4831">
        <w:rPr>
          <w:rFonts w:eastAsia="Times New Roman" w:cs="Arial"/>
          <w:sz w:val="21"/>
          <w:szCs w:val="21"/>
          <w:lang w:val="en-AU" w:eastAsia="en-AU"/>
        </w:rPr>
        <w:t xml:space="preserve"> and bilateral development portfolio and policy engagement efforts related to gender equality and women’s </w:t>
      </w:r>
      <w:r w:rsidR="00E13235">
        <w:rPr>
          <w:rFonts w:eastAsia="Times New Roman" w:cs="Arial"/>
          <w:sz w:val="21"/>
          <w:szCs w:val="21"/>
          <w:lang w:val="en-AU" w:eastAsia="en-AU"/>
        </w:rPr>
        <w:t xml:space="preserve">and girls’ </w:t>
      </w:r>
      <w:r w:rsidR="003A4831">
        <w:rPr>
          <w:rFonts w:eastAsia="Times New Roman" w:cs="Arial"/>
          <w:sz w:val="21"/>
          <w:szCs w:val="21"/>
          <w:lang w:val="en-AU" w:eastAsia="en-AU"/>
        </w:rPr>
        <w:t xml:space="preserve">empowerment.  </w:t>
      </w:r>
    </w:p>
    <w:p w14:paraId="59190C83" w14:textId="05FD8717" w:rsidR="0089068D" w:rsidRDefault="0089068D" w:rsidP="0085043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The </w:t>
      </w:r>
      <w:r w:rsidR="00F568BC">
        <w:rPr>
          <w:rFonts w:eastAsia="Times New Roman" w:cs="Arial"/>
          <w:sz w:val="21"/>
          <w:szCs w:val="21"/>
          <w:lang w:val="en-AU" w:eastAsia="en-AU"/>
        </w:rPr>
        <w:t xml:space="preserve">following are the intermediate </w:t>
      </w:r>
      <w:r>
        <w:rPr>
          <w:rFonts w:eastAsia="Times New Roman" w:cs="Arial"/>
          <w:sz w:val="21"/>
          <w:szCs w:val="21"/>
          <w:lang w:val="en-AU" w:eastAsia="en-AU"/>
        </w:rPr>
        <w:t xml:space="preserve">objectives of the </w:t>
      </w:r>
      <w:r w:rsidR="001E4FEA">
        <w:rPr>
          <w:rFonts w:eastAsia="Times New Roman" w:cs="Arial"/>
          <w:sz w:val="21"/>
          <w:szCs w:val="21"/>
          <w:lang w:val="en-AU" w:eastAsia="en-AU"/>
        </w:rPr>
        <w:t>Support Unit for Gender Equality</w:t>
      </w:r>
      <w:r w:rsidR="00253680">
        <w:rPr>
          <w:rFonts w:eastAsia="Times New Roman" w:cs="Arial"/>
          <w:sz w:val="21"/>
          <w:szCs w:val="21"/>
          <w:lang w:val="en-AU" w:eastAsia="en-AU"/>
        </w:rPr>
        <w:t>:</w:t>
      </w:r>
    </w:p>
    <w:p w14:paraId="425DF447" w14:textId="08280A64" w:rsidR="00AF72C5" w:rsidRPr="0089068D" w:rsidRDefault="00AF72C5" w:rsidP="0085043B">
      <w:pPr>
        <w:pStyle w:val="ListParagraph"/>
        <w:numPr>
          <w:ilvl w:val="0"/>
          <w:numId w:val="15"/>
        </w:numPr>
        <w:tabs>
          <w:tab w:val="left" w:pos="284"/>
        </w:tabs>
        <w:suppressAutoHyphens w:val="0"/>
        <w:spacing w:before="0" w:line="280" w:lineRule="exact"/>
        <w:jc w:val="both"/>
        <w:rPr>
          <w:rFonts w:eastAsia="Times New Roman" w:cs="Arial"/>
          <w:sz w:val="21"/>
          <w:szCs w:val="21"/>
          <w:lang w:val="en-AU" w:eastAsia="en-AU"/>
        </w:rPr>
      </w:pPr>
      <w:r w:rsidRPr="0089068D">
        <w:rPr>
          <w:rFonts w:eastAsia="Times New Roman" w:cs="Arial"/>
          <w:sz w:val="21"/>
          <w:szCs w:val="21"/>
          <w:lang w:val="en-AU" w:eastAsia="en-AU"/>
        </w:rPr>
        <w:t xml:space="preserve">To provide </w:t>
      </w:r>
      <w:r w:rsidR="006B340E">
        <w:rPr>
          <w:rFonts w:eastAsia="Times New Roman" w:cs="Arial"/>
          <w:sz w:val="21"/>
          <w:szCs w:val="21"/>
          <w:lang w:val="en-AU" w:eastAsia="en-AU"/>
        </w:rPr>
        <w:t xml:space="preserve">the Gender Equality Branch with </w:t>
      </w:r>
      <w:r w:rsidRPr="0089068D">
        <w:rPr>
          <w:rFonts w:eastAsia="Times New Roman" w:cs="Arial"/>
          <w:sz w:val="21"/>
          <w:szCs w:val="21"/>
          <w:lang w:val="en-AU" w:eastAsia="en-AU"/>
        </w:rPr>
        <w:t>high quality and responsive technical assistance that supports and improves the quality and effectiveness of DFAT’s portfolio of existing investments</w:t>
      </w:r>
      <w:r w:rsidR="00832966">
        <w:rPr>
          <w:rFonts w:eastAsia="Times New Roman" w:cs="Arial"/>
          <w:sz w:val="21"/>
          <w:szCs w:val="21"/>
          <w:lang w:val="en-AU" w:eastAsia="en-AU"/>
        </w:rPr>
        <w:t xml:space="preserve"> and </w:t>
      </w:r>
      <w:r w:rsidRPr="0089068D">
        <w:rPr>
          <w:rFonts w:eastAsia="Times New Roman" w:cs="Arial"/>
          <w:sz w:val="21"/>
          <w:szCs w:val="21"/>
          <w:lang w:val="en-AU" w:eastAsia="en-AU"/>
        </w:rPr>
        <w:t>future programming</w:t>
      </w:r>
      <w:r w:rsidR="00AF2450">
        <w:rPr>
          <w:rFonts w:eastAsia="Times New Roman" w:cs="Arial"/>
          <w:sz w:val="21"/>
          <w:szCs w:val="21"/>
          <w:lang w:val="en-AU" w:eastAsia="en-AU"/>
        </w:rPr>
        <w:t xml:space="preserve"> that contributes to gender equality and women’s empowerment</w:t>
      </w:r>
      <w:r w:rsidRPr="0089068D">
        <w:rPr>
          <w:rFonts w:eastAsia="Times New Roman" w:cs="Arial"/>
          <w:sz w:val="21"/>
          <w:szCs w:val="21"/>
          <w:lang w:val="en-AU" w:eastAsia="en-AU"/>
        </w:rPr>
        <w:t xml:space="preserve"> </w:t>
      </w:r>
    </w:p>
    <w:p w14:paraId="29712874" w14:textId="08B2150A" w:rsidR="00AF72C5" w:rsidRDefault="00AF72C5" w:rsidP="0085043B">
      <w:pPr>
        <w:pStyle w:val="ListParagraph"/>
        <w:numPr>
          <w:ilvl w:val="0"/>
          <w:numId w:val="15"/>
        </w:numPr>
        <w:tabs>
          <w:tab w:val="left" w:pos="284"/>
        </w:tabs>
        <w:suppressAutoHyphens w:val="0"/>
        <w:spacing w:before="0" w:line="280" w:lineRule="exact"/>
        <w:jc w:val="both"/>
        <w:rPr>
          <w:rFonts w:eastAsia="Times New Roman" w:cs="Arial"/>
          <w:sz w:val="21"/>
          <w:szCs w:val="21"/>
          <w:lang w:val="en-AU" w:eastAsia="en-AU"/>
        </w:rPr>
      </w:pPr>
      <w:r w:rsidRPr="0089068D">
        <w:rPr>
          <w:rFonts w:eastAsia="Times New Roman" w:cs="Arial"/>
          <w:sz w:val="21"/>
          <w:szCs w:val="21"/>
          <w:lang w:val="en-AU" w:eastAsia="en-AU"/>
        </w:rPr>
        <w:t xml:space="preserve">To support </w:t>
      </w:r>
      <w:r w:rsidR="006B340E">
        <w:rPr>
          <w:rFonts w:eastAsia="Times New Roman" w:cs="Arial"/>
          <w:sz w:val="21"/>
          <w:szCs w:val="21"/>
          <w:lang w:val="en-AU" w:eastAsia="en-AU"/>
        </w:rPr>
        <w:t xml:space="preserve">the Gender Equality Branch with </w:t>
      </w:r>
      <w:r w:rsidRPr="0089068D">
        <w:rPr>
          <w:rFonts w:eastAsia="Times New Roman" w:cs="Arial"/>
          <w:sz w:val="21"/>
          <w:szCs w:val="21"/>
          <w:lang w:val="en-AU" w:eastAsia="en-AU"/>
        </w:rPr>
        <w:t xml:space="preserve">policy coherence and </w:t>
      </w:r>
      <w:r w:rsidR="008866C2">
        <w:rPr>
          <w:rFonts w:eastAsia="Times New Roman" w:cs="Arial"/>
          <w:sz w:val="21"/>
          <w:szCs w:val="21"/>
          <w:lang w:val="en-AU" w:eastAsia="en-AU"/>
        </w:rPr>
        <w:t xml:space="preserve">embed </w:t>
      </w:r>
      <w:r w:rsidRPr="0089068D">
        <w:rPr>
          <w:rFonts w:eastAsia="Times New Roman" w:cs="Arial"/>
          <w:sz w:val="21"/>
          <w:szCs w:val="21"/>
          <w:lang w:val="en-AU" w:eastAsia="en-AU"/>
        </w:rPr>
        <w:t>best practice on gender equality</w:t>
      </w:r>
      <w:r w:rsidR="00AF2450">
        <w:rPr>
          <w:rFonts w:eastAsia="Times New Roman" w:cs="Arial"/>
          <w:sz w:val="21"/>
          <w:szCs w:val="21"/>
          <w:lang w:val="en-AU" w:eastAsia="en-AU"/>
        </w:rPr>
        <w:t xml:space="preserve"> and women’s empowerment</w:t>
      </w:r>
      <w:r w:rsidRPr="0089068D">
        <w:rPr>
          <w:rFonts w:eastAsia="Times New Roman" w:cs="Arial"/>
          <w:sz w:val="21"/>
          <w:szCs w:val="21"/>
          <w:lang w:val="en-AU" w:eastAsia="en-AU"/>
        </w:rPr>
        <w:t xml:space="preserve"> across DFAT</w:t>
      </w:r>
      <w:r w:rsidR="008866C2">
        <w:rPr>
          <w:rFonts w:eastAsia="Times New Roman" w:cs="Arial"/>
          <w:sz w:val="21"/>
          <w:szCs w:val="21"/>
          <w:lang w:val="en-AU" w:eastAsia="en-AU"/>
        </w:rPr>
        <w:t>, underpinned by evidence</w:t>
      </w:r>
    </w:p>
    <w:p w14:paraId="2E76DECD" w14:textId="7E75B80F" w:rsidR="0089068D" w:rsidRDefault="00832966" w:rsidP="0085043B">
      <w:pPr>
        <w:pStyle w:val="ListParagraph"/>
        <w:numPr>
          <w:ilvl w:val="0"/>
          <w:numId w:val="15"/>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To </w:t>
      </w:r>
      <w:r w:rsidR="006B340E">
        <w:rPr>
          <w:rFonts w:eastAsia="Times New Roman" w:cs="Arial"/>
          <w:sz w:val="21"/>
          <w:szCs w:val="21"/>
          <w:lang w:val="en-AU" w:eastAsia="en-AU"/>
        </w:rPr>
        <w:t xml:space="preserve">support the Gender Equality Branch in </w:t>
      </w:r>
      <w:r w:rsidR="00AF2450">
        <w:rPr>
          <w:rFonts w:eastAsia="Times New Roman" w:cs="Arial"/>
          <w:sz w:val="21"/>
          <w:szCs w:val="21"/>
          <w:lang w:val="en-AU" w:eastAsia="en-AU"/>
        </w:rPr>
        <w:t>strengthen</w:t>
      </w:r>
      <w:r w:rsidR="006B340E">
        <w:rPr>
          <w:rFonts w:eastAsia="Times New Roman" w:cs="Arial"/>
          <w:sz w:val="21"/>
          <w:szCs w:val="21"/>
          <w:lang w:val="en-AU" w:eastAsia="en-AU"/>
        </w:rPr>
        <w:t>ing</w:t>
      </w:r>
      <w:r>
        <w:rPr>
          <w:rFonts w:eastAsia="Times New Roman" w:cs="Arial"/>
          <w:sz w:val="21"/>
          <w:szCs w:val="21"/>
          <w:lang w:val="en-AU" w:eastAsia="en-AU"/>
        </w:rPr>
        <w:t xml:space="preserve"> the capacity of </w:t>
      </w:r>
      <w:r w:rsidR="00AF2450">
        <w:rPr>
          <w:rFonts w:eastAsia="Times New Roman" w:cs="Arial"/>
          <w:sz w:val="21"/>
          <w:szCs w:val="21"/>
          <w:lang w:val="en-AU" w:eastAsia="en-AU"/>
        </w:rPr>
        <w:t>DFAT</w:t>
      </w:r>
      <w:r>
        <w:rPr>
          <w:rFonts w:eastAsia="Times New Roman" w:cs="Arial"/>
          <w:sz w:val="21"/>
          <w:szCs w:val="21"/>
          <w:lang w:val="en-AU" w:eastAsia="en-AU"/>
        </w:rPr>
        <w:t xml:space="preserve"> staff </w:t>
      </w:r>
      <w:r w:rsidR="008866C2">
        <w:rPr>
          <w:rFonts w:eastAsia="Times New Roman" w:cs="Arial"/>
          <w:sz w:val="21"/>
          <w:szCs w:val="21"/>
          <w:lang w:val="en-AU" w:eastAsia="en-AU"/>
        </w:rPr>
        <w:t xml:space="preserve">at practitioner and specialist level </w:t>
      </w:r>
      <w:r>
        <w:rPr>
          <w:rFonts w:eastAsia="Times New Roman" w:cs="Arial"/>
          <w:sz w:val="21"/>
          <w:szCs w:val="21"/>
          <w:lang w:val="en-AU" w:eastAsia="en-AU"/>
        </w:rPr>
        <w:t xml:space="preserve">in </w:t>
      </w:r>
      <w:r w:rsidR="00AF2450">
        <w:rPr>
          <w:rFonts w:eastAsia="Times New Roman" w:cs="Arial"/>
          <w:sz w:val="21"/>
          <w:szCs w:val="21"/>
          <w:lang w:val="en-AU" w:eastAsia="en-AU"/>
        </w:rPr>
        <w:t xml:space="preserve">promoting </w:t>
      </w:r>
      <w:r>
        <w:rPr>
          <w:rFonts w:eastAsia="Times New Roman" w:cs="Arial"/>
          <w:sz w:val="21"/>
          <w:szCs w:val="21"/>
          <w:lang w:val="en-AU" w:eastAsia="en-AU"/>
        </w:rPr>
        <w:t>gender equality</w:t>
      </w:r>
      <w:r w:rsidR="00AF2450">
        <w:rPr>
          <w:rFonts w:eastAsia="Times New Roman" w:cs="Arial"/>
          <w:sz w:val="21"/>
          <w:szCs w:val="21"/>
          <w:lang w:val="en-AU" w:eastAsia="en-AU"/>
        </w:rPr>
        <w:t xml:space="preserve"> and women’s empowerment</w:t>
      </w:r>
      <w:r w:rsidR="006769F5">
        <w:rPr>
          <w:rFonts w:eastAsia="Times New Roman" w:cs="Arial"/>
          <w:sz w:val="21"/>
          <w:szCs w:val="21"/>
          <w:lang w:val="en-AU" w:eastAsia="en-AU"/>
        </w:rPr>
        <w:t xml:space="preserve"> (in close collaboration with the Diplomatic Academy)</w:t>
      </w:r>
      <w:r w:rsidR="00AF2450">
        <w:rPr>
          <w:rFonts w:eastAsia="Times New Roman" w:cs="Arial"/>
          <w:sz w:val="21"/>
          <w:szCs w:val="21"/>
          <w:lang w:val="en-AU" w:eastAsia="en-AU"/>
        </w:rPr>
        <w:t xml:space="preserve">. </w:t>
      </w:r>
      <w:r>
        <w:rPr>
          <w:rFonts w:eastAsia="Times New Roman" w:cs="Arial"/>
          <w:sz w:val="21"/>
          <w:szCs w:val="21"/>
          <w:lang w:val="en-AU" w:eastAsia="en-AU"/>
        </w:rPr>
        <w:t xml:space="preserve"> </w:t>
      </w:r>
    </w:p>
    <w:p w14:paraId="579E82E4" w14:textId="77777777" w:rsidR="00953E53" w:rsidRPr="00953E53" w:rsidRDefault="00953E53" w:rsidP="00953E53">
      <w:pPr>
        <w:pStyle w:val="ListParagraph"/>
        <w:tabs>
          <w:tab w:val="left" w:pos="284"/>
        </w:tabs>
        <w:suppressAutoHyphens w:val="0"/>
        <w:spacing w:before="0" w:line="280" w:lineRule="exact"/>
        <w:jc w:val="both"/>
        <w:rPr>
          <w:rFonts w:eastAsia="Times New Roman" w:cs="Arial"/>
          <w:sz w:val="21"/>
          <w:szCs w:val="21"/>
          <w:lang w:val="en-AU" w:eastAsia="en-AU"/>
        </w:rPr>
      </w:pPr>
    </w:p>
    <w:p w14:paraId="78046F0B" w14:textId="3889547D" w:rsidR="00835BA7" w:rsidRPr="0053749A" w:rsidRDefault="000B41BD" w:rsidP="0085043B">
      <w:pPr>
        <w:tabs>
          <w:tab w:val="left" w:pos="284"/>
        </w:tabs>
        <w:suppressAutoHyphens w:val="0"/>
        <w:spacing w:before="0" w:line="280" w:lineRule="exact"/>
        <w:jc w:val="both"/>
        <w:rPr>
          <w:rFonts w:eastAsia="Times New Roman" w:cs="Arial"/>
          <w:sz w:val="21"/>
          <w:szCs w:val="21"/>
          <w:lang w:eastAsia="en-AU"/>
        </w:rPr>
      </w:pPr>
      <w:r>
        <w:rPr>
          <w:rFonts w:eastAsia="Times New Roman" w:cs="Arial"/>
          <w:sz w:val="21"/>
          <w:szCs w:val="21"/>
          <w:lang w:eastAsia="en-AU"/>
        </w:rPr>
        <w:t xml:space="preserve">The Support Unit will deliver the following functions, which will </w:t>
      </w:r>
      <w:r w:rsidR="006B340E">
        <w:rPr>
          <w:rFonts w:eastAsia="Times New Roman" w:cs="Arial"/>
          <w:sz w:val="21"/>
          <w:szCs w:val="21"/>
          <w:lang w:eastAsia="en-AU"/>
        </w:rPr>
        <w:t>help step up</w:t>
      </w:r>
      <w:r>
        <w:rPr>
          <w:rFonts w:eastAsia="Times New Roman" w:cs="Arial"/>
          <w:sz w:val="21"/>
          <w:szCs w:val="21"/>
          <w:lang w:eastAsia="en-AU"/>
        </w:rPr>
        <w:t xml:space="preserve"> </w:t>
      </w:r>
      <w:r w:rsidR="00253680">
        <w:rPr>
          <w:rFonts w:eastAsia="Times New Roman" w:cs="Arial"/>
          <w:sz w:val="21"/>
          <w:szCs w:val="21"/>
          <w:lang w:eastAsia="en-AU"/>
        </w:rPr>
        <w:t xml:space="preserve">in an efficient manner the </w:t>
      </w:r>
      <w:r>
        <w:rPr>
          <w:rFonts w:eastAsia="Times New Roman" w:cs="Arial"/>
          <w:sz w:val="21"/>
          <w:szCs w:val="21"/>
          <w:lang w:eastAsia="en-AU"/>
        </w:rPr>
        <w:t>delivery of technical assistance</w:t>
      </w:r>
      <w:r w:rsidR="006769F5">
        <w:rPr>
          <w:rFonts w:eastAsia="Times New Roman" w:cs="Arial"/>
          <w:sz w:val="21"/>
          <w:szCs w:val="21"/>
          <w:lang w:eastAsia="en-AU"/>
        </w:rPr>
        <w:t>, with focus on items 1-3 and</w:t>
      </w:r>
      <w:r w:rsidR="005C1B50">
        <w:rPr>
          <w:rFonts w:eastAsia="Times New Roman" w:cs="Arial"/>
          <w:sz w:val="21"/>
          <w:szCs w:val="21"/>
          <w:lang w:eastAsia="en-AU"/>
        </w:rPr>
        <w:t xml:space="preserve">, </w:t>
      </w:r>
      <w:bookmarkStart w:id="5" w:name="_Hlk86159738"/>
      <w:r w:rsidR="00C47F1C" w:rsidRPr="00B81B81">
        <w:rPr>
          <w:rFonts w:eastAsia="Times New Roman" w:cs="Arial"/>
          <w:sz w:val="21"/>
          <w:szCs w:val="21"/>
          <w:lang w:eastAsia="en-AU"/>
        </w:rPr>
        <w:t xml:space="preserve">depending on </w:t>
      </w:r>
      <w:r w:rsidR="00B81B81" w:rsidRPr="00B81B81">
        <w:rPr>
          <w:rFonts w:eastAsia="Times New Roman" w:cs="Arial"/>
          <w:sz w:val="21"/>
          <w:szCs w:val="21"/>
          <w:lang w:eastAsia="en-AU"/>
        </w:rPr>
        <w:t>program effectiveness</w:t>
      </w:r>
      <w:bookmarkEnd w:id="5"/>
      <w:r w:rsidR="005C1B50">
        <w:rPr>
          <w:rFonts w:eastAsia="Times New Roman" w:cs="Arial"/>
          <w:sz w:val="21"/>
          <w:szCs w:val="21"/>
          <w:lang w:eastAsia="en-AU"/>
        </w:rPr>
        <w:t>,</w:t>
      </w:r>
      <w:r w:rsidR="006769F5">
        <w:rPr>
          <w:rFonts w:eastAsia="Times New Roman" w:cs="Arial"/>
          <w:sz w:val="21"/>
          <w:szCs w:val="21"/>
          <w:lang w:eastAsia="en-AU"/>
        </w:rPr>
        <w:t xml:space="preserve"> expanding gradually to cover item</w:t>
      </w:r>
      <w:r w:rsidR="004A7A9D">
        <w:rPr>
          <w:rFonts w:eastAsia="Times New Roman" w:cs="Arial"/>
          <w:sz w:val="21"/>
          <w:szCs w:val="21"/>
          <w:lang w:eastAsia="en-AU"/>
        </w:rPr>
        <w:t>s</w:t>
      </w:r>
      <w:r w:rsidR="006769F5">
        <w:rPr>
          <w:rFonts w:eastAsia="Times New Roman" w:cs="Arial"/>
          <w:sz w:val="21"/>
          <w:szCs w:val="21"/>
          <w:lang w:eastAsia="en-AU"/>
        </w:rPr>
        <w:t xml:space="preserve"> 4</w:t>
      </w:r>
      <w:r w:rsidR="004A7A9D">
        <w:rPr>
          <w:rFonts w:eastAsia="Times New Roman" w:cs="Arial"/>
          <w:sz w:val="21"/>
          <w:szCs w:val="21"/>
          <w:lang w:eastAsia="en-AU"/>
        </w:rPr>
        <w:t xml:space="preserve"> and 5</w:t>
      </w:r>
      <w:r w:rsidR="00AF72C5" w:rsidRPr="0053749A">
        <w:rPr>
          <w:rFonts w:eastAsia="Times New Roman" w:cs="Arial"/>
          <w:sz w:val="21"/>
          <w:szCs w:val="21"/>
          <w:lang w:eastAsia="en-AU"/>
        </w:rPr>
        <w:t>:</w:t>
      </w:r>
    </w:p>
    <w:p w14:paraId="5A62331E" w14:textId="40E6FFB2" w:rsidR="00AF72C5" w:rsidRPr="0053749A" w:rsidRDefault="00AF72C5" w:rsidP="0085043B">
      <w:pPr>
        <w:numPr>
          <w:ilvl w:val="0"/>
          <w:numId w:val="13"/>
        </w:numPr>
        <w:tabs>
          <w:tab w:val="left" w:pos="284"/>
        </w:tabs>
        <w:suppressAutoHyphens w:val="0"/>
        <w:spacing w:before="0" w:after="0" w:line="280" w:lineRule="exact"/>
        <w:jc w:val="both"/>
        <w:rPr>
          <w:rFonts w:eastAsia="Times New Roman" w:cs="Arial"/>
          <w:b/>
          <w:bCs/>
          <w:sz w:val="21"/>
          <w:szCs w:val="21"/>
          <w:lang w:eastAsia="en-AU"/>
        </w:rPr>
      </w:pPr>
      <w:r w:rsidRPr="0053749A">
        <w:rPr>
          <w:rFonts w:eastAsia="Times New Roman" w:cs="Arial"/>
          <w:b/>
          <w:bCs/>
          <w:sz w:val="21"/>
          <w:szCs w:val="21"/>
          <w:lang w:eastAsia="en-AU"/>
        </w:rPr>
        <w:t xml:space="preserve">Sourcing and mobilising gender technical expertise </w:t>
      </w:r>
    </w:p>
    <w:p w14:paraId="044FF638" w14:textId="78EC1425" w:rsidR="00AF72C5" w:rsidRPr="0053749A" w:rsidRDefault="00F70F68"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 xml:space="preserve">Identification, </w:t>
      </w:r>
      <w:proofErr w:type="gramStart"/>
      <w:r>
        <w:rPr>
          <w:rFonts w:eastAsia="Times New Roman" w:cs="Arial"/>
          <w:sz w:val="21"/>
          <w:szCs w:val="21"/>
          <w:lang w:eastAsia="en-AU"/>
        </w:rPr>
        <w:t>recruitment</w:t>
      </w:r>
      <w:proofErr w:type="gramEnd"/>
      <w:r>
        <w:rPr>
          <w:rFonts w:eastAsia="Times New Roman" w:cs="Arial"/>
          <w:sz w:val="21"/>
          <w:szCs w:val="21"/>
          <w:lang w:eastAsia="en-AU"/>
        </w:rPr>
        <w:t xml:space="preserve"> and management </w:t>
      </w:r>
      <w:r w:rsidR="00717707">
        <w:rPr>
          <w:rFonts w:eastAsia="Times New Roman" w:cs="Arial"/>
          <w:sz w:val="21"/>
          <w:szCs w:val="21"/>
          <w:lang w:eastAsia="en-AU"/>
        </w:rPr>
        <w:t xml:space="preserve">of </w:t>
      </w:r>
      <w:r w:rsidR="00AF72C5" w:rsidRPr="0053749A">
        <w:rPr>
          <w:rFonts w:eastAsia="Times New Roman" w:cs="Arial"/>
          <w:sz w:val="21"/>
          <w:szCs w:val="21"/>
          <w:lang w:eastAsia="en-AU"/>
        </w:rPr>
        <w:t>pre-qualifi</w:t>
      </w:r>
      <w:r w:rsidR="00763485">
        <w:rPr>
          <w:rFonts w:eastAsia="Times New Roman" w:cs="Arial"/>
          <w:sz w:val="21"/>
          <w:szCs w:val="21"/>
          <w:lang w:eastAsia="en-AU"/>
        </w:rPr>
        <w:t>ed</w:t>
      </w:r>
      <w:r w:rsidR="00AF72C5" w:rsidRPr="0053749A">
        <w:rPr>
          <w:rFonts w:eastAsia="Times New Roman" w:cs="Arial"/>
          <w:sz w:val="21"/>
          <w:szCs w:val="21"/>
          <w:lang w:eastAsia="en-AU"/>
        </w:rPr>
        <w:t xml:space="preserve"> consultants</w:t>
      </w:r>
      <w:r>
        <w:rPr>
          <w:rFonts w:eastAsia="Times New Roman" w:cs="Arial"/>
          <w:sz w:val="21"/>
          <w:szCs w:val="21"/>
          <w:lang w:eastAsia="en-AU"/>
        </w:rPr>
        <w:t xml:space="preserve">, </w:t>
      </w:r>
      <w:r w:rsidR="000B41BD">
        <w:rPr>
          <w:rFonts w:eastAsia="Times New Roman" w:cs="Arial"/>
          <w:sz w:val="21"/>
          <w:szCs w:val="21"/>
          <w:lang w:eastAsia="en-AU"/>
        </w:rPr>
        <w:t xml:space="preserve">with </w:t>
      </w:r>
    </w:p>
    <w:p w14:paraId="0AA5808A" w14:textId="17AC2F4B" w:rsidR="00AF72C5" w:rsidRPr="0053749A" w:rsidRDefault="00AF72C5" w:rsidP="006B6FDF">
      <w:pPr>
        <w:numPr>
          <w:ilvl w:val="1"/>
          <w:numId w:val="16"/>
        </w:numPr>
        <w:tabs>
          <w:tab w:val="left" w:pos="284"/>
        </w:tabs>
        <w:suppressAutoHyphens w:val="0"/>
        <w:spacing w:before="0" w:after="0" w:line="280" w:lineRule="exact"/>
        <w:rPr>
          <w:rFonts w:eastAsia="Times New Roman" w:cs="Arial"/>
          <w:sz w:val="21"/>
          <w:szCs w:val="21"/>
          <w:lang w:eastAsia="en-AU"/>
        </w:rPr>
      </w:pPr>
      <w:r w:rsidRPr="0053749A">
        <w:rPr>
          <w:rFonts w:eastAsia="Times New Roman" w:cs="Arial"/>
          <w:sz w:val="21"/>
          <w:szCs w:val="21"/>
          <w:lang w:eastAsia="en-AU"/>
        </w:rPr>
        <w:t xml:space="preserve">a range of sub-specialities </w:t>
      </w:r>
    </w:p>
    <w:p w14:paraId="0A40D879" w14:textId="0C28EC3C" w:rsidR="00AF72C5" w:rsidRDefault="00AF72C5" w:rsidP="0085043B">
      <w:pPr>
        <w:numPr>
          <w:ilvl w:val="1"/>
          <w:numId w:val="16"/>
        </w:numPr>
        <w:tabs>
          <w:tab w:val="left" w:pos="284"/>
        </w:tabs>
        <w:suppressAutoHyphens w:val="0"/>
        <w:spacing w:before="0" w:after="0" w:line="280" w:lineRule="exact"/>
        <w:jc w:val="both"/>
        <w:rPr>
          <w:rFonts w:eastAsia="Times New Roman" w:cs="Arial"/>
          <w:sz w:val="21"/>
          <w:szCs w:val="21"/>
          <w:lang w:eastAsia="en-AU"/>
        </w:rPr>
      </w:pPr>
      <w:r w:rsidRPr="0053749A">
        <w:rPr>
          <w:rFonts w:eastAsia="Times New Roman" w:cs="Arial"/>
          <w:sz w:val="21"/>
          <w:szCs w:val="21"/>
          <w:lang w:eastAsia="en-AU"/>
        </w:rPr>
        <w:t>ability to provide both short</w:t>
      </w:r>
      <w:r w:rsidR="009875A2">
        <w:rPr>
          <w:rFonts w:eastAsia="Times New Roman" w:cs="Arial"/>
          <w:sz w:val="21"/>
          <w:szCs w:val="21"/>
          <w:lang w:eastAsia="en-AU"/>
        </w:rPr>
        <w:t>-</w:t>
      </w:r>
      <w:r w:rsidRPr="0053749A">
        <w:rPr>
          <w:rFonts w:eastAsia="Times New Roman" w:cs="Arial"/>
          <w:sz w:val="21"/>
          <w:szCs w:val="21"/>
          <w:lang w:eastAsia="en-AU"/>
        </w:rPr>
        <w:t xml:space="preserve">term </w:t>
      </w:r>
      <w:r w:rsidR="00F70F68">
        <w:rPr>
          <w:rFonts w:eastAsia="Times New Roman" w:cs="Arial"/>
          <w:sz w:val="21"/>
          <w:szCs w:val="21"/>
          <w:lang w:eastAsia="en-AU"/>
        </w:rPr>
        <w:t xml:space="preserve">(&lt;6 months) </w:t>
      </w:r>
      <w:r w:rsidRPr="0053749A">
        <w:rPr>
          <w:rFonts w:eastAsia="Times New Roman" w:cs="Arial"/>
          <w:sz w:val="21"/>
          <w:szCs w:val="21"/>
          <w:lang w:eastAsia="en-AU"/>
        </w:rPr>
        <w:t>and long</w:t>
      </w:r>
      <w:r w:rsidR="009875A2">
        <w:rPr>
          <w:rFonts w:eastAsia="Times New Roman" w:cs="Arial"/>
          <w:sz w:val="21"/>
          <w:szCs w:val="21"/>
          <w:lang w:eastAsia="en-AU"/>
        </w:rPr>
        <w:t>-</w:t>
      </w:r>
      <w:r w:rsidRPr="0053749A">
        <w:rPr>
          <w:rFonts w:eastAsia="Times New Roman" w:cs="Arial"/>
          <w:sz w:val="21"/>
          <w:szCs w:val="21"/>
          <w:lang w:eastAsia="en-AU"/>
        </w:rPr>
        <w:t xml:space="preserve">term </w:t>
      </w:r>
      <w:r w:rsidR="00F70F68">
        <w:rPr>
          <w:rFonts w:eastAsia="Times New Roman" w:cs="Arial"/>
          <w:sz w:val="21"/>
          <w:szCs w:val="21"/>
          <w:lang w:eastAsia="en-AU"/>
        </w:rPr>
        <w:t xml:space="preserve">(&gt;6 months) </w:t>
      </w:r>
      <w:r w:rsidR="00B276CE">
        <w:rPr>
          <w:rFonts w:eastAsia="Times New Roman" w:cs="Arial"/>
          <w:sz w:val="21"/>
          <w:szCs w:val="21"/>
          <w:lang w:eastAsia="en-AU"/>
        </w:rPr>
        <w:t>technical assistance</w:t>
      </w:r>
      <w:r w:rsidR="006769F5">
        <w:rPr>
          <w:rFonts w:eastAsia="Times New Roman" w:cs="Arial"/>
          <w:sz w:val="21"/>
          <w:szCs w:val="21"/>
          <w:lang w:eastAsia="en-AU"/>
        </w:rPr>
        <w:t xml:space="preserve">, </w:t>
      </w:r>
      <w:r w:rsidR="00F70F68" w:rsidRPr="005C1B50">
        <w:rPr>
          <w:rFonts w:eastAsia="Times New Roman" w:cs="Arial"/>
          <w:sz w:val="21"/>
          <w:szCs w:val="21"/>
          <w:lang w:eastAsia="en-AU"/>
        </w:rPr>
        <w:t>in Canberra as well as overseas,</w:t>
      </w:r>
      <w:r w:rsidR="00F70F68">
        <w:rPr>
          <w:rFonts w:eastAsia="Times New Roman" w:cs="Arial"/>
          <w:sz w:val="21"/>
          <w:szCs w:val="21"/>
          <w:lang w:eastAsia="en-AU"/>
        </w:rPr>
        <w:t xml:space="preserve"> </w:t>
      </w:r>
      <w:r w:rsidR="006769F5">
        <w:rPr>
          <w:rFonts w:eastAsia="Times New Roman" w:cs="Arial"/>
          <w:sz w:val="21"/>
          <w:szCs w:val="21"/>
          <w:lang w:eastAsia="en-AU"/>
        </w:rPr>
        <w:t>with the option of specialists visiting or sitting in GEB’s office in Canberra if security clearances allow for this</w:t>
      </w:r>
    </w:p>
    <w:p w14:paraId="4CB570B3" w14:textId="03D13223" w:rsidR="009875A2" w:rsidRPr="0053749A" w:rsidRDefault="009875A2" w:rsidP="0085043B">
      <w:pPr>
        <w:numPr>
          <w:ilvl w:val="1"/>
          <w:numId w:val="16"/>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in-built quality control mechanisms</w:t>
      </w:r>
    </w:p>
    <w:p w14:paraId="1E9715BD" w14:textId="77777777" w:rsidR="00AF72C5" w:rsidRPr="0053749A" w:rsidRDefault="00AF72C5" w:rsidP="0085043B">
      <w:pPr>
        <w:tabs>
          <w:tab w:val="left" w:pos="284"/>
        </w:tabs>
        <w:suppressAutoHyphens w:val="0"/>
        <w:spacing w:before="0" w:after="0" w:line="280" w:lineRule="exact"/>
        <w:ind w:left="-1080"/>
        <w:jc w:val="both"/>
        <w:rPr>
          <w:rFonts w:eastAsia="Times New Roman" w:cs="Arial"/>
          <w:sz w:val="21"/>
          <w:szCs w:val="21"/>
          <w:lang w:eastAsia="en-AU"/>
        </w:rPr>
      </w:pPr>
    </w:p>
    <w:p w14:paraId="2529A783" w14:textId="7436BCF6" w:rsidR="00AF72C5" w:rsidRPr="0053749A" w:rsidRDefault="00AF72C5" w:rsidP="0085043B">
      <w:pPr>
        <w:numPr>
          <w:ilvl w:val="0"/>
          <w:numId w:val="13"/>
        </w:numPr>
        <w:tabs>
          <w:tab w:val="left" w:pos="284"/>
        </w:tabs>
        <w:suppressAutoHyphens w:val="0"/>
        <w:spacing w:before="0" w:after="0" w:line="280" w:lineRule="exact"/>
        <w:jc w:val="both"/>
        <w:rPr>
          <w:rFonts w:eastAsia="Times New Roman" w:cs="Arial"/>
          <w:b/>
          <w:bCs/>
          <w:sz w:val="21"/>
          <w:szCs w:val="21"/>
          <w:lang w:eastAsia="en-AU"/>
        </w:rPr>
      </w:pPr>
      <w:r w:rsidRPr="0053749A">
        <w:rPr>
          <w:rFonts w:eastAsia="Times New Roman" w:cs="Arial"/>
          <w:b/>
          <w:bCs/>
          <w:sz w:val="21"/>
          <w:szCs w:val="21"/>
          <w:lang w:eastAsia="en-AU"/>
        </w:rPr>
        <w:t xml:space="preserve">A </w:t>
      </w:r>
      <w:r w:rsidR="00B276CE" w:rsidRPr="00B276CE">
        <w:rPr>
          <w:rFonts w:eastAsia="Times New Roman" w:cs="Arial"/>
          <w:b/>
          <w:bCs/>
          <w:sz w:val="21"/>
          <w:szCs w:val="21"/>
          <w:lang w:eastAsia="en-AU"/>
        </w:rPr>
        <w:t>help-</w:t>
      </w:r>
      <w:r w:rsidRPr="0053749A">
        <w:rPr>
          <w:rFonts w:eastAsia="Times New Roman" w:cs="Arial"/>
          <w:b/>
          <w:bCs/>
          <w:sz w:val="21"/>
          <w:szCs w:val="21"/>
          <w:lang w:eastAsia="en-AU"/>
        </w:rPr>
        <w:t xml:space="preserve">desk knowledge request service </w:t>
      </w:r>
    </w:p>
    <w:p w14:paraId="7C60C9B3" w14:textId="72FC1A6E" w:rsidR="00B276CE" w:rsidRDefault="00B276CE" w:rsidP="0085043B">
      <w:pPr>
        <w:pStyle w:val="ListParagraph"/>
        <w:numPr>
          <w:ilvl w:val="0"/>
          <w:numId w:val="17"/>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Access directly by all DFAT staff</w:t>
      </w:r>
    </w:p>
    <w:p w14:paraId="4C8EF1E9" w14:textId="455307A7" w:rsidR="00F70F68" w:rsidRDefault="00F70F68" w:rsidP="0085043B">
      <w:pPr>
        <w:pStyle w:val="ListParagraph"/>
        <w:numPr>
          <w:ilvl w:val="0"/>
          <w:numId w:val="17"/>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Rapid request brief analytical pieces</w:t>
      </w:r>
    </w:p>
    <w:p w14:paraId="4D6AAFCF" w14:textId="6604B33D" w:rsidR="00AF72C5" w:rsidRDefault="00F70F68" w:rsidP="0085043B">
      <w:pPr>
        <w:pStyle w:val="ListParagraph"/>
        <w:numPr>
          <w:ilvl w:val="0"/>
          <w:numId w:val="17"/>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lastRenderedPageBreak/>
        <w:t>Longer-term a</w:t>
      </w:r>
      <w:r w:rsidR="00B276CE" w:rsidRPr="00B276CE">
        <w:rPr>
          <w:rFonts w:eastAsia="Times New Roman" w:cs="Arial"/>
          <w:sz w:val="21"/>
          <w:szCs w:val="21"/>
          <w:lang w:eastAsia="en-AU"/>
        </w:rPr>
        <w:t>nalytical reviews and synthesis</w:t>
      </w:r>
      <w:r w:rsidR="00B276CE">
        <w:rPr>
          <w:rFonts w:eastAsia="Times New Roman" w:cs="Arial"/>
          <w:sz w:val="21"/>
          <w:szCs w:val="21"/>
          <w:lang w:eastAsia="en-AU"/>
        </w:rPr>
        <w:t xml:space="preserve"> – country-specific and international -</w:t>
      </w:r>
      <w:r w:rsidR="00B276CE" w:rsidRPr="00B276CE">
        <w:rPr>
          <w:rFonts w:eastAsia="Times New Roman" w:cs="Arial"/>
          <w:sz w:val="21"/>
          <w:szCs w:val="21"/>
          <w:lang w:eastAsia="en-AU"/>
        </w:rPr>
        <w:t xml:space="preserve"> drawing on global best practice and lessons learned</w:t>
      </w:r>
    </w:p>
    <w:p w14:paraId="272B45C7" w14:textId="77777777" w:rsidR="00B276CE" w:rsidRPr="00B276CE" w:rsidRDefault="00B276CE" w:rsidP="0085043B">
      <w:pPr>
        <w:tabs>
          <w:tab w:val="left" w:pos="284"/>
        </w:tabs>
        <w:suppressAutoHyphens w:val="0"/>
        <w:spacing w:before="0" w:after="0" w:line="280" w:lineRule="exact"/>
        <w:jc w:val="both"/>
        <w:rPr>
          <w:rFonts w:eastAsia="Times New Roman" w:cs="Arial"/>
          <w:sz w:val="21"/>
          <w:szCs w:val="21"/>
          <w:lang w:eastAsia="en-AU"/>
        </w:rPr>
      </w:pPr>
    </w:p>
    <w:p w14:paraId="10E7684D" w14:textId="347BE758" w:rsidR="00AF72C5" w:rsidRPr="0053749A" w:rsidRDefault="00AF72C5" w:rsidP="0085043B">
      <w:pPr>
        <w:numPr>
          <w:ilvl w:val="0"/>
          <w:numId w:val="13"/>
        </w:numPr>
        <w:tabs>
          <w:tab w:val="left" w:pos="284"/>
        </w:tabs>
        <w:suppressAutoHyphens w:val="0"/>
        <w:spacing w:before="0" w:after="0" w:line="280" w:lineRule="exact"/>
        <w:jc w:val="both"/>
        <w:rPr>
          <w:rFonts w:eastAsia="Times New Roman" w:cs="Arial"/>
          <w:b/>
          <w:bCs/>
          <w:sz w:val="21"/>
          <w:szCs w:val="21"/>
          <w:lang w:eastAsia="en-AU"/>
        </w:rPr>
      </w:pPr>
      <w:r w:rsidRPr="0053749A">
        <w:rPr>
          <w:rFonts w:eastAsia="Times New Roman" w:cs="Arial"/>
          <w:b/>
          <w:bCs/>
          <w:sz w:val="21"/>
          <w:szCs w:val="21"/>
          <w:lang w:eastAsia="en-AU"/>
        </w:rPr>
        <w:t xml:space="preserve">Knowledge management </w:t>
      </w:r>
      <w:r w:rsidR="008866C2">
        <w:rPr>
          <w:rFonts w:eastAsia="Times New Roman" w:cs="Arial"/>
          <w:b/>
          <w:bCs/>
          <w:sz w:val="21"/>
          <w:szCs w:val="21"/>
          <w:lang w:eastAsia="en-AU"/>
        </w:rPr>
        <w:t>/evidence generation and learning uptake</w:t>
      </w:r>
    </w:p>
    <w:p w14:paraId="18990C1F" w14:textId="49E0E729" w:rsidR="00AF72C5" w:rsidRDefault="00DC11E3"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C</w:t>
      </w:r>
      <w:r w:rsidR="00AF72C5" w:rsidRPr="0053749A">
        <w:rPr>
          <w:rFonts w:eastAsia="Times New Roman" w:cs="Arial"/>
          <w:sz w:val="21"/>
          <w:szCs w:val="21"/>
          <w:lang w:eastAsia="en-AU"/>
        </w:rPr>
        <w:t xml:space="preserve">ross-program </w:t>
      </w:r>
      <w:r w:rsidR="008866C2">
        <w:rPr>
          <w:rFonts w:eastAsia="Times New Roman" w:cs="Arial"/>
          <w:sz w:val="21"/>
          <w:szCs w:val="21"/>
          <w:lang w:eastAsia="en-AU"/>
        </w:rPr>
        <w:t xml:space="preserve">and cross-sector/thematic </w:t>
      </w:r>
      <w:r w:rsidR="00AF72C5" w:rsidRPr="0053749A">
        <w:rPr>
          <w:rFonts w:eastAsia="Times New Roman" w:cs="Arial"/>
          <w:sz w:val="21"/>
          <w:szCs w:val="21"/>
          <w:lang w:eastAsia="en-AU"/>
        </w:rPr>
        <w:t>analysis (periodic meta-analyses) and support for M&amp;E</w:t>
      </w:r>
    </w:p>
    <w:p w14:paraId="0CF7DAEC" w14:textId="25CCFB06" w:rsidR="000B41BD" w:rsidRPr="0053749A" w:rsidRDefault="00DC11E3"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S</w:t>
      </w:r>
      <w:r w:rsidR="000B41BD">
        <w:rPr>
          <w:rFonts w:eastAsia="Times New Roman" w:cs="Arial"/>
          <w:sz w:val="21"/>
          <w:szCs w:val="21"/>
          <w:lang w:eastAsia="en-AU"/>
        </w:rPr>
        <w:t>ynthesis of good practice and lessons learnt</w:t>
      </w:r>
      <w:r w:rsidR="00B11BC5">
        <w:rPr>
          <w:rFonts w:eastAsia="Times New Roman" w:cs="Arial"/>
          <w:sz w:val="21"/>
          <w:szCs w:val="21"/>
          <w:lang w:eastAsia="en-AU"/>
        </w:rPr>
        <w:t>, including other donor practices</w:t>
      </w:r>
      <w:r w:rsidR="00DC6A04">
        <w:rPr>
          <w:rFonts w:eastAsia="Times New Roman" w:cs="Arial"/>
          <w:sz w:val="21"/>
          <w:szCs w:val="21"/>
          <w:lang w:eastAsia="en-AU"/>
        </w:rPr>
        <w:t>, with a view to improving baseline expectations for effectively addressing gender equality in sectors</w:t>
      </w:r>
      <w:r w:rsidR="0030220F">
        <w:rPr>
          <w:rFonts w:eastAsia="Times New Roman" w:cs="Arial"/>
          <w:sz w:val="21"/>
          <w:szCs w:val="21"/>
          <w:lang w:eastAsia="en-AU"/>
        </w:rPr>
        <w:t>, preserving programmatic learning,</w:t>
      </w:r>
      <w:r w:rsidR="00DC6A04">
        <w:rPr>
          <w:rFonts w:eastAsia="Times New Roman" w:cs="Arial"/>
          <w:sz w:val="21"/>
          <w:szCs w:val="21"/>
          <w:lang w:eastAsia="en-AU"/>
        </w:rPr>
        <w:t xml:space="preserve"> and deepening focus on social norms change and transformative interventions</w:t>
      </w:r>
    </w:p>
    <w:p w14:paraId="0B70C852" w14:textId="419E668F" w:rsidR="008866C2" w:rsidRDefault="00DC11E3"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T</w:t>
      </w:r>
      <w:r w:rsidR="00AF72C5" w:rsidRPr="0053749A">
        <w:rPr>
          <w:rFonts w:eastAsia="Times New Roman" w:cs="Arial"/>
          <w:sz w:val="21"/>
          <w:szCs w:val="21"/>
          <w:lang w:eastAsia="en-AU"/>
        </w:rPr>
        <w:t>opic specific guid</w:t>
      </w:r>
      <w:r w:rsidR="009875A2">
        <w:rPr>
          <w:rFonts w:eastAsia="Times New Roman" w:cs="Arial"/>
          <w:sz w:val="21"/>
          <w:szCs w:val="21"/>
          <w:lang w:eastAsia="en-AU"/>
        </w:rPr>
        <w:t>ance</w:t>
      </w:r>
    </w:p>
    <w:p w14:paraId="00C1AC89" w14:textId="2107ECF0" w:rsidR="008866C2" w:rsidRPr="0053749A" w:rsidRDefault="008866C2"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proofErr w:type="gramStart"/>
      <w:r>
        <w:rPr>
          <w:rFonts w:eastAsia="Times New Roman" w:cs="Arial"/>
          <w:sz w:val="21"/>
          <w:szCs w:val="21"/>
          <w:lang w:eastAsia="en-AU"/>
        </w:rPr>
        <w:t>Identifying gender equality ‘</w:t>
      </w:r>
      <w:r w:rsidRPr="00B82779">
        <w:rPr>
          <w:rFonts w:eastAsia="Times New Roman" w:cs="Arial"/>
          <w:sz w:val="21"/>
          <w:szCs w:val="21"/>
          <w:lang w:eastAsia="en-AU"/>
        </w:rPr>
        <w:t>trailblazer</w:t>
      </w:r>
      <w:r>
        <w:rPr>
          <w:rFonts w:eastAsia="Times New Roman" w:cs="Arial"/>
          <w:sz w:val="21"/>
          <w:szCs w:val="21"/>
          <w:lang w:eastAsia="en-AU"/>
        </w:rPr>
        <w:t>’</w:t>
      </w:r>
      <w:r w:rsidRPr="00B82779">
        <w:rPr>
          <w:rFonts w:eastAsia="Times New Roman" w:cs="Arial"/>
          <w:sz w:val="21"/>
          <w:szCs w:val="21"/>
          <w:lang w:eastAsia="en-AU"/>
        </w:rPr>
        <w:t xml:space="preserve"> </w:t>
      </w:r>
      <w:r>
        <w:rPr>
          <w:rFonts w:eastAsia="Times New Roman" w:cs="Arial"/>
          <w:sz w:val="21"/>
          <w:szCs w:val="21"/>
          <w:lang w:eastAsia="en-AU"/>
        </w:rPr>
        <w:t>units,</w:t>
      </w:r>
      <w:r w:rsidRPr="00B82779">
        <w:rPr>
          <w:rFonts w:eastAsia="Times New Roman" w:cs="Arial"/>
          <w:sz w:val="21"/>
          <w:szCs w:val="21"/>
          <w:lang w:eastAsia="en-AU"/>
        </w:rPr>
        <w:t xml:space="preserve"> whose best practice</w:t>
      </w:r>
      <w:proofErr w:type="gramEnd"/>
      <w:r w:rsidRPr="00B82779">
        <w:rPr>
          <w:rFonts w:eastAsia="Times New Roman" w:cs="Arial"/>
          <w:sz w:val="21"/>
          <w:szCs w:val="21"/>
          <w:lang w:eastAsia="en-AU"/>
        </w:rPr>
        <w:t xml:space="preserve"> can be highlighted and shared through </w:t>
      </w:r>
      <w:r>
        <w:rPr>
          <w:rFonts w:eastAsia="Times New Roman" w:cs="Arial"/>
          <w:sz w:val="21"/>
          <w:szCs w:val="21"/>
          <w:lang w:eastAsia="en-AU"/>
        </w:rPr>
        <w:t>a</w:t>
      </w:r>
      <w:r w:rsidRPr="00B82779">
        <w:rPr>
          <w:rFonts w:eastAsia="Times New Roman" w:cs="Arial"/>
          <w:sz w:val="21"/>
          <w:szCs w:val="21"/>
          <w:lang w:eastAsia="en-AU"/>
        </w:rPr>
        <w:t xml:space="preserve"> Community of Practice; or piloting a ‘peer assist’ learning approach to identify teams working on similar issues and link them up through peer assist workshops</w:t>
      </w:r>
    </w:p>
    <w:p w14:paraId="45478B70" w14:textId="77777777" w:rsidR="00AF72C5" w:rsidRPr="0053749A" w:rsidRDefault="00AF72C5" w:rsidP="0085043B">
      <w:pPr>
        <w:numPr>
          <w:ilvl w:val="0"/>
          <w:numId w:val="16"/>
        </w:numPr>
        <w:tabs>
          <w:tab w:val="left" w:pos="284"/>
        </w:tabs>
        <w:suppressAutoHyphens w:val="0"/>
        <w:spacing w:before="0" w:after="0" w:line="280" w:lineRule="exact"/>
        <w:jc w:val="both"/>
        <w:rPr>
          <w:rFonts w:eastAsia="Times New Roman" w:cs="Arial"/>
          <w:sz w:val="21"/>
          <w:szCs w:val="21"/>
          <w:lang w:eastAsia="en-AU"/>
        </w:rPr>
      </w:pPr>
      <w:r w:rsidRPr="0053749A">
        <w:rPr>
          <w:rFonts w:eastAsia="Times New Roman" w:cs="Arial"/>
          <w:sz w:val="21"/>
          <w:szCs w:val="21"/>
          <w:lang w:eastAsia="en-AU"/>
        </w:rPr>
        <w:t>E-newsletters</w:t>
      </w:r>
    </w:p>
    <w:p w14:paraId="7D658EFC" w14:textId="77777777" w:rsidR="000B41BD" w:rsidRPr="0053749A" w:rsidRDefault="000B41BD" w:rsidP="0085043B">
      <w:pPr>
        <w:tabs>
          <w:tab w:val="left" w:pos="284"/>
        </w:tabs>
        <w:suppressAutoHyphens w:val="0"/>
        <w:spacing w:before="0" w:after="0" w:line="280" w:lineRule="exact"/>
        <w:jc w:val="both"/>
        <w:rPr>
          <w:rFonts w:eastAsia="Times New Roman" w:cs="Arial"/>
          <w:sz w:val="21"/>
          <w:szCs w:val="21"/>
          <w:lang w:eastAsia="en-AU"/>
        </w:rPr>
      </w:pPr>
    </w:p>
    <w:p w14:paraId="1664AE91" w14:textId="6D26B41C" w:rsidR="003947C8" w:rsidRPr="0053749A" w:rsidRDefault="00AF72C5" w:rsidP="0085043B">
      <w:pPr>
        <w:numPr>
          <w:ilvl w:val="0"/>
          <w:numId w:val="13"/>
        </w:numPr>
        <w:tabs>
          <w:tab w:val="left" w:pos="284"/>
        </w:tabs>
        <w:suppressAutoHyphens w:val="0"/>
        <w:spacing w:before="0" w:after="0" w:line="280" w:lineRule="exact"/>
        <w:jc w:val="both"/>
        <w:rPr>
          <w:rFonts w:eastAsia="Times New Roman" w:cs="Arial"/>
          <w:b/>
          <w:bCs/>
          <w:sz w:val="21"/>
          <w:szCs w:val="21"/>
          <w:lang w:eastAsia="en-AU"/>
        </w:rPr>
      </w:pPr>
      <w:r w:rsidRPr="0053749A">
        <w:rPr>
          <w:rFonts w:eastAsia="Times New Roman" w:cs="Arial"/>
          <w:b/>
          <w:bCs/>
          <w:sz w:val="21"/>
          <w:szCs w:val="21"/>
          <w:lang w:eastAsia="en-AU"/>
        </w:rPr>
        <w:t>Support for professional development for DFAT staff, including GEB staff</w:t>
      </w:r>
    </w:p>
    <w:p w14:paraId="541F3AFF" w14:textId="7545D27D" w:rsidR="00AF72C5" w:rsidRDefault="00DC11E3" w:rsidP="0085043B">
      <w:pPr>
        <w:numPr>
          <w:ilvl w:val="0"/>
          <w:numId w:val="18"/>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T</w:t>
      </w:r>
      <w:r w:rsidR="009875A2">
        <w:rPr>
          <w:rFonts w:eastAsia="Times New Roman" w:cs="Arial"/>
          <w:sz w:val="21"/>
          <w:szCs w:val="21"/>
          <w:lang w:eastAsia="en-AU"/>
        </w:rPr>
        <w:t xml:space="preserve">raining </w:t>
      </w:r>
      <w:r w:rsidR="00AF72C5" w:rsidRPr="0053749A">
        <w:rPr>
          <w:rFonts w:eastAsia="Times New Roman" w:cs="Arial"/>
          <w:sz w:val="21"/>
          <w:szCs w:val="21"/>
          <w:lang w:eastAsia="en-AU"/>
        </w:rPr>
        <w:t>materials</w:t>
      </w:r>
      <w:r w:rsidR="00F211BC">
        <w:rPr>
          <w:rFonts w:eastAsia="Times New Roman" w:cs="Arial"/>
          <w:sz w:val="21"/>
          <w:szCs w:val="21"/>
          <w:lang w:eastAsia="en-AU"/>
        </w:rPr>
        <w:t xml:space="preserve"> in accordance with DFAT’s capabilities framework</w:t>
      </w:r>
    </w:p>
    <w:p w14:paraId="4D8EDF74" w14:textId="775AC006" w:rsidR="00832966" w:rsidRPr="0053749A" w:rsidRDefault="00DC11E3" w:rsidP="0085043B">
      <w:pPr>
        <w:numPr>
          <w:ilvl w:val="0"/>
          <w:numId w:val="18"/>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M</w:t>
      </w:r>
      <w:r w:rsidR="00832966">
        <w:rPr>
          <w:rFonts w:eastAsia="Times New Roman" w:cs="Arial"/>
          <w:sz w:val="21"/>
          <w:szCs w:val="21"/>
          <w:lang w:eastAsia="en-AU"/>
        </w:rPr>
        <w:t>entoring support</w:t>
      </w:r>
    </w:p>
    <w:p w14:paraId="0EE12ACF" w14:textId="734486D4" w:rsidR="00F211BC" w:rsidRPr="0053749A" w:rsidRDefault="00DC11E3" w:rsidP="0085043B">
      <w:pPr>
        <w:numPr>
          <w:ilvl w:val="0"/>
          <w:numId w:val="18"/>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S</w:t>
      </w:r>
      <w:r w:rsidR="00F211BC" w:rsidRPr="0053749A">
        <w:rPr>
          <w:rFonts w:eastAsia="Times New Roman" w:cs="Arial"/>
          <w:sz w:val="21"/>
          <w:szCs w:val="21"/>
          <w:lang w:eastAsia="en-AU"/>
        </w:rPr>
        <w:t xml:space="preserve">pecialist communities of practice </w:t>
      </w:r>
    </w:p>
    <w:p w14:paraId="4D271DC1" w14:textId="30270A8B" w:rsidR="00AF72C5" w:rsidRPr="0053749A" w:rsidRDefault="00DC11E3" w:rsidP="0085043B">
      <w:pPr>
        <w:numPr>
          <w:ilvl w:val="0"/>
          <w:numId w:val="18"/>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T</w:t>
      </w:r>
      <w:r w:rsidR="008866C2">
        <w:rPr>
          <w:rFonts w:eastAsia="Times New Roman" w:cs="Arial"/>
          <w:sz w:val="21"/>
          <w:szCs w:val="21"/>
          <w:lang w:eastAsia="en-AU"/>
        </w:rPr>
        <w:t xml:space="preserve">ailored </w:t>
      </w:r>
      <w:r w:rsidR="00AF72C5" w:rsidRPr="0053749A">
        <w:rPr>
          <w:rFonts w:eastAsia="Times New Roman" w:cs="Arial"/>
          <w:sz w:val="21"/>
          <w:szCs w:val="21"/>
          <w:lang w:eastAsia="en-AU"/>
        </w:rPr>
        <w:t>seminars or workshops</w:t>
      </w:r>
      <w:r w:rsidR="008866C2">
        <w:rPr>
          <w:rFonts w:eastAsia="Times New Roman" w:cs="Arial"/>
          <w:sz w:val="21"/>
          <w:szCs w:val="21"/>
          <w:lang w:eastAsia="en-AU"/>
        </w:rPr>
        <w:t xml:space="preserve"> or </w:t>
      </w:r>
      <w:proofErr w:type="gramStart"/>
      <w:r w:rsidR="008866C2" w:rsidRPr="00095443">
        <w:rPr>
          <w:rFonts w:eastAsia="Times New Roman" w:cs="Arial"/>
          <w:sz w:val="21"/>
          <w:szCs w:val="21"/>
          <w:lang w:eastAsia="en-AU"/>
        </w:rPr>
        <w:t>mini-clinics</w:t>
      </w:r>
      <w:proofErr w:type="gramEnd"/>
      <w:r w:rsidR="008866C2" w:rsidRPr="00095443">
        <w:rPr>
          <w:rFonts w:eastAsia="Times New Roman" w:cs="Arial"/>
          <w:sz w:val="21"/>
          <w:szCs w:val="21"/>
          <w:lang w:eastAsia="en-AU"/>
        </w:rPr>
        <w:t xml:space="preserve"> around any new guidance notes produced, to provide staff with tailored advice and deepen learning and engagement with the content</w:t>
      </w:r>
    </w:p>
    <w:p w14:paraId="70AD5C23" w14:textId="096A1080" w:rsidR="00AF72C5" w:rsidRDefault="00DC11E3" w:rsidP="0085043B">
      <w:pPr>
        <w:numPr>
          <w:ilvl w:val="0"/>
          <w:numId w:val="18"/>
        </w:num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M</w:t>
      </w:r>
      <w:r w:rsidR="00AF72C5" w:rsidRPr="0053749A">
        <w:rPr>
          <w:rFonts w:eastAsia="Times New Roman" w:cs="Arial"/>
          <w:sz w:val="21"/>
          <w:szCs w:val="21"/>
          <w:lang w:eastAsia="en-AU"/>
        </w:rPr>
        <w:t xml:space="preserve">aintain directory of </w:t>
      </w:r>
      <w:r w:rsidR="006B340E">
        <w:rPr>
          <w:rFonts w:eastAsia="Times New Roman" w:cs="Arial"/>
          <w:sz w:val="21"/>
          <w:szCs w:val="21"/>
          <w:lang w:eastAsia="en-AU"/>
        </w:rPr>
        <w:t>quality assured</w:t>
      </w:r>
      <w:r w:rsidR="00AF72C5" w:rsidRPr="0053749A">
        <w:rPr>
          <w:rFonts w:eastAsia="Times New Roman" w:cs="Arial"/>
          <w:sz w:val="21"/>
          <w:szCs w:val="21"/>
          <w:lang w:eastAsia="en-AU"/>
        </w:rPr>
        <w:t xml:space="preserve"> technical training courses and seminars and e-learning materials – for technical specialists, generalist APS staff and locally recruited staff.</w:t>
      </w:r>
    </w:p>
    <w:p w14:paraId="21B1F820" w14:textId="77777777" w:rsidR="00AA620D" w:rsidRDefault="00AA620D" w:rsidP="0085043B">
      <w:pPr>
        <w:tabs>
          <w:tab w:val="left" w:pos="284"/>
        </w:tabs>
        <w:suppressAutoHyphens w:val="0"/>
        <w:spacing w:before="0" w:after="0" w:line="280" w:lineRule="exact"/>
        <w:jc w:val="both"/>
        <w:rPr>
          <w:rFonts w:eastAsia="Times New Roman" w:cs="Arial"/>
          <w:sz w:val="21"/>
          <w:szCs w:val="21"/>
          <w:lang w:eastAsia="en-AU"/>
        </w:rPr>
      </w:pPr>
    </w:p>
    <w:p w14:paraId="2E60FAFB" w14:textId="50E781EE" w:rsidR="006D321E" w:rsidRPr="001E4FEA" w:rsidRDefault="00AA620D" w:rsidP="00871D4E">
      <w:pPr>
        <w:pStyle w:val="ListParagraph"/>
        <w:numPr>
          <w:ilvl w:val="0"/>
          <w:numId w:val="13"/>
        </w:numPr>
        <w:tabs>
          <w:tab w:val="left" w:pos="284"/>
        </w:tabs>
        <w:suppressAutoHyphens w:val="0"/>
        <w:spacing w:before="0" w:after="0" w:line="280" w:lineRule="exact"/>
        <w:jc w:val="both"/>
        <w:rPr>
          <w:rFonts w:eastAsia="Times New Roman" w:cs="Arial"/>
          <w:b/>
          <w:bCs/>
          <w:sz w:val="21"/>
          <w:szCs w:val="21"/>
          <w:lang w:eastAsia="en-AU"/>
        </w:rPr>
      </w:pPr>
      <w:r w:rsidRPr="001E4FEA">
        <w:rPr>
          <w:rFonts w:eastAsia="Times New Roman" w:cs="Arial"/>
          <w:b/>
          <w:bCs/>
          <w:sz w:val="21"/>
          <w:szCs w:val="21"/>
          <w:lang w:eastAsia="en-AU"/>
        </w:rPr>
        <w:t xml:space="preserve">Support for the </w:t>
      </w:r>
      <w:r w:rsidR="00BA2F5A" w:rsidRPr="001E4FEA">
        <w:rPr>
          <w:rFonts w:eastAsia="Times New Roman" w:cs="Arial"/>
          <w:b/>
          <w:bCs/>
          <w:sz w:val="21"/>
          <w:szCs w:val="21"/>
          <w:lang w:eastAsia="en-AU"/>
        </w:rPr>
        <w:t>implementation</w:t>
      </w:r>
      <w:r w:rsidR="006D321E" w:rsidRPr="001E4FEA">
        <w:rPr>
          <w:rFonts w:eastAsia="Times New Roman" w:cs="Arial"/>
          <w:b/>
          <w:bCs/>
          <w:sz w:val="21"/>
          <w:szCs w:val="21"/>
          <w:lang w:eastAsia="en-AU"/>
        </w:rPr>
        <w:t xml:space="preserve"> </w:t>
      </w:r>
      <w:r w:rsidRPr="001E4FEA">
        <w:rPr>
          <w:rFonts w:eastAsia="Times New Roman" w:cs="Arial"/>
          <w:b/>
          <w:bCs/>
          <w:sz w:val="21"/>
          <w:szCs w:val="21"/>
          <w:lang w:eastAsia="en-AU"/>
        </w:rPr>
        <w:t xml:space="preserve">of </w:t>
      </w:r>
      <w:r w:rsidR="006D321E" w:rsidRPr="001E4FEA">
        <w:rPr>
          <w:rFonts w:eastAsia="Times New Roman" w:cs="Arial"/>
          <w:b/>
          <w:bCs/>
          <w:sz w:val="21"/>
          <w:szCs w:val="21"/>
          <w:lang w:eastAsia="en-AU"/>
        </w:rPr>
        <w:t xml:space="preserve">the Indo-Pacific </w:t>
      </w:r>
      <w:r w:rsidR="004A7A9D" w:rsidRPr="001E4FEA">
        <w:rPr>
          <w:rFonts w:eastAsia="Times New Roman" w:cs="Arial"/>
          <w:b/>
          <w:bCs/>
          <w:sz w:val="21"/>
          <w:szCs w:val="21"/>
          <w:lang w:eastAsia="en-AU"/>
        </w:rPr>
        <w:t xml:space="preserve">Gender Equality Strategy and its objectives, including the </w:t>
      </w:r>
      <w:r w:rsidR="006D321E" w:rsidRPr="001E4FEA">
        <w:rPr>
          <w:rFonts w:eastAsia="Times New Roman" w:cs="Arial"/>
          <w:b/>
          <w:bCs/>
          <w:sz w:val="21"/>
          <w:szCs w:val="21"/>
          <w:lang w:eastAsia="en-AU"/>
        </w:rPr>
        <w:t xml:space="preserve">Gender Equality </w:t>
      </w:r>
      <w:r w:rsidR="004A7A9D" w:rsidRPr="001E4FEA">
        <w:rPr>
          <w:rFonts w:eastAsia="Times New Roman" w:cs="Arial"/>
          <w:b/>
          <w:bCs/>
          <w:sz w:val="21"/>
          <w:szCs w:val="21"/>
          <w:lang w:eastAsia="en-AU"/>
        </w:rPr>
        <w:t>F</w:t>
      </w:r>
      <w:r w:rsidR="006D321E" w:rsidRPr="001E4FEA">
        <w:rPr>
          <w:rFonts w:eastAsia="Times New Roman" w:cs="Arial"/>
          <w:b/>
          <w:bCs/>
          <w:sz w:val="21"/>
          <w:szCs w:val="21"/>
          <w:lang w:eastAsia="en-AU"/>
        </w:rPr>
        <w:t xml:space="preserve">und </w:t>
      </w:r>
    </w:p>
    <w:p w14:paraId="39929CAA" w14:textId="5C706D23" w:rsidR="006D321E" w:rsidRPr="0085043B" w:rsidRDefault="006D321E" w:rsidP="0085043B">
      <w:pPr>
        <w:pStyle w:val="ListParagraph"/>
        <w:numPr>
          <w:ilvl w:val="0"/>
          <w:numId w:val="21"/>
        </w:numPr>
        <w:tabs>
          <w:tab w:val="left" w:pos="284"/>
        </w:tabs>
        <w:suppressAutoHyphens w:val="0"/>
        <w:spacing w:before="0" w:after="0" w:line="280" w:lineRule="exact"/>
        <w:jc w:val="both"/>
        <w:rPr>
          <w:rFonts w:eastAsia="Times New Roman" w:cs="Arial"/>
          <w:sz w:val="21"/>
          <w:szCs w:val="21"/>
          <w:lang w:eastAsia="en-AU"/>
        </w:rPr>
      </w:pPr>
      <w:r w:rsidRPr="0085043B">
        <w:rPr>
          <w:rFonts w:eastAsia="Times New Roman" w:cs="Arial"/>
          <w:sz w:val="21"/>
          <w:szCs w:val="21"/>
          <w:lang w:eastAsia="en-AU"/>
        </w:rPr>
        <w:t>Short</w:t>
      </w:r>
      <w:r w:rsidR="00AA620D" w:rsidRPr="0085043B">
        <w:rPr>
          <w:rFonts w:eastAsia="Times New Roman" w:cs="Arial"/>
          <w:sz w:val="21"/>
          <w:szCs w:val="21"/>
          <w:lang w:eastAsia="en-AU"/>
        </w:rPr>
        <w:t>-term</w:t>
      </w:r>
      <w:r w:rsidRPr="0085043B">
        <w:rPr>
          <w:rFonts w:eastAsia="Times New Roman" w:cs="Arial"/>
          <w:sz w:val="21"/>
          <w:szCs w:val="21"/>
          <w:lang w:eastAsia="en-AU"/>
        </w:rPr>
        <w:t xml:space="preserve"> or long</w:t>
      </w:r>
      <w:r w:rsidR="00AA620D" w:rsidRPr="0085043B">
        <w:rPr>
          <w:rFonts w:eastAsia="Times New Roman" w:cs="Arial"/>
          <w:sz w:val="21"/>
          <w:szCs w:val="21"/>
          <w:lang w:eastAsia="en-AU"/>
        </w:rPr>
        <w:t>-</w:t>
      </w:r>
      <w:r w:rsidRPr="0085043B">
        <w:rPr>
          <w:rFonts w:eastAsia="Times New Roman" w:cs="Arial"/>
          <w:sz w:val="21"/>
          <w:szCs w:val="21"/>
          <w:lang w:eastAsia="en-AU"/>
        </w:rPr>
        <w:t xml:space="preserve">term </w:t>
      </w:r>
      <w:r w:rsidR="00AA620D" w:rsidRPr="0085043B">
        <w:rPr>
          <w:rFonts w:eastAsia="Times New Roman" w:cs="Arial"/>
          <w:sz w:val="21"/>
          <w:szCs w:val="21"/>
          <w:lang w:eastAsia="en-AU"/>
        </w:rPr>
        <w:t xml:space="preserve">technical </w:t>
      </w:r>
      <w:r w:rsidR="00BA2F5A" w:rsidRPr="0085043B">
        <w:rPr>
          <w:rFonts w:eastAsia="Times New Roman" w:cs="Arial"/>
          <w:sz w:val="21"/>
          <w:szCs w:val="21"/>
          <w:lang w:eastAsia="en-AU"/>
        </w:rPr>
        <w:t>assistance to</w:t>
      </w:r>
      <w:r w:rsidRPr="0085043B">
        <w:rPr>
          <w:rFonts w:eastAsia="Times New Roman" w:cs="Arial"/>
          <w:sz w:val="21"/>
          <w:szCs w:val="21"/>
          <w:lang w:eastAsia="en-AU"/>
        </w:rPr>
        <w:t xml:space="preserve"> work within GEB</w:t>
      </w:r>
      <w:r w:rsidR="00BA2F5A" w:rsidRPr="0085043B">
        <w:rPr>
          <w:rFonts w:eastAsia="Times New Roman" w:cs="Arial"/>
          <w:sz w:val="21"/>
          <w:szCs w:val="21"/>
          <w:lang w:eastAsia="en-AU"/>
        </w:rPr>
        <w:t>’s office</w:t>
      </w:r>
      <w:r w:rsidRPr="0085043B">
        <w:rPr>
          <w:rFonts w:eastAsia="Times New Roman" w:cs="Arial"/>
          <w:sz w:val="21"/>
          <w:szCs w:val="21"/>
          <w:lang w:eastAsia="en-AU"/>
        </w:rPr>
        <w:t xml:space="preserve"> to support program design</w:t>
      </w:r>
      <w:r w:rsidR="00BA2F5A">
        <w:rPr>
          <w:rFonts w:eastAsia="Times New Roman" w:cs="Arial"/>
          <w:sz w:val="21"/>
          <w:szCs w:val="21"/>
          <w:lang w:eastAsia="en-AU"/>
        </w:rPr>
        <w:t>,</w:t>
      </w:r>
      <w:r w:rsidRPr="0085043B">
        <w:rPr>
          <w:rFonts w:eastAsia="Times New Roman" w:cs="Arial"/>
          <w:sz w:val="21"/>
          <w:szCs w:val="21"/>
          <w:lang w:eastAsia="en-AU"/>
        </w:rPr>
        <w:t xml:space="preserve"> </w:t>
      </w:r>
      <w:proofErr w:type="gramStart"/>
      <w:r w:rsidRPr="0085043B">
        <w:rPr>
          <w:rFonts w:eastAsia="Times New Roman" w:cs="Arial"/>
          <w:sz w:val="21"/>
          <w:szCs w:val="21"/>
          <w:lang w:eastAsia="en-AU"/>
        </w:rPr>
        <w:t>management</w:t>
      </w:r>
      <w:proofErr w:type="gramEnd"/>
      <w:r w:rsidRPr="0085043B">
        <w:rPr>
          <w:rFonts w:eastAsia="Times New Roman" w:cs="Arial"/>
          <w:sz w:val="21"/>
          <w:szCs w:val="21"/>
          <w:lang w:eastAsia="en-AU"/>
        </w:rPr>
        <w:t xml:space="preserve"> and implementation</w:t>
      </w:r>
    </w:p>
    <w:p w14:paraId="45B4A18D" w14:textId="062830A2" w:rsidR="00AF72C5" w:rsidRDefault="00AF72C5" w:rsidP="0085043B">
      <w:pPr>
        <w:tabs>
          <w:tab w:val="left" w:pos="284"/>
        </w:tabs>
        <w:suppressAutoHyphens w:val="0"/>
        <w:spacing w:before="0" w:line="280" w:lineRule="exact"/>
        <w:jc w:val="both"/>
        <w:rPr>
          <w:rFonts w:eastAsia="Times New Roman" w:cs="Arial"/>
          <w:sz w:val="21"/>
          <w:szCs w:val="21"/>
          <w:lang w:eastAsia="en-AU"/>
        </w:rPr>
      </w:pPr>
    </w:p>
    <w:p w14:paraId="4EDE678E" w14:textId="2B78FB8F" w:rsidR="00251BC2" w:rsidRDefault="00251BC2" w:rsidP="00253680">
      <w:pPr>
        <w:tabs>
          <w:tab w:val="left" w:pos="284"/>
        </w:tabs>
        <w:suppressAutoHyphens w:val="0"/>
        <w:spacing w:before="0" w:after="0" w:line="280" w:lineRule="exact"/>
        <w:jc w:val="both"/>
        <w:rPr>
          <w:rFonts w:eastAsia="Times New Roman" w:cs="Arial"/>
          <w:sz w:val="21"/>
          <w:szCs w:val="21"/>
          <w:lang w:eastAsia="en-AU"/>
        </w:rPr>
      </w:pPr>
      <w:r w:rsidRPr="00B81B81">
        <w:rPr>
          <w:rFonts w:eastAsia="Times New Roman" w:cs="Arial"/>
          <w:sz w:val="21"/>
          <w:szCs w:val="21"/>
          <w:lang w:eastAsia="en-AU"/>
        </w:rPr>
        <w:t xml:space="preserve">After an initial </w:t>
      </w:r>
      <w:r w:rsidR="00B81B81">
        <w:rPr>
          <w:rFonts w:eastAsia="Times New Roman" w:cs="Arial"/>
          <w:sz w:val="21"/>
          <w:szCs w:val="21"/>
          <w:lang w:eastAsia="en-AU"/>
        </w:rPr>
        <w:t>two-</w:t>
      </w:r>
      <w:r w:rsidR="00EE505F" w:rsidRPr="00B81B81">
        <w:rPr>
          <w:rFonts w:eastAsia="Times New Roman" w:cs="Arial"/>
          <w:sz w:val="21"/>
          <w:szCs w:val="21"/>
          <w:lang w:eastAsia="en-AU"/>
        </w:rPr>
        <w:t xml:space="preserve">year </w:t>
      </w:r>
      <w:r w:rsidRPr="00B81B81">
        <w:rPr>
          <w:rFonts w:eastAsia="Times New Roman" w:cs="Arial"/>
          <w:sz w:val="21"/>
          <w:szCs w:val="21"/>
          <w:lang w:eastAsia="en-AU"/>
        </w:rPr>
        <w:t>period</w:t>
      </w:r>
      <w:r w:rsidR="005C1B50" w:rsidRPr="00B81B81">
        <w:rPr>
          <w:rFonts w:eastAsia="Times New Roman" w:cs="Arial"/>
          <w:sz w:val="21"/>
          <w:szCs w:val="21"/>
          <w:lang w:eastAsia="en-AU"/>
        </w:rPr>
        <w:t>, a review will inform the next phase</w:t>
      </w:r>
      <w:r w:rsidR="00EE505F" w:rsidRPr="00B81B81">
        <w:rPr>
          <w:rFonts w:eastAsia="Times New Roman" w:cs="Arial"/>
          <w:sz w:val="21"/>
          <w:szCs w:val="21"/>
          <w:lang w:eastAsia="en-AU"/>
        </w:rPr>
        <w:t xml:space="preserve">, </w:t>
      </w:r>
      <w:r w:rsidR="00B81B81">
        <w:rPr>
          <w:rFonts w:eastAsia="Times New Roman" w:cs="Arial"/>
          <w:sz w:val="21"/>
          <w:szCs w:val="21"/>
          <w:lang w:eastAsia="en-AU"/>
        </w:rPr>
        <w:t xml:space="preserve">with </w:t>
      </w:r>
      <w:r w:rsidR="00EE505F" w:rsidRPr="00B81B81">
        <w:rPr>
          <w:rFonts w:eastAsia="Times New Roman" w:cs="Arial"/>
          <w:sz w:val="21"/>
          <w:szCs w:val="21"/>
          <w:lang w:eastAsia="en-AU"/>
        </w:rPr>
        <w:t xml:space="preserve">consideration </w:t>
      </w:r>
      <w:r w:rsidR="00B81B81">
        <w:rPr>
          <w:rFonts w:eastAsia="Times New Roman" w:cs="Arial"/>
          <w:sz w:val="21"/>
          <w:szCs w:val="21"/>
          <w:lang w:eastAsia="en-AU"/>
        </w:rPr>
        <w:t xml:space="preserve">given to gaps in coverage and delivery and what </w:t>
      </w:r>
      <w:r w:rsidR="00B81B81" w:rsidRPr="00B81B81">
        <w:rPr>
          <w:rFonts w:eastAsia="Times New Roman" w:cs="Arial"/>
          <w:sz w:val="21"/>
          <w:szCs w:val="21"/>
          <w:lang w:eastAsia="en-AU"/>
        </w:rPr>
        <w:t xml:space="preserve">additional functions </w:t>
      </w:r>
      <w:r w:rsidR="00B81B81">
        <w:rPr>
          <w:rFonts w:eastAsia="Times New Roman" w:cs="Arial"/>
          <w:sz w:val="21"/>
          <w:szCs w:val="21"/>
          <w:lang w:eastAsia="en-AU"/>
        </w:rPr>
        <w:t xml:space="preserve">the Support Unit might be required to </w:t>
      </w:r>
      <w:r w:rsidR="00EE505F" w:rsidRPr="00B81B81">
        <w:rPr>
          <w:rFonts w:eastAsia="Times New Roman" w:cs="Arial"/>
          <w:sz w:val="21"/>
          <w:szCs w:val="21"/>
          <w:lang w:eastAsia="en-AU"/>
        </w:rPr>
        <w:t>tak</w:t>
      </w:r>
      <w:r w:rsidR="00B81B81">
        <w:rPr>
          <w:rFonts w:eastAsia="Times New Roman" w:cs="Arial"/>
          <w:sz w:val="21"/>
          <w:szCs w:val="21"/>
          <w:lang w:eastAsia="en-AU"/>
        </w:rPr>
        <w:t>e on</w:t>
      </w:r>
      <w:r w:rsidRPr="00B81B81">
        <w:rPr>
          <w:rFonts w:eastAsia="Times New Roman" w:cs="Arial"/>
          <w:sz w:val="21"/>
          <w:szCs w:val="21"/>
          <w:lang w:eastAsia="en-AU"/>
        </w:rPr>
        <w:t xml:space="preserve">. </w:t>
      </w:r>
      <w:r w:rsidR="00B81B81">
        <w:rPr>
          <w:rFonts w:eastAsia="Times New Roman" w:cs="Arial"/>
          <w:sz w:val="21"/>
          <w:szCs w:val="21"/>
          <w:lang w:eastAsia="en-AU"/>
        </w:rPr>
        <w:t>Based on the findings of the review</w:t>
      </w:r>
      <w:r w:rsidR="00B81B81" w:rsidRPr="00B81B81">
        <w:rPr>
          <w:rFonts w:eastAsia="Times New Roman" w:cs="Arial"/>
          <w:sz w:val="21"/>
          <w:szCs w:val="21"/>
          <w:lang w:eastAsia="en-AU"/>
        </w:rPr>
        <w:t>,</w:t>
      </w:r>
      <w:r w:rsidR="00EE505F" w:rsidRPr="00B81B81">
        <w:rPr>
          <w:rFonts w:eastAsia="Times New Roman" w:cs="Arial"/>
          <w:sz w:val="21"/>
          <w:szCs w:val="21"/>
          <w:lang w:eastAsia="en-AU"/>
        </w:rPr>
        <w:t xml:space="preserve"> it will be decided what an extension might cover and for what </w:t>
      </w:r>
      <w:proofErr w:type="gramStart"/>
      <w:r w:rsidR="00EE505F" w:rsidRPr="00B81B81">
        <w:rPr>
          <w:rFonts w:eastAsia="Times New Roman" w:cs="Arial"/>
          <w:sz w:val="21"/>
          <w:szCs w:val="21"/>
          <w:lang w:eastAsia="en-AU"/>
        </w:rPr>
        <w:t>time period</w:t>
      </w:r>
      <w:proofErr w:type="gramEnd"/>
      <w:r w:rsidR="00EE505F" w:rsidRPr="00B81B81">
        <w:rPr>
          <w:rFonts w:eastAsia="Times New Roman" w:cs="Arial"/>
          <w:sz w:val="21"/>
          <w:szCs w:val="21"/>
          <w:lang w:eastAsia="en-AU"/>
        </w:rPr>
        <w:t xml:space="preserve">, </w:t>
      </w:r>
      <w:r w:rsidR="00B81B81">
        <w:rPr>
          <w:rFonts w:eastAsia="Times New Roman" w:cs="Arial"/>
          <w:sz w:val="21"/>
          <w:szCs w:val="21"/>
          <w:lang w:eastAsia="en-AU"/>
        </w:rPr>
        <w:t>up to</w:t>
      </w:r>
      <w:r w:rsidR="00B81B81" w:rsidRPr="00B81B81">
        <w:rPr>
          <w:rFonts w:eastAsia="Times New Roman" w:cs="Arial"/>
          <w:sz w:val="21"/>
          <w:szCs w:val="21"/>
          <w:lang w:eastAsia="en-AU"/>
        </w:rPr>
        <w:t xml:space="preserve"> a</w:t>
      </w:r>
      <w:r w:rsidR="00B81B81">
        <w:rPr>
          <w:rFonts w:eastAsia="Times New Roman" w:cs="Arial"/>
          <w:sz w:val="21"/>
          <w:szCs w:val="21"/>
          <w:lang w:eastAsia="en-AU"/>
        </w:rPr>
        <w:t xml:space="preserve"> maximum of </w:t>
      </w:r>
      <w:r w:rsidR="00B81B81" w:rsidRPr="00B81B81">
        <w:rPr>
          <w:rFonts w:eastAsia="Times New Roman" w:cs="Arial"/>
          <w:sz w:val="21"/>
          <w:szCs w:val="21"/>
          <w:lang w:eastAsia="en-AU"/>
        </w:rPr>
        <w:t>three additional years.</w:t>
      </w:r>
      <w:r w:rsidR="00EE505F">
        <w:rPr>
          <w:rFonts w:eastAsia="Times New Roman" w:cs="Arial"/>
          <w:sz w:val="21"/>
          <w:szCs w:val="21"/>
          <w:lang w:eastAsia="en-AU"/>
        </w:rPr>
        <w:t xml:space="preserve"> </w:t>
      </w:r>
    </w:p>
    <w:p w14:paraId="5B576926" w14:textId="4369CC98" w:rsidR="00DC11E3" w:rsidRDefault="00DC11E3" w:rsidP="00253680">
      <w:pPr>
        <w:tabs>
          <w:tab w:val="left" w:pos="284"/>
        </w:tabs>
        <w:suppressAutoHyphens w:val="0"/>
        <w:spacing w:before="0" w:after="0" w:line="280" w:lineRule="exact"/>
        <w:jc w:val="both"/>
        <w:rPr>
          <w:rFonts w:eastAsia="Times New Roman" w:cs="Arial"/>
          <w:sz w:val="21"/>
          <w:szCs w:val="21"/>
          <w:lang w:eastAsia="en-AU"/>
        </w:rPr>
      </w:pPr>
    </w:p>
    <w:p w14:paraId="4CDAAB60" w14:textId="1FC1DA77" w:rsidR="00DC11E3" w:rsidRPr="0053749A" w:rsidRDefault="00DC11E3" w:rsidP="00253680">
      <w:pPr>
        <w:tabs>
          <w:tab w:val="left" w:pos="284"/>
        </w:tabs>
        <w:suppressAutoHyphens w:val="0"/>
        <w:spacing w:before="0" w:after="0" w:line="280" w:lineRule="exact"/>
        <w:jc w:val="both"/>
        <w:rPr>
          <w:rFonts w:eastAsia="Times New Roman" w:cs="Arial"/>
          <w:sz w:val="21"/>
          <w:szCs w:val="21"/>
          <w:lang w:eastAsia="en-AU"/>
        </w:rPr>
      </w:pPr>
      <w:r>
        <w:rPr>
          <w:rFonts w:eastAsia="Times New Roman" w:cs="Arial"/>
          <w:sz w:val="21"/>
          <w:szCs w:val="21"/>
          <w:lang w:eastAsia="en-AU"/>
        </w:rPr>
        <w:t>GEB’s current agreement for delivery of gender equality training may be absorbed into the Support Unit for Gender Equality. This would mean an additional line of effort around training design and delivery.</w:t>
      </w:r>
    </w:p>
    <w:p w14:paraId="752F21C7" w14:textId="30294EBA" w:rsidR="00490CDB" w:rsidRPr="00490CDB" w:rsidRDefault="00BE4DC3" w:rsidP="006B6FD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Implementation</w:t>
      </w:r>
      <w:r w:rsidRPr="00490CDB">
        <w:rPr>
          <w:rFonts w:asciiTheme="majorHAnsi" w:hAnsiTheme="majorHAnsi" w:cs="Arial"/>
          <w:b/>
        </w:rPr>
        <w:t xml:space="preserve"> Arrangements and Delivery Approach </w:t>
      </w:r>
      <w:r>
        <w:rPr>
          <w:rFonts w:asciiTheme="majorHAnsi" w:hAnsiTheme="majorHAnsi" w:cs="Arial"/>
          <w:b/>
        </w:rPr>
        <w:t>(</w:t>
      </w:r>
      <w:r w:rsidR="00490CDB" w:rsidRPr="00490CDB">
        <w:rPr>
          <w:rFonts w:asciiTheme="majorHAnsi" w:hAnsiTheme="majorHAnsi" w:cs="Arial"/>
          <w:b/>
        </w:rPr>
        <w:t xml:space="preserve">How will DFAT </w:t>
      </w:r>
      <w:r w:rsidR="00971FA2">
        <w:rPr>
          <w:rFonts w:asciiTheme="majorHAnsi" w:hAnsiTheme="majorHAnsi" w:cs="Arial"/>
          <w:b/>
        </w:rPr>
        <w:t xml:space="preserve">deliver it and </w:t>
      </w:r>
      <w:r w:rsidR="00490CDB" w:rsidRPr="00490CDB">
        <w:rPr>
          <w:rFonts w:asciiTheme="majorHAnsi" w:hAnsiTheme="majorHAnsi" w:cs="Arial"/>
          <w:b/>
        </w:rPr>
        <w:t>engage?</w:t>
      </w:r>
      <w:r>
        <w:rPr>
          <w:rFonts w:asciiTheme="majorHAnsi" w:hAnsiTheme="majorHAnsi" w:cs="Arial"/>
          <w:b/>
        </w:rPr>
        <w:t>)</w:t>
      </w:r>
    </w:p>
    <w:p w14:paraId="331A9746" w14:textId="578A9BE1" w:rsidR="006F5A0A" w:rsidRPr="00940141" w:rsidRDefault="00365115" w:rsidP="0085043B">
      <w:pPr>
        <w:tabs>
          <w:tab w:val="left" w:pos="284"/>
        </w:tabs>
        <w:suppressAutoHyphens w:val="0"/>
        <w:spacing w:before="0" w:line="280" w:lineRule="exact"/>
        <w:jc w:val="both"/>
        <w:rPr>
          <w:rFonts w:eastAsia="Times New Roman" w:cs="Arial"/>
          <w:b/>
          <w:bCs/>
          <w:sz w:val="21"/>
          <w:szCs w:val="21"/>
          <w:lang w:val="en-AU" w:eastAsia="en-AU"/>
        </w:rPr>
      </w:pPr>
      <w:r>
        <w:rPr>
          <w:rFonts w:eastAsia="Times New Roman" w:cs="Arial"/>
          <w:b/>
          <w:bCs/>
          <w:sz w:val="21"/>
          <w:szCs w:val="21"/>
          <w:lang w:val="en-AU" w:eastAsia="en-AU"/>
        </w:rPr>
        <w:t>S</w:t>
      </w:r>
      <w:r w:rsidR="00940141" w:rsidRPr="00940141">
        <w:rPr>
          <w:rFonts w:eastAsia="Times New Roman" w:cs="Arial"/>
          <w:b/>
          <w:bCs/>
          <w:sz w:val="21"/>
          <w:szCs w:val="21"/>
          <w:lang w:val="en-AU" w:eastAsia="en-AU"/>
        </w:rPr>
        <w:t xml:space="preserve">upport </w:t>
      </w:r>
      <w:r>
        <w:rPr>
          <w:rFonts w:eastAsia="Times New Roman" w:cs="Arial"/>
          <w:b/>
          <w:bCs/>
          <w:sz w:val="21"/>
          <w:szCs w:val="21"/>
          <w:lang w:val="en-AU" w:eastAsia="en-AU"/>
        </w:rPr>
        <w:t>U</w:t>
      </w:r>
      <w:r w:rsidR="00940141" w:rsidRPr="00940141">
        <w:rPr>
          <w:rFonts w:eastAsia="Times New Roman" w:cs="Arial"/>
          <w:b/>
          <w:bCs/>
          <w:sz w:val="21"/>
          <w:szCs w:val="21"/>
          <w:lang w:val="en-AU" w:eastAsia="en-AU"/>
        </w:rPr>
        <w:t>nit</w:t>
      </w:r>
      <w:r>
        <w:rPr>
          <w:rFonts w:eastAsia="Times New Roman" w:cs="Arial"/>
          <w:b/>
          <w:bCs/>
          <w:sz w:val="21"/>
          <w:szCs w:val="21"/>
          <w:lang w:val="en-AU" w:eastAsia="en-AU"/>
        </w:rPr>
        <w:t xml:space="preserve"> for </w:t>
      </w:r>
      <w:r w:rsidRPr="00940141">
        <w:rPr>
          <w:rFonts w:eastAsia="Times New Roman" w:cs="Arial"/>
          <w:b/>
          <w:bCs/>
          <w:sz w:val="21"/>
          <w:szCs w:val="21"/>
          <w:lang w:val="en-AU" w:eastAsia="en-AU"/>
        </w:rPr>
        <w:t xml:space="preserve">Gender </w:t>
      </w:r>
      <w:r>
        <w:rPr>
          <w:rFonts w:eastAsia="Times New Roman" w:cs="Arial"/>
          <w:b/>
          <w:bCs/>
          <w:sz w:val="21"/>
          <w:szCs w:val="21"/>
          <w:lang w:val="en-AU" w:eastAsia="en-AU"/>
        </w:rPr>
        <w:t>E</w:t>
      </w:r>
      <w:r w:rsidRPr="00940141">
        <w:rPr>
          <w:rFonts w:eastAsia="Times New Roman" w:cs="Arial"/>
          <w:b/>
          <w:bCs/>
          <w:sz w:val="21"/>
          <w:szCs w:val="21"/>
          <w:lang w:val="en-AU" w:eastAsia="en-AU"/>
        </w:rPr>
        <w:t>quality</w:t>
      </w:r>
      <w:r>
        <w:rPr>
          <w:rFonts w:eastAsia="Times New Roman" w:cs="Arial"/>
          <w:b/>
          <w:bCs/>
          <w:sz w:val="21"/>
          <w:szCs w:val="21"/>
          <w:lang w:val="en-AU" w:eastAsia="en-AU"/>
        </w:rPr>
        <w:t xml:space="preserve"> (SURGE)</w:t>
      </w:r>
    </w:p>
    <w:p w14:paraId="6A45008E" w14:textId="6BD06FAA" w:rsidR="00253680" w:rsidRDefault="006B340E" w:rsidP="00365115">
      <w:pPr>
        <w:tabs>
          <w:tab w:val="left" w:pos="284"/>
        </w:tabs>
        <w:suppressAutoHyphens w:val="0"/>
        <w:spacing w:before="0" w:line="280" w:lineRule="exact"/>
        <w:jc w:val="both"/>
        <w:rPr>
          <w:rFonts w:eastAsia="Times New Roman" w:cs="Arial"/>
          <w:sz w:val="21"/>
          <w:szCs w:val="21"/>
          <w:lang w:val="en-AU" w:eastAsia="en-AU"/>
        </w:rPr>
      </w:pPr>
      <w:r w:rsidRPr="006B340E">
        <w:rPr>
          <w:rFonts w:eastAsia="Times New Roman" w:cs="Arial"/>
          <w:sz w:val="21"/>
          <w:szCs w:val="21"/>
          <w:lang w:val="en-AU" w:eastAsia="en-AU"/>
        </w:rPr>
        <w:t xml:space="preserve">DFAT considered a range of implementation options to effectively deliver on the outcomes described above. These included </w:t>
      </w:r>
      <w:r>
        <w:rPr>
          <w:rFonts w:eastAsia="Times New Roman" w:cs="Arial"/>
          <w:sz w:val="21"/>
          <w:szCs w:val="21"/>
          <w:lang w:val="en-AU" w:eastAsia="en-AU"/>
        </w:rPr>
        <w:t xml:space="preserve">the </w:t>
      </w:r>
      <w:r w:rsidRPr="006B340E">
        <w:rPr>
          <w:rFonts w:eastAsia="Times New Roman" w:cs="Arial"/>
          <w:sz w:val="21"/>
          <w:szCs w:val="21"/>
          <w:lang w:val="en-AU" w:eastAsia="en-AU"/>
        </w:rPr>
        <w:t>option</w:t>
      </w:r>
      <w:r>
        <w:rPr>
          <w:rFonts w:eastAsia="Times New Roman" w:cs="Arial"/>
          <w:sz w:val="21"/>
          <w:szCs w:val="21"/>
          <w:lang w:val="en-AU" w:eastAsia="en-AU"/>
        </w:rPr>
        <w:t xml:space="preserve"> of</w:t>
      </w:r>
      <w:r w:rsidRPr="006B340E">
        <w:rPr>
          <w:rFonts w:eastAsia="Times New Roman" w:cs="Arial"/>
          <w:sz w:val="21"/>
          <w:szCs w:val="21"/>
          <w:lang w:val="en-AU" w:eastAsia="en-AU"/>
        </w:rPr>
        <w:t xml:space="preserve"> DFAT managing a panel of pre-qualified consultants able to provide both short and long-term technical assistance. These options were subsequently ruled out as they did not adequately meet DFAT’s current and projected business needs.</w:t>
      </w:r>
      <w:r w:rsidR="00DE4880">
        <w:rPr>
          <w:rFonts w:eastAsia="Times New Roman" w:cs="Arial"/>
          <w:sz w:val="21"/>
          <w:szCs w:val="21"/>
          <w:lang w:val="en-AU" w:eastAsia="en-AU"/>
        </w:rPr>
        <w:t xml:space="preserve"> </w:t>
      </w:r>
      <w:r w:rsidR="00DE4880" w:rsidRPr="00DE4880">
        <w:rPr>
          <w:rFonts w:eastAsia="Times New Roman" w:cs="Arial"/>
          <w:sz w:val="21"/>
          <w:szCs w:val="21"/>
          <w:lang w:val="en-AU" w:eastAsia="en-AU"/>
        </w:rPr>
        <w:t xml:space="preserve">Therefore, DFAT’s preferred option is to procure a commercial provider to effectively deliver </w:t>
      </w:r>
      <w:r w:rsidR="00F70F68">
        <w:rPr>
          <w:rFonts w:eastAsia="Times New Roman" w:cs="Arial"/>
          <w:sz w:val="21"/>
          <w:szCs w:val="21"/>
          <w:lang w:val="en-AU" w:eastAsia="en-AU"/>
        </w:rPr>
        <w:t>the</w:t>
      </w:r>
      <w:r w:rsidR="00DE4880" w:rsidRPr="00DE4880">
        <w:rPr>
          <w:rFonts w:eastAsia="Times New Roman" w:cs="Arial"/>
          <w:sz w:val="21"/>
          <w:szCs w:val="21"/>
          <w:lang w:val="en-AU" w:eastAsia="en-AU"/>
        </w:rPr>
        <w:t xml:space="preserve"> core </w:t>
      </w:r>
      <w:r w:rsidR="00DE4880">
        <w:rPr>
          <w:rFonts w:eastAsia="Times New Roman" w:cs="Arial"/>
          <w:sz w:val="21"/>
          <w:szCs w:val="21"/>
          <w:lang w:val="en-AU" w:eastAsia="en-AU"/>
        </w:rPr>
        <w:t xml:space="preserve">functions </w:t>
      </w:r>
      <w:r w:rsidR="00F70F68">
        <w:rPr>
          <w:rFonts w:eastAsia="Times New Roman" w:cs="Arial"/>
          <w:sz w:val="21"/>
          <w:szCs w:val="21"/>
          <w:lang w:val="en-AU" w:eastAsia="en-AU"/>
        </w:rPr>
        <w:t xml:space="preserve">identified in </w:t>
      </w:r>
      <w:r w:rsidR="00DE4880">
        <w:rPr>
          <w:rFonts w:eastAsia="Times New Roman" w:cs="Arial"/>
          <w:sz w:val="21"/>
          <w:szCs w:val="21"/>
          <w:lang w:val="en-AU" w:eastAsia="en-AU"/>
        </w:rPr>
        <w:t>Section C</w:t>
      </w:r>
      <w:r w:rsidR="00DE4880" w:rsidRPr="00DE4880">
        <w:rPr>
          <w:rFonts w:eastAsia="Times New Roman" w:cs="Arial"/>
          <w:sz w:val="21"/>
          <w:szCs w:val="21"/>
          <w:lang w:val="en-AU" w:eastAsia="en-AU"/>
        </w:rPr>
        <w:t xml:space="preserve"> </w:t>
      </w:r>
      <w:r w:rsidR="00DE4880">
        <w:rPr>
          <w:rFonts w:eastAsia="Times New Roman" w:cs="Arial"/>
          <w:sz w:val="21"/>
          <w:szCs w:val="21"/>
          <w:lang w:val="en-AU" w:eastAsia="en-AU"/>
        </w:rPr>
        <w:t xml:space="preserve">through a mix of in-house expertise and </w:t>
      </w:r>
      <w:r w:rsidR="00F70F68">
        <w:rPr>
          <w:rFonts w:eastAsia="Times New Roman" w:cs="Arial"/>
          <w:sz w:val="21"/>
          <w:szCs w:val="21"/>
          <w:lang w:val="en-AU" w:eastAsia="en-AU"/>
        </w:rPr>
        <w:t xml:space="preserve">identifying, </w:t>
      </w:r>
      <w:proofErr w:type="gramStart"/>
      <w:r w:rsidR="00F70F68">
        <w:rPr>
          <w:rFonts w:eastAsia="Times New Roman" w:cs="Arial"/>
          <w:sz w:val="21"/>
          <w:szCs w:val="21"/>
          <w:lang w:val="en-AU" w:eastAsia="en-AU"/>
        </w:rPr>
        <w:t>recruiting</w:t>
      </w:r>
      <w:proofErr w:type="gramEnd"/>
      <w:r w:rsidR="00F70F68">
        <w:rPr>
          <w:rFonts w:eastAsia="Times New Roman" w:cs="Arial"/>
          <w:sz w:val="21"/>
          <w:szCs w:val="21"/>
          <w:lang w:val="en-AU" w:eastAsia="en-AU"/>
        </w:rPr>
        <w:t xml:space="preserve"> and managing</w:t>
      </w:r>
      <w:r w:rsidR="00DE4880">
        <w:rPr>
          <w:rFonts w:eastAsia="Times New Roman" w:cs="Arial"/>
          <w:sz w:val="21"/>
          <w:szCs w:val="21"/>
          <w:lang w:val="en-AU" w:eastAsia="en-AU"/>
        </w:rPr>
        <w:t xml:space="preserve"> external consultants with specialised expertise for short- and long-term advice.</w:t>
      </w:r>
    </w:p>
    <w:p w14:paraId="08EF2DD0" w14:textId="5457C7A1" w:rsidR="00DE4880" w:rsidRDefault="00C749A3">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The</w:t>
      </w:r>
      <w:r w:rsidR="00940141">
        <w:rPr>
          <w:rFonts w:eastAsia="Times New Roman" w:cs="Arial"/>
          <w:sz w:val="21"/>
          <w:szCs w:val="21"/>
          <w:lang w:val="en-AU" w:eastAsia="en-AU"/>
        </w:rPr>
        <w:t xml:space="preserve"> </w:t>
      </w:r>
      <w:r w:rsidR="006F5A0A">
        <w:rPr>
          <w:rFonts w:eastAsia="Times New Roman" w:cs="Arial"/>
          <w:sz w:val="21"/>
          <w:szCs w:val="21"/>
          <w:lang w:val="en-AU" w:eastAsia="en-AU"/>
        </w:rPr>
        <w:t>Support Unit</w:t>
      </w:r>
      <w:r w:rsidR="00940141">
        <w:rPr>
          <w:rFonts w:eastAsia="Times New Roman" w:cs="Arial"/>
          <w:sz w:val="21"/>
          <w:szCs w:val="21"/>
          <w:lang w:val="en-AU" w:eastAsia="en-AU"/>
        </w:rPr>
        <w:t xml:space="preserve"> </w:t>
      </w:r>
      <w:r w:rsidR="00365115">
        <w:rPr>
          <w:rFonts w:eastAsia="Times New Roman" w:cs="Arial"/>
          <w:sz w:val="21"/>
          <w:szCs w:val="21"/>
          <w:lang w:val="en-AU" w:eastAsia="en-AU"/>
        </w:rPr>
        <w:t xml:space="preserve">for Gender Equality </w:t>
      </w:r>
      <w:r w:rsidR="00DE4880">
        <w:rPr>
          <w:rFonts w:eastAsia="Times New Roman" w:cs="Arial"/>
          <w:sz w:val="21"/>
          <w:szCs w:val="21"/>
          <w:lang w:val="en-AU" w:eastAsia="en-AU"/>
        </w:rPr>
        <w:t>requires</w:t>
      </w:r>
      <w:r w:rsidR="00940141">
        <w:rPr>
          <w:rFonts w:eastAsia="Times New Roman" w:cs="Arial"/>
          <w:sz w:val="21"/>
          <w:szCs w:val="21"/>
          <w:lang w:val="en-AU" w:eastAsia="en-AU"/>
        </w:rPr>
        <w:t xml:space="preserve"> a contractor with a good understanding of DFAT’s gender equality agenda and with capability to work closely with DFAT to shape the forward agenda</w:t>
      </w:r>
      <w:r w:rsidR="00BB0A95" w:rsidRPr="00BB0A95">
        <w:rPr>
          <w:rFonts w:eastAsia="Times New Roman" w:cs="Arial"/>
          <w:sz w:val="21"/>
          <w:szCs w:val="21"/>
          <w:lang w:val="en-AU" w:eastAsia="en-AU"/>
        </w:rPr>
        <w:t xml:space="preserve"> </w:t>
      </w:r>
      <w:r w:rsidR="00BB0A95">
        <w:rPr>
          <w:rFonts w:eastAsia="Times New Roman" w:cs="Arial"/>
          <w:sz w:val="21"/>
          <w:szCs w:val="21"/>
          <w:lang w:val="en-AU" w:eastAsia="en-AU"/>
        </w:rPr>
        <w:t>guided by a set of agreed principles</w:t>
      </w:r>
      <w:r w:rsidR="00940141">
        <w:rPr>
          <w:rFonts w:eastAsia="Times New Roman" w:cs="Arial"/>
          <w:sz w:val="21"/>
          <w:szCs w:val="21"/>
          <w:lang w:val="en-AU" w:eastAsia="en-AU"/>
        </w:rPr>
        <w:t xml:space="preserve">. </w:t>
      </w:r>
      <w:r w:rsidR="00A36267">
        <w:rPr>
          <w:rFonts w:eastAsia="Times New Roman" w:cs="Arial"/>
          <w:sz w:val="21"/>
          <w:szCs w:val="21"/>
          <w:lang w:val="en-AU" w:eastAsia="en-AU"/>
        </w:rPr>
        <w:t xml:space="preserve"> </w:t>
      </w:r>
    </w:p>
    <w:p w14:paraId="7EED8CC7" w14:textId="482FEB1E" w:rsidR="007C11FC" w:rsidRDefault="00DE4880">
      <w:pPr>
        <w:tabs>
          <w:tab w:val="left" w:pos="284"/>
        </w:tabs>
        <w:suppressAutoHyphens w:val="0"/>
        <w:spacing w:before="0" w:line="280" w:lineRule="exact"/>
        <w:jc w:val="both"/>
        <w:rPr>
          <w:rFonts w:eastAsia="Times New Roman" w:cs="Arial"/>
          <w:sz w:val="21"/>
          <w:szCs w:val="21"/>
          <w:lang w:val="en-AU" w:eastAsia="en-AU"/>
        </w:rPr>
      </w:pPr>
      <w:r w:rsidRPr="00DE4880">
        <w:rPr>
          <w:rFonts w:eastAsia="Times New Roman" w:cs="Arial"/>
          <w:sz w:val="21"/>
          <w:szCs w:val="21"/>
          <w:lang w:val="en-AU" w:eastAsia="en-AU"/>
        </w:rPr>
        <w:t xml:space="preserve">The limitations of this option include the risk that </w:t>
      </w:r>
      <w:r w:rsidR="00E13235">
        <w:rPr>
          <w:rFonts w:eastAsia="Times New Roman" w:cs="Arial"/>
          <w:sz w:val="21"/>
          <w:szCs w:val="21"/>
          <w:lang w:val="en-AU" w:eastAsia="en-AU"/>
        </w:rPr>
        <w:t xml:space="preserve">externally contracted </w:t>
      </w:r>
      <w:r w:rsidRPr="00DE4880">
        <w:rPr>
          <w:rFonts w:eastAsia="Times New Roman" w:cs="Arial"/>
          <w:sz w:val="21"/>
          <w:szCs w:val="21"/>
          <w:lang w:val="en-AU" w:eastAsia="en-AU"/>
        </w:rPr>
        <w:t xml:space="preserve">advisors do not understand DFAT priorities and the potential fragmentation across the portfolio, due to the diverse range of advisers contributing expertise. </w:t>
      </w:r>
      <w:r w:rsidRPr="00DE4880">
        <w:rPr>
          <w:rFonts w:eastAsia="Times New Roman" w:cs="Arial"/>
          <w:sz w:val="21"/>
          <w:szCs w:val="21"/>
          <w:lang w:val="en-AU" w:eastAsia="en-AU"/>
        </w:rPr>
        <w:lastRenderedPageBreak/>
        <w:t xml:space="preserve">Ensuring that externally sourced specialist input is translated into programming decisions to impact on program quality, will require technical oversight and coordination by the </w:t>
      </w:r>
      <w:r>
        <w:rPr>
          <w:rFonts w:eastAsia="Times New Roman" w:cs="Arial"/>
          <w:sz w:val="21"/>
          <w:szCs w:val="21"/>
          <w:lang w:val="en-AU" w:eastAsia="en-AU"/>
        </w:rPr>
        <w:t>Gender Equality</w:t>
      </w:r>
      <w:r w:rsidRPr="00DE4880">
        <w:rPr>
          <w:rFonts w:eastAsia="Times New Roman" w:cs="Arial"/>
          <w:sz w:val="21"/>
          <w:szCs w:val="21"/>
          <w:lang w:val="en-AU" w:eastAsia="en-AU"/>
        </w:rPr>
        <w:t xml:space="preserve"> Branch in conjunction with the in-house advisory staff. A Steering Committee with representatives from a range of DFAT program areas will contribute to strategic and technical oversight.</w:t>
      </w:r>
      <w:r>
        <w:rPr>
          <w:rFonts w:eastAsia="Times New Roman" w:cs="Arial"/>
          <w:sz w:val="21"/>
          <w:szCs w:val="21"/>
          <w:lang w:val="en-AU" w:eastAsia="en-AU"/>
        </w:rPr>
        <w:t xml:space="preserve"> </w:t>
      </w:r>
      <w:r w:rsidR="001E4FEA">
        <w:rPr>
          <w:rFonts w:eastAsia="Times New Roman" w:cs="Arial"/>
          <w:sz w:val="21"/>
          <w:szCs w:val="21"/>
          <w:lang w:val="en-AU" w:eastAsia="en-AU"/>
        </w:rPr>
        <w:t xml:space="preserve">DFAT </w:t>
      </w:r>
      <w:r w:rsidR="00A36267">
        <w:rPr>
          <w:rFonts w:eastAsia="Times New Roman" w:cs="Arial"/>
          <w:sz w:val="21"/>
          <w:szCs w:val="21"/>
          <w:lang w:val="en-AU" w:eastAsia="en-AU"/>
        </w:rPr>
        <w:t xml:space="preserve">will ensure the </w:t>
      </w:r>
      <w:r w:rsidR="00822C8B">
        <w:rPr>
          <w:rFonts w:eastAsia="Times New Roman" w:cs="Arial"/>
          <w:sz w:val="21"/>
          <w:szCs w:val="21"/>
          <w:lang w:val="en-AU" w:eastAsia="en-AU"/>
        </w:rPr>
        <w:t>S</w:t>
      </w:r>
      <w:r w:rsidR="00A36267">
        <w:rPr>
          <w:rFonts w:eastAsia="Times New Roman" w:cs="Arial"/>
          <w:sz w:val="21"/>
          <w:szCs w:val="21"/>
          <w:lang w:val="en-AU" w:eastAsia="en-AU"/>
        </w:rPr>
        <w:t xml:space="preserve">upport </w:t>
      </w:r>
      <w:r w:rsidR="00822C8B">
        <w:rPr>
          <w:rFonts w:eastAsia="Times New Roman" w:cs="Arial"/>
          <w:sz w:val="21"/>
          <w:szCs w:val="21"/>
          <w:lang w:val="en-AU" w:eastAsia="en-AU"/>
        </w:rPr>
        <w:t>U</w:t>
      </w:r>
      <w:r w:rsidR="00A36267">
        <w:rPr>
          <w:rFonts w:eastAsia="Times New Roman" w:cs="Arial"/>
          <w:sz w:val="21"/>
          <w:szCs w:val="21"/>
          <w:lang w:val="en-AU" w:eastAsia="en-AU"/>
        </w:rPr>
        <w:t xml:space="preserve">nit is well known amongst DFAT gender practitioners, to ensure strategic and effective utilisation of the full suite of available services. </w:t>
      </w:r>
    </w:p>
    <w:p w14:paraId="63AB534F" w14:textId="66664F0E" w:rsidR="00287AC4" w:rsidRDefault="0008764C" w:rsidP="0085043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The model will also cater for technical advisory services for DFAT’s non-ODA work, </w:t>
      </w:r>
      <w:proofErr w:type="gramStart"/>
      <w:r>
        <w:rPr>
          <w:rFonts w:eastAsia="Times New Roman" w:cs="Arial"/>
          <w:sz w:val="21"/>
          <w:szCs w:val="21"/>
          <w:lang w:val="en-AU" w:eastAsia="en-AU"/>
        </w:rPr>
        <w:t>e.g.</w:t>
      </w:r>
      <w:proofErr w:type="gramEnd"/>
      <w:r>
        <w:rPr>
          <w:rFonts w:eastAsia="Times New Roman" w:cs="Arial"/>
          <w:sz w:val="21"/>
          <w:szCs w:val="21"/>
          <w:lang w:val="en-AU" w:eastAsia="en-AU"/>
        </w:rPr>
        <w:t xml:space="preserve"> labour mobility, cyber security, or maritime security.</w:t>
      </w:r>
      <w:r w:rsidR="00BE4FD0">
        <w:rPr>
          <w:rFonts w:eastAsia="Times New Roman" w:cs="Arial"/>
          <w:sz w:val="21"/>
          <w:szCs w:val="21"/>
          <w:lang w:val="en-AU" w:eastAsia="en-AU"/>
        </w:rPr>
        <w:t xml:space="preserve"> Access to – and strategies to build a network of – a diverse range of consultants, in particular local consultants from/working in target countries, will be a factor in contracting. </w:t>
      </w:r>
    </w:p>
    <w:p w14:paraId="63699760" w14:textId="58DDA462" w:rsidR="001E4FEA" w:rsidRPr="00DE4880" w:rsidRDefault="001E4FEA" w:rsidP="0085043B">
      <w:pPr>
        <w:tabs>
          <w:tab w:val="left" w:pos="284"/>
        </w:tabs>
        <w:suppressAutoHyphens w:val="0"/>
        <w:spacing w:before="0" w:line="280" w:lineRule="exact"/>
        <w:jc w:val="both"/>
        <w:rPr>
          <w:rFonts w:eastAsia="Times New Roman" w:cs="Arial"/>
          <w:b/>
          <w:bCs/>
          <w:sz w:val="21"/>
          <w:szCs w:val="21"/>
          <w:lang w:val="en-AU" w:eastAsia="en-AU"/>
        </w:rPr>
      </w:pPr>
      <w:r w:rsidRPr="00DE4880">
        <w:rPr>
          <w:rFonts w:eastAsia="Times New Roman" w:cs="Arial"/>
          <w:b/>
          <w:bCs/>
          <w:sz w:val="21"/>
          <w:szCs w:val="21"/>
          <w:lang w:val="en-AU" w:eastAsia="en-AU"/>
        </w:rPr>
        <w:t>DFAT Support:</w:t>
      </w:r>
    </w:p>
    <w:p w14:paraId="34E116EE" w14:textId="276CD14C" w:rsidR="00A27988" w:rsidRDefault="00CF7F3D" w:rsidP="0085043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DFAT will put in place a</w:t>
      </w:r>
      <w:r w:rsidR="00A27988">
        <w:rPr>
          <w:rFonts w:eastAsia="Times New Roman" w:cs="Arial"/>
          <w:sz w:val="21"/>
          <w:szCs w:val="21"/>
          <w:lang w:val="en-AU" w:eastAsia="en-AU"/>
        </w:rPr>
        <w:t xml:space="preserve"> governance model to </w:t>
      </w:r>
      <w:r w:rsidR="001F3A28">
        <w:rPr>
          <w:rFonts w:eastAsia="Times New Roman" w:cs="Arial"/>
          <w:sz w:val="21"/>
          <w:szCs w:val="21"/>
          <w:lang w:val="en-AU" w:eastAsia="en-AU"/>
        </w:rPr>
        <w:t xml:space="preserve">monitor performance and </w:t>
      </w:r>
      <w:r w:rsidR="00A27988">
        <w:rPr>
          <w:rFonts w:eastAsia="Times New Roman" w:cs="Arial"/>
          <w:sz w:val="21"/>
          <w:szCs w:val="21"/>
          <w:lang w:val="en-AU" w:eastAsia="en-AU"/>
        </w:rPr>
        <w:t>enable transparent determination of priorities and services</w:t>
      </w:r>
      <w:r>
        <w:rPr>
          <w:rFonts w:eastAsia="Times New Roman" w:cs="Arial"/>
          <w:sz w:val="21"/>
          <w:szCs w:val="21"/>
          <w:lang w:val="en-AU" w:eastAsia="en-AU"/>
        </w:rPr>
        <w:t xml:space="preserve"> of the Support Unit.</w:t>
      </w:r>
      <w:r w:rsidR="00E13235">
        <w:rPr>
          <w:rFonts w:eastAsia="Times New Roman" w:cs="Arial"/>
          <w:sz w:val="21"/>
          <w:szCs w:val="21"/>
          <w:lang w:val="en-AU" w:eastAsia="en-AU"/>
        </w:rPr>
        <w:t xml:space="preserve"> </w:t>
      </w:r>
      <w:r w:rsidR="00A27988">
        <w:rPr>
          <w:rFonts w:eastAsia="Times New Roman" w:cs="Arial"/>
          <w:sz w:val="21"/>
          <w:szCs w:val="21"/>
          <w:lang w:val="en-AU" w:eastAsia="en-AU"/>
        </w:rPr>
        <w:t xml:space="preserve">This will ensure the Support Unit is service-oriented and focused on DFAT’s priority areas. </w:t>
      </w:r>
      <w:r w:rsidR="00664813">
        <w:rPr>
          <w:rFonts w:eastAsia="Times New Roman" w:cs="Arial"/>
          <w:sz w:val="21"/>
          <w:szCs w:val="21"/>
          <w:lang w:val="en-AU" w:eastAsia="en-AU"/>
        </w:rPr>
        <w:t xml:space="preserve">Learning from the recent </w:t>
      </w:r>
      <w:r w:rsidR="00387583">
        <w:rPr>
          <w:rFonts w:eastAsia="Times New Roman" w:cs="Arial"/>
          <w:sz w:val="21"/>
          <w:szCs w:val="21"/>
          <w:lang w:val="en-AU" w:eastAsia="en-AU"/>
        </w:rPr>
        <w:t>Specialist Health Services (</w:t>
      </w:r>
      <w:r w:rsidR="00664813">
        <w:rPr>
          <w:rFonts w:eastAsia="Times New Roman" w:cs="Arial"/>
          <w:sz w:val="21"/>
          <w:szCs w:val="21"/>
          <w:lang w:val="en-AU" w:eastAsia="en-AU"/>
        </w:rPr>
        <w:t>SHS</w:t>
      </w:r>
      <w:r w:rsidR="00387583">
        <w:rPr>
          <w:rFonts w:eastAsia="Times New Roman" w:cs="Arial"/>
          <w:sz w:val="21"/>
          <w:szCs w:val="21"/>
          <w:lang w:val="en-AU" w:eastAsia="en-AU"/>
        </w:rPr>
        <w:t>)</w:t>
      </w:r>
      <w:r w:rsidR="00664813">
        <w:rPr>
          <w:rFonts w:eastAsia="Times New Roman" w:cs="Arial"/>
          <w:sz w:val="21"/>
          <w:szCs w:val="21"/>
          <w:lang w:val="en-AU" w:eastAsia="en-AU"/>
        </w:rPr>
        <w:t xml:space="preserve"> evaluation, </w:t>
      </w:r>
      <w:r w:rsidR="007229EF">
        <w:rPr>
          <w:rFonts w:eastAsia="Times New Roman" w:cs="Arial"/>
          <w:sz w:val="21"/>
          <w:szCs w:val="21"/>
          <w:lang w:val="en-AU" w:eastAsia="en-AU"/>
        </w:rPr>
        <w:t xml:space="preserve">a separate monthly management meeting will focus on implementation of the strategic settings determined by the governance group. </w:t>
      </w:r>
      <w:r w:rsidR="00822C8B">
        <w:rPr>
          <w:rFonts w:eastAsia="Times New Roman" w:cs="Arial"/>
          <w:sz w:val="21"/>
          <w:szCs w:val="21"/>
          <w:lang w:val="en-AU" w:eastAsia="en-AU"/>
        </w:rPr>
        <w:t xml:space="preserve">DFAT </w:t>
      </w:r>
      <w:r w:rsidR="00664813">
        <w:rPr>
          <w:rFonts w:eastAsia="Times New Roman" w:cs="Arial"/>
          <w:sz w:val="21"/>
          <w:szCs w:val="21"/>
          <w:lang w:val="en-AU" w:eastAsia="en-AU"/>
        </w:rPr>
        <w:t xml:space="preserve">will put in place </w:t>
      </w:r>
      <w:r w:rsidR="00664813" w:rsidRPr="005C1B50">
        <w:rPr>
          <w:rFonts w:eastAsia="Times New Roman" w:cs="Arial"/>
          <w:sz w:val="21"/>
          <w:szCs w:val="21"/>
          <w:lang w:val="en-AU" w:eastAsia="en-AU"/>
        </w:rPr>
        <w:t xml:space="preserve">processes for monitoring </w:t>
      </w:r>
      <w:r w:rsidR="001F3A28" w:rsidRPr="005C1B50">
        <w:rPr>
          <w:rFonts w:eastAsia="Times New Roman" w:cs="Arial"/>
          <w:sz w:val="21"/>
          <w:szCs w:val="21"/>
          <w:lang w:val="en-AU" w:eastAsia="en-AU"/>
        </w:rPr>
        <w:t xml:space="preserve">use of outputs and their contribution to </w:t>
      </w:r>
      <w:r w:rsidR="00664813" w:rsidRPr="005C1B50">
        <w:rPr>
          <w:rFonts w:eastAsia="Times New Roman" w:cs="Arial"/>
          <w:sz w:val="21"/>
          <w:szCs w:val="21"/>
          <w:lang w:val="en-AU" w:eastAsia="en-AU"/>
        </w:rPr>
        <w:t>impact</w:t>
      </w:r>
      <w:r w:rsidR="001F3A28" w:rsidRPr="005C1B50">
        <w:rPr>
          <w:rFonts w:eastAsia="Times New Roman" w:cs="Arial"/>
          <w:sz w:val="21"/>
          <w:szCs w:val="21"/>
          <w:lang w:val="en-AU" w:eastAsia="en-AU"/>
        </w:rPr>
        <w:t>;</w:t>
      </w:r>
      <w:r w:rsidR="00664813" w:rsidRPr="005C1B50">
        <w:rPr>
          <w:rFonts w:eastAsia="Times New Roman" w:cs="Arial"/>
          <w:sz w:val="21"/>
          <w:szCs w:val="21"/>
          <w:lang w:val="en-AU" w:eastAsia="en-AU"/>
        </w:rPr>
        <w:t xml:space="preserve"> </w:t>
      </w:r>
      <w:r w:rsidR="001F3A28" w:rsidRPr="005C1B50">
        <w:rPr>
          <w:rFonts w:eastAsia="Times New Roman" w:cs="Arial"/>
          <w:sz w:val="21"/>
          <w:szCs w:val="21"/>
          <w:lang w:val="en-AU" w:eastAsia="en-AU"/>
        </w:rPr>
        <w:t>regularly assessing and strengthening DFAT capacity to commission support effectively; disseminating products;</w:t>
      </w:r>
      <w:r w:rsidR="00664813" w:rsidRPr="005C1B50">
        <w:rPr>
          <w:rFonts w:eastAsia="Times New Roman" w:cs="Arial"/>
          <w:sz w:val="21"/>
          <w:szCs w:val="21"/>
          <w:lang w:val="en-AU" w:eastAsia="en-AU"/>
        </w:rPr>
        <w:t xml:space="preserve"> and cross-Departmental learning.</w:t>
      </w:r>
      <w:r w:rsidR="007229EF">
        <w:rPr>
          <w:color w:val="auto"/>
        </w:rPr>
        <w:t xml:space="preserve"> </w:t>
      </w:r>
    </w:p>
    <w:p w14:paraId="352105BA" w14:textId="77777777" w:rsidR="00871D4E" w:rsidRPr="00DE4880" w:rsidRDefault="00871D4E" w:rsidP="00871D4E">
      <w:pPr>
        <w:tabs>
          <w:tab w:val="left" w:pos="284"/>
        </w:tabs>
        <w:suppressAutoHyphens w:val="0"/>
        <w:spacing w:before="0" w:line="280" w:lineRule="exact"/>
        <w:jc w:val="both"/>
        <w:rPr>
          <w:b/>
          <w:bCs/>
        </w:rPr>
      </w:pPr>
      <w:r w:rsidRPr="00DE4880">
        <w:rPr>
          <w:b/>
          <w:bCs/>
        </w:rPr>
        <w:t xml:space="preserve">Budget: </w:t>
      </w:r>
    </w:p>
    <w:p w14:paraId="5BAD8764" w14:textId="5E2F0E78" w:rsidR="00871D4E" w:rsidRDefault="00871D4E" w:rsidP="00871D4E">
      <w:pPr>
        <w:tabs>
          <w:tab w:val="left" w:pos="284"/>
        </w:tabs>
        <w:suppressAutoHyphens w:val="0"/>
        <w:spacing w:before="0" w:line="280" w:lineRule="exact"/>
        <w:jc w:val="both"/>
      </w:pPr>
      <w:r w:rsidRPr="00B81B81">
        <w:t xml:space="preserve">The fixed budget to support services provided is up to $1 million annually (total $2 million) over </w:t>
      </w:r>
      <w:r w:rsidR="00B81B81" w:rsidRPr="00B81B81">
        <w:t>the initial</w:t>
      </w:r>
      <w:r w:rsidRPr="00B81B81">
        <w:t xml:space="preserve"> two-year term</w:t>
      </w:r>
      <w:r w:rsidR="00B81B81" w:rsidRPr="00B81B81">
        <w:t>, with additional budget if the program is extended</w:t>
      </w:r>
      <w:r w:rsidRPr="00B81B81">
        <w:t xml:space="preserve">. </w:t>
      </w:r>
      <w:r w:rsidR="00DE4880" w:rsidRPr="00B81B81">
        <w:rPr>
          <w:rFonts w:eastAsia="Times New Roman" w:cs="Arial"/>
          <w:sz w:val="21"/>
          <w:szCs w:val="21"/>
          <w:lang w:val="en-AU" w:eastAsia="en-AU"/>
        </w:rPr>
        <w:t>This budget includes support costs for recruitment of in-house staff with gender equality expertise (pending security clearances), and the costs of services provided by external consultants.</w:t>
      </w:r>
    </w:p>
    <w:p w14:paraId="567495E5" w14:textId="77777777" w:rsidR="00871D4E" w:rsidRDefault="00871D4E" w:rsidP="0085043B">
      <w:pPr>
        <w:tabs>
          <w:tab w:val="left" w:pos="284"/>
        </w:tabs>
        <w:suppressAutoHyphens w:val="0"/>
        <w:spacing w:before="0" w:line="280" w:lineRule="exact"/>
        <w:jc w:val="both"/>
        <w:rPr>
          <w:rFonts w:eastAsia="Times New Roman" w:cs="Arial"/>
          <w:sz w:val="21"/>
          <w:szCs w:val="21"/>
          <w:lang w:val="en-AU" w:eastAsia="en-AU"/>
        </w:rPr>
      </w:pPr>
    </w:p>
    <w:p w14:paraId="593DAA69" w14:textId="1335A5CD" w:rsidR="00490CDB" w:rsidRPr="00490CDB" w:rsidRDefault="00971FA2" w:rsidP="0085043B">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jc w:val="both"/>
        <w:rPr>
          <w:rFonts w:asciiTheme="majorHAnsi" w:eastAsia="Times New Roman" w:hAnsiTheme="majorHAnsi" w:cs="Arial"/>
        </w:rPr>
      </w:pPr>
      <w:r>
        <w:rPr>
          <w:rFonts w:asciiTheme="majorHAnsi" w:hAnsiTheme="majorHAnsi" w:cs="Arial"/>
          <w:b/>
        </w:rPr>
        <w:t>Risks</w:t>
      </w:r>
    </w:p>
    <w:p w14:paraId="08D6EBDA" w14:textId="4EE07B6D" w:rsidR="00DA47DC" w:rsidRPr="00DE4880" w:rsidRDefault="00DA47DC" w:rsidP="0085043B">
      <w:pPr>
        <w:tabs>
          <w:tab w:val="left" w:pos="284"/>
        </w:tabs>
        <w:suppressAutoHyphens w:val="0"/>
        <w:spacing w:before="0" w:line="280" w:lineRule="exact"/>
        <w:jc w:val="both"/>
        <w:rPr>
          <w:rFonts w:eastAsia="Times New Roman" w:cs="Arial"/>
          <w:sz w:val="21"/>
          <w:szCs w:val="21"/>
          <w:lang w:val="en-AU" w:eastAsia="en-AU"/>
        </w:rPr>
      </w:pPr>
      <w:r w:rsidRPr="00DE4880">
        <w:rPr>
          <w:sz w:val="21"/>
          <w:szCs w:val="21"/>
        </w:rPr>
        <w:t>The recommended investment option, as assessed by the Risk and Safeguards Tool is assessed as “low” risk. Key risks to meeting the objectives of the program include:</w:t>
      </w:r>
    </w:p>
    <w:p w14:paraId="303460ED" w14:textId="1F20E2C5" w:rsidR="00D75C7D" w:rsidRPr="00DE4880" w:rsidRDefault="00D75C7D" w:rsidP="00DE4880">
      <w:pPr>
        <w:pStyle w:val="ListParagraph"/>
        <w:numPr>
          <w:ilvl w:val="0"/>
          <w:numId w:val="22"/>
        </w:numPr>
        <w:tabs>
          <w:tab w:val="left" w:pos="284"/>
        </w:tabs>
        <w:suppressAutoHyphens w:val="0"/>
        <w:spacing w:before="0" w:line="280" w:lineRule="exact"/>
        <w:jc w:val="both"/>
        <w:rPr>
          <w:rFonts w:eastAsia="Times New Roman" w:cs="Arial"/>
          <w:b/>
          <w:bCs/>
          <w:sz w:val="21"/>
          <w:szCs w:val="21"/>
          <w:lang w:val="en-AU" w:eastAsia="en-AU"/>
        </w:rPr>
      </w:pPr>
      <w:r w:rsidRPr="00DE4880">
        <w:rPr>
          <w:rFonts w:eastAsia="Times New Roman" w:cs="Arial"/>
          <w:b/>
          <w:bCs/>
          <w:sz w:val="21"/>
          <w:szCs w:val="21"/>
          <w:lang w:val="en-AU" w:eastAsia="en-AU"/>
        </w:rPr>
        <w:t>Poor coordination</w:t>
      </w:r>
      <w:r w:rsidRPr="00DE4880">
        <w:rPr>
          <w:rFonts w:eastAsia="Times New Roman" w:cs="Arial"/>
          <w:sz w:val="21"/>
          <w:szCs w:val="21"/>
          <w:lang w:val="en-AU" w:eastAsia="en-AU"/>
        </w:rPr>
        <w:t xml:space="preserve"> between the mechanism and </w:t>
      </w:r>
      <w:r w:rsidR="00DA47DC" w:rsidRPr="00DE4880">
        <w:rPr>
          <w:rFonts w:eastAsia="Times New Roman" w:cs="Arial"/>
          <w:sz w:val="21"/>
          <w:szCs w:val="21"/>
          <w:lang w:val="en-AU" w:eastAsia="en-AU"/>
        </w:rPr>
        <w:t xml:space="preserve">DFAT </w:t>
      </w:r>
      <w:r w:rsidRPr="00DE4880">
        <w:rPr>
          <w:rFonts w:eastAsia="Times New Roman" w:cs="Arial"/>
          <w:sz w:val="21"/>
          <w:szCs w:val="21"/>
          <w:lang w:val="en-AU" w:eastAsia="en-AU"/>
        </w:rPr>
        <w:t xml:space="preserve">may limit </w:t>
      </w:r>
      <w:r w:rsidR="00DA47DC" w:rsidRPr="00DE4880">
        <w:rPr>
          <w:rFonts w:eastAsia="Times New Roman" w:cs="Arial"/>
          <w:sz w:val="21"/>
          <w:szCs w:val="21"/>
          <w:lang w:val="en-AU" w:eastAsia="en-AU"/>
        </w:rPr>
        <w:t xml:space="preserve">the Department’s </w:t>
      </w:r>
      <w:r w:rsidRPr="00DE4880">
        <w:rPr>
          <w:rFonts w:eastAsia="Times New Roman" w:cs="Arial"/>
          <w:sz w:val="21"/>
          <w:szCs w:val="21"/>
          <w:lang w:val="en-AU" w:eastAsia="en-AU"/>
        </w:rPr>
        <w:t>ability to meaningfully influence outcomes.</w:t>
      </w:r>
      <w:r w:rsidR="0036130A" w:rsidRPr="00DE4880">
        <w:rPr>
          <w:rFonts w:eastAsia="Times New Roman" w:cs="Arial"/>
          <w:sz w:val="21"/>
          <w:szCs w:val="21"/>
          <w:lang w:val="en-AU" w:eastAsia="en-AU"/>
        </w:rPr>
        <w:t xml:space="preserve"> This would possibly lead to products that do not match DFAT’s demand or that may not be suitable for DFAT audiences (</w:t>
      </w:r>
      <w:proofErr w:type="gramStart"/>
      <w:r w:rsidR="0036130A" w:rsidRPr="00DE4880">
        <w:rPr>
          <w:rFonts w:eastAsia="Times New Roman" w:cs="Arial"/>
          <w:sz w:val="21"/>
          <w:szCs w:val="21"/>
          <w:lang w:val="en-AU" w:eastAsia="en-AU"/>
        </w:rPr>
        <w:t>e.g.</w:t>
      </w:r>
      <w:proofErr w:type="gramEnd"/>
      <w:r w:rsidR="0036130A" w:rsidRPr="00DE4880">
        <w:rPr>
          <w:rFonts w:eastAsia="Times New Roman" w:cs="Arial"/>
          <w:sz w:val="21"/>
          <w:szCs w:val="21"/>
          <w:lang w:val="en-AU" w:eastAsia="en-AU"/>
        </w:rPr>
        <w:t xml:space="preserve"> language/jargon, pitch, scope). </w:t>
      </w:r>
    </w:p>
    <w:p w14:paraId="712EE01C" w14:textId="33699BAA" w:rsidR="0036130A" w:rsidRPr="004F6EC2" w:rsidRDefault="00250461" w:rsidP="00DE4880">
      <w:pPr>
        <w:pStyle w:val="ListParagraph"/>
        <w:numPr>
          <w:ilvl w:val="0"/>
          <w:numId w:val="22"/>
        </w:numPr>
        <w:tabs>
          <w:tab w:val="left" w:pos="284"/>
        </w:tabs>
        <w:suppressAutoHyphens w:val="0"/>
        <w:spacing w:before="0" w:line="280" w:lineRule="exact"/>
        <w:jc w:val="both"/>
        <w:rPr>
          <w:rFonts w:eastAsia="Times New Roman" w:cs="Arial"/>
          <w:sz w:val="21"/>
          <w:szCs w:val="21"/>
          <w:lang w:val="en-AU" w:eastAsia="en-AU"/>
        </w:rPr>
      </w:pPr>
      <w:r w:rsidRPr="00DE4880">
        <w:rPr>
          <w:rFonts w:eastAsia="Times New Roman" w:cs="Arial"/>
          <w:b/>
          <w:bCs/>
          <w:sz w:val="21"/>
          <w:szCs w:val="21"/>
          <w:lang w:val="en-AU" w:eastAsia="en-AU"/>
        </w:rPr>
        <w:t>Loss of internal expertise/de-skilling of DFAT staff:</w:t>
      </w:r>
      <w:r w:rsidRPr="00DE4880">
        <w:rPr>
          <w:rFonts w:eastAsia="Times New Roman" w:cs="Arial"/>
          <w:sz w:val="21"/>
          <w:szCs w:val="21"/>
          <w:lang w:val="en-AU" w:eastAsia="en-AU"/>
        </w:rPr>
        <w:t xml:space="preserve"> Outsourcing of technical advice may lead to de-skilling of DFAT staff in development/program management and thematic/technical knowledge. </w:t>
      </w:r>
      <w:r w:rsidR="00DA47DC">
        <w:rPr>
          <w:rFonts w:eastAsia="Times New Roman" w:cs="Arial"/>
          <w:sz w:val="21"/>
          <w:szCs w:val="21"/>
          <w:lang w:val="en-AU" w:eastAsia="en-AU"/>
        </w:rPr>
        <w:t xml:space="preserve"> </w:t>
      </w:r>
      <w:r w:rsidR="00D52C31">
        <w:rPr>
          <w:rFonts w:eastAsia="Times New Roman" w:cs="Arial"/>
          <w:sz w:val="21"/>
          <w:szCs w:val="21"/>
          <w:lang w:val="en-AU" w:eastAsia="en-AU"/>
        </w:rPr>
        <w:t xml:space="preserve">DFAT staff will need to retain sufficient knowledge and expertise to </w:t>
      </w:r>
      <w:r w:rsidR="00D52C31" w:rsidRPr="002B7E34">
        <w:rPr>
          <w:rFonts w:eastAsia="Times New Roman" w:cs="Arial"/>
          <w:sz w:val="21"/>
          <w:szCs w:val="21"/>
          <w:lang w:val="en-AU" w:eastAsia="en-AU"/>
        </w:rPr>
        <w:t>be able to identify potential problems or opportunities</w:t>
      </w:r>
      <w:r w:rsidR="00D52C31">
        <w:rPr>
          <w:rFonts w:eastAsia="Times New Roman" w:cs="Arial"/>
          <w:sz w:val="21"/>
          <w:szCs w:val="21"/>
          <w:lang w:val="en-AU" w:eastAsia="en-AU"/>
        </w:rPr>
        <w:t xml:space="preserve"> be able</w:t>
      </w:r>
      <w:r w:rsidR="00D52C31" w:rsidRPr="002B7E34">
        <w:rPr>
          <w:rFonts w:eastAsia="Times New Roman" w:cs="Arial"/>
          <w:sz w:val="21"/>
          <w:szCs w:val="21"/>
          <w:lang w:val="en-AU" w:eastAsia="en-AU"/>
        </w:rPr>
        <w:t xml:space="preserve"> to refer </w:t>
      </w:r>
      <w:r w:rsidR="00D52C31">
        <w:rPr>
          <w:rFonts w:eastAsia="Times New Roman" w:cs="Arial"/>
          <w:sz w:val="21"/>
          <w:szCs w:val="21"/>
          <w:lang w:val="en-AU" w:eastAsia="en-AU"/>
        </w:rPr>
        <w:t>tasks</w:t>
      </w:r>
      <w:r w:rsidR="00D52C31" w:rsidRPr="002B7E34">
        <w:rPr>
          <w:rFonts w:eastAsia="Times New Roman" w:cs="Arial"/>
          <w:sz w:val="21"/>
          <w:szCs w:val="21"/>
          <w:lang w:val="en-AU" w:eastAsia="en-AU"/>
        </w:rPr>
        <w:t xml:space="preserve"> to the helpdesk in the first place.</w:t>
      </w:r>
      <w:r w:rsidR="00D52C31">
        <w:rPr>
          <w:rFonts w:eastAsia="Times New Roman" w:cs="Arial"/>
          <w:sz w:val="21"/>
          <w:szCs w:val="21"/>
          <w:lang w:val="en-AU" w:eastAsia="en-AU"/>
        </w:rPr>
        <w:t xml:space="preserve"> </w:t>
      </w:r>
      <w:r w:rsidR="00DA47DC">
        <w:rPr>
          <w:rFonts w:eastAsia="Times New Roman" w:cs="Arial"/>
          <w:sz w:val="21"/>
          <w:szCs w:val="21"/>
          <w:lang w:val="en-AU" w:eastAsia="en-AU"/>
        </w:rPr>
        <w:t>Outsourcing of technical advice needs to be carefully balanced with professional development opportunities to maintain DFAT in house developme</w:t>
      </w:r>
      <w:r w:rsidR="00D52C31">
        <w:rPr>
          <w:rFonts w:eastAsia="Times New Roman" w:cs="Arial"/>
          <w:sz w:val="21"/>
          <w:szCs w:val="21"/>
          <w:lang w:val="en-AU" w:eastAsia="en-AU"/>
        </w:rPr>
        <w:t xml:space="preserve">nt/program management and thematic/technical knowledge. </w:t>
      </w:r>
    </w:p>
    <w:p w14:paraId="7B4F85B0" w14:textId="6AC169EB" w:rsidR="0083342D" w:rsidRPr="004F6EC2" w:rsidRDefault="00740169" w:rsidP="004F6EC2">
      <w:pPr>
        <w:pStyle w:val="ListParagraph"/>
        <w:numPr>
          <w:ilvl w:val="0"/>
          <w:numId w:val="22"/>
        </w:numPr>
        <w:tabs>
          <w:tab w:val="left" w:pos="284"/>
        </w:tabs>
        <w:suppressAutoHyphens w:val="0"/>
        <w:spacing w:before="0" w:line="280" w:lineRule="exact"/>
        <w:jc w:val="both"/>
        <w:rPr>
          <w:rFonts w:eastAsia="Times New Roman" w:cs="Arial"/>
          <w:b/>
          <w:bCs/>
          <w:sz w:val="21"/>
          <w:szCs w:val="21"/>
          <w:lang w:val="en-AU" w:eastAsia="en-AU"/>
        </w:rPr>
      </w:pPr>
      <w:r w:rsidRPr="004F6EC2">
        <w:rPr>
          <w:rFonts w:eastAsia="Times New Roman" w:cs="Arial"/>
          <w:b/>
          <w:bCs/>
          <w:sz w:val="21"/>
          <w:szCs w:val="21"/>
          <w:lang w:val="en-AU" w:eastAsia="en-AU"/>
        </w:rPr>
        <w:t>Limited</w:t>
      </w:r>
      <w:r w:rsidR="003C2D0C" w:rsidRPr="004F6EC2">
        <w:rPr>
          <w:rFonts w:eastAsia="Times New Roman" w:cs="Arial"/>
          <w:b/>
          <w:bCs/>
          <w:sz w:val="21"/>
          <w:szCs w:val="21"/>
          <w:lang w:val="en-AU" w:eastAsia="en-AU"/>
        </w:rPr>
        <w:t xml:space="preserve"> uptake of support unit services</w:t>
      </w:r>
      <w:r w:rsidRPr="004F6EC2">
        <w:rPr>
          <w:rFonts w:eastAsia="Times New Roman" w:cs="Arial"/>
          <w:b/>
          <w:bCs/>
          <w:sz w:val="21"/>
          <w:szCs w:val="21"/>
          <w:lang w:val="en-AU" w:eastAsia="en-AU"/>
        </w:rPr>
        <w:t>/services do not meet demand</w:t>
      </w:r>
    </w:p>
    <w:p w14:paraId="6199CA1E" w14:textId="0C497361" w:rsidR="004F6EC2" w:rsidRPr="004F6EC2" w:rsidRDefault="004F6EC2" w:rsidP="004F6EC2">
      <w:pPr>
        <w:tabs>
          <w:tab w:val="left" w:pos="284"/>
        </w:tabs>
        <w:suppressAutoHyphens w:val="0"/>
        <w:spacing w:before="0" w:line="280" w:lineRule="exact"/>
        <w:ind w:left="284"/>
        <w:jc w:val="both"/>
        <w:rPr>
          <w:rFonts w:eastAsia="Times New Roman" w:cs="Arial"/>
          <w:sz w:val="21"/>
          <w:szCs w:val="21"/>
          <w:lang w:val="en-AU" w:eastAsia="en-AU"/>
        </w:rPr>
      </w:pPr>
      <w:r>
        <w:rPr>
          <w:rFonts w:eastAsia="Times New Roman" w:cs="Arial"/>
          <w:sz w:val="21"/>
          <w:szCs w:val="21"/>
          <w:lang w:val="en-AU" w:eastAsia="en-AU"/>
        </w:rPr>
        <w:t xml:space="preserve">Due to competing priorities or a lack of awareness of available expertise, DFAT program areas and/or </w:t>
      </w:r>
      <w:r w:rsidRPr="004F6EC2">
        <w:rPr>
          <w:rFonts w:eastAsia="Times New Roman" w:cs="Arial"/>
          <w:sz w:val="21"/>
          <w:szCs w:val="21"/>
          <w:lang w:val="en-AU" w:eastAsia="en-AU"/>
        </w:rPr>
        <w:t>Partner Governments in the region may not take up the offer of specialist advice.</w:t>
      </w:r>
      <w:r>
        <w:rPr>
          <w:rFonts w:eastAsia="Times New Roman" w:cs="Arial"/>
          <w:sz w:val="21"/>
          <w:szCs w:val="21"/>
          <w:lang w:val="en-AU" w:eastAsia="en-AU"/>
        </w:rPr>
        <w:t xml:space="preserve"> </w:t>
      </w:r>
    </w:p>
    <w:p w14:paraId="2BD9A4B7" w14:textId="77777777"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5A31E8EC" w14:textId="77777777"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sectPr w:rsidR="00E66987" w:rsidSect="00281602">
          <w:headerReference w:type="default" r:id="rId8"/>
          <w:footerReference w:type="default" r:id="rId9"/>
          <w:headerReference w:type="first" r:id="rId10"/>
          <w:footerReference w:type="first" r:id="rId11"/>
          <w:pgSz w:w="11906" w:h="16838" w:code="9"/>
          <w:pgMar w:top="1418" w:right="1134" w:bottom="1418" w:left="1134" w:header="425" w:footer="493" w:gutter="0"/>
          <w:cols w:space="397"/>
          <w:titlePg/>
          <w:docGrid w:linePitch="360"/>
        </w:sectPr>
      </w:pPr>
    </w:p>
    <w:p w14:paraId="6931632F" w14:textId="7F18E0D6"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69053102" w14:textId="251CEE14"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1B1E0BF1" w14:textId="77777777"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24D2E1C4" w14:textId="05A5AFD9"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0FF84648" w14:textId="6F617105" w:rsidR="00AC2F57" w:rsidRPr="00847153" w:rsidRDefault="00E66987" w:rsidP="0085043B">
      <w:pPr>
        <w:tabs>
          <w:tab w:val="left" w:pos="284"/>
        </w:tabs>
        <w:suppressAutoHyphens w:val="0"/>
        <w:spacing w:before="0" w:line="280" w:lineRule="exact"/>
        <w:jc w:val="both"/>
        <w:rPr>
          <w:rFonts w:eastAsia="Times New Roman" w:cs="Arial"/>
          <w:b/>
          <w:bCs/>
          <w:iCs/>
          <w:sz w:val="28"/>
          <w:szCs w:val="28"/>
          <w:lang w:val="en-AU" w:eastAsia="en-AU"/>
        </w:rPr>
      </w:pPr>
      <w:r w:rsidRPr="00847153">
        <w:rPr>
          <w:rFonts w:eastAsia="Times New Roman" w:cs="Arial"/>
          <w:b/>
          <w:bCs/>
          <w:iCs/>
          <w:sz w:val="28"/>
          <w:szCs w:val="28"/>
          <w:lang w:val="en-AU" w:eastAsia="en-AU"/>
        </w:rPr>
        <w:t>Annex 1: Provisional Theory of Change for the Support Unit for Gender Equality</w:t>
      </w:r>
    </w:p>
    <w:p w14:paraId="3C501211" w14:textId="7832CA65" w:rsidR="00E66987" w:rsidRDefault="00E66987" w:rsidP="0085043B">
      <w:pPr>
        <w:tabs>
          <w:tab w:val="left" w:pos="284"/>
        </w:tabs>
        <w:suppressAutoHyphens w:val="0"/>
        <w:spacing w:before="0" w:line="280" w:lineRule="exact"/>
        <w:jc w:val="both"/>
        <w:rPr>
          <w:rFonts w:eastAsia="Times New Roman" w:cs="Arial"/>
          <w:iCs/>
          <w:sz w:val="21"/>
          <w:szCs w:val="21"/>
          <w:lang w:val="en-AU" w:eastAsia="en-AU"/>
        </w:rPr>
      </w:pPr>
    </w:p>
    <w:p w14:paraId="47E1F8C1" w14:textId="4F8B8F75" w:rsidR="0090022F" w:rsidRPr="00907A52" w:rsidRDefault="0090022F" w:rsidP="0085043B">
      <w:pPr>
        <w:tabs>
          <w:tab w:val="left" w:pos="284"/>
        </w:tabs>
        <w:suppressAutoHyphens w:val="0"/>
        <w:spacing w:before="0" w:line="280" w:lineRule="exact"/>
        <w:jc w:val="both"/>
        <w:rPr>
          <w:rFonts w:eastAsia="Times New Roman" w:cs="Arial"/>
          <w:iCs/>
          <w:sz w:val="21"/>
          <w:szCs w:val="21"/>
          <w:lang w:val="en-AU" w:eastAsia="en-AU"/>
        </w:rPr>
      </w:pPr>
      <w:r w:rsidRPr="0090022F">
        <w:rPr>
          <w:rFonts w:eastAsia="Times New Roman" w:cs="Arial"/>
          <w:iCs/>
          <w:noProof/>
          <w:sz w:val="21"/>
          <w:szCs w:val="21"/>
          <w:lang w:eastAsia="en-AU"/>
        </w:rPr>
        <mc:AlternateContent>
          <mc:Choice Requires="wpg">
            <w:drawing>
              <wp:anchor distT="0" distB="0" distL="114300" distR="114300" simplePos="0" relativeHeight="251659264" behindDoc="0" locked="0" layoutInCell="1" allowOverlap="1" wp14:anchorId="077C029D" wp14:editId="20DBD7FA">
                <wp:simplePos x="0" y="0"/>
                <wp:positionH relativeFrom="margin">
                  <wp:posOffset>-147955</wp:posOffset>
                </wp:positionH>
                <wp:positionV relativeFrom="paragraph">
                  <wp:posOffset>89535</wp:posOffset>
                </wp:positionV>
                <wp:extent cx="9421271" cy="5062537"/>
                <wp:effectExtent l="0" t="0" r="27940" b="24130"/>
                <wp:wrapNone/>
                <wp:docPr id="29" name="Group 17"/>
                <wp:cNvGraphicFramePr/>
                <a:graphic xmlns:a="http://schemas.openxmlformats.org/drawingml/2006/main">
                  <a:graphicData uri="http://schemas.microsoft.com/office/word/2010/wordprocessingGroup">
                    <wpg:wgp>
                      <wpg:cNvGrpSpPr/>
                      <wpg:grpSpPr>
                        <a:xfrm>
                          <a:off x="0" y="0"/>
                          <a:ext cx="9421271" cy="5062537"/>
                          <a:chOff x="262965" y="0"/>
                          <a:chExt cx="10244011" cy="6188019"/>
                        </a:xfrm>
                      </wpg:grpSpPr>
                      <wps:wsp>
                        <wps:cNvPr id="30" name="Rectangle: Rounded Corners 30"/>
                        <wps:cNvSpPr/>
                        <wps:spPr>
                          <a:xfrm>
                            <a:off x="2484410" y="0"/>
                            <a:ext cx="8019690" cy="8683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2DA97E" w14:textId="77777777" w:rsidR="0090022F" w:rsidRPr="0090022F" w:rsidRDefault="0090022F" w:rsidP="0090022F">
                              <w:pPr>
                                <w:jc w:val="center"/>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Improvement of the outcomes of Australia’s development program on gender equality and women’s empowerment through the provision of </w:t>
                              </w:r>
                              <w:proofErr w:type="gramStart"/>
                              <w:r w:rsidRPr="0090022F">
                                <w:rPr>
                                  <w:rFonts w:ascii="Calibri Light" w:eastAsia="Times New Roman" w:hAnsi="Calibri Light" w:cs="Arial"/>
                                  <w:color w:val="495965"/>
                                  <w:kern w:val="24"/>
                                  <w:sz w:val="26"/>
                                  <w:szCs w:val="26"/>
                                </w:rPr>
                                <w:t>high quality</w:t>
                              </w:r>
                              <w:proofErr w:type="gramEnd"/>
                              <w:r w:rsidRPr="0090022F">
                                <w:rPr>
                                  <w:rFonts w:ascii="Calibri Light" w:eastAsia="Times New Roman" w:hAnsi="Calibri Light" w:cs="Arial"/>
                                  <w:color w:val="495965"/>
                                  <w:kern w:val="24"/>
                                  <w:sz w:val="26"/>
                                  <w:szCs w:val="26"/>
                                </w:rPr>
                                <w:t xml:space="preserve"> technical expertise</w:t>
                              </w:r>
                            </w:p>
                          </w:txbxContent>
                        </wps:txbx>
                        <wps:bodyPr rtlCol="0" anchor="ctr"/>
                      </wps:wsp>
                      <wps:wsp>
                        <wps:cNvPr id="31" name="Arrow: Pentagon 31"/>
                        <wps:cNvSpPr/>
                        <wps:spPr>
                          <a:xfrm>
                            <a:off x="304397" y="54629"/>
                            <a:ext cx="1886306" cy="759133"/>
                          </a:xfrm>
                          <a:prstGeom prst="homePlat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CC1D64"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Goal</w:t>
                              </w:r>
                            </w:p>
                          </w:txbxContent>
                        </wps:txbx>
                        <wps:bodyPr rtlCol="0" anchor="ctr"/>
                      </wps:wsp>
                      <wps:wsp>
                        <wps:cNvPr id="32" name="Rectangle: Rounded Corners 32"/>
                        <wps:cNvSpPr/>
                        <wps:spPr>
                          <a:xfrm>
                            <a:off x="2484329" y="2363439"/>
                            <a:ext cx="8019690" cy="20328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905E44"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Provide the Gender Equality Branch with high quality and responsive technical assistance that supports and improves the quality and effectiveness of DFAT’s portfolio of existing investments and future programming that contributes to gender equality and women’s empowerment </w:t>
                              </w:r>
                            </w:p>
                            <w:p w14:paraId="6F7D47D8"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Support the Gender Equality Branch with policy coherence and embed best practice on gender equality and women’s empowerment across DFAT, underpinned by evidence</w:t>
                              </w:r>
                            </w:p>
                            <w:p w14:paraId="343A0DF3"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Support the Gender Equality Branch in strengthening the capacity of DFAT staff at practitioner and specialist level in promoting gender equality and women’s empowerment (in close collaboration with the Diplomatic Academy).  </w:t>
                              </w:r>
                            </w:p>
                          </w:txbxContent>
                        </wps:txbx>
                        <wps:bodyPr rtlCol="0" anchor="ctr"/>
                      </wps:wsp>
                      <wps:wsp>
                        <wps:cNvPr id="33" name="Rectangle: Rounded Corners 33"/>
                        <wps:cNvSpPr/>
                        <wps:spPr>
                          <a:xfrm>
                            <a:off x="2484410" y="4448353"/>
                            <a:ext cx="8022566" cy="173966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35ED15"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Sourcing and mobilising gender technical expertise </w:t>
                              </w:r>
                            </w:p>
                            <w:p w14:paraId="59D5153F"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A help-desk knowledge request service </w:t>
                              </w:r>
                            </w:p>
                            <w:p w14:paraId="5E9CEAD3"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Knowledge management /evidence generation and learning uptake</w:t>
                              </w:r>
                            </w:p>
                            <w:p w14:paraId="44E991CB"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Support for professional development for DFAT staff, including GEB staff</w:t>
                              </w:r>
                            </w:p>
                            <w:p w14:paraId="4F8AFD39"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Support for the implementation of the Indo-Pacific Gender Equality Strategy and its objectives, including the Gender Equality Fund </w:t>
                              </w:r>
                            </w:p>
                          </w:txbxContent>
                        </wps:txbx>
                        <wps:bodyPr rtlCol="0" anchor="ctr"/>
                      </wps:wsp>
                      <wps:wsp>
                        <wps:cNvPr id="34" name="Rectangle: Rounded Corners 34"/>
                        <wps:cNvSpPr/>
                        <wps:spPr>
                          <a:xfrm>
                            <a:off x="2484410" y="1347152"/>
                            <a:ext cx="8019690" cy="8683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2163CD" w14:textId="77777777" w:rsidR="0090022F" w:rsidRDefault="0090022F" w:rsidP="0090022F">
                              <w:pPr>
                                <w:jc w:val="center"/>
                                <w:rPr>
                                  <w:rFonts w:ascii="Calibri Light" w:hAnsi="Calibri Light" w:cs="Arial"/>
                                  <w:color w:val="495965"/>
                                  <w:kern w:val="24"/>
                                  <w:sz w:val="28"/>
                                  <w:szCs w:val="28"/>
                                </w:rPr>
                              </w:pPr>
                              <w:r w:rsidRPr="0090022F">
                                <w:rPr>
                                  <w:rFonts w:ascii="Calibri Light" w:hAnsi="Calibri Light" w:cs="Arial"/>
                                  <w:color w:val="495965"/>
                                  <w:kern w:val="24"/>
                                  <w:sz w:val="26"/>
                                  <w:szCs w:val="26"/>
                                </w:rPr>
                                <w:t xml:space="preserve">DFAT staff have access to timely, high quality advice and resources to strengthen DFAT’s global, </w:t>
                              </w:r>
                              <w:proofErr w:type="gramStart"/>
                              <w:r w:rsidRPr="0090022F">
                                <w:rPr>
                                  <w:rFonts w:ascii="Calibri Light" w:hAnsi="Calibri Light" w:cs="Arial"/>
                                  <w:color w:val="495965"/>
                                  <w:kern w:val="24"/>
                                  <w:sz w:val="26"/>
                                  <w:szCs w:val="26"/>
                                </w:rPr>
                                <w:t>regional</w:t>
                              </w:r>
                              <w:proofErr w:type="gramEnd"/>
                              <w:r w:rsidRPr="0090022F">
                                <w:rPr>
                                  <w:rFonts w:ascii="Calibri Light" w:hAnsi="Calibri Light" w:cs="Arial"/>
                                  <w:color w:val="495965"/>
                                  <w:kern w:val="24"/>
                                  <w:sz w:val="26"/>
                                  <w:szCs w:val="26"/>
                                </w:rPr>
                                <w:t xml:space="preserve"> and bilateral development portfolio and policy engagement efforts related to gender</w:t>
                              </w:r>
                              <w:r>
                                <w:rPr>
                                  <w:rFonts w:ascii="Calibri Light" w:hAnsi="Calibri Light" w:cs="Arial"/>
                                  <w:color w:val="495965"/>
                                  <w:kern w:val="24"/>
                                  <w:sz w:val="28"/>
                                  <w:szCs w:val="28"/>
                                </w:rPr>
                                <w:t xml:space="preserve"> equality and women’s empowerment. </w:t>
                              </w:r>
                            </w:p>
                          </w:txbxContent>
                        </wps:txbx>
                        <wps:bodyPr rtlCol="0" anchor="ctr"/>
                      </wps:wsp>
                      <wps:wsp>
                        <wps:cNvPr id="35" name="Arrow: Pentagon 35"/>
                        <wps:cNvSpPr/>
                        <wps:spPr>
                          <a:xfrm>
                            <a:off x="288860" y="1401693"/>
                            <a:ext cx="1886306" cy="804572"/>
                          </a:xfrm>
                          <a:prstGeom prst="homePlat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E7F1E"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End of Program Outcome</w:t>
                              </w:r>
                            </w:p>
                          </w:txbxContent>
                        </wps:txbx>
                        <wps:bodyPr rtlCol="0" anchor="ctr"/>
                      </wps:wsp>
                      <wps:wsp>
                        <wps:cNvPr id="36" name="Arrow: Pentagon 36"/>
                        <wps:cNvSpPr/>
                        <wps:spPr>
                          <a:xfrm>
                            <a:off x="262965" y="2938023"/>
                            <a:ext cx="1886306" cy="759133"/>
                          </a:xfrm>
                          <a:prstGeom prst="homePlat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5FA553"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Objectives</w:t>
                              </w:r>
                            </w:p>
                          </w:txbxContent>
                        </wps:txbx>
                        <wps:bodyPr rtlCol="0" anchor="ctr"/>
                      </wps:wsp>
                      <wps:wsp>
                        <wps:cNvPr id="37" name="Arrow: Pentagon 37"/>
                        <wps:cNvSpPr/>
                        <wps:spPr>
                          <a:xfrm>
                            <a:off x="294042" y="4885429"/>
                            <a:ext cx="1886305" cy="759133"/>
                          </a:xfrm>
                          <a:prstGeom prst="homePlat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562BB5"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Activities</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077C029D" id="Group 17" o:spid="_x0000_s1026" style="position:absolute;left:0;text-align:left;margin-left:-11.65pt;margin-top:7.05pt;width:741.85pt;height:398.6pt;z-index:251659264;mso-position-horizontal-relative:margin;mso-width-relative:margin;mso-height-relative:margin" coordorigin="2629" coordsize="102440,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bXDwQAAL8XAAAOAAAAZHJzL2Uyb0RvYy54bWzsmM1u4zYQx+8F+g6E7o0lkpIlIc5ike3m&#10;UrRBdvsAjER9oBIpkEzsvH2HlEQ7qZO1s8XCCzgHx7I4JOfP3ww5vPyw6Tv0yJVupVgF0UUYIC4K&#10;WbaiXgV/f/38WxogbZgoWScFXwVPXAcfrn795XI95BzLRnYlVwg6ETpfD6ugMWbIFwtdNLxn+kIO&#10;XMDLSqqeGXhU9aJUbA29990Ch2GyWEtVDkoWXGv49dP4Mrhy/VcVL8xfVaW5Qd0qgLkZ96nc5739&#10;XFxdsrxWbGjaYpoGe8csetYKGNR39YkZhh5U+5+u+rZQUsvKXBSyX8iqagvufABvovCFNzdKPgzO&#10;lzpf14OXCaR9odO7uy3+fLxVqC1XAc4CJFgPa+SGRdHSirMe6hza3Kjhy3Crph/q8cn6u6lUb/+D&#10;J2jjZH3ysvKNQQX8mFEc4WUUoALexWGCY+L6ZnnRwOpYO5zgLIkDtDUumt8n8yjElIbRZJ9EaRpG&#10;mZ3bYh5+YWfpJ7UeACW9VUt/n1pfGjZwtwjaKjGpRQCmUa07YIyJuuM5upMPouQlupZKQEggaOQU&#10;c4ZeP51rkHKPeJimlEbQ8VaFWULrcpLBKythmqQkw88UYPmgtLnhskf2yyoAckRpp+aoZI9/aDMq&#10;NrcD+axQ41TcN/PUcTurTtzxCpCwy+KsXTDy606hRwZhxIqCC5NM47vW1qxqu84bRvsMOxNNRlNb&#10;a8ZdkHrDcJ/h8xG9hRtVCuON+1ZIta+D8h8/8th+9n702bpvNvebabHuZfkEy6xMdy3HtMFE0UjI&#10;GoVRzoMJMRseP4I1QH9k7aNScp2jW9Cf1VIg4tyykwAyvw0YCSnJlo6vmELEWV9gBeY4S9OEhMnI&#10;2DLOIkKm5ZqDfGZnYqyRPb/tmLHRwfK9jLFcy64tPwMbto1W9b3naBmS8KOLEAjknWbfx+VEXsNK&#10;PuIah/A3OeJJdsnjCHRHAj1EI+pOvIPxnY3fge9O4LyFr0vjnoiToxjPFL+VMV1aOxhomzGJ3bgg&#10;K2KSEMD7OdPP8iYOCU7Tc+KsLLjV/5k4xwOEld4u3cmRRw4hzyW7o8ib92pKaUpiZ7/NpmmIcZxM&#10;2TRakiyBh3ELfiWdnrds3m9PGQdu2Y48v3QnRx49hDw6B85Bm/juKTEidBnFLqPtknc+K86h9o7N&#10;9hjw/MqdHHhQS71yZIyPoy2FU+FYkkRQhCXZizQH1dj20JiGNF5+Y389HxqPqXl+0KHRM3FyHMMG&#10;+grHLsQP36+3Fww4I7A5v8XxufiB27ftVvzzFD+eiZPjGKruVziertkOLOFxRkMKlRQUPDRNY7q/&#10;iIfsby+Kzhz/pBx7Jo7g2F2Cwi2xu9qYbrTtNfTus7v22t67X/0LAAD//wMAUEsDBBQABgAIAAAA&#10;IQCjUtif4AAAAAsBAAAPAAAAZHJzL2Rvd25yZXYueG1sTI9Ba8JAEIXvhf6HZQq96WZNKpJmIyJt&#10;T1KoFkpvYzImwexsyK5J/PddT/U4vI/3vsnWk2nFQL1rLGtQ8wgEcWHLhisN34f32QqE88gltpZJ&#10;w5UcrPPHhwzT0o78RcPeVyKUsEtRQ+19l0rpipoMurntiEN2sr1BH86+kmWPYyg3rVxE0VIabDgs&#10;1NjRtqbivL8YDR8jjptYvQ2782l7/T28fP7sFGn9/DRtXkF4mvw/DDf9oA55cDraC5dOtBpmizgO&#10;aAgSBeIGJMsoAXHUsFIqBpln8v6H/A8AAP//AwBQSwECLQAUAAYACAAAACEAtoM4kv4AAADhAQAA&#10;EwAAAAAAAAAAAAAAAAAAAAAAW0NvbnRlbnRfVHlwZXNdLnhtbFBLAQItABQABgAIAAAAIQA4/SH/&#10;1gAAAJQBAAALAAAAAAAAAAAAAAAAAC8BAABfcmVscy8ucmVsc1BLAQItABQABgAIAAAAIQCE7sbX&#10;DwQAAL8XAAAOAAAAAAAAAAAAAAAAAC4CAABkcnMvZTJvRG9jLnhtbFBLAQItABQABgAIAAAAIQCj&#10;Utif4AAAAAsBAAAPAAAAAAAAAAAAAAAAAGkGAABkcnMvZG93bnJldi54bWxQSwUGAAAAAAQABADz&#10;AAAAdgcAAAAA&#10;">
                <v:roundrect id="Rectangle: Rounded Corners 30" o:spid="_x0000_s1027" style="position:absolute;left:24844;width:80197;height:8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U5vwAAANsAAAAPAAAAZHJzL2Rvd25yZXYueG1sRE/LisIw&#10;FN0P+A/hCm4GTVWmSjWK+AC342Ph7tJc22JyU5qonfl6sxBcHs57vmytEQ9qfOVYwXCQgCDOna64&#10;UHA67vpTED4gazSOScEfeVguOl9zzLR78i89DqEQMYR9hgrKEOpMSp+XZNEPXE0cuatrLIYIm0Lq&#10;Bp8x3Bo5SpJUWqw4NpRY07qk/Ha4WwXuZ4Xf/2F0nmwv2lBt8jTdTJXqddvVDESgNnzEb/deKxjH&#10;9fFL/AFy8QIAAP//AwBQSwECLQAUAAYACAAAACEA2+H2y+4AAACFAQAAEwAAAAAAAAAAAAAAAAAA&#10;AAAAW0NvbnRlbnRfVHlwZXNdLnhtbFBLAQItABQABgAIAAAAIQBa9CxbvwAAABUBAAALAAAAAAAA&#10;AAAAAAAAAB8BAABfcmVscy8ucmVsc1BLAQItABQABgAIAAAAIQBFY6U5vwAAANsAAAAPAAAAAAAA&#10;AAAAAAAAAAcCAABkcnMvZG93bnJldi54bWxQSwUGAAAAAAMAAwC3AAAA8wIAAAAA&#10;" fillcolor="white [3201]" strokecolor="#007c89 [3209]" strokeweight="1pt">
                  <v:stroke joinstyle="miter"/>
                  <v:textbox>
                    <w:txbxContent>
                      <w:p w14:paraId="472DA97E" w14:textId="77777777" w:rsidR="0090022F" w:rsidRPr="0090022F" w:rsidRDefault="0090022F" w:rsidP="0090022F">
                        <w:pPr>
                          <w:jc w:val="center"/>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Improvement of the outcomes of Australia’s development program on gender equality and women’s empowerment through the provision of </w:t>
                        </w:r>
                        <w:proofErr w:type="gramStart"/>
                        <w:r w:rsidRPr="0090022F">
                          <w:rPr>
                            <w:rFonts w:ascii="Calibri Light" w:eastAsia="Times New Roman" w:hAnsi="Calibri Light" w:cs="Arial"/>
                            <w:color w:val="495965"/>
                            <w:kern w:val="24"/>
                            <w:sz w:val="26"/>
                            <w:szCs w:val="26"/>
                          </w:rPr>
                          <w:t>high quality</w:t>
                        </w:r>
                        <w:proofErr w:type="gramEnd"/>
                        <w:r w:rsidRPr="0090022F">
                          <w:rPr>
                            <w:rFonts w:ascii="Calibri Light" w:eastAsia="Times New Roman" w:hAnsi="Calibri Light" w:cs="Arial"/>
                            <w:color w:val="495965"/>
                            <w:kern w:val="24"/>
                            <w:sz w:val="26"/>
                            <w:szCs w:val="26"/>
                          </w:rPr>
                          <w:t xml:space="preserve"> technical expertise</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1" o:spid="_x0000_s1028" type="#_x0000_t15" style="position:absolute;left:3043;top:546;width:18864;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jjxQAAANsAAAAPAAAAZHJzL2Rvd25yZXYueG1sRI9La8Mw&#10;EITvhfwHsYHeGtkpJI4bJSSGQI95lZLbYm1tt9bKWPKj/fVVoNDjMDPfMOvtaGrRU+sqywriWQSC&#10;OLe64kLB9XJ4SkA4j6yxtkwKvsnBdjN5WGOq7cAn6s++EAHCLkUFpfdNKqXLSzLoZrYhDt6HbQ36&#10;INtC6haHADe1nEfRQhqsOCyU2FBWUv517owCua+6t2MWrX4+Y+OWt93+PTEnpR6n4+4FhKfR/4f/&#10;2q9awXMM9y/hB8jNLwAAAP//AwBQSwECLQAUAAYACAAAACEA2+H2y+4AAACFAQAAEwAAAAAAAAAA&#10;AAAAAAAAAAAAW0NvbnRlbnRfVHlwZXNdLnhtbFBLAQItABQABgAIAAAAIQBa9CxbvwAAABUBAAAL&#10;AAAAAAAAAAAAAAAAAB8BAABfcmVscy8ucmVsc1BLAQItABQABgAIAAAAIQCRVMjjxQAAANsAAAAP&#10;AAAAAAAAAAAAAAAAAAcCAABkcnMvZG93bnJldi54bWxQSwUGAAAAAAMAAwC3AAAA+QIAAAAA&#10;" adj="17254" fillcolor="#7030a0" strokecolor="#286b5f [1604]" strokeweight="1pt">
                  <v:textbox>
                    <w:txbxContent>
                      <w:p w14:paraId="3DCC1D64"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Goal</w:t>
                        </w:r>
                      </w:p>
                    </w:txbxContent>
                  </v:textbox>
                </v:shape>
                <v:roundrect id="Rectangle: Rounded Corners 32" o:spid="_x0000_s1029" style="position:absolute;left:24843;top:23634;width:80197;height:203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VxAAAANsAAAAPAAAAZHJzL2Rvd25yZXYueG1sRI9Ba8JA&#10;FITvgv9heUIvUjeNNA2pmyC1Qq/V9tDbI/uahO6+DdlVo7++Kwgeh5n5hllVozXiSIPvHCt4WiQg&#10;iGunO24UfO23jzkIH5A1Gsek4EweqnI6WWGh3Yk/6bgLjYgQ9gUqaEPoCyl93ZJFv3A9cfR+3WAx&#10;RDk0Ug94inBrZJokmbTYcVxosae3luq/3cEqcM9rnF9C+v3y/qMN9abOsk2u1MNsXL+CCDSGe/jW&#10;/tAKlilcv8QfIMt/AAAA//8DAFBLAQItABQABgAIAAAAIQDb4fbL7gAAAIUBAAATAAAAAAAAAAAA&#10;AAAAAAAAAABbQ29udGVudF9UeXBlc10ueG1sUEsBAi0AFAAGAAgAAAAhAFr0LFu/AAAAFQEAAAsA&#10;AAAAAAAAAAAAAAAAHwEAAF9yZWxzLy5yZWxzUEsBAi0AFAAGAAgAAAAhANr9ntXEAAAA2wAAAA8A&#10;AAAAAAAAAAAAAAAABwIAAGRycy9kb3ducmV2LnhtbFBLBQYAAAAAAwADALcAAAD4AgAAAAA=&#10;" fillcolor="white [3201]" strokecolor="#007c89 [3209]" strokeweight="1pt">
                  <v:stroke joinstyle="miter"/>
                  <v:textbox>
                    <w:txbxContent>
                      <w:p w14:paraId="5A905E44"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Provide the Gender Equality Branch with high quality and responsive technical assistance that supports and improves the quality and effectiveness of DFAT’s portfolio of existing investments and future programming that contributes to gender equality and women’s empowerment </w:t>
                        </w:r>
                      </w:p>
                      <w:p w14:paraId="6F7D47D8"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Support the Gender Equality Branch with policy coherence and embed best practice on gender equality and women’s empowerment across DFAT, underpinned by evidence</w:t>
                        </w:r>
                      </w:p>
                      <w:p w14:paraId="343A0DF3" w14:textId="77777777" w:rsidR="0090022F" w:rsidRPr="0090022F" w:rsidRDefault="0090022F" w:rsidP="0090022F">
                        <w:pPr>
                          <w:pStyle w:val="ListParagraph"/>
                          <w:numPr>
                            <w:ilvl w:val="0"/>
                            <w:numId w:val="26"/>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Support the Gender Equality Branch in strengthening the capacity of DFAT staff at practitioner and specialist level in promoting gender equality and women’s empowerment (in close collaboration with the Diplomatic Academy).  </w:t>
                        </w:r>
                      </w:p>
                    </w:txbxContent>
                  </v:textbox>
                </v:roundrect>
                <v:roundrect id="Rectangle: Rounded Corners 33" o:spid="_x0000_s1030" style="position:absolute;left:24844;top:44483;width:80225;height:17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TtOwwAAANsAAAAPAAAAZHJzL2Rvd25yZXYueG1sRI9Pi8Iw&#10;FMTvwn6H8Bb2IpquYleqUcRV8OqfPXh7NM+2bPJSmqjVT28EweMwM79hpvPWGnGhxleOFXz3ExDE&#10;udMVFwoO+3VvDMIHZI3GMSm4kYf57KMzxUy7K2/psguFiBD2GSooQ6gzKX1ekkXfdzVx9E6usRii&#10;bAqpG7xGuDVykCSptFhxXCixpmVJ+f/ubBW40QK79zD4+1kdtaHa5Gn6O1bq67NdTEAEasM7/Gpv&#10;tILhEJ5f4g+QswcAAAD//wMAUEsBAi0AFAAGAAgAAAAhANvh9svuAAAAhQEAABMAAAAAAAAAAAAA&#10;AAAAAAAAAFtDb250ZW50X1R5cGVzXS54bWxQSwECLQAUAAYACAAAACEAWvQsW78AAAAVAQAACwAA&#10;AAAAAAAAAAAAAAAfAQAAX3JlbHMvLnJlbHNQSwECLQAUAAYACAAAACEAtbE7TsMAAADbAAAADwAA&#10;AAAAAAAAAAAAAAAHAgAAZHJzL2Rvd25yZXYueG1sUEsFBgAAAAADAAMAtwAAAPcCAAAAAA==&#10;" fillcolor="white [3201]" strokecolor="#007c89 [3209]" strokeweight="1pt">
                  <v:stroke joinstyle="miter"/>
                  <v:textbox>
                    <w:txbxContent>
                      <w:p w14:paraId="3235ED15"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Sourcing and mobilising gender technical expertise </w:t>
                        </w:r>
                      </w:p>
                      <w:p w14:paraId="59D5153F"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A help-desk knowledge request service </w:t>
                        </w:r>
                      </w:p>
                      <w:p w14:paraId="5E9CEAD3"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Knowledge management /evidence generation and learning uptake</w:t>
                        </w:r>
                      </w:p>
                      <w:p w14:paraId="44E991CB"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Support for professional development for DFAT staff, including GEB staff</w:t>
                        </w:r>
                      </w:p>
                      <w:p w14:paraId="4F8AFD39" w14:textId="77777777" w:rsidR="0090022F" w:rsidRPr="0090022F" w:rsidRDefault="0090022F" w:rsidP="0090022F">
                        <w:pPr>
                          <w:pStyle w:val="ListParagraph"/>
                          <w:numPr>
                            <w:ilvl w:val="0"/>
                            <w:numId w:val="27"/>
                          </w:numPr>
                          <w:tabs>
                            <w:tab w:val="left" w:pos="284"/>
                          </w:tabs>
                          <w:suppressAutoHyphens w:val="0"/>
                          <w:spacing w:before="0" w:after="0" w:line="280" w:lineRule="exact"/>
                          <w:jc w:val="both"/>
                          <w:rPr>
                            <w:rFonts w:ascii="Calibri Light" w:eastAsia="Times New Roman" w:hAnsi="Calibri Light" w:cs="Arial"/>
                            <w:color w:val="495965"/>
                            <w:kern w:val="24"/>
                            <w:sz w:val="26"/>
                            <w:szCs w:val="26"/>
                          </w:rPr>
                        </w:pPr>
                        <w:r w:rsidRPr="0090022F">
                          <w:rPr>
                            <w:rFonts w:ascii="Calibri Light" w:eastAsia="Times New Roman" w:hAnsi="Calibri Light" w:cs="Arial"/>
                            <w:color w:val="495965"/>
                            <w:kern w:val="24"/>
                            <w:sz w:val="26"/>
                            <w:szCs w:val="26"/>
                          </w:rPr>
                          <w:t xml:space="preserve">Support for the implementation of the Indo-Pacific Gender Equality Strategy and its objectives, including the Gender Equality Fund </w:t>
                        </w:r>
                      </w:p>
                    </w:txbxContent>
                  </v:textbox>
                </v:roundrect>
                <v:roundrect id="Rectangle: Rounded Corners 34" o:spid="_x0000_s1031" style="position:absolute;left:24844;top:13471;width:80197;height:86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M6wwAAANsAAAAPAAAAZHJzL2Rvd25yZXYueG1sRI9Ba8JA&#10;FITvQv/D8gpeRDfVNkp0FVELvZrqwdsj+0yCu29Ddquxv75bEDwOM/MNs1h11ogrtb52rOBtlIAg&#10;LpyuuVRw+P4czkD4gKzROCYFd/KwWr70Fphpd+M9XfNQighhn6GCKoQmk9IXFVn0I9cQR+/sWosh&#10;yraUusVbhFsjx0mSSos1x4UKG9pUVFzyH6vAfaxx8BvGx+nupA01pkjT7Uyp/mu3noMI1IVn+NH+&#10;0gom7/D/Jf4AufwDAAD//wMAUEsBAi0AFAAGAAgAAAAhANvh9svuAAAAhQEAABMAAAAAAAAAAAAA&#10;AAAAAAAAAFtDb250ZW50X1R5cGVzXS54bWxQSwECLQAUAAYACAAAACEAWvQsW78AAAAVAQAACwAA&#10;AAAAAAAAAAAAAAAfAQAAX3JlbHMvLnJlbHNQSwECLQAUAAYACAAAACEAOlijOsMAAADbAAAADwAA&#10;AAAAAAAAAAAAAAAHAgAAZHJzL2Rvd25yZXYueG1sUEsFBgAAAAADAAMAtwAAAPcCAAAAAA==&#10;" fillcolor="white [3201]" strokecolor="#007c89 [3209]" strokeweight="1pt">
                  <v:stroke joinstyle="miter"/>
                  <v:textbox>
                    <w:txbxContent>
                      <w:p w14:paraId="222163CD" w14:textId="77777777" w:rsidR="0090022F" w:rsidRDefault="0090022F" w:rsidP="0090022F">
                        <w:pPr>
                          <w:jc w:val="center"/>
                          <w:rPr>
                            <w:rFonts w:ascii="Calibri Light" w:hAnsi="Calibri Light" w:cs="Arial"/>
                            <w:color w:val="495965"/>
                            <w:kern w:val="24"/>
                            <w:sz w:val="28"/>
                            <w:szCs w:val="28"/>
                          </w:rPr>
                        </w:pPr>
                        <w:r w:rsidRPr="0090022F">
                          <w:rPr>
                            <w:rFonts w:ascii="Calibri Light" w:hAnsi="Calibri Light" w:cs="Arial"/>
                            <w:color w:val="495965"/>
                            <w:kern w:val="24"/>
                            <w:sz w:val="26"/>
                            <w:szCs w:val="26"/>
                          </w:rPr>
                          <w:t xml:space="preserve">DFAT staff have access to timely, high quality advice and resources to strengthen DFAT’s global, </w:t>
                        </w:r>
                        <w:proofErr w:type="gramStart"/>
                        <w:r w:rsidRPr="0090022F">
                          <w:rPr>
                            <w:rFonts w:ascii="Calibri Light" w:hAnsi="Calibri Light" w:cs="Arial"/>
                            <w:color w:val="495965"/>
                            <w:kern w:val="24"/>
                            <w:sz w:val="26"/>
                            <w:szCs w:val="26"/>
                          </w:rPr>
                          <w:t>regional</w:t>
                        </w:r>
                        <w:proofErr w:type="gramEnd"/>
                        <w:r w:rsidRPr="0090022F">
                          <w:rPr>
                            <w:rFonts w:ascii="Calibri Light" w:hAnsi="Calibri Light" w:cs="Arial"/>
                            <w:color w:val="495965"/>
                            <w:kern w:val="24"/>
                            <w:sz w:val="26"/>
                            <w:szCs w:val="26"/>
                          </w:rPr>
                          <w:t xml:space="preserve"> and bilateral development portfolio and policy engagement efforts related to gender</w:t>
                        </w:r>
                        <w:r>
                          <w:rPr>
                            <w:rFonts w:ascii="Calibri Light" w:hAnsi="Calibri Light" w:cs="Arial"/>
                            <w:color w:val="495965"/>
                            <w:kern w:val="24"/>
                            <w:sz w:val="28"/>
                            <w:szCs w:val="28"/>
                          </w:rPr>
                          <w:t xml:space="preserve"> equality and women’s empowerment. </w:t>
                        </w:r>
                      </w:p>
                    </w:txbxContent>
                  </v:textbox>
                </v:roundrect>
                <v:shape id="Arrow: Pentagon 35" o:spid="_x0000_s1032" type="#_x0000_t15" style="position:absolute;left:2888;top:14016;width:18863;height:8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HlvgAAANsAAAAPAAAAZHJzL2Rvd25yZXYueG1sRI/NCsIw&#10;EITvgu8QVvCmqYo/1EYRUfFq9QGWZm2LzaY0sda3N4LgcZiZb5hk25lKtNS40rKCyTgCQZxZXXKu&#10;4HY9jlYgnEfWWFkmBW9ysN30ewnG2r74Qm3qcxEg7GJUUHhfx1K6rCCDbmxr4uDdbWPQB9nkUjf4&#10;CnBTyWkULaTBksNCgTXtC8oe6dMoqPTcPE7pbXKYXi+L6M7lMpu9lRoOut0ahKfO/8O/9lkrmM3h&#10;+yX8ALn5AAAA//8DAFBLAQItABQABgAIAAAAIQDb4fbL7gAAAIUBAAATAAAAAAAAAAAAAAAAAAAA&#10;AABbQ29udGVudF9UeXBlc10ueG1sUEsBAi0AFAAGAAgAAAAhAFr0LFu/AAAAFQEAAAsAAAAAAAAA&#10;AAAAAAAAHwEAAF9yZWxzLy5yZWxzUEsBAi0AFAAGAAgAAAAhAHU68eW+AAAA2wAAAA8AAAAAAAAA&#10;AAAAAAAABwIAAGRycy9kb3ducmV2LnhtbFBLBQYAAAAAAwADALcAAADyAgAAAAA=&#10;" adj="16993" fillcolor="#7030a0" strokecolor="#286b5f [1604]" strokeweight="1pt">
                  <v:textbox>
                    <w:txbxContent>
                      <w:p w14:paraId="75FE7F1E"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End of Program Outcome</w:t>
                        </w:r>
                      </w:p>
                    </w:txbxContent>
                  </v:textbox>
                </v:shape>
                <v:shape id="Arrow: Pentagon 36" o:spid="_x0000_s1033" type="#_x0000_t15" style="position:absolute;left:2629;top:29380;width:18863;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CXxQAAANsAAAAPAAAAZHJzL2Rvd25yZXYueG1sRI/NasMw&#10;EITvhbyD2EBvjewU3MSJbJxAocc6P4TcFmtru7FWxlISt09fFQo9DjPzDbPOR9OJGw2utawgnkUg&#10;iCurW64VHPavTwsQziNr7CyTgi9ykGeThzWm2t65pNvO1yJA2KWooPG+T6V0VUMG3cz2xMH7sINB&#10;H+RQSz3gPcBNJ+dRlEiDLYeFBnvaNlRddlejQG7a6/F9Gy2/P2PjXs7F5rQwpVKP07FYgfA0+v/w&#10;X/tNK3hO4PdL+AEy+wEAAP//AwBQSwECLQAUAAYACAAAACEA2+H2y+4AAACFAQAAEwAAAAAAAAAA&#10;AAAAAAAAAAAAW0NvbnRlbnRfVHlwZXNdLnhtbFBLAQItABQABgAIAAAAIQBa9CxbvwAAABUBAAAL&#10;AAAAAAAAAAAAAAAAAB8BAABfcmVscy8ucmVsc1BLAQItABQABgAIAAAAIQAevVCXxQAAANsAAAAP&#10;AAAAAAAAAAAAAAAAAAcCAABkcnMvZG93bnJldi54bWxQSwUGAAAAAAMAAwC3AAAA+QIAAAAA&#10;" adj="17254" fillcolor="#7030a0" strokecolor="#286b5f [1604]" strokeweight="1pt">
                  <v:textbox>
                    <w:txbxContent>
                      <w:p w14:paraId="3F5FA553"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Objectives</w:t>
                        </w:r>
                      </w:p>
                    </w:txbxContent>
                  </v:textbox>
                </v:shape>
                <v:shape id="Arrow: Pentagon 37" o:spid="_x0000_s1034" type="#_x0000_t15" style="position:absolute;left:2940;top:48854;width:18863;height:7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UMxQAAANsAAAAPAAAAZHJzL2Rvd25yZXYueG1sRI9La8Mw&#10;EITvhfwHsYHeGjkpJKkTJdiGQo/Ni5LbYm1tN9bKWPKj+fVVodDjMDPfMNv9aGrRU+sqywrmswgE&#10;cW51xYWC8+n1aQ3CeWSNtWVS8E0O9rvJwxZjbQc+UH/0hQgQdjEqKL1vYildXpJBN7MNcfA+bWvQ&#10;B9kWUrc4BLip5SKKltJgxWGhxIaykvLbsTMKZFp1l/cserl/zY1bXZP0Y20OSj1Ox2QDwtPo/8N/&#10;7Tet4HkFv1/CD5C7HwAAAP//AwBQSwECLQAUAAYACAAAACEA2+H2y+4AAACFAQAAEwAAAAAAAAAA&#10;AAAAAAAAAAAAW0NvbnRlbnRfVHlwZXNdLnhtbFBLAQItABQABgAIAAAAIQBa9CxbvwAAABUBAAAL&#10;AAAAAAAAAAAAAAAAAB8BAABfcmVscy8ucmVsc1BLAQItABQABgAIAAAAIQBx8fUMxQAAANsAAAAP&#10;AAAAAAAAAAAAAAAAAAcCAABkcnMvZG93bnJldi54bWxQSwUGAAAAAAMAAwC3AAAA+QIAAAAA&#10;" adj="17254" fillcolor="#7030a0" strokecolor="#286b5f [1604]" strokeweight="1pt">
                  <v:textbox>
                    <w:txbxContent>
                      <w:p w14:paraId="53562BB5" w14:textId="77777777" w:rsidR="0090022F" w:rsidRPr="0090022F" w:rsidRDefault="0090022F" w:rsidP="0090022F">
                        <w:pPr>
                          <w:jc w:val="center"/>
                          <w:rPr>
                            <w:rFonts w:hAnsi="Calibri Light"/>
                            <w:color w:val="FFFFFF" w:themeColor="light1"/>
                            <w:kern w:val="24"/>
                            <w:sz w:val="32"/>
                            <w:szCs w:val="32"/>
                          </w:rPr>
                        </w:pPr>
                        <w:r w:rsidRPr="0090022F">
                          <w:rPr>
                            <w:rFonts w:hAnsi="Calibri Light"/>
                            <w:color w:val="FFFFFF" w:themeColor="light1"/>
                            <w:kern w:val="24"/>
                            <w:sz w:val="32"/>
                            <w:szCs w:val="32"/>
                          </w:rPr>
                          <w:t>Activities</w:t>
                        </w:r>
                      </w:p>
                    </w:txbxContent>
                  </v:textbox>
                </v:shape>
                <w10:wrap anchorx="margin"/>
              </v:group>
            </w:pict>
          </mc:Fallback>
        </mc:AlternateContent>
      </w:r>
    </w:p>
    <w:sectPr w:rsidR="0090022F" w:rsidRPr="00907A52" w:rsidSect="00E66987">
      <w:pgSz w:w="16838" w:h="11906" w:orient="landscape" w:code="9"/>
      <w:pgMar w:top="1134" w:right="1418"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7517E" w14:textId="77777777" w:rsidR="00763B9C" w:rsidRDefault="00763B9C" w:rsidP="00D37B04">
      <w:r>
        <w:separator/>
      </w:r>
    </w:p>
  </w:endnote>
  <w:endnote w:type="continuationSeparator" w:id="0">
    <w:p w14:paraId="06DD105C" w14:textId="77777777" w:rsidR="00763B9C" w:rsidRDefault="00763B9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112537"/>
      <w:docPartObj>
        <w:docPartGallery w:val="Page Numbers (Bottom of Page)"/>
        <w:docPartUnique/>
      </w:docPartObj>
    </w:sdtPr>
    <w:sdtEndPr>
      <w:rPr>
        <w:noProof/>
      </w:rPr>
    </w:sdtEndPr>
    <w:sdtContent>
      <w:p w14:paraId="6B1A5668" w14:textId="7528CB3F" w:rsidR="00453888" w:rsidRDefault="00453888">
        <w:pPr>
          <w:pStyle w:val="Footer"/>
          <w:jc w:val="right"/>
        </w:pPr>
        <w:r>
          <w:fldChar w:fldCharType="begin"/>
        </w:r>
        <w:r>
          <w:instrText xml:space="preserve"> PAGE   \* MERGEFORMAT </w:instrText>
        </w:r>
        <w:r>
          <w:fldChar w:fldCharType="separate"/>
        </w:r>
        <w:r w:rsidR="002D780B">
          <w:rPr>
            <w:noProof/>
          </w:rPr>
          <w:t>2</w:t>
        </w:r>
        <w:r>
          <w:rPr>
            <w:noProof/>
          </w:rPr>
          <w:fldChar w:fldCharType="end"/>
        </w:r>
      </w:p>
    </w:sdtContent>
  </w:sdt>
  <w:p w14:paraId="6C71B39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327263"/>
      <w:docPartObj>
        <w:docPartGallery w:val="Page Numbers (Bottom of Page)"/>
        <w:docPartUnique/>
      </w:docPartObj>
    </w:sdtPr>
    <w:sdtEndPr>
      <w:rPr>
        <w:noProof/>
      </w:rPr>
    </w:sdtEndPr>
    <w:sdtContent>
      <w:p w14:paraId="55340E1F" w14:textId="52FB611B" w:rsidR="00453888" w:rsidRDefault="00453888">
        <w:pPr>
          <w:pStyle w:val="Footer"/>
          <w:jc w:val="right"/>
        </w:pPr>
        <w:r>
          <w:fldChar w:fldCharType="begin"/>
        </w:r>
        <w:r>
          <w:instrText xml:space="preserve"> PAGE   \* MERGEFORMAT </w:instrText>
        </w:r>
        <w:r>
          <w:fldChar w:fldCharType="separate"/>
        </w:r>
        <w:r w:rsidR="002D780B">
          <w:rPr>
            <w:noProof/>
          </w:rPr>
          <w:t>1</w:t>
        </w:r>
        <w:r>
          <w:rPr>
            <w:noProof/>
          </w:rPr>
          <w:fldChar w:fldCharType="end"/>
        </w:r>
      </w:p>
    </w:sdtContent>
  </w:sdt>
  <w:p w14:paraId="490E9C4B"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FB4C" w14:textId="77777777" w:rsidR="00763B9C" w:rsidRPr="008C5A0E" w:rsidRDefault="00763B9C" w:rsidP="00D37B04">
      <w:pPr>
        <w:pStyle w:val="Footer"/>
      </w:pPr>
    </w:p>
  </w:footnote>
  <w:footnote w:type="continuationSeparator" w:id="0">
    <w:p w14:paraId="7D717E83" w14:textId="77777777" w:rsidR="00763B9C" w:rsidRDefault="00763B9C" w:rsidP="00D37B04">
      <w:r>
        <w:continuationSeparator/>
      </w:r>
    </w:p>
  </w:footnote>
  <w:footnote w:id="1">
    <w:p w14:paraId="42B8873B" w14:textId="7AAF9E4D" w:rsidR="0049720D" w:rsidRPr="0049720D" w:rsidRDefault="0049720D">
      <w:pPr>
        <w:pStyle w:val="FootnoteText"/>
        <w:rPr>
          <w:lang w:val="en-AU"/>
        </w:rPr>
      </w:pPr>
      <w:r>
        <w:rPr>
          <w:rStyle w:val="FootnoteReference"/>
        </w:rPr>
        <w:footnoteRef/>
      </w:r>
      <w:r>
        <w:t xml:space="preserve"> </w:t>
      </w:r>
      <w:r>
        <w:rPr>
          <w:lang w:val="en-AU"/>
        </w:rPr>
        <w:t>A Gender-responsive Employment Recovery: Building Back Fairer (ILO Policy Brief July 2020); Progress on the Sustainable Development Goals: The Gender Snapshot (UN Women,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BF2DA" w14:textId="4F257884" w:rsidR="002D5B25" w:rsidRPr="000854FD" w:rsidRDefault="00201B50" w:rsidP="00201B50">
    <w:pPr>
      <w:pStyle w:val="Header"/>
      <w:jc w:val="center"/>
    </w:pPr>
    <w:r w:rsidRPr="00D45616">
      <w:rPr>
        <w:sz w:val="22"/>
      </w:rPr>
      <w:t>OFFICIAL</w:t>
    </w:r>
    <w:r w:rsidRPr="00943730">
      <w:rPr>
        <w:noProof/>
        <w:lang w:val="en-AU" w:eastAsia="en-AU"/>
      </w:rPr>
      <w:t xml:space="preserve"> </w:t>
    </w:r>
    <w:r w:rsidR="002D5B25" w:rsidRPr="00943730">
      <w:rPr>
        <w:noProof/>
        <w:lang w:val="en-AU" w:eastAsia="en-AU"/>
      </w:rPr>
      <w:drawing>
        <wp:anchor distT="0" distB="0" distL="114300" distR="114300" simplePos="0" relativeHeight="251662336" behindDoc="1" locked="1" layoutInCell="1" allowOverlap="1" wp14:anchorId="00FE8894" wp14:editId="3FCA4259">
          <wp:simplePos x="0" y="0"/>
          <wp:positionH relativeFrom="page">
            <wp:posOffset>12700</wp:posOffset>
          </wp:positionH>
          <wp:positionV relativeFrom="page">
            <wp:posOffset>0</wp:posOffset>
          </wp:positionV>
          <wp:extent cx="7559040" cy="10692765"/>
          <wp:effectExtent l="0" t="0" r="3810" b="0"/>
          <wp:wrapNone/>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38EB" w14:textId="65D34513"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D9342C">
      <w:rPr>
        <w:noProof/>
      </w:rPr>
      <w:t>October 2021</w:t>
    </w:r>
    <w:r w:rsidRPr="00943730">
      <w:fldChar w:fldCharType="end"/>
    </w:r>
    <w:r w:rsidRPr="00943730">
      <w:rPr>
        <w:noProof/>
        <w:lang w:val="en-AU" w:eastAsia="en-AU"/>
      </w:rPr>
      <w:drawing>
        <wp:anchor distT="0" distB="0" distL="114300" distR="114300" simplePos="0" relativeHeight="251660288" behindDoc="1" locked="1" layoutInCell="1" allowOverlap="1" wp14:anchorId="36BE135F" wp14:editId="79AE5B81">
          <wp:simplePos x="0" y="0"/>
          <wp:positionH relativeFrom="page">
            <wp:posOffset>720090</wp:posOffset>
          </wp:positionH>
          <wp:positionV relativeFrom="page">
            <wp:posOffset>882015</wp:posOffset>
          </wp:positionV>
          <wp:extent cx="3166920" cy="554400"/>
          <wp:effectExtent l="0" t="0" r="0" b="0"/>
          <wp:wrapNone/>
          <wp:docPr id="18" name="Picture 18"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36E0EE7" wp14:editId="603EA270">
          <wp:simplePos x="0" y="0"/>
          <wp:positionH relativeFrom="page">
            <wp:posOffset>12700</wp:posOffset>
          </wp:positionH>
          <wp:positionV relativeFrom="page">
            <wp:posOffset>0</wp:posOffset>
          </wp:positionV>
          <wp:extent cx="7559040" cy="10692130"/>
          <wp:effectExtent l="0" t="0" r="3810" b="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3555AD">
      <w:t xml:space="preserve"> </w:t>
    </w:r>
    <w:r w:rsidR="00D45616">
      <w:tab/>
    </w:r>
    <w:r w:rsidR="00D45616" w:rsidRPr="00D45616">
      <w:rPr>
        <w:sz w:val="22"/>
      </w:rPr>
      <w:t>OFFICIAL</w:t>
    </w:r>
    <w:r w:rsidR="003555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446"/>
    <w:multiLevelType w:val="hybridMultilevel"/>
    <w:tmpl w:val="1D12C22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E27A52"/>
    <w:multiLevelType w:val="hybridMultilevel"/>
    <w:tmpl w:val="D7683E42"/>
    <w:lvl w:ilvl="0" w:tplc="F6943F58">
      <w:start w:val="1"/>
      <w:numFmt w:val="decimal"/>
      <w:lvlText w:val="%1."/>
      <w:lvlJc w:val="left"/>
      <w:pPr>
        <w:tabs>
          <w:tab w:val="num" w:pos="720"/>
        </w:tabs>
        <w:ind w:left="720" w:hanging="360"/>
      </w:pPr>
    </w:lvl>
    <w:lvl w:ilvl="1" w:tplc="74CC3C4C" w:tentative="1">
      <w:start w:val="1"/>
      <w:numFmt w:val="decimal"/>
      <w:lvlText w:val="%2."/>
      <w:lvlJc w:val="left"/>
      <w:pPr>
        <w:tabs>
          <w:tab w:val="num" w:pos="1440"/>
        </w:tabs>
        <w:ind w:left="1440" w:hanging="360"/>
      </w:pPr>
    </w:lvl>
    <w:lvl w:ilvl="2" w:tplc="ABF09778" w:tentative="1">
      <w:start w:val="1"/>
      <w:numFmt w:val="decimal"/>
      <w:lvlText w:val="%3."/>
      <w:lvlJc w:val="left"/>
      <w:pPr>
        <w:tabs>
          <w:tab w:val="num" w:pos="2160"/>
        </w:tabs>
        <w:ind w:left="2160" w:hanging="360"/>
      </w:pPr>
    </w:lvl>
    <w:lvl w:ilvl="3" w:tplc="68BA3704" w:tentative="1">
      <w:start w:val="1"/>
      <w:numFmt w:val="decimal"/>
      <w:lvlText w:val="%4."/>
      <w:lvlJc w:val="left"/>
      <w:pPr>
        <w:tabs>
          <w:tab w:val="num" w:pos="2880"/>
        </w:tabs>
        <w:ind w:left="2880" w:hanging="360"/>
      </w:pPr>
    </w:lvl>
    <w:lvl w:ilvl="4" w:tplc="E7900A04" w:tentative="1">
      <w:start w:val="1"/>
      <w:numFmt w:val="decimal"/>
      <w:lvlText w:val="%5."/>
      <w:lvlJc w:val="left"/>
      <w:pPr>
        <w:tabs>
          <w:tab w:val="num" w:pos="3600"/>
        </w:tabs>
        <w:ind w:left="3600" w:hanging="360"/>
      </w:pPr>
    </w:lvl>
    <w:lvl w:ilvl="5" w:tplc="B1EC1958" w:tentative="1">
      <w:start w:val="1"/>
      <w:numFmt w:val="decimal"/>
      <w:lvlText w:val="%6."/>
      <w:lvlJc w:val="left"/>
      <w:pPr>
        <w:tabs>
          <w:tab w:val="num" w:pos="4320"/>
        </w:tabs>
        <w:ind w:left="4320" w:hanging="360"/>
      </w:pPr>
    </w:lvl>
    <w:lvl w:ilvl="6" w:tplc="972AA7AA" w:tentative="1">
      <w:start w:val="1"/>
      <w:numFmt w:val="decimal"/>
      <w:lvlText w:val="%7."/>
      <w:lvlJc w:val="left"/>
      <w:pPr>
        <w:tabs>
          <w:tab w:val="num" w:pos="5040"/>
        </w:tabs>
        <w:ind w:left="5040" w:hanging="360"/>
      </w:pPr>
    </w:lvl>
    <w:lvl w:ilvl="7" w:tplc="CD2217E0" w:tentative="1">
      <w:start w:val="1"/>
      <w:numFmt w:val="decimal"/>
      <w:lvlText w:val="%8."/>
      <w:lvlJc w:val="left"/>
      <w:pPr>
        <w:tabs>
          <w:tab w:val="num" w:pos="5760"/>
        </w:tabs>
        <w:ind w:left="5760" w:hanging="360"/>
      </w:pPr>
    </w:lvl>
    <w:lvl w:ilvl="8" w:tplc="55E47682" w:tentative="1">
      <w:start w:val="1"/>
      <w:numFmt w:val="decimal"/>
      <w:lvlText w:val="%9."/>
      <w:lvlJc w:val="left"/>
      <w:pPr>
        <w:tabs>
          <w:tab w:val="num" w:pos="6480"/>
        </w:tabs>
        <w:ind w:left="6480" w:hanging="360"/>
      </w:p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E82D72"/>
    <w:multiLevelType w:val="hybridMultilevel"/>
    <w:tmpl w:val="7302962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6D614ED"/>
    <w:multiLevelType w:val="hybridMultilevel"/>
    <w:tmpl w:val="1E8E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A64A6E"/>
    <w:multiLevelType w:val="hybridMultilevel"/>
    <w:tmpl w:val="41C48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5CA5167"/>
    <w:multiLevelType w:val="hybridMultilevel"/>
    <w:tmpl w:val="08946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AF4603"/>
    <w:multiLevelType w:val="hybridMultilevel"/>
    <w:tmpl w:val="2F588CAE"/>
    <w:lvl w:ilvl="0" w:tplc="53DA63CA">
      <w:start w:val="1"/>
      <w:numFmt w:val="decimal"/>
      <w:lvlText w:val="%1."/>
      <w:lvlJc w:val="left"/>
      <w:pPr>
        <w:tabs>
          <w:tab w:val="num" w:pos="720"/>
        </w:tabs>
        <w:ind w:left="720" w:hanging="360"/>
      </w:pPr>
    </w:lvl>
    <w:lvl w:ilvl="1" w:tplc="AFE67848" w:tentative="1">
      <w:start w:val="1"/>
      <w:numFmt w:val="decimal"/>
      <w:lvlText w:val="%2."/>
      <w:lvlJc w:val="left"/>
      <w:pPr>
        <w:tabs>
          <w:tab w:val="num" w:pos="1440"/>
        </w:tabs>
        <w:ind w:left="1440" w:hanging="360"/>
      </w:pPr>
    </w:lvl>
    <w:lvl w:ilvl="2" w:tplc="E9C0F2C6" w:tentative="1">
      <w:start w:val="1"/>
      <w:numFmt w:val="decimal"/>
      <w:lvlText w:val="%3."/>
      <w:lvlJc w:val="left"/>
      <w:pPr>
        <w:tabs>
          <w:tab w:val="num" w:pos="2160"/>
        </w:tabs>
        <w:ind w:left="2160" w:hanging="360"/>
      </w:pPr>
    </w:lvl>
    <w:lvl w:ilvl="3" w:tplc="386A97FE" w:tentative="1">
      <w:start w:val="1"/>
      <w:numFmt w:val="decimal"/>
      <w:lvlText w:val="%4."/>
      <w:lvlJc w:val="left"/>
      <w:pPr>
        <w:tabs>
          <w:tab w:val="num" w:pos="2880"/>
        </w:tabs>
        <w:ind w:left="2880" w:hanging="360"/>
      </w:pPr>
    </w:lvl>
    <w:lvl w:ilvl="4" w:tplc="6DA494E8" w:tentative="1">
      <w:start w:val="1"/>
      <w:numFmt w:val="decimal"/>
      <w:lvlText w:val="%5."/>
      <w:lvlJc w:val="left"/>
      <w:pPr>
        <w:tabs>
          <w:tab w:val="num" w:pos="3600"/>
        </w:tabs>
        <w:ind w:left="3600" w:hanging="360"/>
      </w:pPr>
    </w:lvl>
    <w:lvl w:ilvl="5" w:tplc="2CFAF1E0" w:tentative="1">
      <w:start w:val="1"/>
      <w:numFmt w:val="decimal"/>
      <w:lvlText w:val="%6."/>
      <w:lvlJc w:val="left"/>
      <w:pPr>
        <w:tabs>
          <w:tab w:val="num" w:pos="4320"/>
        </w:tabs>
        <w:ind w:left="4320" w:hanging="360"/>
      </w:pPr>
    </w:lvl>
    <w:lvl w:ilvl="6" w:tplc="D396C3B2" w:tentative="1">
      <w:start w:val="1"/>
      <w:numFmt w:val="decimal"/>
      <w:lvlText w:val="%7."/>
      <w:lvlJc w:val="left"/>
      <w:pPr>
        <w:tabs>
          <w:tab w:val="num" w:pos="5040"/>
        </w:tabs>
        <w:ind w:left="5040" w:hanging="360"/>
      </w:pPr>
    </w:lvl>
    <w:lvl w:ilvl="7" w:tplc="FBF44482" w:tentative="1">
      <w:start w:val="1"/>
      <w:numFmt w:val="decimal"/>
      <w:lvlText w:val="%8."/>
      <w:lvlJc w:val="left"/>
      <w:pPr>
        <w:tabs>
          <w:tab w:val="num" w:pos="5760"/>
        </w:tabs>
        <w:ind w:left="5760" w:hanging="360"/>
      </w:pPr>
    </w:lvl>
    <w:lvl w:ilvl="8" w:tplc="7EEC9768" w:tentative="1">
      <w:start w:val="1"/>
      <w:numFmt w:val="decimal"/>
      <w:lvlText w:val="%9."/>
      <w:lvlJc w:val="left"/>
      <w:pPr>
        <w:tabs>
          <w:tab w:val="num" w:pos="6480"/>
        </w:tabs>
        <w:ind w:left="6480" w:hanging="360"/>
      </w:pPr>
    </w:lvl>
  </w:abstractNum>
  <w:abstractNum w:abstractNumId="10" w15:restartNumberingAfterBreak="0">
    <w:nsid w:val="3EEE681D"/>
    <w:multiLevelType w:val="hybridMultilevel"/>
    <w:tmpl w:val="D4F68BB6"/>
    <w:lvl w:ilvl="0" w:tplc="3886D498">
      <w:start w:val="1"/>
      <w:numFmt w:val="bullet"/>
      <w:lvlText w:val="•"/>
      <w:lvlJc w:val="left"/>
      <w:pPr>
        <w:tabs>
          <w:tab w:val="num" w:pos="720"/>
        </w:tabs>
        <w:ind w:left="720" w:hanging="360"/>
      </w:pPr>
      <w:rPr>
        <w:rFonts w:ascii="Arial" w:hAnsi="Arial" w:hint="default"/>
      </w:rPr>
    </w:lvl>
    <w:lvl w:ilvl="1" w:tplc="86305CB6" w:tentative="1">
      <w:start w:val="1"/>
      <w:numFmt w:val="bullet"/>
      <w:lvlText w:val="•"/>
      <w:lvlJc w:val="left"/>
      <w:pPr>
        <w:tabs>
          <w:tab w:val="num" w:pos="1440"/>
        </w:tabs>
        <w:ind w:left="1440" w:hanging="360"/>
      </w:pPr>
      <w:rPr>
        <w:rFonts w:ascii="Arial" w:hAnsi="Arial" w:hint="default"/>
      </w:rPr>
    </w:lvl>
    <w:lvl w:ilvl="2" w:tplc="2C12F948" w:tentative="1">
      <w:start w:val="1"/>
      <w:numFmt w:val="bullet"/>
      <w:lvlText w:val="•"/>
      <w:lvlJc w:val="left"/>
      <w:pPr>
        <w:tabs>
          <w:tab w:val="num" w:pos="2160"/>
        </w:tabs>
        <w:ind w:left="2160" w:hanging="360"/>
      </w:pPr>
      <w:rPr>
        <w:rFonts w:ascii="Arial" w:hAnsi="Arial" w:hint="default"/>
      </w:rPr>
    </w:lvl>
    <w:lvl w:ilvl="3" w:tplc="E8A49324" w:tentative="1">
      <w:start w:val="1"/>
      <w:numFmt w:val="bullet"/>
      <w:lvlText w:val="•"/>
      <w:lvlJc w:val="left"/>
      <w:pPr>
        <w:tabs>
          <w:tab w:val="num" w:pos="2880"/>
        </w:tabs>
        <w:ind w:left="2880" w:hanging="360"/>
      </w:pPr>
      <w:rPr>
        <w:rFonts w:ascii="Arial" w:hAnsi="Arial" w:hint="default"/>
      </w:rPr>
    </w:lvl>
    <w:lvl w:ilvl="4" w:tplc="4370B00E" w:tentative="1">
      <w:start w:val="1"/>
      <w:numFmt w:val="bullet"/>
      <w:lvlText w:val="•"/>
      <w:lvlJc w:val="left"/>
      <w:pPr>
        <w:tabs>
          <w:tab w:val="num" w:pos="3600"/>
        </w:tabs>
        <w:ind w:left="3600" w:hanging="360"/>
      </w:pPr>
      <w:rPr>
        <w:rFonts w:ascii="Arial" w:hAnsi="Arial" w:hint="default"/>
      </w:rPr>
    </w:lvl>
    <w:lvl w:ilvl="5" w:tplc="A63E09AC" w:tentative="1">
      <w:start w:val="1"/>
      <w:numFmt w:val="bullet"/>
      <w:lvlText w:val="•"/>
      <w:lvlJc w:val="left"/>
      <w:pPr>
        <w:tabs>
          <w:tab w:val="num" w:pos="4320"/>
        </w:tabs>
        <w:ind w:left="4320" w:hanging="360"/>
      </w:pPr>
      <w:rPr>
        <w:rFonts w:ascii="Arial" w:hAnsi="Arial" w:hint="default"/>
      </w:rPr>
    </w:lvl>
    <w:lvl w:ilvl="6" w:tplc="6298F146" w:tentative="1">
      <w:start w:val="1"/>
      <w:numFmt w:val="bullet"/>
      <w:lvlText w:val="•"/>
      <w:lvlJc w:val="left"/>
      <w:pPr>
        <w:tabs>
          <w:tab w:val="num" w:pos="5040"/>
        </w:tabs>
        <w:ind w:left="5040" w:hanging="360"/>
      </w:pPr>
      <w:rPr>
        <w:rFonts w:ascii="Arial" w:hAnsi="Arial" w:hint="default"/>
      </w:rPr>
    </w:lvl>
    <w:lvl w:ilvl="7" w:tplc="C778F6D6" w:tentative="1">
      <w:start w:val="1"/>
      <w:numFmt w:val="bullet"/>
      <w:lvlText w:val="•"/>
      <w:lvlJc w:val="left"/>
      <w:pPr>
        <w:tabs>
          <w:tab w:val="num" w:pos="5760"/>
        </w:tabs>
        <w:ind w:left="5760" w:hanging="360"/>
      </w:pPr>
      <w:rPr>
        <w:rFonts w:ascii="Arial" w:hAnsi="Arial" w:hint="default"/>
      </w:rPr>
    </w:lvl>
    <w:lvl w:ilvl="8" w:tplc="2A229D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2418E2"/>
    <w:multiLevelType w:val="hybridMultilevel"/>
    <w:tmpl w:val="7250E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53D9F"/>
    <w:multiLevelType w:val="multilevel"/>
    <w:tmpl w:val="A6FA45D0"/>
    <w:numStyleLink w:val="BulletsList"/>
  </w:abstractNum>
  <w:abstractNum w:abstractNumId="13" w15:restartNumberingAfterBreak="0">
    <w:nsid w:val="53785A01"/>
    <w:multiLevelType w:val="hybridMultilevel"/>
    <w:tmpl w:val="43544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67296BAB"/>
    <w:multiLevelType w:val="hybridMultilevel"/>
    <w:tmpl w:val="AF6EBE1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8" w15:restartNumberingAfterBreak="0">
    <w:nsid w:val="686952F4"/>
    <w:multiLevelType w:val="hybridMultilevel"/>
    <w:tmpl w:val="657A6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551213"/>
    <w:multiLevelType w:val="hybridMultilevel"/>
    <w:tmpl w:val="1084EE28"/>
    <w:lvl w:ilvl="0" w:tplc="116E26D6">
      <w:start w:val="1"/>
      <w:numFmt w:val="bullet"/>
      <w:lvlText w:val="•"/>
      <w:lvlJc w:val="left"/>
      <w:pPr>
        <w:tabs>
          <w:tab w:val="num" w:pos="720"/>
        </w:tabs>
        <w:ind w:left="720" w:hanging="360"/>
      </w:pPr>
      <w:rPr>
        <w:rFonts w:ascii="Arial" w:hAnsi="Arial" w:hint="default"/>
      </w:rPr>
    </w:lvl>
    <w:lvl w:ilvl="1" w:tplc="4D9A9A76" w:tentative="1">
      <w:start w:val="1"/>
      <w:numFmt w:val="bullet"/>
      <w:lvlText w:val="•"/>
      <w:lvlJc w:val="left"/>
      <w:pPr>
        <w:tabs>
          <w:tab w:val="num" w:pos="1440"/>
        </w:tabs>
        <w:ind w:left="1440" w:hanging="360"/>
      </w:pPr>
      <w:rPr>
        <w:rFonts w:ascii="Arial" w:hAnsi="Arial" w:hint="default"/>
      </w:rPr>
    </w:lvl>
    <w:lvl w:ilvl="2" w:tplc="3DFC4018" w:tentative="1">
      <w:start w:val="1"/>
      <w:numFmt w:val="bullet"/>
      <w:lvlText w:val="•"/>
      <w:lvlJc w:val="left"/>
      <w:pPr>
        <w:tabs>
          <w:tab w:val="num" w:pos="2160"/>
        </w:tabs>
        <w:ind w:left="2160" w:hanging="360"/>
      </w:pPr>
      <w:rPr>
        <w:rFonts w:ascii="Arial" w:hAnsi="Arial" w:hint="default"/>
      </w:rPr>
    </w:lvl>
    <w:lvl w:ilvl="3" w:tplc="501E078E" w:tentative="1">
      <w:start w:val="1"/>
      <w:numFmt w:val="bullet"/>
      <w:lvlText w:val="•"/>
      <w:lvlJc w:val="left"/>
      <w:pPr>
        <w:tabs>
          <w:tab w:val="num" w:pos="2880"/>
        </w:tabs>
        <w:ind w:left="2880" w:hanging="360"/>
      </w:pPr>
      <w:rPr>
        <w:rFonts w:ascii="Arial" w:hAnsi="Arial" w:hint="default"/>
      </w:rPr>
    </w:lvl>
    <w:lvl w:ilvl="4" w:tplc="4B905E22" w:tentative="1">
      <w:start w:val="1"/>
      <w:numFmt w:val="bullet"/>
      <w:lvlText w:val="•"/>
      <w:lvlJc w:val="left"/>
      <w:pPr>
        <w:tabs>
          <w:tab w:val="num" w:pos="3600"/>
        </w:tabs>
        <w:ind w:left="3600" w:hanging="360"/>
      </w:pPr>
      <w:rPr>
        <w:rFonts w:ascii="Arial" w:hAnsi="Arial" w:hint="default"/>
      </w:rPr>
    </w:lvl>
    <w:lvl w:ilvl="5" w:tplc="9F92495A" w:tentative="1">
      <w:start w:val="1"/>
      <w:numFmt w:val="bullet"/>
      <w:lvlText w:val="•"/>
      <w:lvlJc w:val="left"/>
      <w:pPr>
        <w:tabs>
          <w:tab w:val="num" w:pos="4320"/>
        </w:tabs>
        <w:ind w:left="4320" w:hanging="360"/>
      </w:pPr>
      <w:rPr>
        <w:rFonts w:ascii="Arial" w:hAnsi="Arial" w:hint="default"/>
      </w:rPr>
    </w:lvl>
    <w:lvl w:ilvl="6" w:tplc="5BB2190A" w:tentative="1">
      <w:start w:val="1"/>
      <w:numFmt w:val="bullet"/>
      <w:lvlText w:val="•"/>
      <w:lvlJc w:val="left"/>
      <w:pPr>
        <w:tabs>
          <w:tab w:val="num" w:pos="5040"/>
        </w:tabs>
        <w:ind w:left="5040" w:hanging="360"/>
      </w:pPr>
      <w:rPr>
        <w:rFonts w:ascii="Arial" w:hAnsi="Arial" w:hint="default"/>
      </w:rPr>
    </w:lvl>
    <w:lvl w:ilvl="7" w:tplc="FD0A30B4" w:tentative="1">
      <w:start w:val="1"/>
      <w:numFmt w:val="bullet"/>
      <w:lvlText w:val="•"/>
      <w:lvlJc w:val="left"/>
      <w:pPr>
        <w:tabs>
          <w:tab w:val="num" w:pos="5760"/>
        </w:tabs>
        <w:ind w:left="5760" w:hanging="360"/>
      </w:pPr>
      <w:rPr>
        <w:rFonts w:ascii="Arial" w:hAnsi="Arial" w:hint="default"/>
      </w:rPr>
    </w:lvl>
    <w:lvl w:ilvl="8" w:tplc="B43AB6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73C7B9B"/>
    <w:multiLevelType w:val="hybridMultilevel"/>
    <w:tmpl w:val="7398F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AA729E"/>
    <w:multiLevelType w:val="hybridMultilevel"/>
    <w:tmpl w:val="918C397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0"/>
  </w:num>
  <w:num w:numId="2">
    <w:abstractNumId w:val="1"/>
  </w:num>
  <w:num w:numId="3">
    <w:abstractNumId w:val="7"/>
  </w:num>
  <w:num w:numId="4">
    <w:abstractNumId w:val="14"/>
  </w:num>
  <w:num w:numId="5">
    <w:abstractNumId w:val="15"/>
  </w:num>
  <w:num w:numId="6">
    <w:abstractNumId w:val="7"/>
  </w:num>
  <w:num w:numId="7">
    <w:abstractNumId w:val="1"/>
  </w:num>
  <w:num w:numId="8">
    <w:abstractNumId w:val="3"/>
  </w:num>
  <w:num w:numId="9">
    <w:abstractNumId w:val="23"/>
  </w:num>
  <w:num w:numId="10">
    <w:abstractNumId w:val="12"/>
  </w:num>
  <w:num w:numId="11">
    <w:abstractNumId w:val="24"/>
  </w:num>
  <w:num w:numId="12">
    <w:abstractNumId w:val="16"/>
  </w:num>
  <w:num w:numId="13">
    <w:abstractNumId w:val="22"/>
  </w:num>
  <w:num w:numId="14">
    <w:abstractNumId w:val="11"/>
  </w:num>
  <w:num w:numId="15">
    <w:abstractNumId w:val="6"/>
  </w:num>
  <w:num w:numId="16">
    <w:abstractNumId w:val="8"/>
  </w:num>
  <w:num w:numId="17">
    <w:abstractNumId w:val="21"/>
  </w:num>
  <w:num w:numId="18">
    <w:abstractNumId w:val="17"/>
  </w:num>
  <w:num w:numId="19">
    <w:abstractNumId w:val="5"/>
  </w:num>
  <w:num w:numId="20">
    <w:abstractNumId w:val="18"/>
  </w:num>
  <w:num w:numId="21">
    <w:abstractNumId w:val="4"/>
  </w:num>
  <w:num w:numId="22">
    <w:abstractNumId w:val="0"/>
  </w:num>
  <w:num w:numId="23">
    <w:abstractNumId w:val="13"/>
  </w:num>
  <w:num w:numId="24">
    <w:abstractNumId w:val="10"/>
  </w:num>
  <w:num w:numId="25">
    <w:abstractNumId w:val="2"/>
  </w:num>
  <w:num w:numId="26">
    <w:abstractNumId w:val="19"/>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1DA8"/>
    <w:rsid w:val="000020C1"/>
    <w:rsid w:val="00003350"/>
    <w:rsid w:val="00005966"/>
    <w:rsid w:val="0002080A"/>
    <w:rsid w:val="0002782F"/>
    <w:rsid w:val="00035BBF"/>
    <w:rsid w:val="00037445"/>
    <w:rsid w:val="00043D21"/>
    <w:rsid w:val="00050806"/>
    <w:rsid w:val="000546D9"/>
    <w:rsid w:val="00054E4D"/>
    <w:rsid w:val="00060073"/>
    <w:rsid w:val="00060C8D"/>
    <w:rsid w:val="000616C6"/>
    <w:rsid w:val="00067792"/>
    <w:rsid w:val="00070700"/>
    <w:rsid w:val="000854FD"/>
    <w:rsid w:val="0008764C"/>
    <w:rsid w:val="0009090A"/>
    <w:rsid w:val="000B37F5"/>
    <w:rsid w:val="000B41BD"/>
    <w:rsid w:val="000B778C"/>
    <w:rsid w:val="000D2034"/>
    <w:rsid w:val="000D66D6"/>
    <w:rsid w:val="000D7793"/>
    <w:rsid w:val="000E2108"/>
    <w:rsid w:val="00102209"/>
    <w:rsid w:val="00113288"/>
    <w:rsid w:val="001214BE"/>
    <w:rsid w:val="0012651C"/>
    <w:rsid w:val="0013101C"/>
    <w:rsid w:val="00133943"/>
    <w:rsid w:val="001461D6"/>
    <w:rsid w:val="001541EA"/>
    <w:rsid w:val="00162A52"/>
    <w:rsid w:val="00185182"/>
    <w:rsid w:val="00193353"/>
    <w:rsid w:val="00196729"/>
    <w:rsid w:val="001B2D5A"/>
    <w:rsid w:val="001C3713"/>
    <w:rsid w:val="001D663E"/>
    <w:rsid w:val="001E0C0F"/>
    <w:rsid w:val="001E1DC0"/>
    <w:rsid w:val="001E4FEA"/>
    <w:rsid w:val="001F3A28"/>
    <w:rsid w:val="001F439D"/>
    <w:rsid w:val="001F60F9"/>
    <w:rsid w:val="00201B50"/>
    <w:rsid w:val="00203277"/>
    <w:rsid w:val="00205B2E"/>
    <w:rsid w:val="00207E0C"/>
    <w:rsid w:val="00232099"/>
    <w:rsid w:val="00235821"/>
    <w:rsid w:val="0024163C"/>
    <w:rsid w:val="00250461"/>
    <w:rsid w:val="00251BC2"/>
    <w:rsid w:val="002522DA"/>
    <w:rsid w:val="00252C04"/>
    <w:rsid w:val="00253680"/>
    <w:rsid w:val="00253CE4"/>
    <w:rsid w:val="002672B4"/>
    <w:rsid w:val="00281602"/>
    <w:rsid w:val="0028602A"/>
    <w:rsid w:val="00287AC4"/>
    <w:rsid w:val="002908A1"/>
    <w:rsid w:val="002B0C57"/>
    <w:rsid w:val="002B5E10"/>
    <w:rsid w:val="002B7E34"/>
    <w:rsid w:val="002C793D"/>
    <w:rsid w:val="002D2CC6"/>
    <w:rsid w:val="002D5B25"/>
    <w:rsid w:val="002D780B"/>
    <w:rsid w:val="002F4F2B"/>
    <w:rsid w:val="002F6716"/>
    <w:rsid w:val="003002C0"/>
    <w:rsid w:val="00300C23"/>
    <w:rsid w:val="00301144"/>
    <w:rsid w:val="0030220F"/>
    <w:rsid w:val="003031C6"/>
    <w:rsid w:val="00304984"/>
    <w:rsid w:val="00304A6F"/>
    <w:rsid w:val="00305F25"/>
    <w:rsid w:val="00310788"/>
    <w:rsid w:val="00312BF8"/>
    <w:rsid w:val="003148B7"/>
    <w:rsid w:val="003158C3"/>
    <w:rsid w:val="00317661"/>
    <w:rsid w:val="0032083C"/>
    <w:rsid w:val="00324618"/>
    <w:rsid w:val="0032722B"/>
    <w:rsid w:val="003274CD"/>
    <w:rsid w:val="00330913"/>
    <w:rsid w:val="00333501"/>
    <w:rsid w:val="00335E65"/>
    <w:rsid w:val="00342B97"/>
    <w:rsid w:val="003457C4"/>
    <w:rsid w:val="0035119D"/>
    <w:rsid w:val="003555AD"/>
    <w:rsid w:val="0036130A"/>
    <w:rsid w:val="00365115"/>
    <w:rsid w:val="00366A7B"/>
    <w:rsid w:val="0037149C"/>
    <w:rsid w:val="00382A01"/>
    <w:rsid w:val="00384D40"/>
    <w:rsid w:val="00387583"/>
    <w:rsid w:val="0039344A"/>
    <w:rsid w:val="003947C8"/>
    <w:rsid w:val="003949A5"/>
    <w:rsid w:val="00395163"/>
    <w:rsid w:val="003A4831"/>
    <w:rsid w:val="003A598D"/>
    <w:rsid w:val="003B4F12"/>
    <w:rsid w:val="003C2747"/>
    <w:rsid w:val="003C2D0C"/>
    <w:rsid w:val="003F2041"/>
    <w:rsid w:val="004016D3"/>
    <w:rsid w:val="00402ACC"/>
    <w:rsid w:val="00406CA3"/>
    <w:rsid w:val="004109DE"/>
    <w:rsid w:val="004117BB"/>
    <w:rsid w:val="004120EC"/>
    <w:rsid w:val="00423F31"/>
    <w:rsid w:val="0043148F"/>
    <w:rsid w:val="00431899"/>
    <w:rsid w:val="004328D8"/>
    <w:rsid w:val="00435145"/>
    <w:rsid w:val="00442055"/>
    <w:rsid w:val="00453888"/>
    <w:rsid w:val="004776A5"/>
    <w:rsid w:val="00482AE8"/>
    <w:rsid w:val="0048492D"/>
    <w:rsid w:val="00486804"/>
    <w:rsid w:val="00490CDB"/>
    <w:rsid w:val="004939C4"/>
    <w:rsid w:val="0049720D"/>
    <w:rsid w:val="0049770B"/>
    <w:rsid w:val="004A7A9D"/>
    <w:rsid w:val="004B148E"/>
    <w:rsid w:val="004B3775"/>
    <w:rsid w:val="004B6A88"/>
    <w:rsid w:val="004B7309"/>
    <w:rsid w:val="004C6342"/>
    <w:rsid w:val="004D0BA0"/>
    <w:rsid w:val="004E058F"/>
    <w:rsid w:val="004E05B7"/>
    <w:rsid w:val="004E2F72"/>
    <w:rsid w:val="004E3B87"/>
    <w:rsid w:val="004F2AF9"/>
    <w:rsid w:val="004F6EC2"/>
    <w:rsid w:val="00506920"/>
    <w:rsid w:val="00510921"/>
    <w:rsid w:val="00510AD3"/>
    <w:rsid w:val="00513348"/>
    <w:rsid w:val="00513760"/>
    <w:rsid w:val="00513AD8"/>
    <w:rsid w:val="005204D2"/>
    <w:rsid w:val="00522396"/>
    <w:rsid w:val="005326D5"/>
    <w:rsid w:val="00533B5D"/>
    <w:rsid w:val="00536F6D"/>
    <w:rsid w:val="0053749A"/>
    <w:rsid w:val="00541BA3"/>
    <w:rsid w:val="00542398"/>
    <w:rsid w:val="00547CAE"/>
    <w:rsid w:val="0058270A"/>
    <w:rsid w:val="00594014"/>
    <w:rsid w:val="005A20F6"/>
    <w:rsid w:val="005B2ED0"/>
    <w:rsid w:val="005B3447"/>
    <w:rsid w:val="005B55E8"/>
    <w:rsid w:val="005C1B50"/>
    <w:rsid w:val="005C2E67"/>
    <w:rsid w:val="005D3655"/>
    <w:rsid w:val="005D3976"/>
    <w:rsid w:val="005E4830"/>
    <w:rsid w:val="0061593B"/>
    <w:rsid w:val="00617D9D"/>
    <w:rsid w:val="00622B86"/>
    <w:rsid w:val="00623BA1"/>
    <w:rsid w:val="00623DDE"/>
    <w:rsid w:val="00631E99"/>
    <w:rsid w:val="006346BC"/>
    <w:rsid w:val="00664813"/>
    <w:rsid w:val="0066652A"/>
    <w:rsid w:val="006719C3"/>
    <w:rsid w:val="006769F5"/>
    <w:rsid w:val="00680522"/>
    <w:rsid w:val="00682167"/>
    <w:rsid w:val="0068525D"/>
    <w:rsid w:val="0069290E"/>
    <w:rsid w:val="006A27D5"/>
    <w:rsid w:val="006A69AB"/>
    <w:rsid w:val="006B1474"/>
    <w:rsid w:val="006B340E"/>
    <w:rsid w:val="006B6C36"/>
    <w:rsid w:val="006B6FDF"/>
    <w:rsid w:val="006C42AF"/>
    <w:rsid w:val="006C5E98"/>
    <w:rsid w:val="006D321E"/>
    <w:rsid w:val="006D71DA"/>
    <w:rsid w:val="006F5A0A"/>
    <w:rsid w:val="00702306"/>
    <w:rsid w:val="007060E5"/>
    <w:rsid w:val="00711D8E"/>
    <w:rsid w:val="00712672"/>
    <w:rsid w:val="00717707"/>
    <w:rsid w:val="007229EF"/>
    <w:rsid w:val="00727A91"/>
    <w:rsid w:val="00734E3F"/>
    <w:rsid w:val="00736985"/>
    <w:rsid w:val="00740169"/>
    <w:rsid w:val="00745DF5"/>
    <w:rsid w:val="0076250F"/>
    <w:rsid w:val="00763485"/>
    <w:rsid w:val="00763B9C"/>
    <w:rsid w:val="007662DA"/>
    <w:rsid w:val="007706B8"/>
    <w:rsid w:val="00774EE4"/>
    <w:rsid w:val="0078095C"/>
    <w:rsid w:val="00780FA5"/>
    <w:rsid w:val="007833E5"/>
    <w:rsid w:val="007A22E6"/>
    <w:rsid w:val="007B6200"/>
    <w:rsid w:val="007C11FC"/>
    <w:rsid w:val="007C7468"/>
    <w:rsid w:val="007F3395"/>
    <w:rsid w:val="007F6ADA"/>
    <w:rsid w:val="00801B9F"/>
    <w:rsid w:val="0080204D"/>
    <w:rsid w:val="00805B9C"/>
    <w:rsid w:val="00806296"/>
    <w:rsid w:val="00812848"/>
    <w:rsid w:val="008155A2"/>
    <w:rsid w:val="00822C8B"/>
    <w:rsid w:val="0083052F"/>
    <w:rsid w:val="0083078F"/>
    <w:rsid w:val="00832831"/>
    <w:rsid w:val="00832966"/>
    <w:rsid w:val="0083342D"/>
    <w:rsid w:val="00835BA7"/>
    <w:rsid w:val="00835CE5"/>
    <w:rsid w:val="0083789C"/>
    <w:rsid w:val="00847153"/>
    <w:rsid w:val="008475F0"/>
    <w:rsid w:val="0085043B"/>
    <w:rsid w:val="008515C1"/>
    <w:rsid w:val="008557A7"/>
    <w:rsid w:val="00864A84"/>
    <w:rsid w:val="00870928"/>
    <w:rsid w:val="00871D4E"/>
    <w:rsid w:val="008817AC"/>
    <w:rsid w:val="00881F90"/>
    <w:rsid w:val="00885A62"/>
    <w:rsid w:val="008866C2"/>
    <w:rsid w:val="0089068D"/>
    <w:rsid w:val="0089405C"/>
    <w:rsid w:val="00897FA2"/>
    <w:rsid w:val="008A5AFE"/>
    <w:rsid w:val="008B0754"/>
    <w:rsid w:val="008B6C8F"/>
    <w:rsid w:val="008C0E17"/>
    <w:rsid w:val="008C5A0E"/>
    <w:rsid w:val="008D0A7E"/>
    <w:rsid w:val="008D1035"/>
    <w:rsid w:val="008D5987"/>
    <w:rsid w:val="008E7EB7"/>
    <w:rsid w:val="0090022F"/>
    <w:rsid w:val="00907A52"/>
    <w:rsid w:val="00921158"/>
    <w:rsid w:val="009244EB"/>
    <w:rsid w:val="009342B5"/>
    <w:rsid w:val="00934C93"/>
    <w:rsid w:val="00940141"/>
    <w:rsid w:val="009421F1"/>
    <w:rsid w:val="00943730"/>
    <w:rsid w:val="00953E53"/>
    <w:rsid w:val="00955ABA"/>
    <w:rsid w:val="00961E72"/>
    <w:rsid w:val="00965835"/>
    <w:rsid w:val="0096624A"/>
    <w:rsid w:val="0096797B"/>
    <w:rsid w:val="00971FA2"/>
    <w:rsid w:val="00975CA5"/>
    <w:rsid w:val="00977987"/>
    <w:rsid w:val="009830D8"/>
    <w:rsid w:val="00983AED"/>
    <w:rsid w:val="00984C69"/>
    <w:rsid w:val="00986590"/>
    <w:rsid w:val="009875A2"/>
    <w:rsid w:val="00992C76"/>
    <w:rsid w:val="009969D6"/>
    <w:rsid w:val="009A3DD2"/>
    <w:rsid w:val="009B4D3B"/>
    <w:rsid w:val="009B7942"/>
    <w:rsid w:val="009D7407"/>
    <w:rsid w:val="009E0866"/>
    <w:rsid w:val="009E273C"/>
    <w:rsid w:val="009F1350"/>
    <w:rsid w:val="009F4A93"/>
    <w:rsid w:val="009F6423"/>
    <w:rsid w:val="00A05AB5"/>
    <w:rsid w:val="00A175B3"/>
    <w:rsid w:val="00A179C8"/>
    <w:rsid w:val="00A22D72"/>
    <w:rsid w:val="00A23453"/>
    <w:rsid w:val="00A24A62"/>
    <w:rsid w:val="00A265AB"/>
    <w:rsid w:val="00A27988"/>
    <w:rsid w:val="00A31C9F"/>
    <w:rsid w:val="00A32858"/>
    <w:rsid w:val="00A36267"/>
    <w:rsid w:val="00A4144F"/>
    <w:rsid w:val="00A46522"/>
    <w:rsid w:val="00A56628"/>
    <w:rsid w:val="00A61B4D"/>
    <w:rsid w:val="00A61B59"/>
    <w:rsid w:val="00A636F8"/>
    <w:rsid w:val="00A67CB8"/>
    <w:rsid w:val="00A80F95"/>
    <w:rsid w:val="00A82F3E"/>
    <w:rsid w:val="00A91795"/>
    <w:rsid w:val="00A9572E"/>
    <w:rsid w:val="00A9717C"/>
    <w:rsid w:val="00A97BF1"/>
    <w:rsid w:val="00AA0309"/>
    <w:rsid w:val="00AA298A"/>
    <w:rsid w:val="00AA315B"/>
    <w:rsid w:val="00AA4D16"/>
    <w:rsid w:val="00AA620D"/>
    <w:rsid w:val="00AC164A"/>
    <w:rsid w:val="00AC2F57"/>
    <w:rsid w:val="00AC5326"/>
    <w:rsid w:val="00AE2BC0"/>
    <w:rsid w:val="00AE448A"/>
    <w:rsid w:val="00AF1E85"/>
    <w:rsid w:val="00AF2050"/>
    <w:rsid w:val="00AF2450"/>
    <w:rsid w:val="00AF72C5"/>
    <w:rsid w:val="00B03CA8"/>
    <w:rsid w:val="00B06B46"/>
    <w:rsid w:val="00B10D81"/>
    <w:rsid w:val="00B11BC5"/>
    <w:rsid w:val="00B11CAD"/>
    <w:rsid w:val="00B206AC"/>
    <w:rsid w:val="00B276CE"/>
    <w:rsid w:val="00B33C0A"/>
    <w:rsid w:val="00B3506D"/>
    <w:rsid w:val="00B367FE"/>
    <w:rsid w:val="00B41422"/>
    <w:rsid w:val="00B54518"/>
    <w:rsid w:val="00B54869"/>
    <w:rsid w:val="00B55E19"/>
    <w:rsid w:val="00B81B81"/>
    <w:rsid w:val="00B8446E"/>
    <w:rsid w:val="00B846DC"/>
    <w:rsid w:val="00B94758"/>
    <w:rsid w:val="00B94ECD"/>
    <w:rsid w:val="00BA2F5A"/>
    <w:rsid w:val="00BA4B6D"/>
    <w:rsid w:val="00BB0A95"/>
    <w:rsid w:val="00BB26C5"/>
    <w:rsid w:val="00BB2995"/>
    <w:rsid w:val="00BC2523"/>
    <w:rsid w:val="00BC31BD"/>
    <w:rsid w:val="00BD39A8"/>
    <w:rsid w:val="00BE4DC3"/>
    <w:rsid w:val="00BE4FD0"/>
    <w:rsid w:val="00BF1E2C"/>
    <w:rsid w:val="00BF4DE6"/>
    <w:rsid w:val="00C06B13"/>
    <w:rsid w:val="00C14637"/>
    <w:rsid w:val="00C1666E"/>
    <w:rsid w:val="00C27D25"/>
    <w:rsid w:val="00C41A7F"/>
    <w:rsid w:val="00C42541"/>
    <w:rsid w:val="00C42CDE"/>
    <w:rsid w:val="00C47F1C"/>
    <w:rsid w:val="00C5182A"/>
    <w:rsid w:val="00C568CB"/>
    <w:rsid w:val="00C6314C"/>
    <w:rsid w:val="00C63EE9"/>
    <w:rsid w:val="00C749A3"/>
    <w:rsid w:val="00C878BB"/>
    <w:rsid w:val="00C906E5"/>
    <w:rsid w:val="00C9603D"/>
    <w:rsid w:val="00CA1124"/>
    <w:rsid w:val="00CA16F3"/>
    <w:rsid w:val="00CA37B1"/>
    <w:rsid w:val="00CB1959"/>
    <w:rsid w:val="00CB2CCA"/>
    <w:rsid w:val="00CB4CAE"/>
    <w:rsid w:val="00CC24E7"/>
    <w:rsid w:val="00CC35E0"/>
    <w:rsid w:val="00CC741B"/>
    <w:rsid w:val="00CD0E4B"/>
    <w:rsid w:val="00CE4C89"/>
    <w:rsid w:val="00CF07BA"/>
    <w:rsid w:val="00CF7F3D"/>
    <w:rsid w:val="00D0296C"/>
    <w:rsid w:val="00D0508E"/>
    <w:rsid w:val="00D1025B"/>
    <w:rsid w:val="00D179AF"/>
    <w:rsid w:val="00D31E3C"/>
    <w:rsid w:val="00D32D6F"/>
    <w:rsid w:val="00D37071"/>
    <w:rsid w:val="00D37678"/>
    <w:rsid w:val="00D37B04"/>
    <w:rsid w:val="00D45616"/>
    <w:rsid w:val="00D52C31"/>
    <w:rsid w:val="00D540C6"/>
    <w:rsid w:val="00D64BD1"/>
    <w:rsid w:val="00D75C7D"/>
    <w:rsid w:val="00D76B66"/>
    <w:rsid w:val="00D86ECA"/>
    <w:rsid w:val="00D92254"/>
    <w:rsid w:val="00D9342C"/>
    <w:rsid w:val="00D9356C"/>
    <w:rsid w:val="00DA29B1"/>
    <w:rsid w:val="00DA47DC"/>
    <w:rsid w:val="00DC11E3"/>
    <w:rsid w:val="00DC27FC"/>
    <w:rsid w:val="00DC6A04"/>
    <w:rsid w:val="00DD5115"/>
    <w:rsid w:val="00DE084C"/>
    <w:rsid w:val="00DE43DD"/>
    <w:rsid w:val="00DE4880"/>
    <w:rsid w:val="00DF0673"/>
    <w:rsid w:val="00E01FC6"/>
    <w:rsid w:val="00E13235"/>
    <w:rsid w:val="00E13F2F"/>
    <w:rsid w:val="00E1483C"/>
    <w:rsid w:val="00E14F51"/>
    <w:rsid w:val="00E21C57"/>
    <w:rsid w:val="00E357B7"/>
    <w:rsid w:val="00E53800"/>
    <w:rsid w:val="00E570B6"/>
    <w:rsid w:val="00E6081F"/>
    <w:rsid w:val="00E66987"/>
    <w:rsid w:val="00E71784"/>
    <w:rsid w:val="00E74B16"/>
    <w:rsid w:val="00E7513D"/>
    <w:rsid w:val="00E8296D"/>
    <w:rsid w:val="00E8457B"/>
    <w:rsid w:val="00E90252"/>
    <w:rsid w:val="00E91E39"/>
    <w:rsid w:val="00E9230B"/>
    <w:rsid w:val="00EA04B2"/>
    <w:rsid w:val="00EA20F3"/>
    <w:rsid w:val="00EC1D97"/>
    <w:rsid w:val="00ED01CC"/>
    <w:rsid w:val="00ED2831"/>
    <w:rsid w:val="00ED43D1"/>
    <w:rsid w:val="00ED736E"/>
    <w:rsid w:val="00EE25F4"/>
    <w:rsid w:val="00EE4EE1"/>
    <w:rsid w:val="00EE505F"/>
    <w:rsid w:val="00EF4574"/>
    <w:rsid w:val="00EF5FB3"/>
    <w:rsid w:val="00EF7734"/>
    <w:rsid w:val="00F11277"/>
    <w:rsid w:val="00F20E85"/>
    <w:rsid w:val="00F211BC"/>
    <w:rsid w:val="00F25A93"/>
    <w:rsid w:val="00F2684E"/>
    <w:rsid w:val="00F30D35"/>
    <w:rsid w:val="00F36540"/>
    <w:rsid w:val="00F37EC9"/>
    <w:rsid w:val="00F441AE"/>
    <w:rsid w:val="00F5404C"/>
    <w:rsid w:val="00F568BC"/>
    <w:rsid w:val="00F70F68"/>
    <w:rsid w:val="00F724B1"/>
    <w:rsid w:val="00F729EF"/>
    <w:rsid w:val="00F744A2"/>
    <w:rsid w:val="00F74BC8"/>
    <w:rsid w:val="00F77CAE"/>
    <w:rsid w:val="00F82271"/>
    <w:rsid w:val="00F83428"/>
    <w:rsid w:val="00F96BB9"/>
    <w:rsid w:val="00FB4870"/>
    <w:rsid w:val="00FB4F10"/>
    <w:rsid w:val="00FB50DD"/>
    <w:rsid w:val="00FC322F"/>
    <w:rsid w:val="00FC3742"/>
    <w:rsid w:val="00FD032B"/>
    <w:rsid w:val="00FD3D36"/>
    <w:rsid w:val="00FD474D"/>
    <w:rsid w:val="00FE6B52"/>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uiPriority w:val="99"/>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Revision">
    <w:name w:val="Revision"/>
    <w:hidden/>
    <w:uiPriority w:val="99"/>
    <w:semiHidden/>
    <w:rsid w:val="00A179C8"/>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898">
      <w:bodyDiv w:val="1"/>
      <w:marLeft w:val="0"/>
      <w:marRight w:val="0"/>
      <w:marTop w:val="0"/>
      <w:marBottom w:val="0"/>
      <w:divBdr>
        <w:top w:val="none" w:sz="0" w:space="0" w:color="auto"/>
        <w:left w:val="none" w:sz="0" w:space="0" w:color="auto"/>
        <w:bottom w:val="none" w:sz="0" w:space="0" w:color="auto"/>
        <w:right w:val="none" w:sz="0" w:space="0" w:color="auto"/>
      </w:divBdr>
    </w:div>
    <w:div w:id="115225537">
      <w:bodyDiv w:val="1"/>
      <w:marLeft w:val="0"/>
      <w:marRight w:val="0"/>
      <w:marTop w:val="0"/>
      <w:marBottom w:val="0"/>
      <w:divBdr>
        <w:top w:val="none" w:sz="0" w:space="0" w:color="auto"/>
        <w:left w:val="none" w:sz="0" w:space="0" w:color="auto"/>
        <w:bottom w:val="none" w:sz="0" w:space="0" w:color="auto"/>
        <w:right w:val="none" w:sz="0" w:space="0" w:color="auto"/>
      </w:divBdr>
    </w:div>
    <w:div w:id="165563005">
      <w:bodyDiv w:val="1"/>
      <w:marLeft w:val="0"/>
      <w:marRight w:val="0"/>
      <w:marTop w:val="0"/>
      <w:marBottom w:val="0"/>
      <w:divBdr>
        <w:top w:val="none" w:sz="0" w:space="0" w:color="auto"/>
        <w:left w:val="none" w:sz="0" w:space="0" w:color="auto"/>
        <w:bottom w:val="none" w:sz="0" w:space="0" w:color="auto"/>
        <w:right w:val="none" w:sz="0" w:space="0" w:color="auto"/>
      </w:divBdr>
    </w:div>
    <w:div w:id="337855603">
      <w:bodyDiv w:val="1"/>
      <w:marLeft w:val="0"/>
      <w:marRight w:val="0"/>
      <w:marTop w:val="0"/>
      <w:marBottom w:val="0"/>
      <w:divBdr>
        <w:top w:val="none" w:sz="0" w:space="0" w:color="auto"/>
        <w:left w:val="none" w:sz="0" w:space="0" w:color="auto"/>
        <w:bottom w:val="none" w:sz="0" w:space="0" w:color="auto"/>
        <w:right w:val="none" w:sz="0" w:space="0" w:color="auto"/>
      </w:divBdr>
    </w:div>
    <w:div w:id="966667116">
      <w:bodyDiv w:val="1"/>
      <w:marLeft w:val="0"/>
      <w:marRight w:val="0"/>
      <w:marTop w:val="0"/>
      <w:marBottom w:val="0"/>
      <w:divBdr>
        <w:top w:val="none" w:sz="0" w:space="0" w:color="auto"/>
        <w:left w:val="none" w:sz="0" w:space="0" w:color="auto"/>
        <w:bottom w:val="none" w:sz="0" w:space="0" w:color="auto"/>
        <w:right w:val="none" w:sz="0" w:space="0" w:color="auto"/>
      </w:divBdr>
    </w:div>
    <w:div w:id="967130522">
      <w:bodyDiv w:val="1"/>
      <w:marLeft w:val="0"/>
      <w:marRight w:val="0"/>
      <w:marTop w:val="0"/>
      <w:marBottom w:val="0"/>
      <w:divBdr>
        <w:top w:val="none" w:sz="0" w:space="0" w:color="auto"/>
        <w:left w:val="none" w:sz="0" w:space="0" w:color="auto"/>
        <w:bottom w:val="none" w:sz="0" w:space="0" w:color="auto"/>
        <w:right w:val="none" w:sz="0" w:space="0" w:color="auto"/>
      </w:divBdr>
    </w:div>
    <w:div w:id="1119108986">
      <w:bodyDiv w:val="1"/>
      <w:marLeft w:val="0"/>
      <w:marRight w:val="0"/>
      <w:marTop w:val="0"/>
      <w:marBottom w:val="0"/>
      <w:divBdr>
        <w:top w:val="none" w:sz="0" w:space="0" w:color="auto"/>
        <w:left w:val="none" w:sz="0" w:space="0" w:color="auto"/>
        <w:bottom w:val="none" w:sz="0" w:space="0" w:color="auto"/>
        <w:right w:val="none" w:sz="0" w:space="0" w:color="auto"/>
      </w:divBdr>
    </w:div>
    <w:div w:id="1332835425">
      <w:bodyDiv w:val="1"/>
      <w:marLeft w:val="0"/>
      <w:marRight w:val="0"/>
      <w:marTop w:val="0"/>
      <w:marBottom w:val="0"/>
      <w:divBdr>
        <w:top w:val="none" w:sz="0" w:space="0" w:color="auto"/>
        <w:left w:val="none" w:sz="0" w:space="0" w:color="auto"/>
        <w:bottom w:val="none" w:sz="0" w:space="0" w:color="auto"/>
        <w:right w:val="none" w:sz="0" w:space="0" w:color="auto"/>
      </w:divBdr>
    </w:div>
    <w:div w:id="1516917196">
      <w:bodyDiv w:val="1"/>
      <w:marLeft w:val="0"/>
      <w:marRight w:val="0"/>
      <w:marTop w:val="0"/>
      <w:marBottom w:val="0"/>
      <w:divBdr>
        <w:top w:val="none" w:sz="0" w:space="0" w:color="auto"/>
        <w:left w:val="none" w:sz="0" w:space="0" w:color="auto"/>
        <w:bottom w:val="none" w:sz="0" w:space="0" w:color="auto"/>
        <w:right w:val="none" w:sz="0" w:space="0" w:color="auto"/>
      </w:divBdr>
    </w:div>
    <w:div w:id="1567299831">
      <w:bodyDiv w:val="1"/>
      <w:marLeft w:val="0"/>
      <w:marRight w:val="0"/>
      <w:marTop w:val="0"/>
      <w:marBottom w:val="0"/>
      <w:divBdr>
        <w:top w:val="none" w:sz="0" w:space="0" w:color="auto"/>
        <w:left w:val="none" w:sz="0" w:space="0" w:color="auto"/>
        <w:bottom w:val="none" w:sz="0" w:space="0" w:color="auto"/>
        <w:right w:val="none" w:sz="0" w:space="0" w:color="auto"/>
      </w:divBdr>
    </w:div>
    <w:div w:id="18467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FA42-ACEF-418B-95EE-43DE714E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11552</Characters>
  <Application>Microsoft Office Word</Application>
  <DocSecurity>0</DocSecurity>
  <Lines>177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Unit for Gender Equality (SURGE) Investment Concept Note</dc:title>
  <dc:creator/>
  <cp:keywords> [SEC=OFFICIAL]</cp:keywords>
  <cp:lastModifiedBy/>
  <cp:revision>1</cp:revision>
  <dcterms:created xsi:type="dcterms:W3CDTF">2021-10-27T03:53:00Z</dcterms:created>
  <dcterms:modified xsi:type="dcterms:W3CDTF">2021-10-28T03:30:00Z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33c97d0c-7c95-4e60-b880-69a39bb17f82</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3BCE7D981C3F43BB92E338FFF3FD4D8F</vt:lpwstr>
  </property>
  <property fmtid="{D5CDD505-2E9C-101B-9397-08002B2CF9AE}" pid="11" name="PM_ProtectiveMarkingValue_Footer">
    <vt:lpwstr>OFFICIAL</vt:lpwstr>
  </property>
  <property fmtid="{D5CDD505-2E9C-101B-9397-08002B2CF9AE}" pid="12" name="PM_Originator_Hash_SHA1">
    <vt:lpwstr>147BDA1C70C086A9F81A77E6FE179F82ED42EC5D</vt:lpwstr>
  </property>
  <property fmtid="{D5CDD505-2E9C-101B-9397-08002B2CF9AE}" pid="13" name="PM_OriginationTimeStamp">
    <vt:lpwstr>2021-10-28T00:52:40Z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3992931CED6E1C22376057A98FACC35D</vt:lpwstr>
  </property>
  <property fmtid="{D5CDD505-2E9C-101B-9397-08002B2CF9AE}" pid="22" name="PM_Hash_Salt">
    <vt:lpwstr>B2B631CEF6E12A3CC545D4B14B4A73B3</vt:lpwstr>
  </property>
  <property fmtid="{D5CDD505-2E9C-101B-9397-08002B2CF9AE}" pid="23" name="PM_Hash_SHA1">
    <vt:lpwstr>F32E1C15C4E5D211BAF3D8169E5BEE2C0F23F31D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ies>
</file>