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 Program Performance Report 201</w:t>
      </w:r>
      <w:r w:rsidR="00AE38AB">
        <w:rPr>
          <w:noProof/>
          <w:color w:val="FFFFFF"/>
          <w:spacing w:val="0"/>
          <w:sz w:val="50"/>
          <w:szCs w:val="50"/>
          <w:lang w:val="en-US" w:eastAsia="en-US"/>
        </w:rPr>
        <w:t>4</w:t>
      </w:r>
      <w:r w:rsidRPr="001227C3">
        <w:rPr>
          <w:noProof/>
          <w:color w:val="FFFFFF"/>
          <w:spacing w:val="0"/>
          <w:sz w:val="50"/>
          <w:szCs w:val="50"/>
          <w:lang w:val="en-US" w:eastAsia="en-US"/>
        </w:rPr>
        <w:t>-1</w:t>
      </w:r>
      <w:r w:rsidR="00AE38AB">
        <w:rPr>
          <w:noProof/>
          <w:color w:val="FFFFFF"/>
          <w:spacing w:val="0"/>
          <w:sz w:val="50"/>
          <w:szCs w:val="50"/>
          <w:lang w:val="en-US" w:eastAsia="en-US"/>
        </w:rPr>
        <w:t>5</w:t>
      </w:r>
      <w:r w:rsidRPr="001227C3">
        <w:rPr>
          <w:noProof/>
          <w:color w:val="FFFFFF"/>
          <w:spacing w:val="0"/>
          <w:sz w:val="50"/>
          <w:szCs w:val="50"/>
          <w:lang w:val="en-US" w:eastAsia="en-US"/>
        </w:rPr>
        <w:t xml:space="preserve"> </w:t>
      </w:r>
      <w:r w:rsidRPr="001227C3">
        <w:rPr>
          <w:noProof/>
          <w:color w:val="FFFFFF"/>
          <w:spacing w:val="0"/>
          <w:sz w:val="50"/>
          <w:szCs w:val="50"/>
        </w:rPr>
        <w:drawing>
          <wp:anchor distT="0" distB="0" distL="114300" distR="114300" simplePos="0" relativeHeight="251662336" behindDoc="1" locked="1" layoutInCell="1" allowOverlap="1" wp14:anchorId="5C99BD5C" wp14:editId="11025A47">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0D733F" w:rsidRPr="001227C3" w:rsidRDefault="00226D88"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Sub-Saharan Africa Program</w:t>
      </w:r>
    </w:p>
    <w:p w:rsidR="000D733F" w:rsidRDefault="00A47A60"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 xml:space="preserve">October </w:t>
      </w:r>
      <w:r w:rsidR="000D733F" w:rsidRPr="001227C3">
        <w:rPr>
          <w:rFonts w:ascii="Helvetica" w:eastAsia="Times New Roman" w:hAnsi="Helvetica"/>
          <w:noProof/>
          <w:color w:val="FFFFFF"/>
          <w:kern w:val="28"/>
          <w:sz w:val="24"/>
          <w:lang w:val="en-US" w:eastAsia="en-US"/>
        </w:rPr>
        <w:t>201</w:t>
      </w:r>
      <w:r>
        <w:rPr>
          <w:rFonts w:ascii="Helvetica" w:eastAsia="Times New Roman" w:hAnsi="Helvetica"/>
          <w:noProof/>
          <w:color w:val="FFFFFF"/>
          <w:kern w:val="28"/>
          <w:sz w:val="24"/>
          <w:lang w:val="en-US" w:eastAsia="en-US"/>
        </w:rPr>
        <w:t>5</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7E621D">
          <w:footerReference w:type="even" r:id="rId13"/>
          <w:footerReference w:type="default" r:id="rId14"/>
          <w:pgSz w:w="11907" w:h="16840" w:code="9"/>
          <w:pgMar w:top="2268" w:right="1871" w:bottom="907" w:left="1871" w:header="851" w:footer="454" w:gutter="0"/>
          <w:cols w:space="720"/>
          <w:docGrid w:linePitch="272"/>
        </w:sectPr>
      </w:pPr>
    </w:p>
    <w:p w:rsidR="00B50731" w:rsidRPr="00B43B60" w:rsidRDefault="00B50731" w:rsidP="00114CF4">
      <w:pPr>
        <w:pStyle w:val="Heading2"/>
        <w:rPr>
          <w:rStyle w:val="BodyTextChar"/>
          <w:color w:val="auto"/>
        </w:rPr>
      </w:pPr>
      <w:bookmarkStart w:id="0" w:name="_Toc373853205"/>
      <w:r w:rsidRPr="002660AA">
        <w:rPr>
          <w:sz w:val="28"/>
        </w:rPr>
        <w:lastRenderedPageBreak/>
        <w:t>Key Messages</w:t>
      </w:r>
      <w:r>
        <w:rPr>
          <w:sz w:val="32"/>
          <w:szCs w:val="32"/>
        </w:rPr>
        <w:tab/>
      </w:r>
    </w:p>
    <w:p w:rsidR="00B50731" w:rsidRDefault="00B50731" w:rsidP="00B50731">
      <w:pPr>
        <w:pStyle w:val="ListBullet"/>
      </w:pPr>
      <w:r>
        <w:t>The</w:t>
      </w:r>
      <w:r w:rsidRPr="004E0D34">
        <w:t xml:space="preserve"> </w:t>
      </w:r>
      <w:r>
        <w:t>A</w:t>
      </w:r>
      <w:r w:rsidRPr="004E0D34">
        <w:t xml:space="preserve">id </w:t>
      </w:r>
      <w:r>
        <w:t>P</w:t>
      </w:r>
      <w:r w:rsidRPr="004E0D34">
        <w:t xml:space="preserve">rogram </w:t>
      </w:r>
      <w:r>
        <w:t>P</w:t>
      </w:r>
      <w:r w:rsidRPr="004E0D34">
        <w:t xml:space="preserve">erformance </w:t>
      </w:r>
      <w:r>
        <w:t>R</w:t>
      </w:r>
      <w:r w:rsidRPr="004E0D34">
        <w:t>eport (APPR) summarises the progress of Australia</w:t>
      </w:r>
      <w:r>
        <w:t xml:space="preserve">’s </w:t>
      </w:r>
      <w:r w:rsidRPr="004E0D34">
        <w:t xml:space="preserve">aid </w:t>
      </w:r>
      <w:r>
        <w:t xml:space="preserve">investments in </w:t>
      </w:r>
      <w:r w:rsidR="000B5F65">
        <w:t>S</w:t>
      </w:r>
      <w:r>
        <w:t xml:space="preserve">ub-Saharan Africa for the period July 2014 to June 2015. It reports on the </w:t>
      </w:r>
      <w:r w:rsidRPr="004E0D34">
        <w:t xml:space="preserve">effectiveness of the </w:t>
      </w:r>
      <w:r w:rsidR="00D86985">
        <w:t>P</w:t>
      </w:r>
      <w:r w:rsidRPr="004E0D34">
        <w:t>rogram i</w:t>
      </w:r>
      <w:r>
        <w:t xml:space="preserve">n achieving </w:t>
      </w:r>
      <w:r w:rsidR="00306474">
        <w:t>th</w:t>
      </w:r>
      <w:r w:rsidR="00246A95">
        <w:t>ose</w:t>
      </w:r>
      <w:r w:rsidR="00306474">
        <w:t xml:space="preserve"> </w:t>
      </w:r>
      <w:r>
        <w:t>objectives outlined in the 20</w:t>
      </w:r>
      <w:r w:rsidR="0071077A">
        <w:t>13-</w:t>
      </w:r>
      <w:r>
        <w:t xml:space="preserve">14 </w:t>
      </w:r>
      <w:r w:rsidR="000B5F65">
        <w:t>APPR</w:t>
      </w:r>
      <w:r>
        <w:t xml:space="preserve">.  </w:t>
      </w:r>
      <w:r w:rsidR="00F738D0">
        <w:t>Future APPRs wi</w:t>
      </w:r>
      <w:r w:rsidR="00246A95">
        <w:t>ll report on the</w:t>
      </w:r>
      <w:r w:rsidR="00F738D0">
        <w:t xml:space="preserve"> objectives outlined in the Sub-Saharan Aid Investment Plan (AIP) 2015-2019.</w:t>
      </w:r>
    </w:p>
    <w:p w:rsidR="005137F5" w:rsidRPr="002C06D2" w:rsidRDefault="00B50731" w:rsidP="00B50731">
      <w:pPr>
        <w:pStyle w:val="ListBullet"/>
        <w:rPr>
          <w:szCs w:val="21"/>
        </w:rPr>
      </w:pPr>
      <w:r>
        <w:t>In 2014-15</w:t>
      </w:r>
      <w:r w:rsidR="007777FC">
        <w:t xml:space="preserve">, the </w:t>
      </w:r>
      <w:r w:rsidR="00306474">
        <w:t>S</w:t>
      </w:r>
      <w:r>
        <w:t xml:space="preserve">ub-Saharan </w:t>
      </w:r>
      <w:r w:rsidR="007777FC">
        <w:t xml:space="preserve">Africa program </w:t>
      </w:r>
      <w:r w:rsidR="004855F8">
        <w:t xml:space="preserve">made </w:t>
      </w:r>
      <w:r w:rsidR="00790FEF">
        <w:t>good</w:t>
      </w:r>
      <w:r w:rsidR="004855F8">
        <w:t xml:space="preserve"> progress against expected objectives despite </w:t>
      </w:r>
      <w:r w:rsidR="007777FC">
        <w:rPr>
          <w:szCs w:val="21"/>
        </w:rPr>
        <w:t>large reductions in the budget allocation</w:t>
      </w:r>
      <w:r w:rsidR="001710EA">
        <w:rPr>
          <w:szCs w:val="21"/>
        </w:rPr>
        <w:t xml:space="preserve"> and global reorientation of the aid program towards the Indo-Pacific region</w:t>
      </w:r>
      <w:r w:rsidR="007777FC">
        <w:rPr>
          <w:szCs w:val="21"/>
        </w:rPr>
        <w:t xml:space="preserve">. </w:t>
      </w:r>
      <w:r w:rsidR="00DD24D5" w:rsidRPr="002C06D2">
        <w:rPr>
          <w:szCs w:val="21"/>
        </w:rPr>
        <w:t xml:space="preserve">This </w:t>
      </w:r>
      <w:r w:rsidR="001710EA">
        <w:rPr>
          <w:szCs w:val="21"/>
        </w:rPr>
        <w:t>led to</w:t>
      </w:r>
      <w:r w:rsidR="00DD24D5" w:rsidRPr="002C06D2">
        <w:rPr>
          <w:szCs w:val="21"/>
        </w:rPr>
        <w:t xml:space="preserve"> a more consolidated geographic (in Southern and Eastern Africa) and sectoral (in human capacity building and leadership through Awards; agriculture; humanitarian assistance and gender equality) focus of</w:t>
      </w:r>
      <w:r w:rsidR="001710EA">
        <w:rPr>
          <w:szCs w:val="21"/>
        </w:rPr>
        <w:t xml:space="preserve"> the aid program to </w:t>
      </w:r>
      <w:r w:rsidR="00DD24D5" w:rsidRPr="002C06D2">
        <w:rPr>
          <w:szCs w:val="21"/>
        </w:rPr>
        <w:t>Africa.</w:t>
      </w:r>
      <w:r w:rsidR="005137F5" w:rsidRPr="002C06D2">
        <w:rPr>
          <w:szCs w:val="21"/>
        </w:rPr>
        <w:t xml:space="preserve"> </w:t>
      </w:r>
      <w:r w:rsidR="00F628F8">
        <w:rPr>
          <w:szCs w:val="21"/>
        </w:rPr>
        <w:t>The aid program is an important element of Australia’s broader engagement with Africa and strongly reflects the Government’s economic diplomacy agenda.</w:t>
      </w:r>
    </w:p>
    <w:p w:rsidR="00801075" w:rsidRPr="002C06D2" w:rsidRDefault="00801075" w:rsidP="00801075">
      <w:pPr>
        <w:pStyle w:val="ListBullet"/>
        <w:rPr>
          <w:szCs w:val="21"/>
          <w:lang w:eastAsia="zh-CN"/>
        </w:rPr>
      </w:pPr>
      <w:r w:rsidRPr="002C06D2">
        <w:rPr>
          <w:szCs w:val="21"/>
          <w:lang w:eastAsia="zh-CN"/>
        </w:rPr>
        <w:t xml:space="preserve">The program </w:t>
      </w:r>
      <w:r w:rsidR="00FF1E05" w:rsidRPr="002C06D2">
        <w:rPr>
          <w:szCs w:val="21"/>
          <w:lang w:eastAsia="zh-CN"/>
        </w:rPr>
        <w:t>exceeded Government strategic aid targets on</w:t>
      </w:r>
      <w:r w:rsidRPr="002C06D2">
        <w:rPr>
          <w:szCs w:val="21"/>
          <w:lang w:eastAsia="zh-CN"/>
        </w:rPr>
        <w:t xml:space="preserve"> </w:t>
      </w:r>
      <w:r w:rsidR="00FF1E05" w:rsidRPr="002C06D2">
        <w:rPr>
          <w:szCs w:val="21"/>
          <w:lang w:eastAsia="zh-CN"/>
        </w:rPr>
        <w:t xml:space="preserve">value for money and </w:t>
      </w:r>
      <w:r w:rsidR="00FF1E05" w:rsidRPr="002C06D2">
        <w:rPr>
          <w:color w:val="0D0D0D" w:themeColor="text1" w:themeTint="F2"/>
          <w:szCs w:val="21"/>
          <w:lang w:eastAsia="zh-CN"/>
        </w:rPr>
        <w:t xml:space="preserve">consolidation </w:t>
      </w:r>
      <w:hyperlink r:id="rId15" w:history="1">
        <w:r w:rsidRPr="002C06D2">
          <w:rPr>
            <w:rStyle w:val="Hyperlink"/>
            <w:color w:val="0D0D0D" w:themeColor="text1" w:themeTint="F2"/>
            <w:sz w:val="21"/>
            <w:szCs w:val="21"/>
            <w:lang w:eastAsia="zh-CN"/>
          </w:rPr>
          <w:t>in 2014-15</w:t>
        </w:r>
      </w:hyperlink>
      <w:r w:rsidR="00FF1E05" w:rsidRPr="002C06D2">
        <w:rPr>
          <w:szCs w:val="21"/>
          <w:lang w:eastAsia="zh-CN"/>
        </w:rPr>
        <w:t>.</w:t>
      </w:r>
      <w:r w:rsidRPr="002C06D2">
        <w:rPr>
          <w:szCs w:val="21"/>
          <w:lang w:eastAsia="zh-CN"/>
        </w:rPr>
        <w:t xml:space="preserve"> </w:t>
      </w:r>
      <w:r w:rsidR="00F500E8">
        <w:rPr>
          <w:szCs w:val="21"/>
          <w:lang w:eastAsia="zh-CN"/>
        </w:rPr>
        <w:t xml:space="preserve">While gender was at the centre of the program’s approach, it fell </w:t>
      </w:r>
      <w:r w:rsidR="007777FC">
        <w:rPr>
          <w:szCs w:val="21"/>
          <w:lang w:eastAsia="zh-CN"/>
        </w:rPr>
        <w:t xml:space="preserve">just </w:t>
      </w:r>
      <w:r w:rsidR="00F500E8">
        <w:rPr>
          <w:szCs w:val="21"/>
          <w:lang w:eastAsia="zh-CN"/>
        </w:rPr>
        <w:t xml:space="preserve">short of </w:t>
      </w:r>
      <w:r w:rsidR="00FF1E05" w:rsidRPr="002C06D2">
        <w:rPr>
          <w:szCs w:val="21"/>
          <w:lang w:eastAsia="zh-CN"/>
        </w:rPr>
        <w:t xml:space="preserve">meeting the </w:t>
      </w:r>
      <w:r w:rsidRPr="002C06D2">
        <w:rPr>
          <w:szCs w:val="21"/>
          <w:lang w:eastAsia="zh-CN"/>
        </w:rPr>
        <w:t xml:space="preserve">target </w:t>
      </w:r>
      <w:r w:rsidR="00FF1E05" w:rsidRPr="002C06D2">
        <w:rPr>
          <w:szCs w:val="21"/>
          <w:lang w:eastAsia="zh-CN"/>
        </w:rPr>
        <w:t xml:space="preserve">on </w:t>
      </w:r>
      <w:r w:rsidRPr="002C06D2">
        <w:rPr>
          <w:szCs w:val="21"/>
          <w:lang w:eastAsia="zh-CN"/>
        </w:rPr>
        <w:t>empowering women and girls</w:t>
      </w:r>
      <w:r w:rsidR="00FF1E05" w:rsidRPr="002C06D2">
        <w:rPr>
          <w:szCs w:val="21"/>
          <w:lang w:eastAsia="zh-CN"/>
        </w:rPr>
        <w:t xml:space="preserve"> </w:t>
      </w:r>
      <w:r w:rsidR="001710EA">
        <w:rPr>
          <w:szCs w:val="21"/>
          <w:lang w:eastAsia="zh-CN"/>
        </w:rPr>
        <w:t>and</w:t>
      </w:r>
      <w:r w:rsidR="00F500E8">
        <w:rPr>
          <w:szCs w:val="21"/>
          <w:lang w:eastAsia="zh-CN"/>
        </w:rPr>
        <w:t xml:space="preserve"> </w:t>
      </w:r>
      <w:r w:rsidR="001710EA">
        <w:rPr>
          <w:szCs w:val="21"/>
          <w:lang w:eastAsia="zh-CN"/>
        </w:rPr>
        <w:t xml:space="preserve">as well as </w:t>
      </w:r>
      <w:r w:rsidRPr="002C06D2">
        <w:rPr>
          <w:szCs w:val="21"/>
          <w:lang w:eastAsia="zh-CN"/>
        </w:rPr>
        <w:t>aid for trade</w:t>
      </w:r>
      <w:r w:rsidR="00FF1E05" w:rsidRPr="002C06D2">
        <w:rPr>
          <w:szCs w:val="21"/>
          <w:lang w:eastAsia="zh-CN"/>
        </w:rPr>
        <w:t xml:space="preserve">.  Measures have been identified </w:t>
      </w:r>
      <w:r w:rsidR="001710EA">
        <w:rPr>
          <w:szCs w:val="21"/>
          <w:lang w:eastAsia="zh-CN"/>
        </w:rPr>
        <w:t>to</w:t>
      </w:r>
      <w:r w:rsidR="00FF1E05" w:rsidRPr="002C06D2">
        <w:rPr>
          <w:szCs w:val="21"/>
          <w:lang w:eastAsia="zh-CN"/>
        </w:rPr>
        <w:t xml:space="preserve"> strengthen</w:t>
      </w:r>
      <w:r w:rsidR="001710EA">
        <w:rPr>
          <w:szCs w:val="21"/>
          <w:lang w:eastAsia="zh-CN"/>
        </w:rPr>
        <w:t xml:space="preserve"> these</w:t>
      </w:r>
      <w:r w:rsidR="00FF1E05" w:rsidRPr="002C06D2">
        <w:rPr>
          <w:szCs w:val="21"/>
          <w:lang w:eastAsia="zh-CN"/>
        </w:rPr>
        <w:t>.</w:t>
      </w:r>
    </w:p>
    <w:p w:rsidR="00186DB7" w:rsidRPr="002C06D2" w:rsidRDefault="00186DB7" w:rsidP="002C06D2">
      <w:pPr>
        <w:pStyle w:val="ListBullet"/>
        <w:rPr>
          <w:szCs w:val="21"/>
          <w:lang w:eastAsia="zh-CN"/>
        </w:rPr>
      </w:pPr>
      <w:r w:rsidRPr="002C06D2">
        <w:rPr>
          <w:rFonts w:cstheme="minorHAnsi"/>
          <w:szCs w:val="21"/>
        </w:rPr>
        <w:t>Other key challenges during 2014-15 included: t</w:t>
      </w:r>
      <w:r w:rsidR="00CB187A" w:rsidRPr="002C06D2">
        <w:rPr>
          <w:rFonts w:cstheme="minorHAnsi"/>
          <w:szCs w:val="21"/>
        </w:rPr>
        <w:t>he reduced scope of programs</w:t>
      </w:r>
      <w:r w:rsidR="001710EA">
        <w:rPr>
          <w:rFonts w:cstheme="minorHAnsi"/>
          <w:szCs w:val="21"/>
        </w:rPr>
        <w:t>, an</w:t>
      </w:r>
      <w:r w:rsidR="00CB187A" w:rsidRPr="002C06D2">
        <w:rPr>
          <w:rFonts w:cstheme="minorHAnsi"/>
          <w:szCs w:val="21"/>
        </w:rPr>
        <w:t xml:space="preserve"> inability to fund future phases</w:t>
      </w:r>
      <w:r w:rsidRPr="002C06D2">
        <w:rPr>
          <w:rFonts w:cstheme="minorHAnsi"/>
          <w:szCs w:val="21"/>
        </w:rPr>
        <w:t xml:space="preserve"> and</w:t>
      </w:r>
      <w:r>
        <w:rPr>
          <w:rFonts w:cstheme="minorHAnsi"/>
          <w:szCs w:val="21"/>
        </w:rPr>
        <w:t xml:space="preserve"> politically and economically</w:t>
      </w:r>
      <w:r w:rsidRPr="00186DB7">
        <w:rPr>
          <w:rFonts w:cstheme="minorHAnsi"/>
          <w:szCs w:val="21"/>
        </w:rPr>
        <w:t xml:space="preserve"> </w:t>
      </w:r>
      <w:r w:rsidR="00CB187A" w:rsidRPr="00186DB7">
        <w:rPr>
          <w:rFonts w:cstheme="minorHAnsi"/>
          <w:szCs w:val="21"/>
        </w:rPr>
        <w:t>difficult operating environments</w:t>
      </w:r>
      <w:r w:rsidRPr="00186DB7">
        <w:rPr>
          <w:rFonts w:cstheme="minorHAnsi"/>
          <w:szCs w:val="21"/>
        </w:rPr>
        <w:t xml:space="preserve">.  Investment managers have explored a range of options to mitigate the impacts of budget </w:t>
      </w:r>
      <w:r w:rsidR="001710EA">
        <w:rPr>
          <w:rFonts w:cstheme="minorHAnsi"/>
          <w:szCs w:val="21"/>
        </w:rPr>
        <w:t>reductions</w:t>
      </w:r>
      <w:r w:rsidRPr="00186DB7">
        <w:rPr>
          <w:rFonts w:cstheme="minorHAnsi"/>
          <w:szCs w:val="21"/>
        </w:rPr>
        <w:t xml:space="preserve"> on the effectiveness of programs</w:t>
      </w:r>
      <w:r w:rsidR="001710EA">
        <w:rPr>
          <w:rFonts w:cstheme="minorHAnsi"/>
          <w:szCs w:val="21"/>
        </w:rPr>
        <w:t>,</w:t>
      </w:r>
      <w:r w:rsidRPr="00186DB7">
        <w:rPr>
          <w:rFonts w:cstheme="minorHAnsi"/>
          <w:szCs w:val="21"/>
        </w:rPr>
        <w:t xml:space="preserve"> including by encouraging other donors to fill </w:t>
      </w:r>
      <w:r w:rsidR="00790FEF">
        <w:rPr>
          <w:rFonts w:cstheme="minorHAnsi"/>
          <w:szCs w:val="21"/>
        </w:rPr>
        <w:t xml:space="preserve">funding shortfalls </w:t>
      </w:r>
      <w:r w:rsidRPr="00186DB7">
        <w:rPr>
          <w:rFonts w:cstheme="minorHAnsi"/>
          <w:szCs w:val="21"/>
        </w:rPr>
        <w:t>and establishing suitable exit strategies.</w:t>
      </w:r>
      <w:r w:rsidRPr="002C06D2">
        <w:rPr>
          <w:rFonts w:cstheme="minorHAnsi"/>
          <w:szCs w:val="21"/>
        </w:rPr>
        <w:t xml:space="preserve"> </w:t>
      </w:r>
    </w:p>
    <w:p w:rsidR="00B50731" w:rsidRDefault="00B50731" w:rsidP="00B50731">
      <w:pPr>
        <w:pStyle w:val="ListBullet"/>
      </w:pPr>
      <w:r>
        <w:t>Despite challenges</w:t>
      </w:r>
      <w:r w:rsidR="00306474">
        <w:t xml:space="preserve">, Australian aid has continued to make a </w:t>
      </w:r>
      <w:r w:rsidR="00D96B9F">
        <w:t>valuable and targeted</w:t>
      </w:r>
      <w:r w:rsidR="00306474">
        <w:t xml:space="preserve"> contribution to the development of Sub-Saharan Africa.  Key achievements over 2014-15 include: </w:t>
      </w:r>
      <w:r>
        <w:t xml:space="preserve"> </w:t>
      </w:r>
    </w:p>
    <w:p w:rsidR="00801075" w:rsidRDefault="00186DB7" w:rsidP="00306474">
      <w:pPr>
        <w:pStyle w:val="ListBullet"/>
        <w:numPr>
          <w:ilvl w:val="1"/>
          <w:numId w:val="11"/>
        </w:numPr>
      </w:pPr>
      <w:r>
        <w:t>Contribution to</w:t>
      </w:r>
      <w:r w:rsidR="00801075">
        <w:t xml:space="preserve"> the </w:t>
      </w:r>
      <w:r w:rsidR="00801075" w:rsidRPr="00130C2E">
        <w:t xml:space="preserve">establishment of industry-led extractives </w:t>
      </w:r>
      <w:r w:rsidR="00512015">
        <w:t>technical vocational education and training (</w:t>
      </w:r>
      <w:r w:rsidR="00801075" w:rsidRPr="00130C2E">
        <w:t>TVET</w:t>
      </w:r>
      <w:r w:rsidR="00512015">
        <w:t>)</w:t>
      </w:r>
      <w:r w:rsidR="00801075" w:rsidRPr="00130C2E">
        <w:t xml:space="preserve"> models in Moz</w:t>
      </w:r>
      <w:r w:rsidR="00801075">
        <w:t>ambique</w:t>
      </w:r>
      <w:r w:rsidR="00801075" w:rsidRPr="00130C2E">
        <w:t xml:space="preserve"> and Zambia</w:t>
      </w:r>
      <w:r w:rsidR="00801075">
        <w:t xml:space="preserve"> and the adoption of best practice water harvesting techniques among West Africa Water Management activity participants, leading to 40-70 per cent higher yields</w:t>
      </w:r>
      <w:r>
        <w:t>, through the Australia Africa Partnership</w:t>
      </w:r>
      <w:r w:rsidR="009C7BE0">
        <w:t>s</w:t>
      </w:r>
      <w:r>
        <w:t xml:space="preserve"> Facility (AAPF)</w:t>
      </w:r>
      <w:r w:rsidR="00801075">
        <w:t xml:space="preserve">.  </w:t>
      </w:r>
    </w:p>
    <w:p w:rsidR="00FF1E05" w:rsidRDefault="002C06D2" w:rsidP="00FF1E05">
      <w:pPr>
        <w:pStyle w:val="ListBullet"/>
        <w:numPr>
          <w:ilvl w:val="1"/>
          <w:numId w:val="11"/>
        </w:numPr>
      </w:pPr>
      <w:r w:rsidRPr="00E41562">
        <w:rPr>
          <w:bCs/>
          <w:iCs/>
        </w:rPr>
        <w:t>I</w:t>
      </w:r>
      <w:r w:rsidR="00FF1E05" w:rsidRPr="00E41562">
        <w:rPr>
          <w:bCs/>
          <w:iCs/>
        </w:rPr>
        <w:t>ncreased incomes for over 170,000 poor women and men and increased access to financial services for over 90,000 poor women and men</w:t>
      </w:r>
      <w:r w:rsidRPr="00E41562">
        <w:rPr>
          <w:bCs/>
          <w:iCs/>
        </w:rPr>
        <w:t xml:space="preserve"> through </w:t>
      </w:r>
      <w:r w:rsidRPr="00E41562">
        <w:t>Australia’s support for the Africa Enterprise Challenge Fund (AECF)</w:t>
      </w:r>
      <w:r w:rsidR="00FF1E05">
        <w:rPr>
          <w:bCs/>
          <w:iCs/>
        </w:rPr>
        <w:t>.</w:t>
      </w:r>
    </w:p>
    <w:p w:rsidR="00B50731" w:rsidRDefault="002C06D2" w:rsidP="00306474">
      <w:pPr>
        <w:pStyle w:val="ListBullet"/>
        <w:numPr>
          <w:ilvl w:val="1"/>
          <w:numId w:val="11"/>
        </w:numPr>
      </w:pPr>
      <w:r>
        <w:t>L</w:t>
      </w:r>
      <w:r w:rsidR="00B50731">
        <w:t>ife-saving assistance for more than 203,000 vulnerable men, women and children</w:t>
      </w:r>
      <w:r>
        <w:t>, in response to critical food shortages in South Sudan</w:t>
      </w:r>
      <w:r w:rsidR="00306474">
        <w:t xml:space="preserve">.  </w:t>
      </w:r>
    </w:p>
    <w:p w:rsidR="00F500E8" w:rsidRPr="00F500E8" w:rsidRDefault="00D96B9F" w:rsidP="00B50731">
      <w:pPr>
        <w:pStyle w:val="ListBullet"/>
        <w:numPr>
          <w:ilvl w:val="1"/>
          <w:numId w:val="11"/>
        </w:numPr>
      </w:pPr>
      <w:r>
        <w:rPr>
          <w:szCs w:val="21"/>
        </w:rPr>
        <w:t>Mitigation</w:t>
      </w:r>
      <w:r w:rsidR="002C06D2">
        <w:rPr>
          <w:szCs w:val="21"/>
        </w:rPr>
        <w:t xml:space="preserve"> of chronic food insecurity for </w:t>
      </w:r>
      <w:r w:rsidR="00B50731" w:rsidRPr="00F831FA">
        <w:rPr>
          <w:szCs w:val="21"/>
        </w:rPr>
        <w:t xml:space="preserve">98,000 </w:t>
      </w:r>
      <w:r w:rsidR="002C06D2">
        <w:rPr>
          <w:szCs w:val="21"/>
        </w:rPr>
        <w:t xml:space="preserve">poor </w:t>
      </w:r>
      <w:r w:rsidR="00B50731" w:rsidRPr="00F831FA">
        <w:rPr>
          <w:szCs w:val="21"/>
        </w:rPr>
        <w:t xml:space="preserve">women and men in the four poorest counties </w:t>
      </w:r>
      <w:r w:rsidR="00B50731">
        <w:rPr>
          <w:szCs w:val="21"/>
        </w:rPr>
        <w:t>in</w:t>
      </w:r>
      <w:r w:rsidR="00B50731" w:rsidRPr="00F831FA">
        <w:rPr>
          <w:szCs w:val="21"/>
        </w:rPr>
        <w:t xml:space="preserve"> Kenya.</w:t>
      </w:r>
    </w:p>
    <w:p w:rsidR="00B50731" w:rsidRDefault="00AC5CEA" w:rsidP="00B50731">
      <w:pPr>
        <w:pStyle w:val="ListBullet"/>
        <w:numPr>
          <w:ilvl w:val="1"/>
          <w:numId w:val="11"/>
        </w:numPr>
      </w:pPr>
      <w:r>
        <w:rPr>
          <w:szCs w:val="21"/>
        </w:rPr>
        <w:t>Strong</w:t>
      </w:r>
      <w:r w:rsidRPr="00570EBB">
        <w:rPr>
          <w:szCs w:val="21"/>
        </w:rPr>
        <w:t xml:space="preserve"> research results on maize legume intensification and crop-livestock integration </w:t>
      </w:r>
      <w:r>
        <w:rPr>
          <w:szCs w:val="21"/>
        </w:rPr>
        <w:t xml:space="preserve">by the Australian Centre for International Agricultural Research (ACIAR) </w:t>
      </w:r>
      <w:r w:rsidRPr="00570EBB">
        <w:rPr>
          <w:szCs w:val="21"/>
        </w:rPr>
        <w:t xml:space="preserve">which </w:t>
      </w:r>
      <w:r>
        <w:rPr>
          <w:szCs w:val="21"/>
        </w:rPr>
        <w:t xml:space="preserve">is </w:t>
      </w:r>
      <w:r w:rsidRPr="00570EBB">
        <w:rPr>
          <w:szCs w:val="21"/>
        </w:rPr>
        <w:t>contribut</w:t>
      </w:r>
      <w:r w:rsidR="00D96B9F">
        <w:rPr>
          <w:szCs w:val="21"/>
        </w:rPr>
        <w:t>ing</w:t>
      </w:r>
      <w:r w:rsidRPr="00570EBB">
        <w:rPr>
          <w:szCs w:val="21"/>
        </w:rPr>
        <w:t xml:space="preserve"> to food and nutrition security in eight countries in Eastern and Southern Africa.  </w:t>
      </w:r>
    </w:p>
    <w:p w:rsidR="00B50731" w:rsidRPr="00B43B60" w:rsidRDefault="00B50731" w:rsidP="00B50731">
      <w:pPr>
        <w:pStyle w:val="Heading2"/>
        <w:rPr>
          <w:rStyle w:val="BodyTextChar"/>
          <w:color w:val="auto"/>
        </w:rPr>
      </w:pPr>
      <w:r w:rsidRPr="009E38C1">
        <w:rPr>
          <w:sz w:val="28"/>
        </w:rPr>
        <w:lastRenderedPageBreak/>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B31B4E" w:rsidRDefault="00B31B4E" w:rsidP="00B31B4E">
      <w:pPr>
        <w:pStyle w:val="BodyText"/>
        <w:spacing w:line="276" w:lineRule="auto"/>
        <w:rPr>
          <w:szCs w:val="21"/>
        </w:rPr>
      </w:pPr>
      <w:r>
        <w:rPr>
          <w:szCs w:val="21"/>
        </w:rPr>
        <w:t>Sub-Saharan Africa continued to register solid economic performance in 2014 and is forecast to grow at 4.5 per cent in 2015.</w:t>
      </w:r>
      <w:r w:rsidRPr="009E6AB0">
        <w:rPr>
          <w:rStyle w:val="FootnoteReference"/>
          <w:rFonts w:ascii="Franklin Gothic Book" w:eastAsiaTheme="minorHAnsi" w:hAnsi="Franklin Gothic Book"/>
          <w:color w:val="000000"/>
          <w:sz w:val="18"/>
          <w:szCs w:val="21"/>
          <w:vertAlign w:val="superscript"/>
        </w:rPr>
        <w:footnoteReference w:id="1"/>
      </w:r>
      <w:r w:rsidRPr="00D80304">
        <w:rPr>
          <w:szCs w:val="21"/>
          <w:vertAlign w:val="superscript"/>
        </w:rPr>
        <w:t xml:space="preserve"> </w:t>
      </w:r>
      <w:r>
        <w:rPr>
          <w:rFonts w:cs="Arial"/>
          <w:szCs w:val="21"/>
        </w:rPr>
        <w:t xml:space="preserve">African economies are </w:t>
      </w:r>
      <w:r w:rsidR="004D73F2">
        <w:rPr>
          <w:rFonts w:cs="Arial"/>
          <w:szCs w:val="21"/>
        </w:rPr>
        <w:t xml:space="preserve">supported </w:t>
      </w:r>
      <w:r>
        <w:rPr>
          <w:rFonts w:cs="Arial"/>
          <w:szCs w:val="21"/>
        </w:rPr>
        <w:t xml:space="preserve">by an abundance of natural resources and a young and growing population. The continent’s </w:t>
      </w:r>
      <w:r w:rsidR="004D73F2">
        <w:rPr>
          <w:szCs w:val="21"/>
          <w:lang w:val="en"/>
        </w:rPr>
        <w:t xml:space="preserve">macroeconomic stability, </w:t>
      </w:r>
      <w:r w:rsidR="00D96B9F">
        <w:rPr>
          <w:szCs w:val="21"/>
          <w:lang w:val="en"/>
        </w:rPr>
        <w:t>expanding</w:t>
      </w:r>
      <w:r>
        <w:rPr>
          <w:szCs w:val="21"/>
          <w:lang w:val="en"/>
        </w:rPr>
        <w:t xml:space="preserve"> middle class and </w:t>
      </w:r>
      <w:r w:rsidR="004D73F2">
        <w:rPr>
          <w:szCs w:val="21"/>
          <w:lang w:val="en"/>
        </w:rPr>
        <w:t xml:space="preserve">the increasing </w:t>
      </w:r>
      <w:r>
        <w:rPr>
          <w:szCs w:val="21"/>
          <w:lang w:val="en"/>
        </w:rPr>
        <w:t>presence of the private sector</w:t>
      </w:r>
      <w:r w:rsidR="000938B8">
        <w:rPr>
          <w:szCs w:val="21"/>
          <w:lang w:val="en"/>
        </w:rPr>
        <w:t>,</w:t>
      </w:r>
      <w:r>
        <w:rPr>
          <w:szCs w:val="21"/>
          <w:lang w:val="en"/>
        </w:rPr>
        <w:t xml:space="preserve"> particularly in the agricultural</w:t>
      </w:r>
      <w:r w:rsidR="000938B8">
        <w:rPr>
          <w:szCs w:val="21"/>
          <w:lang w:val="en"/>
        </w:rPr>
        <w:t>,</w:t>
      </w:r>
      <w:r>
        <w:rPr>
          <w:szCs w:val="21"/>
          <w:lang w:val="en"/>
        </w:rPr>
        <w:t xml:space="preserve"> telecommunications, finance, retail and construction sectors</w:t>
      </w:r>
      <w:r w:rsidR="004D73F2">
        <w:rPr>
          <w:szCs w:val="21"/>
          <w:lang w:val="en"/>
        </w:rPr>
        <w:t>,</w:t>
      </w:r>
      <w:r>
        <w:rPr>
          <w:szCs w:val="21"/>
          <w:lang w:val="en"/>
        </w:rPr>
        <w:t xml:space="preserve"> have </w:t>
      </w:r>
      <w:r w:rsidR="001710EA">
        <w:rPr>
          <w:szCs w:val="21"/>
          <w:lang w:val="en"/>
        </w:rPr>
        <w:t>boosted</w:t>
      </w:r>
      <w:r>
        <w:rPr>
          <w:szCs w:val="21"/>
          <w:lang w:val="en"/>
        </w:rPr>
        <w:t xml:space="preserve"> Africa’s economic growth. Trade continues to play a major role, </w:t>
      </w:r>
      <w:r>
        <w:rPr>
          <w:szCs w:val="21"/>
        </w:rPr>
        <w:t xml:space="preserve">underpinned by private consumption and gross domestic investment.  </w:t>
      </w:r>
    </w:p>
    <w:p w:rsidR="00B31B4E" w:rsidRDefault="00B31B4E" w:rsidP="00B31B4E">
      <w:pPr>
        <w:pStyle w:val="BodyText"/>
        <w:rPr>
          <w:szCs w:val="21"/>
        </w:rPr>
      </w:pPr>
      <w:r>
        <w:rPr>
          <w:szCs w:val="21"/>
        </w:rPr>
        <w:t xml:space="preserve">Despite these advances, the Global Competitiveness Index (GCI) </w:t>
      </w:r>
      <w:r w:rsidR="001710EA">
        <w:rPr>
          <w:szCs w:val="21"/>
        </w:rPr>
        <w:t>states</w:t>
      </w:r>
      <w:r>
        <w:rPr>
          <w:szCs w:val="21"/>
        </w:rPr>
        <w:t xml:space="preserve"> the majority of African countries </w:t>
      </w:r>
      <w:r w:rsidR="001710EA">
        <w:rPr>
          <w:szCs w:val="21"/>
        </w:rPr>
        <w:t>are</w:t>
      </w:r>
      <w:r>
        <w:rPr>
          <w:szCs w:val="21"/>
        </w:rPr>
        <w:t xml:space="preserve"> among the least competitive in the world. </w:t>
      </w:r>
      <w:r w:rsidR="001710EA">
        <w:rPr>
          <w:szCs w:val="21"/>
        </w:rPr>
        <w:t>W</w:t>
      </w:r>
      <w:r>
        <w:rPr>
          <w:szCs w:val="21"/>
        </w:rPr>
        <w:t>eak institutions, persistent infrastructure deficit</w:t>
      </w:r>
      <w:r w:rsidR="001710EA">
        <w:rPr>
          <w:szCs w:val="21"/>
        </w:rPr>
        <w:t>s</w:t>
      </w:r>
      <w:r>
        <w:rPr>
          <w:szCs w:val="21"/>
        </w:rPr>
        <w:t xml:space="preserve"> and low levels of health and education risk leaving the continent’s vast human potential untapped. Corruption is a </w:t>
      </w:r>
      <w:r w:rsidR="000938B8">
        <w:rPr>
          <w:szCs w:val="21"/>
        </w:rPr>
        <w:t xml:space="preserve">key </w:t>
      </w:r>
      <w:r>
        <w:rPr>
          <w:szCs w:val="21"/>
        </w:rPr>
        <w:t xml:space="preserve">constraint to </w:t>
      </w:r>
      <w:r w:rsidR="000938B8">
        <w:rPr>
          <w:szCs w:val="21"/>
        </w:rPr>
        <w:t xml:space="preserve">inclusive </w:t>
      </w:r>
      <w:r>
        <w:rPr>
          <w:szCs w:val="21"/>
        </w:rPr>
        <w:t xml:space="preserve">growth. The Corruption Perceptions Index 2014 reported 92 per cent of countries in </w:t>
      </w:r>
      <w:r w:rsidR="000938B8">
        <w:rPr>
          <w:szCs w:val="21"/>
        </w:rPr>
        <w:t>S</w:t>
      </w:r>
      <w:r>
        <w:rPr>
          <w:szCs w:val="21"/>
        </w:rPr>
        <w:t>ub-Sahara</w:t>
      </w:r>
      <w:r w:rsidR="000938B8">
        <w:rPr>
          <w:szCs w:val="21"/>
        </w:rPr>
        <w:t>n</w:t>
      </w:r>
      <w:r>
        <w:rPr>
          <w:szCs w:val="21"/>
        </w:rPr>
        <w:t xml:space="preserve"> Africa scored less than 50 in perceived levels of public sector corruption (where 0 indicates the highest levels of perceived corruption).</w:t>
      </w:r>
      <w:r>
        <w:rPr>
          <w:szCs w:val="21"/>
          <w:vertAlign w:val="superscript"/>
        </w:rPr>
        <w:footnoteReference w:id="2"/>
      </w:r>
    </w:p>
    <w:p w:rsidR="00B31B4E" w:rsidRDefault="00B31B4E" w:rsidP="00B31B4E">
      <w:pPr>
        <w:pStyle w:val="BodyText"/>
        <w:spacing w:line="276" w:lineRule="auto"/>
        <w:rPr>
          <w:szCs w:val="21"/>
        </w:rPr>
      </w:pPr>
      <w:r>
        <w:rPr>
          <w:szCs w:val="21"/>
        </w:rPr>
        <w:t xml:space="preserve">Productivity across all sectors needs to create </w:t>
      </w:r>
      <w:r w:rsidR="000938B8">
        <w:rPr>
          <w:szCs w:val="21"/>
        </w:rPr>
        <w:t xml:space="preserve">greater </w:t>
      </w:r>
      <w:r>
        <w:rPr>
          <w:szCs w:val="21"/>
        </w:rPr>
        <w:t xml:space="preserve">employment opportunities and turn progress into sustainable and inclusive growth. </w:t>
      </w:r>
      <w:r w:rsidR="00CB42D6">
        <w:rPr>
          <w:szCs w:val="21"/>
        </w:rPr>
        <w:t>While t</w:t>
      </w:r>
      <w:r>
        <w:rPr>
          <w:szCs w:val="21"/>
        </w:rPr>
        <w:t xml:space="preserve">he </w:t>
      </w:r>
      <w:r w:rsidRPr="00B653FE">
        <w:rPr>
          <w:szCs w:val="21"/>
        </w:rPr>
        <w:t>region’s une</w:t>
      </w:r>
      <w:r w:rsidRPr="00B653FE">
        <w:rPr>
          <w:rFonts w:eastAsiaTheme="minorHAnsi" w:cs="MyriadPro-Light"/>
          <w:szCs w:val="21"/>
        </w:rPr>
        <w:t>mployment</w:t>
      </w:r>
      <w:r w:rsidR="001710EA">
        <w:rPr>
          <w:rFonts w:eastAsiaTheme="minorHAnsi" w:cs="MyriadPro-Light"/>
          <w:szCs w:val="21"/>
        </w:rPr>
        <w:t>-</w:t>
      </w:r>
      <w:r w:rsidRPr="00B653FE">
        <w:rPr>
          <w:rFonts w:eastAsiaTheme="minorHAnsi" w:cs="MyriadPro-Light"/>
          <w:szCs w:val="21"/>
        </w:rPr>
        <w:t>to</w:t>
      </w:r>
      <w:r w:rsidR="001710EA">
        <w:rPr>
          <w:rFonts w:eastAsiaTheme="minorHAnsi" w:cs="MyriadPro-Light"/>
          <w:szCs w:val="21"/>
        </w:rPr>
        <w:t>-</w:t>
      </w:r>
      <w:r w:rsidRPr="00B653FE">
        <w:rPr>
          <w:rFonts w:eastAsiaTheme="minorHAnsi" w:cs="MyriadPro-Light"/>
          <w:szCs w:val="21"/>
        </w:rPr>
        <w:t>population ratio declined from 57.7 per cent in 2005 to 44.4 per cent in 2012</w:t>
      </w:r>
      <w:r w:rsidR="00CB42D6">
        <w:rPr>
          <w:rFonts w:eastAsiaTheme="minorHAnsi" w:cs="MyriadPro-Light"/>
          <w:szCs w:val="21"/>
        </w:rPr>
        <w:t>,</w:t>
      </w:r>
      <w:r w:rsidRPr="00B653FE">
        <w:rPr>
          <w:rFonts w:eastAsiaTheme="minorHAnsi" w:cs="MyriadPro-Light"/>
          <w:szCs w:val="21"/>
        </w:rPr>
        <w:t xml:space="preserve"> unemployment rates are in the double digits in some subregions masked</w:t>
      </w:r>
      <w:r w:rsidR="00CB42D6">
        <w:rPr>
          <w:rFonts w:eastAsiaTheme="minorHAnsi" w:cs="MyriadPro-Light"/>
          <w:szCs w:val="21"/>
        </w:rPr>
        <w:t>,</w:t>
      </w:r>
      <w:r w:rsidRPr="00B653FE">
        <w:rPr>
          <w:rFonts w:eastAsiaTheme="minorHAnsi" w:cs="MyriadPro-Light"/>
          <w:szCs w:val="21"/>
        </w:rPr>
        <w:t xml:space="preserve"> in some cases, by high levels of informality.</w:t>
      </w:r>
      <w:r w:rsidRPr="009E6AB0">
        <w:rPr>
          <w:rStyle w:val="FootnoteReference"/>
          <w:rFonts w:ascii="Franklin Gothic Book" w:eastAsiaTheme="minorHAnsi" w:hAnsi="Franklin Gothic Book" w:cs="MyriadPro-Light"/>
          <w:sz w:val="18"/>
          <w:szCs w:val="21"/>
          <w:vertAlign w:val="superscript"/>
        </w:rPr>
        <w:footnoteReference w:id="3"/>
      </w:r>
      <w:r w:rsidRPr="009E6AB0">
        <w:rPr>
          <w:rFonts w:eastAsiaTheme="minorHAnsi" w:cs="MyriadPro-Light"/>
          <w:sz w:val="18"/>
          <w:szCs w:val="21"/>
        </w:rPr>
        <w:t xml:space="preserve"> </w:t>
      </w:r>
      <w:r w:rsidRPr="00B653FE">
        <w:t>African countries are developing plans and strategi</w:t>
      </w:r>
      <w:r w:rsidR="004D73F2" w:rsidRPr="004D73F2">
        <w:t xml:space="preserve">es to </w:t>
      </w:r>
      <w:r w:rsidR="001710EA">
        <w:t>reorient</w:t>
      </w:r>
      <w:r w:rsidR="001710EA" w:rsidRPr="004D73F2">
        <w:t xml:space="preserve"> </w:t>
      </w:r>
      <w:r w:rsidR="004D73F2" w:rsidRPr="004D73F2">
        <w:t>their economies</w:t>
      </w:r>
      <w:r w:rsidRPr="00B653FE">
        <w:t xml:space="preserve">, particularly towards manufacturing and agro-related industries. This </w:t>
      </w:r>
      <w:r w:rsidR="004D73F2" w:rsidRPr="00B653FE">
        <w:t xml:space="preserve">is </w:t>
      </w:r>
      <w:r w:rsidRPr="00B653FE">
        <w:t xml:space="preserve">one of the key priorities in the draft strategic plan of the African Union, </w:t>
      </w:r>
      <w:r w:rsidRPr="00B653FE">
        <w:rPr>
          <w:i/>
        </w:rPr>
        <w:t>Agenda 2063</w:t>
      </w:r>
      <w:r w:rsidRPr="004D73F2">
        <w:t>,</w:t>
      </w:r>
      <w:r>
        <w:t xml:space="preserve"> which sets out a plan for Africa’</w:t>
      </w:r>
      <w:r w:rsidR="000938B8">
        <w:t>s</w:t>
      </w:r>
      <w:r>
        <w:t xml:space="preserve"> structural transformation</w:t>
      </w:r>
      <w:r w:rsidR="009E6AB0">
        <w:t>.</w:t>
      </w:r>
      <w:r>
        <w:t xml:space="preserve"> </w:t>
      </w:r>
    </w:p>
    <w:p w:rsidR="009E6AB0" w:rsidRPr="009E6AB0" w:rsidRDefault="00B31B4E" w:rsidP="009E6AB0">
      <w:pPr>
        <w:autoSpaceDE w:val="0"/>
        <w:autoSpaceDN w:val="0"/>
        <w:adjustRightInd w:val="0"/>
        <w:spacing w:after="160" w:line="276" w:lineRule="auto"/>
        <w:rPr>
          <w:rFonts w:ascii="Franklin Gothic Book" w:hAnsi="Franklin Gothic Book"/>
          <w:sz w:val="18"/>
          <w:szCs w:val="21"/>
        </w:rPr>
      </w:pPr>
      <w:r>
        <w:rPr>
          <w:rFonts w:ascii="Franklin Gothic Book" w:hAnsi="Franklin Gothic Book"/>
          <w:sz w:val="21"/>
          <w:szCs w:val="21"/>
        </w:rPr>
        <w:t xml:space="preserve">Development needs remain immense: </w:t>
      </w:r>
      <w:r w:rsidR="001710EA">
        <w:rPr>
          <w:rFonts w:ascii="Franklin Gothic Book" w:hAnsi="Franklin Gothic Book"/>
          <w:sz w:val="21"/>
          <w:szCs w:val="21"/>
        </w:rPr>
        <w:t>n</w:t>
      </w:r>
      <w:r>
        <w:rPr>
          <w:rFonts w:ascii="Franklin Gothic Book" w:hAnsi="Franklin Gothic Book"/>
          <w:sz w:val="21"/>
          <w:szCs w:val="21"/>
        </w:rPr>
        <w:t>early one out of two Africans continue to live in extreme poverty and income inequality in the region remains among the highest in the world.</w:t>
      </w:r>
      <w:r w:rsidRPr="009E6AB0">
        <w:rPr>
          <w:rStyle w:val="FootnoteReference"/>
          <w:rFonts w:ascii="Franklin Gothic Book" w:hAnsi="Franklin Gothic Book"/>
          <w:sz w:val="18"/>
          <w:szCs w:val="21"/>
          <w:vertAlign w:val="superscript"/>
        </w:rPr>
        <w:footnoteReference w:id="4"/>
      </w:r>
      <w:r w:rsidRPr="009E6AB0">
        <w:rPr>
          <w:rFonts w:ascii="Franklin Gothic Book" w:hAnsi="Franklin Gothic Book"/>
          <w:sz w:val="18"/>
          <w:szCs w:val="21"/>
        </w:rPr>
        <w:t xml:space="preserve"> </w:t>
      </w:r>
      <w:r>
        <w:rPr>
          <w:rFonts w:ascii="Franklin Gothic Book" w:hAnsi="Franklin Gothic Book"/>
          <w:sz w:val="21"/>
          <w:szCs w:val="21"/>
        </w:rPr>
        <w:t xml:space="preserve"> Sub-Sahara</w:t>
      </w:r>
      <w:r w:rsidR="000938B8">
        <w:rPr>
          <w:rFonts w:ascii="Franklin Gothic Book" w:hAnsi="Franklin Gothic Book"/>
          <w:sz w:val="21"/>
          <w:szCs w:val="21"/>
        </w:rPr>
        <w:t>n</w:t>
      </w:r>
      <w:r>
        <w:rPr>
          <w:rFonts w:ascii="Franklin Gothic Book" w:hAnsi="Franklin Gothic Book"/>
          <w:sz w:val="21"/>
          <w:szCs w:val="21"/>
        </w:rPr>
        <w:t xml:space="preserve"> Africa has 33 of the world’s 48 least developed countries, and continues to be largely agrarian, with a </w:t>
      </w:r>
      <w:r w:rsidR="00D96B9F">
        <w:rPr>
          <w:rFonts w:ascii="Franklin Gothic Book" w:hAnsi="Franklin Gothic Book"/>
          <w:sz w:val="21"/>
          <w:szCs w:val="21"/>
        </w:rPr>
        <w:t>significant</w:t>
      </w:r>
      <w:r>
        <w:rPr>
          <w:rFonts w:ascii="Franklin Gothic Book" w:hAnsi="Franklin Gothic Book"/>
          <w:sz w:val="21"/>
          <w:szCs w:val="21"/>
        </w:rPr>
        <w:t xml:space="preserve"> and expanding informal sector.  On the global food security index, nine of the ten lo</w:t>
      </w:r>
      <w:r w:rsidR="004D73F2">
        <w:rPr>
          <w:rFonts w:ascii="Franklin Gothic Book" w:hAnsi="Franklin Gothic Book"/>
          <w:sz w:val="21"/>
          <w:szCs w:val="21"/>
        </w:rPr>
        <w:t>west-ranked countries are from S</w:t>
      </w:r>
      <w:r>
        <w:rPr>
          <w:rFonts w:ascii="Franklin Gothic Book" w:hAnsi="Franklin Gothic Book"/>
          <w:sz w:val="21"/>
          <w:szCs w:val="21"/>
        </w:rPr>
        <w:t>ub-Sahara</w:t>
      </w:r>
      <w:r w:rsidR="004D73F2">
        <w:rPr>
          <w:rFonts w:ascii="Franklin Gothic Book" w:hAnsi="Franklin Gothic Book"/>
          <w:sz w:val="21"/>
          <w:szCs w:val="21"/>
        </w:rPr>
        <w:t>n</w:t>
      </w:r>
      <w:r>
        <w:rPr>
          <w:rFonts w:ascii="Franklin Gothic Book" w:hAnsi="Franklin Gothic Book"/>
          <w:sz w:val="21"/>
          <w:szCs w:val="21"/>
        </w:rPr>
        <w:t xml:space="preserve"> Africa</w:t>
      </w:r>
      <w:r w:rsidRPr="009E6AB0">
        <w:rPr>
          <w:rFonts w:ascii="Franklin Gothic Book" w:hAnsi="Franklin Gothic Book"/>
          <w:sz w:val="18"/>
          <w:szCs w:val="21"/>
        </w:rPr>
        <w:t>.</w:t>
      </w:r>
      <w:r w:rsidRPr="009E6AB0">
        <w:rPr>
          <w:rStyle w:val="FootnoteReference"/>
          <w:rFonts w:ascii="Franklin Gothic Book" w:hAnsi="Franklin Gothic Book"/>
          <w:sz w:val="18"/>
          <w:szCs w:val="21"/>
          <w:vertAlign w:val="superscript"/>
        </w:rPr>
        <w:footnoteReference w:id="5"/>
      </w:r>
    </w:p>
    <w:p w:rsidR="00F738D0" w:rsidRDefault="00241FB9" w:rsidP="009E6AB0">
      <w:pPr>
        <w:autoSpaceDE w:val="0"/>
        <w:autoSpaceDN w:val="0"/>
        <w:adjustRightInd w:val="0"/>
        <w:spacing w:after="160" w:line="276" w:lineRule="auto"/>
        <w:rPr>
          <w:rFonts w:ascii="Franklin Gothic Book" w:hAnsi="Franklin Gothic Book"/>
          <w:sz w:val="21"/>
          <w:szCs w:val="21"/>
        </w:rPr>
      </w:pPr>
      <w:r w:rsidRPr="001A7032">
        <w:rPr>
          <w:rFonts w:ascii="Franklin Gothic Book" w:hAnsi="Franklin Gothic Book"/>
          <w:sz w:val="21"/>
          <w:szCs w:val="21"/>
        </w:rPr>
        <w:t xml:space="preserve">While some progress </w:t>
      </w:r>
      <w:r w:rsidR="003C709B">
        <w:rPr>
          <w:rFonts w:ascii="Franklin Gothic Book" w:hAnsi="Franklin Gothic Book"/>
          <w:sz w:val="21"/>
          <w:szCs w:val="21"/>
        </w:rPr>
        <w:t>was</w:t>
      </w:r>
      <w:r w:rsidRPr="001A7032">
        <w:rPr>
          <w:rFonts w:ascii="Franklin Gothic Book" w:hAnsi="Franklin Gothic Book"/>
          <w:sz w:val="21"/>
          <w:szCs w:val="21"/>
        </w:rPr>
        <w:t xml:space="preserve"> made in achieving the Millennium Development Goals (MDGs), overall the continent</w:t>
      </w:r>
      <w:r w:rsidR="00EB3D88">
        <w:rPr>
          <w:rFonts w:ascii="Franklin Gothic Book" w:hAnsi="Franklin Gothic Book"/>
          <w:sz w:val="21"/>
          <w:szCs w:val="21"/>
        </w:rPr>
        <w:t xml:space="preserve"> lags behind the rest of the world</w:t>
      </w:r>
      <w:r w:rsidRPr="001A7032">
        <w:rPr>
          <w:rFonts w:ascii="Franklin Gothic Book" w:hAnsi="Franklin Gothic Book"/>
          <w:sz w:val="21"/>
          <w:szCs w:val="21"/>
        </w:rPr>
        <w:t>. Out of the eight MDGs, the continent is on track to achieve only three goals by the 2015 deadline: achieving universal primary education (MDG 2), promoting gender equality and empowering women (MDG 3), and combating HIV/AIDS, tuberculosis and other diseases (MDG 6</w:t>
      </w:r>
      <w:r w:rsidR="00647C4E" w:rsidRPr="001A7032">
        <w:rPr>
          <w:rFonts w:ascii="Franklin Gothic Book" w:hAnsi="Franklin Gothic Book"/>
          <w:sz w:val="21"/>
          <w:szCs w:val="21"/>
        </w:rPr>
        <w:t>).</w:t>
      </w:r>
      <w:r w:rsidR="00DD24D5" w:rsidRPr="001A7032">
        <w:rPr>
          <w:rFonts w:ascii="Franklin Gothic Book" w:hAnsi="Franklin Gothic Book"/>
          <w:sz w:val="21"/>
          <w:szCs w:val="21"/>
        </w:rPr>
        <w:t xml:space="preserve"> </w:t>
      </w:r>
      <w:r w:rsidR="002304C9">
        <w:rPr>
          <w:rFonts w:ascii="Franklin Gothic Book" w:hAnsi="Franklin Gothic Book"/>
          <w:sz w:val="21"/>
          <w:szCs w:val="21"/>
        </w:rPr>
        <w:t>Performance on MDGs among Africa</w:t>
      </w:r>
      <w:r w:rsidR="000938B8">
        <w:rPr>
          <w:rFonts w:ascii="Franklin Gothic Book" w:hAnsi="Franklin Gothic Book"/>
          <w:sz w:val="21"/>
          <w:szCs w:val="21"/>
        </w:rPr>
        <w:t>n</w:t>
      </w:r>
      <w:r w:rsidR="002304C9">
        <w:rPr>
          <w:rFonts w:ascii="Franklin Gothic Book" w:hAnsi="Franklin Gothic Book"/>
          <w:sz w:val="21"/>
          <w:szCs w:val="21"/>
        </w:rPr>
        <w:t xml:space="preserve"> countries has of course been diverse, with </w:t>
      </w:r>
      <w:r w:rsidR="00D96B9F">
        <w:rPr>
          <w:rFonts w:ascii="Franklin Gothic Book" w:hAnsi="Franklin Gothic Book"/>
          <w:sz w:val="21"/>
          <w:szCs w:val="21"/>
        </w:rPr>
        <w:t>certain</w:t>
      </w:r>
      <w:r w:rsidR="002304C9" w:rsidRPr="002304C9">
        <w:rPr>
          <w:rFonts w:ascii="Franklin Gothic Book" w:hAnsi="Franklin Gothic Book"/>
          <w:sz w:val="21"/>
          <w:szCs w:val="21"/>
        </w:rPr>
        <w:t xml:space="preserve"> countries </w:t>
      </w:r>
      <w:r w:rsidR="002304C9">
        <w:rPr>
          <w:rFonts w:ascii="Franklin Gothic Book" w:hAnsi="Franklin Gothic Book"/>
          <w:sz w:val="21"/>
          <w:szCs w:val="21"/>
        </w:rPr>
        <w:t xml:space="preserve">being </w:t>
      </w:r>
      <w:r w:rsidR="002304C9" w:rsidRPr="002304C9">
        <w:rPr>
          <w:rFonts w:ascii="Franklin Gothic Book" w:hAnsi="Franklin Gothic Book"/>
          <w:sz w:val="21"/>
          <w:szCs w:val="21"/>
        </w:rPr>
        <w:t>standout performers</w:t>
      </w:r>
      <w:r w:rsidR="00A30808">
        <w:rPr>
          <w:rFonts w:ascii="Franklin Gothic Book" w:hAnsi="Franklin Gothic Book"/>
          <w:sz w:val="21"/>
          <w:szCs w:val="21"/>
        </w:rPr>
        <w:t xml:space="preserve"> in some instances</w:t>
      </w:r>
      <w:r w:rsidR="002304C9" w:rsidRPr="002304C9">
        <w:rPr>
          <w:rFonts w:ascii="Franklin Gothic Book" w:hAnsi="Franklin Gothic Book"/>
          <w:sz w:val="21"/>
          <w:szCs w:val="21"/>
        </w:rPr>
        <w:t>, including Rwanda, Malawi and Ethiopia.</w:t>
      </w:r>
      <w:r w:rsidR="009E6AB0">
        <w:rPr>
          <w:rFonts w:ascii="Franklin Gothic Book" w:hAnsi="Franklin Gothic Book"/>
          <w:sz w:val="21"/>
          <w:szCs w:val="21"/>
        </w:rPr>
        <w:t xml:space="preserve"> </w:t>
      </w:r>
    </w:p>
    <w:p w:rsidR="00DD24D5" w:rsidRDefault="00203CE0" w:rsidP="009E6AB0">
      <w:pPr>
        <w:pStyle w:val="ListBullet"/>
        <w:numPr>
          <w:ilvl w:val="0"/>
          <w:numId w:val="0"/>
        </w:numPr>
        <w:spacing w:after="160" w:line="276" w:lineRule="auto"/>
      </w:pPr>
      <w:r>
        <w:t>Other k</w:t>
      </w:r>
      <w:r w:rsidR="00DD24D5">
        <w:t xml:space="preserve">ey challenges to </w:t>
      </w:r>
      <w:r w:rsidR="00120C22">
        <w:t>Sub-Saharan Africa’s development</w:t>
      </w:r>
      <w:r w:rsidR="00EB3D88">
        <w:t xml:space="preserve"> </w:t>
      </w:r>
      <w:r w:rsidR="00DD24D5">
        <w:t xml:space="preserve">during 2014-15 have included: the </w:t>
      </w:r>
      <w:r w:rsidR="00DD24D5" w:rsidRPr="00CC2584">
        <w:t>outbreak of Ebola</w:t>
      </w:r>
      <w:r w:rsidR="00DD24D5">
        <w:t>, widespread protests, unrest and</w:t>
      </w:r>
      <w:r w:rsidR="00DD24D5" w:rsidRPr="00CC2584">
        <w:t xml:space="preserve"> civil wars</w:t>
      </w:r>
      <w:r w:rsidR="00DD24D5">
        <w:t xml:space="preserve"> and insurgencies. The Ebola outbreak in West Africa claimed thousands of lives and disrupted many more. </w:t>
      </w:r>
      <w:r w:rsidR="00120C22">
        <w:t xml:space="preserve"> H</w:t>
      </w:r>
      <w:r w:rsidR="00DD24D5">
        <w:t xml:space="preserve">ighly concentrated and high-profile conflicts such as the Boko Haram insurgency in Central Africa and the Al </w:t>
      </w:r>
      <w:proofErr w:type="spellStart"/>
      <w:r w:rsidR="00DD24D5">
        <w:t>Shabaab</w:t>
      </w:r>
      <w:proofErr w:type="spellEnd"/>
      <w:r w:rsidR="00DD24D5">
        <w:t xml:space="preserve"> insurgency in the Horn of Africa led to </w:t>
      </w:r>
      <w:r w:rsidR="005137F5">
        <w:t>instability, conflict and many lives lost during 2014-15, as did continued unrest in South Sudan and Somalia.</w:t>
      </w:r>
    </w:p>
    <w:p w:rsidR="00CB42D6" w:rsidRDefault="002304C9" w:rsidP="009E6AB0">
      <w:pPr>
        <w:pStyle w:val="ListBullet"/>
        <w:numPr>
          <w:ilvl w:val="0"/>
          <w:numId w:val="0"/>
        </w:numPr>
        <w:tabs>
          <w:tab w:val="clear" w:pos="284"/>
        </w:tabs>
        <w:spacing w:after="160"/>
      </w:pPr>
      <w:r>
        <w:t xml:space="preserve">The </w:t>
      </w:r>
      <w:r w:rsidR="00A30808">
        <w:t>aid program to Africa began</w:t>
      </w:r>
      <w:r w:rsidR="00CB42D6">
        <w:t xml:space="preserve"> the year</w:t>
      </w:r>
      <w:r w:rsidR="00A30808">
        <w:t xml:space="preserve"> focussing </w:t>
      </w:r>
      <w:r>
        <w:t xml:space="preserve">on </w:t>
      </w:r>
      <w:r w:rsidR="00606217">
        <w:t>a range of areas</w:t>
      </w:r>
      <w:r w:rsidR="00606217" w:rsidRPr="00606217">
        <w:t xml:space="preserve"> to promote inclusive growth and development</w:t>
      </w:r>
      <w:r w:rsidR="00606217">
        <w:t>, including</w:t>
      </w:r>
      <w:r>
        <w:t xml:space="preserve"> extractives, agricultur</w:t>
      </w:r>
      <w:r w:rsidR="000938B8">
        <w:t>e</w:t>
      </w:r>
      <w:r>
        <w:t>, humanitarian</w:t>
      </w:r>
      <w:r w:rsidR="000938B8">
        <w:t>,</w:t>
      </w:r>
      <w:r>
        <w:t xml:space="preserve"> </w:t>
      </w:r>
      <w:r w:rsidR="00606217">
        <w:t xml:space="preserve">capacity building, </w:t>
      </w:r>
      <w:r>
        <w:t>water</w:t>
      </w:r>
      <w:r w:rsidR="00606217">
        <w:t>,</w:t>
      </w:r>
      <w:r>
        <w:t xml:space="preserve"> sanitation and health.  </w:t>
      </w:r>
      <w:r w:rsidR="00D86985">
        <w:t>Significant b</w:t>
      </w:r>
      <w:r>
        <w:t xml:space="preserve">udget </w:t>
      </w:r>
      <w:r w:rsidR="00D86985">
        <w:t>reductions</w:t>
      </w:r>
      <w:r>
        <w:t xml:space="preserve"> </w:t>
      </w:r>
      <w:r w:rsidR="00A30808">
        <w:t>and a re</w:t>
      </w:r>
      <w:r w:rsidR="00D86985">
        <w:t>focussing</w:t>
      </w:r>
      <w:r w:rsidR="00A30808">
        <w:t xml:space="preserve"> of Australia’s overall aid program to the Indo-Pacific region </w:t>
      </w:r>
      <w:r w:rsidR="00D86985">
        <w:t xml:space="preserve">during </w:t>
      </w:r>
      <w:r w:rsidR="00606217">
        <w:t>2014-15</w:t>
      </w:r>
      <w:r w:rsidR="00D86985">
        <w:t xml:space="preserve"> </w:t>
      </w:r>
      <w:r w:rsidR="00D96B9F">
        <w:t>required</w:t>
      </w:r>
      <w:r w:rsidR="00A30808">
        <w:t xml:space="preserve"> </w:t>
      </w:r>
      <w:r w:rsidR="00AB7BD6">
        <w:t xml:space="preserve">a more streamlined approach to </w:t>
      </w:r>
      <w:r>
        <w:t>the</w:t>
      </w:r>
      <w:r w:rsidR="00AB7BD6">
        <w:t xml:space="preserve"> geographic and sectoral focus</w:t>
      </w:r>
      <w:r w:rsidR="00D86985">
        <w:t xml:space="preserve">. </w:t>
      </w:r>
      <w:r w:rsidR="006A3941" w:rsidRPr="006A3941">
        <w:t>This resulted</w:t>
      </w:r>
      <w:r w:rsidR="00606217">
        <w:t xml:space="preserve"> in the consolidation of aid activities towards Eastern and Southern Africa, and </w:t>
      </w:r>
      <w:r w:rsidR="006A3941" w:rsidRPr="006A3941">
        <w:t>a reduced presence of Australia in the water</w:t>
      </w:r>
      <w:r w:rsidR="00606217">
        <w:t xml:space="preserve"> and</w:t>
      </w:r>
      <w:r w:rsidR="006A3941" w:rsidRPr="006A3941">
        <w:t xml:space="preserve"> sanitation, health and community resilience sector</w:t>
      </w:r>
      <w:r w:rsidR="00CB42D6">
        <w:t>s</w:t>
      </w:r>
      <w:r w:rsidR="006A3941">
        <w:t xml:space="preserve">. </w:t>
      </w:r>
    </w:p>
    <w:p w:rsidR="00F628F8" w:rsidRDefault="00606217" w:rsidP="00F628F8">
      <w:pPr>
        <w:pStyle w:val="ListBullet"/>
        <w:numPr>
          <w:ilvl w:val="0"/>
          <w:numId w:val="0"/>
        </w:numPr>
        <w:tabs>
          <w:tab w:val="clear" w:pos="284"/>
        </w:tabs>
        <w:spacing w:after="160"/>
      </w:pPr>
      <w:r>
        <w:t xml:space="preserve">The aid program </w:t>
      </w:r>
      <w:r w:rsidR="005153B1">
        <w:t>continues to be an</w:t>
      </w:r>
      <w:r>
        <w:t xml:space="preserve"> important element of our broader economic engagement with Africa</w:t>
      </w:r>
      <w:r w:rsidR="005153B1">
        <w:t xml:space="preserve"> and it is strongly aligned with the Government’s economic diplomacy agenda. Accordingly, the </w:t>
      </w:r>
      <w:r w:rsidR="000938B8">
        <w:t xml:space="preserve">future focus of the Africa Aid Program (as detailed by the AIP) will </w:t>
      </w:r>
      <w:r w:rsidR="005153B1">
        <w:t>support</w:t>
      </w:r>
      <w:r w:rsidR="00AB7BD6">
        <w:t xml:space="preserve"> human capacity building and leadership</w:t>
      </w:r>
      <w:r w:rsidR="006E0783">
        <w:t xml:space="preserve"> through Australia Awards</w:t>
      </w:r>
      <w:r w:rsidR="00AB7BD6">
        <w:t xml:space="preserve"> (</w:t>
      </w:r>
      <w:r w:rsidR="006E0783">
        <w:t>in extractives, agriculture and public policy),</w:t>
      </w:r>
      <w:r w:rsidR="00AB7BD6">
        <w:t xml:space="preserve"> enhanc</w:t>
      </w:r>
      <w:r w:rsidR="005153B1">
        <w:t xml:space="preserve">e </w:t>
      </w:r>
      <w:r w:rsidR="00AB7BD6">
        <w:t>agricultural productivity, provid</w:t>
      </w:r>
      <w:r w:rsidR="005153B1">
        <w:t>e</w:t>
      </w:r>
      <w:r w:rsidR="00AB7BD6">
        <w:t xml:space="preserve"> appropriate humanitarian assistance and improv</w:t>
      </w:r>
      <w:r w:rsidR="005153B1">
        <w:t>e</w:t>
      </w:r>
      <w:r w:rsidR="00AB7BD6">
        <w:t xml:space="preserve"> gender equality</w:t>
      </w:r>
      <w:r w:rsidR="009A3E14">
        <w:t xml:space="preserve"> in Southern and Eastern Africa</w:t>
      </w:r>
      <w:r w:rsidR="00AB7BD6">
        <w:t>.</w:t>
      </w:r>
    </w:p>
    <w:p w:rsidR="004D73F2" w:rsidRDefault="004D73F2" w:rsidP="00F628F8">
      <w:pPr>
        <w:pStyle w:val="ListBullet"/>
        <w:numPr>
          <w:ilvl w:val="0"/>
          <w:numId w:val="0"/>
        </w:numPr>
        <w:tabs>
          <w:tab w:val="clear" w:pos="284"/>
        </w:tabs>
        <w:spacing w:after="160"/>
      </w:pPr>
      <w:r w:rsidRPr="00F628F8">
        <w:rPr>
          <w:rFonts w:cs="Arial"/>
          <w:b/>
          <w:sz w:val="20"/>
          <w:szCs w:val="19"/>
        </w:rPr>
        <w:t xml:space="preserve">Table </w:t>
      </w:r>
      <w:r w:rsidR="004529E0" w:rsidRPr="00F628F8">
        <w:rPr>
          <w:rFonts w:cs="Arial"/>
          <w:b/>
          <w:sz w:val="20"/>
          <w:szCs w:val="19"/>
        </w:rPr>
        <w:fldChar w:fldCharType="begin"/>
      </w:r>
      <w:r w:rsidR="004529E0" w:rsidRPr="00F628F8">
        <w:rPr>
          <w:rFonts w:cs="Arial"/>
          <w:b/>
          <w:sz w:val="20"/>
          <w:szCs w:val="19"/>
        </w:rPr>
        <w:instrText xml:space="preserve"> SEQ Table \* ARABIC </w:instrText>
      </w:r>
      <w:r w:rsidR="004529E0" w:rsidRPr="00F628F8">
        <w:rPr>
          <w:rFonts w:cs="Arial"/>
          <w:b/>
          <w:sz w:val="20"/>
          <w:szCs w:val="19"/>
        </w:rPr>
        <w:fldChar w:fldCharType="separate"/>
      </w:r>
      <w:r w:rsidR="00091342">
        <w:rPr>
          <w:rFonts w:cs="Arial"/>
          <w:b/>
          <w:noProof/>
          <w:sz w:val="20"/>
          <w:szCs w:val="19"/>
        </w:rPr>
        <w:t>1</w:t>
      </w:r>
      <w:r w:rsidR="004529E0" w:rsidRPr="00F628F8">
        <w:rPr>
          <w:rFonts w:cs="Arial"/>
          <w:b/>
          <w:sz w:val="20"/>
          <w:szCs w:val="19"/>
        </w:rPr>
        <w:fldChar w:fldCharType="end"/>
      </w:r>
      <w:r w:rsidRPr="00F628F8">
        <w:rPr>
          <w:rFonts w:cs="Arial"/>
          <w:b/>
          <w:sz w:val="20"/>
          <w:szCs w:val="19"/>
        </w:rPr>
        <w:t xml:space="preserve"> OECD donor country contributions to Africa – top five</w:t>
      </w:r>
      <w:r w:rsidRPr="00D80304">
        <w:rPr>
          <w:rStyle w:val="FootnoteReference"/>
          <w:rFonts w:ascii="Franklin Gothic Book" w:hAnsi="Franklin Gothic Book"/>
          <w:sz w:val="20"/>
          <w:szCs w:val="20"/>
          <w:vertAlign w:val="superscript"/>
        </w:rPr>
        <w:footnoteReference w:id="6"/>
      </w:r>
    </w:p>
    <w:tbl>
      <w:tblPr>
        <w:tblStyle w:val="TableGrid"/>
        <w:tblpPr w:leftFromText="180" w:rightFromText="180" w:vertAnchor="text" w:horzAnchor="margin" w:tblpXSpec="center" w:tblpY="15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op five OECD donors to Africa 2015"/>
      </w:tblPr>
      <w:tblGrid>
        <w:gridCol w:w="3227"/>
        <w:gridCol w:w="2977"/>
        <w:gridCol w:w="2517"/>
      </w:tblGrid>
      <w:tr w:rsidR="00F628F8" w:rsidRPr="00687B2F" w:rsidTr="000471FD">
        <w:trPr>
          <w:tblHeader/>
        </w:trPr>
        <w:tc>
          <w:tcPr>
            <w:tcW w:w="3227" w:type="dxa"/>
          </w:tcPr>
          <w:p w:rsidR="00F628F8" w:rsidRPr="00687B2F" w:rsidRDefault="00F628F8" w:rsidP="00F628F8">
            <w:pPr>
              <w:pStyle w:val="BodyText"/>
              <w:keepNext/>
              <w:rPr>
                <w:b/>
                <w:sz w:val="17"/>
                <w:szCs w:val="17"/>
              </w:rPr>
            </w:pPr>
            <w:r>
              <w:rPr>
                <w:b/>
                <w:sz w:val="17"/>
                <w:szCs w:val="17"/>
              </w:rPr>
              <w:t>Donor</w:t>
            </w:r>
          </w:p>
        </w:tc>
        <w:tc>
          <w:tcPr>
            <w:tcW w:w="2977" w:type="dxa"/>
          </w:tcPr>
          <w:p w:rsidR="00F628F8" w:rsidRPr="00687B2F" w:rsidRDefault="00F628F8" w:rsidP="00F628F8">
            <w:pPr>
              <w:pStyle w:val="BodyText"/>
              <w:keepNext/>
              <w:rPr>
                <w:sz w:val="17"/>
                <w:szCs w:val="17"/>
              </w:rPr>
            </w:pPr>
            <w:r>
              <w:rPr>
                <w:b/>
                <w:sz w:val="17"/>
                <w:szCs w:val="17"/>
              </w:rPr>
              <w:t>Aid Flows in 2013 ($US million)</w:t>
            </w:r>
          </w:p>
        </w:tc>
        <w:tc>
          <w:tcPr>
            <w:tcW w:w="2517" w:type="dxa"/>
          </w:tcPr>
          <w:p w:rsidR="00F628F8" w:rsidRPr="00687B2F" w:rsidRDefault="00F628F8" w:rsidP="00F628F8">
            <w:pPr>
              <w:pStyle w:val="BodyText"/>
              <w:keepNext/>
              <w:rPr>
                <w:sz w:val="17"/>
                <w:szCs w:val="17"/>
              </w:rPr>
            </w:pPr>
            <w:r>
              <w:rPr>
                <w:b/>
                <w:sz w:val="17"/>
                <w:szCs w:val="17"/>
              </w:rPr>
              <w:t>Aid Flows in 2012 ($US million)</w:t>
            </w:r>
          </w:p>
        </w:tc>
      </w:tr>
      <w:tr w:rsidR="00F628F8" w:rsidRPr="00687B2F" w:rsidTr="00F628F8">
        <w:tc>
          <w:tcPr>
            <w:tcW w:w="3227" w:type="dxa"/>
          </w:tcPr>
          <w:p w:rsidR="00F628F8" w:rsidRPr="00687B2F" w:rsidRDefault="00F628F8" w:rsidP="00F628F8">
            <w:pPr>
              <w:pStyle w:val="BodyText"/>
              <w:keepNext/>
              <w:spacing w:before="40" w:after="40"/>
              <w:rPr>
                <w:sz w:val="17"/>
                <w:szCs w:val="17"/>
              </w:rPr>
            </w:pPr>
            <w:r>
              <w:rPr>
                <w:sz w:val="17"/>
                <w:szCs w:val="17"/>
              </w:rPr>
              <w:t>Un</w:t>
            </w:r>
            <w:r w:rsidRPr="000C5BAC">
              <w:rPr>
                <w:sz w:val="17"/>
                <w:szCs w:val="17"/>
              </w:rPr>
              <w:t xml:space="preserve">ited States </w:t>
            </w:r>
          </w:p>
        </w:tc>
        <w:tc>
          <w:tcPr>
            <w:tcW w:w="2977" w:type="dxa"/>
          </w:tcPr>
          <w:p w:rsidR="00F628F8" w:rsidRPr="00687B2F" w:rsidRDefault="00F628F8" w:rsidP="00F628F8">
            <w:pPr>
              <w:pStyle w:val="BodyText"/>
              <w:keepNext/>
              <w:spacing w:before="40" w:after="40"/>
              <w:rPr>
                <w:sz w:val="17"/>
                <w:szCs w:val="17"/>
              </w:rPr>
            </w:pPr>
            <w:r>
              <w:rPr>
                <w:sz w:val="17"/>
                <w:szCs w:val="17"/>
              </w:rPr>
              <w:t>$8,979</w:t>
            </w:r>
          </w:p>
        </w:tc>
        <w:tc>
          <w:tcPr>
            <w:tcW w:w="2517" w:type="dxa"/>
          </w:tcPr>
          <w:p w:rsidR="00F628F8" w:rsidRPr="00687B2F" w:rsidRDefault="00F628F8" w:rsidP="00F628F8">
            <w:pPr>
              <w:pStyle w:val="BodyText"/>
              <w:keepNext/>
              <w:spacing w:before="40" w:after="40"/>
              <w:rPr>
                <w:sz w:val="17"/>
                <w:szCs w:val="17"/>
              </w:rPr>
            </w:pPr>
            <w:r>
              <w:rPr>
                <w:sz w:val="17"/>
                <w:szCs w:val="17"/>
              </w:rPr>
              <w:t>$8,828</w:t>
            </w:r>
          </w:p>
        </w:tc>
      </w:tr>
      <w:tr w:rsidR="00F628F8" w:rsidRPr="00687B2F" w:rsidTr="00F628F8">
        <w:tc>
          <w:tcPr>
            <w:tcW w:w="3227" w:type="dxa"/>
          </w:tcPr>
          <w:p w:rsidR="00F628F8" w:rsidRPr="00687B2F" w:rsidRDefault="00F628F8" w:rsidP="00F628F8">
            <w:pPr>
              <w:pStyle w:val="BodyText"/>
              <w:keepNext/>
              <w:spacing w:before="40" w:after="40"/>
              <w:rPr>
                <w:sz w:val="17"/>
                <w:szCs w:val="17"/>
              </w:rPr>
            </w:pPr>
            <w:r>
              <w:rPr>
                <w:sz w:val="17"/>
                <w:szCs w:val="17"/>
              </w:rPr>
              <w:t xml:space="preserve">United Kingdom </w:t>
            </w:r>
          </w:p>
        </w:tc>
        <w:tc>
          <w:tcPr>
            <w:tcW w:w="2977" w:type="dxa"/>
          </w:tcPr>
          <w:p w:rsidR="00F628F8" w:rsidRPr="00687B2F" w:rsidRDefault="00F628F8" w:rsidP="00F628F8">
            <w:pPr>
              <w:pStyle w:val="BodyText"/>
              <w:keepNext/>
              <w:spacing w:before="40" w:after="40"/>
              <w:rPr>
                <w:sz w:val="17"/>
                <w:szCs w:val="17"/>
              </w:rPr>
            </w:pPr>
            <w:r>
              <w:rPr>
                <w:sz w:val="17"/>
                <w:szCs w:val="17"/>
              </w:rPr>
              <w:t>$3,922</w:t>
            </w:r>
          </w:p>
        </w:tc>
        <w:tc>
          <w:tcPr>
            <w:tcW w:w="2517" w:type="dxa"/>
          </w:tcPr>
          <w:p w:rsidR="00F628F8" w:rsidRPr="00687B2F" w:rsidRDefault="00F628F8" w:rsidP="00F628F8">
            <w:pPr>
              <w:pStyle w:val="BodyText"/>
              <w:keepNext/>
              <w:spacing w:before="40" w:after="40"/>
              <w:rPr>
                <w:sz w:val="17"/>
                <w:szCs w:val="17"/>
              </w:rPr>
            </w:pPr>
            <w:r>
              <w:rPr>
                <w:sz w:val="17"/>
                <w:szCs w:val="17"/>
              </w:rPr>
              <w:t>$3,370</w:t>
            </w:r>
          </w:p>
        </w:tc>
      </w:tr>
      <w:tr w:rsidR="00F628F8" w:rsidRPr="00687B2F" w:rsidTr="00F628F8">
        <w:tc>
          <w:tcPr>
            <w:tcW w:w="3227" w:type="dxa"/>
          </w:tcPr>
          <w:p w:rsidR="00F628F8" w:rsidRDefault="00F628F8" w:rsidP="00F628F8">
            <w:pPr>
              <w:pStyle w:val="BodyText"/>
              <w:keepNext/>
              <w:spacing w:before="40" w:after="40"/>
              <w:rPr>
                <w:sz w:val="17"/>
                <w:szCs w:val="17"/>
              </w:rPr>
            </w:pPr>
            <w:r>
              <w:rPr>
                <w:sz w:val="17"/>
                <w:szCs w:val="17"/>
              </w:rPr>
              <w:t>France</w:t>
            </w:r>
          </w:p>
          <w:p w:rsidR="00F628F8" w:rsidRDefault="00F628F8" w:rsidP="00F628F8">
            <w:pPr>
              <w:pStyle w:val="BodyText"/>
              <w:keepNext/>
              <w:spacing w:before="40" w:after="40"/>
              <w:rPr>
                <w:sz w:val="17"/>
                <w:szCs w:val="17"/>
              </w:rPr>
            </w:pPr>
            <w:r>
              <w:rPr>
                <w:sz w:val="17"/>
                <w:szCs w:val="17"/>
              </w:rPr>
              <w:t xml:space="preserve">Germany </w:t>
            </w:r>
          </w:p>
          <w:p w:rsidR="00F628F8" w:rsidRPr="00687B2F" w:rsidRDefault="00F628F8" w:rsidP="00F628F8">
            <w:pPr>
              <w:pStyle w:val="BodyText"/>
              <w:keepNext/>
              <w:spacing w:before="40" w:after="40"/>
              <w:rPr>
                <w:sz w:val="17"/>
                <w:szCs w:val="17"/>
              </w:rPr>
            </w:pPr>
            <w:r>
              <w:rPr>
                <w:sz w:val="17"/>
                <w:szCs w:val="17"/>
              </w:rPr>
              <w:t>Japan</w:t>
            </w:r>
          </w:p>
        </w:tc>
        <w:tc>
          <w:tcPr>
            <w:tcW w:w="2977" w:type="dxa"/>
          </w:tcPr>
          <w:p w:rsidR="00F628F8" w:rsidRDefault="00F628F8" w:rsidP="00F628F8">
            <w:pPr>
              <w:pStyle w:val="BodyText"/>
              <w:keepNext/>
              <w:spacing w:before="40" w:after="40"/>
              <w:rPr>
                <w:sz w:val="17"/>
                <w:szCs w:val="17"/>
              </w:rPr>
            </w:pPr>
            <w:r>
              <w:rPr>
                <w:sz w:val="17"/>
                <w:szCs w:val="17"/>
              </w:rPr>
              <w:t>$3,169</w:t>
            </w:r>
          </w:p>
          <w:p w:rsidR="00F628F8" w:rsidRDefault="00F628F8" w:rsidP="00F628F8">
            <w:pPr>
              <w:pStyle w:val="BodyText"/>
              <w:keepNext/>
              <w:spacing w:before="40" w:after="40"/>
              <w:rPr>
                <w:sz w:val="17"/>
                <w:szCs w:val="17"/>
              </w:rPr>
            </w:pPr>
            <w:r>
              <w:rPr>
                <w:sz w:val="17"/>
                <w:szCs w:val="17"/>
              </w:rPr>
              <w:t>$2,397</w:t>
            </w:r>
          </w:p>
          <w:p w:rsidR="00F628F8" w:rsidRPr="00687B2F" w:rsidRDefault="00F628F8" w:rsidP="00F628F8">
            <w:pPr>
              <w:pStyle w:val="BodyText"/>
              <w:keepNext/>
              <w:spacing w:before="40" w:after="40"/>
              <w:rPr>
                <w:sz w:val="17"/>
                <w:szCs w:val="17"/>
              </w:rPr>
            </w:pPr>
            <w:r>
              <w:rPr>
                <w:sz w:val="17"/>
                <w:szCs w:val="17"/>
              </w:rPr>
              <w:t>$2,092</w:t>
            </w:r>
          </w:p>
        </w:tc>
        <w:tc>
          <w:tcPr>
            <w:tcW w:w="2517" w:type="dxa"/>
          </w:tcPr>
          <w:p w:rsidR="00F628F8" w:rsidRDefault="00F628F8" w:rsidP="00F628F8">
            <w:pPr>
              <w:pStyle w:val="BodyText"/>
              <w:keepNext/>
              <w:spacing w:before="40" w:after="40"/>
              <w:rPr>
                <w:sz w:val="17"/>
                <w:szCs w:val="17"/>
              </w:rPr>
            </w:pPr>
            <w:r>
              <w:rPr>
                <w:sz w:val="17"/>
                <w:szCs w:val="17"/>
              </w:rPr>
              <w:t>$3,551</w:t>
            </w:r>
          </w:p>
          <w:p w:rsidR="00F628F8" w:rsidRDefault="00F628F8" w:rsidP="00F628F8">
            <w:pPr>
              <w:pStyle w:val="BodyText"/>
              <w:keepNext/>
              <w:spacing w:before="40" w:after="40"/>
              <w:rPr>
                <w:sz w:val="17"/>
                <w:szCs w:val="17"/>
              </w:rPr>
            </w:pPr>
            <w:r>
              <w:rPr>
                <w:sz w:val="17"/>
                <w:szCs w:val="17"/>
              </w:rPr>
              <w:t>$2,523</w:t>
            </w:r>
          </w:p>
          <w:p w:rsidR="00F628F8" w:rsidRPr="00687B2F" w:rsidRDefault="00F628F8" w:rsidP="00F628F8">
            <w:pPr>
              <w:pStyle w:val="BodyText"/>
              <w:keepNext/>
              <w:spacing w:before="40" w:after="40"/>
              <w:rPr>
                <w:sz w:val="17"/>
                <w:szCs w:val="17"/>
              </w:rPr>
            </w:pPr>
            <w:r>
              <w:rPr>
                <w:sz w:val="17"/>
                <w:szCs w:val="17"/>
              </w:rPr>
              <w:t>$1,799</w:t>
            </w:r>
          </w:p>
        </w:tc>
      </w:tr>
    </w:tbl>
    <w:p w:rsidR="00F628F8" w:rsidRDefault="00F628F8" w:rsidP="004D73F2">
      <w:pPr>
        <w:pStyle w:val="Heading2"/>
        <w:rPr>
          <w:sz w:val="28"/>
        </w:rPr>
      </w:pPr>
      <w:r w:rsidRPr="009E38C1">
        <w:rPr>
          <w:sz w:val="28"/>
        </w:rPr>
        <w:t xml:space="preserve"> </w:t>
      </w:r>
      <w:r w:rsidR="0046225A">
        <w:rPr>
          <w:sz w:val="28"/>
        </w:rPr>
        <w:t>Expenditure</w:t>
      </w:r>
    </w:p>
    <w:p w:rsidR="004D73F2" w:rsidRDefault="004D73F2" w:rsidP="004D73F2">
      <w:pPr>
        <w:pStyle w:val="Caption"/>
        <w:keepLines/>
      </w:pPr>
      <w:r w:rsidRPr="005901D2">
        <w:t xml:space="preserve">Table </w:t>
      </w:r>
      <w:r>
        <w:t>2</w:t>
      </w:r>
      <w:r w:rsidRPr="005901D2">
        <w:t xml:space="preserve"> </w:t>
      </w:r>
      <w:r>
        <w:t>Total ODA Expenditure in FY 2014-15</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Australian ODA expenditure to Sub-Saharan Africa 2014-15"/>
      </w:tblPr>
      <w:tblGrid>
        <w:gridCol w:w="6487"/>
        <w:gridCol w:w="992"/>
        <w:gridCol w:w="1306"/>
      </w:tblGrid>
      <w:tr w:rsidR="0046225A" w:rsidRPr="00687B2F" w:rsidTr="000471FD">
        <w:trPr>
          <w:tblHeader/>
          <w:jc w:val="center"/>
        </w:trPr>
        <w:tc>
          <w:tcPr>
            <w:tcW w:w="6487" w:type="dxa"/>
          </w:tcPr>
          <w:p w:rsidR="0046225A" w:rsidRPr="00687B2F" w:rsidRDefault="0046225A" w:rsidP="00206844">
            <w:pPr>
              <w:pStyle w:val="BodyText"/>
              <w:keepNext/>
              <w:rPr>
                <w:b/>
                <w:sz w:val="17"/>
                <w:szCs w:val="17"/>
              </w:rPr>
            </w:pPr>
            <w:r w:rsidRPr="00687B2F">
              <w:rPr>
                <w:b/>
                <w:sz w:val="17"/>
                <w:szCs w:val="17"/>
              </w:rPr>
              <w:t>Objective</w:t>
            </w:r>
          </w:p>
        </w:tc>
        <w:tc>
          <w:tcPr>
            <w:tcW w:w="992" w:type="dxa"/>
          </w:tcPr>
          <w:p w:rsidR="0046225A" w:rsidRPr="00687B2F" w:rsidRDefault="0046225A" w:rsidP="00206844">
            <w:pPr>
              <w:pStyle w:val="BodyText"/>
              <w:keepNext/>
              <w:rPr>
                <w:sz w:val="17"/>
                <w:szCs w:val="17"/>
              </w:rPr>
            </w:pPr>
            <w:r w:rsidRPr="00687B2F">
              <w:rPr>
                <w:b/>
                <w:sz w:val="17"/>
                <w:szCs w:val="17"/>
              </w:rPr>
              <w:t>A$ million</w:t>
            </w:r>
          </w:p>
        </w:tc>
        <w:tc>
          <w:tcPr>
            <w:tcW w:w="1306" w:type="dxa"/>
          </w:tcPr>
          <w:p w:rsidR="0046225A" w:rsidRPr="00687B2F" w:rsidRDefault="0046225A" w:rsidP="00B519EB">
            <w:pPr>
              <w:pStyle w:val="BodyText"/>
              <w:keepNext/>
              <w:jc w:val="center"/>
              <w:rPr>
                <w:sz w:val="17"/>
                <w:szCs w:val="17"/>
              </w:rPr>
            </w:pPr>
            <w:r w:rsidRPr="00687B2F">
              <w:rPr>
                <w:b/>
                <w:sz w:val="17"/>
                <w:szCs w:val="17"/>
              </w:rPr>
              <w:t>% of total ODA</w:t>
            </w:r>
          </w:p>
        </w:tc>
      </w:tr>
      <w:tr w:rsidR="0046225A" w:rsidRPr="0097699D" w:rsidTr="00E5562A">
        <w:trPr>
          <w:jc w:val="center"/>
        </w:trPr>
        <w:tc>
          <w:tcPr>
            <w:tcW w:w="6487" w:type="dxa"/>
          </w:tcPr>
          <w:p w:rsidR="0046225A" w:rsidRPr="0097699D" w:rsidRDefault="0046225A" w:rsidP="00B519EB">
            <w:pPr>
              <w:pStyle w:val="BodyText"/>
              <w:keepNext/>
              <w:spacing w:after="40"/>
              <w:rPr>
                <w:sz w:val="17"/>
                <w:szCs w:val="17"/>
              </w:rPr>
            </w:pPr>
            <w:r w:rsidRPr="0097699D">
              <w:rPr>
                <w:sz w:val="17"/>
                <w:szCs w:val="17"/>
              </w:rPr>
              <w:t>Objective 1:</w:t>
            </w:r>
          </w:p>
          <w:p w:rsidR="0046225A" w:rsidRPr="0097699D" w:rsidRDefault="0046225A" w:rsidP="00206844">
            <w:pPr>
              <w:pStyle w:val="BodyText"/>
              <w:keepNext/>
              <w:spacing w:before="40" w:after="40"/>
              <w:rPr>
                <w:sz w:val="17"/>
                <w:szCs w:val="17"/>
              </w:rPr>
            </w:pPr>
            <w:r w:rsidRPr="0097699D">
              <w:rPr>
                <w:sz w:val="17"/>
                <w:szCs w:val="17"/>
              </w:rPr>
              <w:t>Improve extractives sector management and its contribution to inclusive economic growth through developing skills, increasing government capacity and empowering local communities</w:t>
            </w:r>
          </w:p>
        </w:tc>
        <w:tc>
          <w:tcPr>
            <w:tcW w:w="992" w:type="dxa"/>
          </w:tcPr>
          <w:p w:rsidR="0046225A" w:rsidRPr="0097699D" w:rsidRDefault="0046225A" w:rsidP="00206844">
            <w:pPr>
              <w:pStyle w:val="BodyText"/>
              <w:keepNext/>
              <w:spacing w:before="40" w:after="40"/>
              <w:jc w:val="center"/>
              <w:rPr>
                <w:sz w:val="17"/>
                <w:szCs w:val="17"/>
              </w:rPr>
            </w:pPr>
          </w:p>
          <w:p w:rsidR="0046225A" w:rsidRPr="0097699D" w:rsidRDefault="0046225A" w:rsidP="00B519EB">
            <w:pPr>
              <w:pStyle w:val="BodyText"/>
              <w:keepNext/>
              <w:spacing w:after="40"/>
              <w:jc w:val="center"/>
              <w:rPr>
                <w:sz w:val="17"/>
                <w:szCs w:val="17"/>
              </w:rPr>
            </w:pPr>
            <w:r w:rsidRPr="0097699D">
              <w:rPr>
                <w:sz w:val="17"/>
                <w:szCs w:val="17"/>
              </w:rPr>
              <w:t>3</w:t>
            </w:r>
            <w:r>
              <w:rPr>
                <w:sz w:val="17"/>
                <w:szCs w:val="17"/>
              </w:rPr>
              <w:t>8</w:t>
            </w:r>
          </w:p>
          <w:p w:rsidR="0046225A" w:rsidRPr="0097699D"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p>
        </w:tc>
        <w:tc>
          <w:tcPr>
            <w:tcW w:w="1306" w:type="dxa"/>
          </w:tcPr>
          <w:p w:rsidR="0046225A" w:rsidRPr="0097699D" w:rsidRDefault="0046225A" w:rsidP="00206844">
            <w:pPr>
              <w:pStyle w:val="BodyText"/>
              <w:keepNext/>
              <w:spacing w:before="40" w:after="40"/>
              <w:jc w:val="center"/>
              <w:rPr>
                <w:sz w:val="17"/>
                <w:szCs w:val="17"/>
              </w:rPr>
            </w:pPr>
          </w:p>
          <w:p w:rsidR="0046225A" w:rsidRPr="0097699D" w:rsidRDefault="0046225A" w:rsidP="00B519EB">
            <w:pPr>
              <w:pStyle w:val="BodyText"/>
              <w:keepNext/>
              <w:spacing w:after="40"/>
              <w:jc w:val="center"/>
              <w:rPr>
                <w:sz w:val="17"/>
                <w:szCs w:val="17"/>
              </w:rPr>
            </w:pPr>
            <w:r>
              <w:rPr>
                <w:sz w:val="17"/>
                <w:szCs w:val="17"/>
              </w:rPr>
              <w:t>17%</w:t>
            </w:r>
          </w:p>
          <w:p w:rsidR="0046225A" w:rsidRPr="0097699D"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p>
        </w:tc>
      </w:tr>
      <w:tr w:rsidR="0046225A" w:rsidRPr="0097699D" w:rsidTr="00E5562A">
        <w:trPr>
          <w:jc w:val="center"/>
        </w:trPr>
        <w:tc>
          <w:tcPr>
            <w:tcW w:w="6487" w:type="dxa"/>
          </w:tcPr>
          <w:p w:rsidR="0046225A" w:rsidRPr="0097699D" w:rsidRDefault="0046225A" w:rsidP="00B519EB">
            <w:pPr>
              <w:pStyle w:val="BodyText"/>
              <w:keepNext/>
              <w:spacing w:after="40"/>
              <w:rPr>
                <w:sz w:val="17"/>
                <w:szCs w:val="17"/>
              </w:rPr>
            </w:pPr>
            <w:r w:rsidRPr="0097699D">
              <w:rPr>
                <w:sz w:val="17"/>
                <w:szCs w:val="17"/>
              </w:rPr>
              <w:t>Objective 2:</w:t>
            </w:r>
          </w:p>
          <w:p w:rsidR="0046225A" w:rsidRPr="0097699D" w:rsidRDefault="0046225A" w:rsidP="00206844">
            <w:pPr>
              <w:pStyle w:val="BodyText"/>
              <w:keepNext/>
              <w:spacing w:before="40" w:after="40"/>
              <w:rPr>
                <w:sz w:val="17"/>
                <w:szCs w:val="17"/>
              </w:rPr>
            </w:pPr>
            <w:r w:rsidRPr="0097699D">
              <w:rPr>
                <w:sz w:val="17"/>
                <w:szCs w:val="17"/>
              </w:rPr>
              <w:t>Improve agriculture productivity and decision-making through support for development and adoption of new technologies and innovations in the agricultural sector</w:t>
            </w:r>
          </w:p>
        </w:tc>
        <w:tc>
          <w:tcPr>
            <w:tcW w:w="992" w:type="dxa"/>
          </w:tcPr>
          <w:p w:rsidR="0046225A" w:rsidRPr="0097699D" w:rsidRDefault="0046225A" w:rsidP="00206844">
            <w:pPr>
              <w:pStyle w:val="BodyText"/>
              <w:keepNext/>
              <w:spacing w:before="40" w:after="40"/>
              <w:jc w:val="center"/>
              <w:rPr>
                <w:sz w:val="17"/>
                <w:szCs w:val="17"/>
              </w:rPr>
            </w:pPr>
          </w:p>
          <w:p w:rsidR="0046225A" w:rsidRPr="0097699D" w:rsidRDefault="0046225A" w:rsidP="00B519EB">
            <w:pPr>
              <w:pStyle w:val="BodyText"/>
              <w:keepNext/>
              <w:spacing w:after="40"/>
              <w:jc w:val="center"/>
              <w:rPr>
                <w:sz w:val="17"/>
                <w:szCs w:val="17"/>
              </w:rPr>
            </w:pPr>
            <w:r>
              <w:rPr>
                <w:sz w:val="17"/>
                <w:szCs w:val="17"/>
              </w:rPr>
              <w:t>40</w:t>
            </w:r>
          </w:p>
        </w:tc>
        <w:tc>
          <w:tcPr>
            <w:tcW w:w="1306" w:type="dxa"/>
          </w:tcPr>
          <w:p w:rsidR="0046225A" w:rsidRPr="0097699D" w:rsidRDefault="0046225A" w:rsidP="00206844">
            <w:pPr>
              <w:pStyle w:val="BodyText"/>
              <w:keepNext/>
              <w:spacing w:before="40" w:after="40"/>
              <w:jc w:val="center"/>
              <w:rPr>
                <w:sz w:val="17"/>
                <w:szCs w:val="17"/>
              </w:rPr>
            </w:pPr>
          </w:p>
          <w:p w:rsidR="0046225A" w:rsidRPr="0097699D" w:rsidRDefault="0046225A" w:rsidP="00B519EB">
            <w:pPr>
              <w:pStyle w:val="BodyText"/>
              <w:keepNext/>
              <w:spacing w:after="40"/>
              <w:jc w:val="center"/>
              <w:rPr>
                <w:sz w:val="17"/>
                <w:szCs w:val="17"/>
              </w:rPr>
            </w:pPr>
            <w:r>
              <w:rPr>
                <w:sz w:val="17"/>
                <w:szCs w:val="17"/>
              </w:rPr>
              <w:t>17%</w:t>
            </w:r>
          </w:p>
        </w:tc>
      </w:tr>
      <w:tr w:rsidR="0046225A" w:rsidRPr="0097699D" w:rsidTr="00E5562A">
        <w:trPr>
          <w:jc w:val="center"/>
        </w:trPr>
        <w:tc>
          <w:tcPr>
            <w:tcW w:w="6487" w:type="dxa"/>
          </w:tcPr>
          <w:p w:rsidR="0046225A" w:rsidRDefault="0046225A" w:rsidP="00206844">
            <w:pPr>
              <w:pStyle w:val="BodyText"/>
              <w:keepNext/>
              <w:spacing w:before="40" w:after="40"/>
              <w:rPr>
                <w:sz w:val="17"/>
                <w:szCs w:val="17"/>
              </w:rPr>
            </w:pPr>
            <w:r w:rsidRPr="000B058B">
              <w:rPr>
                <w:sz w:val="17"/>
                <w:szCs w:val="17"/>
              </w:rPr>
              <w:t xml:space="preserve">Objective 3: </w:t>
            </w:r>
          </w:p>
          <w:p w:rsidR="0046225A" w:rsidRPr="00512DAB" w:rsidRDefault="0046225A" w:rsidP="00206844">
            <w:pPr>
              <w:pStyle w:val="BodyText"/>
              <w:keepNext/>
              <w:spacing w:before="40" w:after="40"/>
              <w:rPr>
                <w:sz w:val="17"/>
                <w:szCs w:val="17"/>
              </w:rPr>
            </w:pPr>
            <w:r w:rsidRPr="000B058B">
              <w:rPr>
                <w:sz w:val="17"/>
                <w:szCs w:val="17"/>
              </w:rPr>
              <w:t>Respond appropriately to humanitarian crises in Africa through working with effective humanitarian partners</w:t>
            </w:r>
          </w:p>
        </w:tc>
        <w:tc>
          <w:tcPr>
            <w:tcW w:w="992" w:type="dxa"/>
          </w:tcPr>
          <w:p w:rsidR="0046225A"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r>
              <w:rPr>
                <w:sz w:val="17"/>
                <w:szCs w:val="17"/>
              </w:rPr>
              <w:t>27</w:t>
            </w:r>
          </w:p>
        </w:tc>
        <w:tc>
          <w:tcPr>
            <w:tcW w:w="1306" w:type="dxa"/>
          </w:tcPr>
          <w:p w:rsidR="0046225A"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r>
              <w:rPr>
                <w:sz w:val="17"/>
                <w:szCs w:val="17"/>
              </w:rPr>
              <w:t>12%</w:t>
            </w:r>
          </w:p>
        </w:tc>
      </w:tr>
      <w:tr w:rsidR="0046225A" w:rsidRPr="0097699D" w:rsidTr="00E5562A">
        <w:trPr>
          <w:trHeight w:val="1437"/>
          <w:jc w:val="center"/>
        </w:trPr>
        <w:tc>
          <w:tcPr>
            <w:tcW w:w="6487" w:type="dxa"/>
          </w:tcPr>
          <w:p w:rsidR="0046225A" w:rsidRPr="0097699D" w:rsidRDefault="0046225A" w:rsidP="00206844">
            <w:pPr>
              <w:pStyle w:val="BodyText"/>
              <w:keepNext/>
              <w:spacing w:before="120" w:after="40"/>
              <w:rPr>
                <w:sz w:val="17"/>
                <w:szCs w:val="17"/>
              </w:rPr>
            </w:pPr>
            <w:r w:rsidRPr="0097699D">
              <w:rPr>
                <w:sz w:val="17"/>
                <w:szCs w:val="17"/>
              </w:rPr>
              <w:t>Objective 4:</w:t>
            </w:r>
          </w:p>
          <w:p w:rsidR="0046225A" w:rsidRPr="0097699D" w:rsidRDefault="0046225A" w:rsidP="00206844">
            <w:pPr>
              <w:pStyle w:val="BodyText"/>
              <w:keepNext/>
              <w:spacing w:before="40" w:after="40"/>
              <w:rPr>
                <w:sz w:val="17"/>
                <w:szCs w:val="17"/>
              </w:rPr>
            </w:pPr>
            <w:r w:rsidRPr="0097699D">
              <w:rPr>
                <w:sz w:val="17"/>
                <w:szCs w:val="17"/>
              </w:rPr>
              <w:t xml:space="preserve">Improve the resilience, health and productive capacity of target communities through improved health services (in particular for women and children), innovative social support and increased access to safe water and sanitation </w:t>
            </w:r>
          </w:p>
        </w:tc>
        <w:tc>
          <w:tcPr>
            <w:tcW w:w="992" w:type="dxa"/>
          </w:tcPr>
          <w:p w:rsidR="0046225A" w:rsidRPr="0097699D" w:rsidRDefault="0046225A" w:rsidP="00206844">
            <w:pPr>
              <w:pStyle w:val="BodyText"/>
              <w:keepNext/>
              <w:spacing w:before="40" w:after="40"/>
              <w:jc w:val="center"/>
              <w:rPr>
                <w:sz w:val="17"/>
                <w:szCs w:val="17"/>
              </w:rPr>
            </w:pPr>
          </w:p>
          <w:p w:rsidR="0046225A"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r>
              <w:rPr>
                <w:sz w:val="17"/>
                <w:szCs w:val="17"/>
              </w:rPr>
              <w:t>118</w:t>
            </w:r>
          </w:p>
          <w:p w:rsidR="0046225A" w:rsidRPr="0097699D" w:rsidRDefault="0046225A" w:rsidP="00206844">
            <w:pPr>
              <w:pStyle w:val="BodyText"/>
              <w:keepNext/>
              <w:spacing w:before="40" w:after="40"/>
              <w:jc w:val="center"/>
              <w:rPr>
                <w:sz w:val="17"/>
                <w:szCs w:val="17"/>
              </w:rPr>
            </w:pPr>
          </w:p>
        </w:tc>
        <w:tc>
          <w:tcPr>
            <w:tcW w:w="1306" w:type="dxa"/>
          </w:tcPr>
          <w:p w:rsidR="0046225A" w:rsidRPr="0097699D" w:rsidRDefault="0046225A" w:rsidP="00206844">
            <w:pPr>
              <w:pStyle w:val="BodyText"/>
              <w:keepNext/>
              <w:spacing w:before="40" w:after="40"/>
              <w:jc w:val="center"/>
              <w:rPr>
                <w:sz w:val="17"/>
                <w:szCs w:val="17"/>
              </w:rPr>
            </w:pPr>
          </w:p>
          <w:p w:rsidR="0046225A" w:rsidRDefault="0046225A" w:rsidP="00206844">
            <w:pPr>
              <w:pStyle w:val="BodyText"/>
              <w:keepNext/>
              <w:spacing w:before="40" w:after="40"/>
              <w:jc w:val="center"/>
              <w:rPr>
                <w:sz w:val="17"/>
                <w:szCs w:val="17"/>
              </w:rPr>
            </w:pPr>
          </w:p>
          <w:p w:rsidR="0046225A" w:rsidRPr="0097699D" w:rsidRDefault="0046225A" w:rsidP="00206844">
            <w:pPr>
              <w:pStyle w:val="BodyText"/>
              <w:keepNext/>
              <w:spacing w:before="40" w:after="40"/>
              <w:jc w:val="center"/>
              <w:rPr>
                <w:sz w:val="17"/>
                <w:szCs w:val="17"/>
              </w:rPr>
            </w:pPr>
            <w:r>
              <w:rPr>
                <w:sz w:val="17"/>
                <w:szCs w:val="17"/>
              </w:rPr>
              <w:t>51%</w:t>
            </w:r>
          </w:p>
          <w:p w:rsidR="0046225A" w:rsidRPr="0097699D" w:rsidRDefault="0046225A" w:rsidP="00206844">
            <w:pPr>
              <w:pStyle w:val="BodyText"/>
              <w:keepNext/>
              <w:spacing w:before="40" w:after="40"/>
              <w:jc w:val="center"/>
              <w:rPr>
                <w:sz w:val="17"/>
                <w:szCs w:val="17"/>
              </w:rPr>
            </w:pPr>
          </w:p>
        </w:tc>
      </w:tr>
      <w:tr w:rsidR="0046225A" w:rsidRPr="00687B2F" w:rsidTr="00E5562A">
        <w:trPr>
          <w:trHeight w:val="80"/>
          <w:jc w:val="center"/>
        </w:trPr>
        <w:tc>
          <w:tcPr>
            <w:tcW w:w="6487" w:type="dxa"/>
          </w:tcPr>
          <w:p w:rsidR="0046225A" w:rsidRDefault="0046225A" w:rsidP="00B519EB">
            <w:pPr>
              <w:pStyle w:val="BodyText"/>
              <w:keepNext/>
              <w:spacing w:after="40"/>
              <w:rPr>
                <w:sz w:val="17"/>
                <w:szCs w:val="17"/>
              </w:rPr>
            </w:pPr>
            <w:r w:rsidRPr="000B058B">
              <w:rPr>
                <w:sz w:val="17"/>
                <w:szCs w:val="17"/>
              </w:rPr>
              <w:t>Other Government Departments</w:t>
            </w:r>
          </w:p>
        </w:tc>
        <w:tc>
          <w:tcPr>
            <w:tcW w:w="992" w:type="dxa"/>
          </w:tcPr>
          <w:p w:rsidR="0046225A" w:rsidRDefault="0046225A" w:rsidP="00B519EB">
            <w:pPr>
              <w:pStyle w:val="BodyText"/>
              <w:keepNext/>
              <w:spacing w:after="40"/>
              <w:jc w:val="center"/>
              <w:rPr>
                <w:sz w:val="17"/>
                <w:szCs w:val="17"/>
              </w:rPr>
            </w:pPr>
            <w:r>
              <w:rPr>
                <w:sz w:val="17"/>
                <w:szCs w:val="17"/>
              </w:rPr>
              <w:t>7</w:t>
            </w:r>
          </w:p>
        </w:tc>
        <w:tc>
          <w:tcPr>
            <w:tcW w:w="1306" w:type="dxa"/>
          </w:tcPr>
          <w:p w:rsidR="0046225A" w:rsidRDefault="0046225A" w:rsidP="00B519EB">
            <w:pPr>
              <w:pStyle w:val="BodyText"/>
              <w:keepNext/>
              <w:spacing w:after="40"/>
              <w:jc w:val="center"/>
              <w:rPr>
                <w:sz w:val="17"/>
                <w:szCs w:val="17"/>
              </w:rPr>
            </w:pPr>
            <w:r>
              <w:rPr>
                <w:sz w:val="17"/>
                <w:szCs w:val="17"/>
              </w:rPr>
              <w:t>3%</w:t>
            </w:r>
          </w:p>
        </w:tc>
      </w:tr>
      <w:tr w:rsidR="0046225A" w:rsidRPr="00687B2F" w:rsidTr="00E5562A">
        <w:trPr>
          <w:trHeight w:val="80"/>
          <w:jc w:val="center"/>
        </w:trPr>
        <w:tc>
          <w:tcPr>
            <w:tcW w:w="6487" w:type="dxa"/>
          </w:tcPr>
          <w:p w:rsidR="0046225A" w:rsidRPr="00687B2F" w:rsidRDefault="0046225A" w:rsidP="0046225A">
            <w:pPr>
              <w:pStyle w:val="BodyText"/>
              <w:keepNext/>
              <w:spacing w:before="120"/>
              <w:rPr>
                <w:b/>
                <w:sz w:val="17"/>
                <w:szCs w:val="17"/>
              </w:rPr>
            </w:pPr>
            <w:r w:rsidRPr="00687B2F">
              <w:rPr>
                <w:b/>
                <w:sz w:val="17"/>
                <w:szCs w:val="17"/>
              </w:rPr>
              <w:t>Total</w:t>
            </w:r>
            <w:r>
              <w:rPr>
                <w:b/>
                <w:sz w:val="17"/>
                <w:szCs w:val="17"/>
              </w:rPr>
              <w:t xml:space="preserve"> ODA Expenditure</w:t>
            </w:r>
          </w:p>
        </w:tc>
        <w:tc>
          <w:tcPr>
            <w:tcW w:w="992" w:type="dxa"/>
          </w:tcPr>
          <w:p w:rsidR="0046225A" w:rsidRPr="0097699D" w:rsidRDefault="0046225A" w:rsidP="0046225A">
            <w:pPr>
              <w:pStyle w:val="BodyText"/>
              <w:keepNext/>
              <w:spacing w:before="120"/>
              <w:jc w:val="center"/>
              <w:rPr>
                <w:b/>
                <w:sz w:val="17"/>
                <w:szCs w:val="17"/>
              </w:rPr>
            </w:pPr>
            <w:r w:rsidRPr="0097699D">
              <w:rPr>
                <w:b/>
                <w:sz w:val="17"/>
                <w:szCs w:val="17"/>
              </w:rPr>
              <w:t>230</w:t>
            </w:r>
          </w:p>
        </w:tc>
        <w:tc>
          <w:tcPr>
            <w:tcW w:w="1306" w:type="dxa"/>
          </w:tcPr>
          <w:p w:rsidR="0046225A" w:rsidRPr="0097699D" w:rsidRDefault="0046225A" w:rsidP="0046225A">
            <w:pPr>
              <w:pStyle w:val="BodyText"/>
              <w:keepNext/>
              <w:spacing w:before="120"/>
              <w:jc w:val="center"/>
              <w:rPr>
                <w:b/>
                <w:sz w:val="17"/>
                <w:szCs w:val="17"/>
              </w:rPr>
            </w:pPr>
            <w:r w:rsidRPr="0097699D">
              <w:rPr>
                <w:b/>
                <w:sz w:val="17"/>
                <w:szCs w:val="17"/>
              </w:rPr>
              <w:t>100%</w:t>
            </w:r>
          </w:p>
        </w:tc>
      </w:tr>
      <w:tr w:rsidR="0046225A" w:rsidRPr="00687B2F" w:rsidTr="00E5562A">
        <w:trPr>
          <w:trHeight w:val="80"/>
          <w:jc w:val="center"/>
        </w:trPr>
        <w:tc>
          <w:tcPr>
            <w:tcW w:w="6487" w:type="dxa"/>
          </w:tcPr>
          <w:p w:rsidR="0046225A" w:rsidRDefault="0046225A" w:rsidP="0046225A">
            <w:pPr>
              <w:pStyle w:val="BodyText"/>
              <w:keepNext/>
              <w:spacing w:after="0"/>
              <w:rPr>
                <w:sz w:val="17"/>
                <w:szCs w:val="17"/>
              </w:rPr>
            </w:pPr>
            <w:r>
              <w:rPr>
                <w:sz w:val="17"/>
                <w:szCs w:val="17"/>
              </w:rPr>
              <w:t>TOTAL BILATERAL FLOWS</w:t>
            </w:r>
          </w:p>
          <w:p w:rsidR="0046225A" w:rsidRPr="00687B2F" w:rsidRDefault="0046225A" w:rsidP="0046225A">
            <w:pPr>
              <w:pStyle w:val="BodyText"/>
              <w:keepNext/>
              <w:spacing w:before="40" w:after="40"/>
              <w:rPr>
                <w:b/>
                <w:sz w:val="17"/>
                <w:szCs w:val="17"/>
              </w:rPr>
            </w:pPr>
            <w:r>
              <w:rPr>
                <w:sz w:val="17"/>
                <w:szCs w:val="17"/>
              </w:rPr>
              <w:t>TOTAL REGIONAL FLOWS</w:t>
            </w:r>
          </w:p>
        </w:tc>
        <w:tc>
          <w:tcPr>
            <w:tcW w:w="992" w:type="dxa"/>
          </w:tcPr>
          <w:p w:rsidR="0046225A" w:rsidRDefault="0046225A" w:rsidP="0046225A">
            <w:pPr>
              <w:pStyle w:val="BodyText"/>
              <w:keepNext/>
              <w:spacing w:after="0"/>
              <w:jc w:val="center"/>
              <w:rPr>
                <w:sz w:val="17"/>
                <w:szCs w:val="17"/>
              </w:rPr>
            </w:pPr>
            <w:r>
              <w:rPr>
                <w:sz w:val="17"/>
                <w:szCs w:val="17"/>
              </w:rPr>
              <w:t>105</w:t>
            </w:r>
          </w:p>
          <w:p w:rsidR="0046225A" w:rsidRDefault="0046225A" w:rsidP="0046225A">
            <w:pPr>
              <w:pStyle w:val="BodyText"/>
              <w:keepNext/>
              <w:spacing w:before="40" w:after="40"/>
              <w:jc w:val="center"/>
              <w:rPr>
                <w:sz w:val="17"/>
                <w:szCs w:val="17"/>
              </w:rPr>
            </w:pPr>
            <w:r>
              <w:rPr>
                <w:sz w:val="17"/>
                <w:szCs w:val="17"/>
              </w:rPr>
              <w:t>125</w:t>
            </w:r>
          </w:p>
        </w:tc>
        <w:tc>
          <w:tcPr>
            <w:tcW w:w="1306" w:type="dxa"/>
          </w:tcPr>
          <w:p w:rsidR="0046225A" w:rsidRDefault="0046225A" w:rsidP="00206844">
            <w:pPr>
              <w:pStyle w:val="BodyText"/>
              <w:keepNext/>
              <w:jc w:val="center"/>
              <w:rPr>
                <w:sz w:val="17"/>
                <w:szCs w:val="17"/>
              </w:rPr>
            </w:pPr>
          </w:p>
        </w:tc>
      </w:tr>
    </w:tbl>
    <w:p w:rsidR="001D00DE" w:rsidRDefault="001D00DE" w:rsidP="004D73F2">
      <w:pPr>
        <w:pStyle w:val="NoSpacing"/>
        <w:rPr>
          <w:sz w:val="16"/>
          <w:szCs w:val="16"/>
        </w:rPr>
      </w:pPr>
    </w:p>
    <w:p w:rsidR="000D733F" w:rsidRPr="00757BAA" w:rsidRDefault="000D733F" w:rsidP="00E85777">
      <w:pPr>
        <w:rPr>
          <w:rStyle w:val="BodyTextChar"/>
          <w:rFonts w:eastAsiaTheme="majorEastAsia"/>
        </w:rPr>
      </w:pPr>
      <w:bookmarkStart w:id="1" w:name="_Toc373853206"/>
      <w:bookmarkEnd w:id="0"/>
      <w:r w:rsidRPr="00D46AAF">
        <w:rPr>
          <w:rFonts w:ascii="Helvetica" w:eastAsia="Times New Roman" w:hAnsi="Helvetica" w:cs="Arial"/>
          <w:color w:val="007FAD"/>
          <w:kern w:val="28"/>
          <w:sz w:val="28"/>
          <w:szCs w:val="28"/>
        </w:rPr>
        <w:t>Progress towards objectives</w:t>
      </w:r>
      <w:r w:rsidR="00B86FE6" w:rsidRPr="00D46AAF">
        <w:rPr>
          <w:rStyle w:val="FootnoteReference"/>
          <w:rFonts w:ascii="Franklin Gothic Book" w:hAnsi="Franklin Gothic Book"/>
          <w:color w:val="007FAD"/>
        </w:rPr>
        <w:footnoteReference w:id="7"/>
      </w:r>
      <w:r>
        <w:rPr>
          <w:sz w:val="32"/>
          <w:szCs w:val="32"/>
        </w:rPr>
        <w:tab/>
      </w:r>
    </w:p>
    <w:p w:rsidR="001229AC" w:rsidRDefault="00E90614" w:rsidP="00B519EB">
      <w:pPr>
        <w:pStyle w:val="ListBullet"/>
        <w:numPr>
          <w:ilvl w:val="0"/>
          <w:numId w:val="0"/>
        </w:numPr>
        <w:tabs>
          <w:tab w:val="clear" w:pos="284"/>
        </w:tabs>
        <w:spacing w:before="120"/>
      </w:pPr>
      <w:r>
        <w:t>From 2014-15, t</w:t>
      </w:r>
      <w:r w:rsidR="00390A25">
        <w:t xml:space="preserve">he Sub-Saharan Africa Program </w:t>
      </w:r>
      <w:r>
        <w:t>continued to consolidate to a</w:t>
      </w:r>
      <w:r w:rsidR="00C4192A">
        <w:t xml:space="preserve">n even </w:t>
      </w:r>
      <w:r w:rsidR="00390A25">
        <w:t>tighter geographic and sectoral focus</w:t>
      </w:r>
      <w:r w:rsidR="00E41562">
        <w:t>. Reductions to the Africa program allocation were sizable</w:t>
      </w:r>
      <w:r w:rsidR="00512015">
        <w:t xml:space="preserve"> over the financial year, with a 21 per cent reduction on 2013-14 expenditure following the May 2014 Budget and </w:t>
      </w:r>
      <w:r w:rsidR="00512015" w:rsidRPr="00512015">
        <w:t>2014-15 Mid-Year Economic Fiscal Outlook (MYEFO)</w:t>
      </w:r>
      <w:r w:rsidR="00512015">
        <w:t xml:space="preserve">, and an additional 70 per cent reduction in the May 2015 Budget. </w:t>
      </w:r>
      <w:r w:rsidR="00E41562">
        <w:t xml:space="preserve"> </w:t>
      </w:r>
      <w:r>
        <w:t>This resulted in Australia’s support for a number of programs ending early</w:t>
      </w:r>
      <w:r w:rsidR="00512015">
        <w:t xml:space="preserve"> or not being renewed</w:t>
      </w:r>
      <w:r w:rsidR="00512015" w:rsidRPr="00512015">
        <w:t xml:space="preserve"> </w:t>
      </w:r>
      <w:r w:rsidR="00512015">
        <w:t>in health, agriculture</w:t>
      </w:r>
      <w:r w:rsidR="005153B1">
        <w:t>,</w:t>
      </w:r>
      <w:r w:rsidR="00512015">
        <w:t xml:space="preserve"> extractives</w:t>
      </w:r>
      <w:r w:rsidR="005153B1">
        <w:t xml:space="preserve"> and water, sanitation and hygiene (WASH)</w:t>
      </w:r>
      <w:r w:rsidR="00512015">
        <w:t>,</w:t>
      </w:r>
      <w:r>
        <w:t xml:space="preserve"> </w:t>
      </w:r>
      <w:r w:rsidR="00512015">
        <w:t>and only</w:t>
      </w:r>
      <w:r>
        <w:t xml:space="preserve"> one of </w:t>
      </w:r>
      <w:r w:rsidR="00C4192A">
        <w:t xml:space="preserve">the </w:t>
      </w:r>
      <w:r>
        <w:t xml:space="preserve">three </w:t>
      </w:r>
      <w:r w:rsidR="00512015">
        <w:t xml:space="preserve">planned </w:t>
      </w:r>
      <w:r>
        <w:t>multi</w:t>
      </w:r>
      <w:r w:rsidR="0039368D">
        <w:t>-</w:t>
      </w:r>
      <w:r>
        <w:t>year investments going ahead (a new phase of Australia Awards</w:t>
      </w:r>
      <w:r w:rsidR="0036198E">
        <w:t>). Even so, many global and regional programs are continuing to invest in Africa with strong results and Australia continues to cultivate productive partnerships with other donors.</w:t>
      </w:r>
    </w:p>
    <w:p w:rsidR="000D733F" w:rsidRPr="00437DF1" w:rsidRDefault="000D733F" w:rsidP="00437DF1">
      <w:pPr>
        <w:pStyle w:val="Caption"/>
      </w:pPr>
      <w:r w:rsidRPr="00437DF1">
        <w:t xml:space="preserve">Table </w:t>
      </w:r>
      <w:r w:rsidR="008924DE">
        <w:t>3</w:t>
      </w:r>
      <w:r w:rsidRPr="00437DF1">
        <w:t xml:space="preserve"> Rating of the program's progress towards Australia’s </w:t>
      </w:r>
      <w:r w:rsidR="00D206B3" w:rsidRPr="00437DF1">
        <w:t xml:space="preserve">aid </w:t>
      </w:r>
      <w:r w:rsidRPr="00437DF1">
        <w:t>objectives</w:t>
      </w:r>
    </w:p>
    <w:tbl>
      <w:tblPr>
        <w:tblStyle w:val="APPR"/>
        <w:tblW w:w="5000" w:type="pct"/>
        <w:tblLook w:val="0000" w:firstRow="0" w:lastRow="0" w:firstColumn="0" w:lastColumn="0" w:noHBand="0" w:noVBand="0"/>
        <w:tblCaption w:val="Rating of the Australian aid program's progress towards aid objectives"/>
      </w:tblPr>
      <w:tblGrid>
        <w:gridCol w:w="5593"/>
        <w:gridCol w:w="1681"/>
        <w:gridCol w:w="460"/>
        <w:gridCol w:w="1779"/>
      </w:tblGrid>
      <w:tr w:rsidR="000D733F" w:rsidRPr="0019341B" w:rsidTr="007F39C2">
        <w:trPr>
          <w:cnfStyle w:val="000000010000" w:firstRow="0" w:lastRow="0" w:firstColumn="0" w:lastColumn="0" w:oddVBand="0" w:evenVBand="0" w:oddHBand="0" w:evenHBand="1" w:firstRowFirstColumn="0" w:firstRowLastColumn="0" w:lastRowFirstColumn="0" w:lastRowLastColumn="0"/>
          <w:trHeight w:val="651"/>
        </w:trPr>
        <w:tc>
          <w:tcPr>
            <w:tcW w:w="10256" w:type="dxa"/>
          </w:tcPr>
          <w:p w:rsidR="000D733F" w:rsidRPr="0019341B" w:rsidRDefault="000D733F" w:rsidP="001A2A1A">
            <w:pPr>
              <w:pStyle w:val="TableTextColumnHeading"/>
            </w:pPr>
            <w:r w:rsidRPr="0019341B">
              <w:rPr>
                <w:noProof/>
                <w:lang w:eastAsia="en-AU"/>
              </w:rPr>
              <w:drawing>
                <wp:anchor distT="0" distB="0" distL="114300" distR="114300" simplePos="0" relativeHeight="251663360" behindDoc="0" locked="0" layoutInCell="1" allowOverlap="1" wp14:anchorId="429A1982" wp14:editId="2CD1760E">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t>Objective</w:t>
            </w:r>
          </w:p>
        </w:tc>
        <w:tc>
          <w:tcPr>
            <w:tcW w:w="1653" w:type="dxa"/>
          </w:tcPr>
          <w:p w:rsidR="000D733F" w:rsidRPr="0019341B" w:rsidRDefault="004F4630" w:rsidP="00663DE8">
            <w:pPr>
              <w:pStyle w:val="TableTextColumnHeading"/>
            </w:pPr>
            <w:r>
              <w:t>Previous Rating</w:t>
            </w:r>
          </w:p>
        </w:tc>
        <w:tc>
          <w:tcPr>
            <w:tcW w:w="659" w:type="dxa"/>
          </w:tcPr>
          <w:p w:rsidR="000D733F" w:rsidRDefault="000D733F" w:rsidP="00570EBB">
            <w:pPr>
              <w:pStyle w:val="TableTextColumnHeading"/>
            </w:pPr>
          </w:p>
        </w:tc>
        <w:tc>
          <w:tcPr>
            <w:tcW w:w="1737" w:type="dxa"/>
          </w:tcPr>
          <w:p w:rsidR="000D733F" w:rsidRPr="0019341B" w:rsidRDefault="004F4630" w:rsidP="00570EBB">
            <w:pPr>
              <w:pStyle w:val="TableTextColumnHeading"/>
            </w:pPr>
            <w:r>
              <w:t>Current Rating</w:t>
            </w:r>
          </w:p>
        </w:tc>
      </w:tr>
      <w:tr w:rsidR="007F39C2" w:rsidRPr="009D53C4" w:rsidTr="00026855">
        <w:trPr>
          <w:cnfStyle w:val="000000010000" w:firstRow="0" w:lastRow="0" w:firstColumn="0" w:lastColumn="0" w:oddVBand="0" w:evenVBand="0" w:oddHBand="0" w:evenHBand="1" w:firstRowFirstColumn="0" w:firstRowLastColumn="0" w:lastRowFirstColumn="0" w:lastRowLastColumn="0"/>
        </w:trPr>
        <w:tc>
          <w:tcPr>
            <w:tcW w:w="10256" w:type="dxa"/>
          </w:tcPr>
          <w:p w:rsidR="007F39C2" w:rsidRDefault="007F39C2" w:rsidP="000D733F">
            <w:pPr>
              <w:pStyle w:val="TableTextEntries"/>
            </w:pPr>
            <w:r w:rsidRPr="00D106C3">
              <w:rPr>
                <w:u w:val="single"/>
              </w:rPr>
              <w:t>Objective 1</w:t>
            </w:r>
            <w:r>
              <w:t>:</w:t>
            </w:r>
          </w:p>
          <w:p w:rsidR="007F39C2" w:rsidRPr="0019341B" w:rsidRDefault="007F39C2" w:rsidP="000D733F">
            <w:pPr>
              <w:pStyle w:val="TableTextEntries"/>
            </w:pPr>
            <w:r>
              <w:t>Improve extractives sector management and its contribution to inclusive economic growth through developing skills, increasing government capacity and empowering local communities</w:t>
            </w:r>
          </w:p>
        </w:tc>
        <w:tc>
          <w:tcPr>
            <w:tcW w:w="1653" w:type="dxa"/>
            <w:shd w:val="clear" w:color="auto" w:fill="009900"/>
            <w:noWrap/>
          </w:tcPr>
          <w:p w:rsidR="007F39C2" w:rsidRPr="007F39C2" w:rsidRDefault="007F39C2" w:rsidP="000D733F">
            <w:pPr>
              <w:pStyle w:val="TableTextEntries"/>
              <w:jc w:val="center"/>
              <w:rPr>
                <w:color w:val="92D050"/>
              </w:rPr>
            </w:pPr>
          </w:p>
        </w:tc>
        <w:tc>
          <w:tcPr>
            <w:tcW w:w="659" w:type="dxa"/>
          </w:tcPr>
          <w:p w:rsidR="007F39C2" w:rsidRPr="00443639" w:rsidRDefault="007F39C2" w:rsidP="000D733F">
            <w:pPr>
              <w:pStyle w:val="TableTextEntries"/>
              <w:jc w:val="center"/>
              <w:rPr>
                <w:color w:val="FFFFFF" w:themeColor="background1"/>
              </w:rPr>
            </w:pPr>
          </w:p>
        </w:tc>
        <w:tc>
          <w:tcPr>
            <w:tcW w:w="1737" w:type="dxa"/>
            <w:shd w:val="clear" w:color="auto" w:fill="E36C0A" w:themeFill="accent6" w:themeFillShade="BF"/>
            <w:noWrap/>
          </w:tcPr>
          <w:p w:rsidR="007F39C2" w:rsidRPr="00443639" w:rsidRDefault="007F39C2" w:rsidP="000D733F">
            <w:pPr>
              <w:pStyle w:val="TableTextEntries"/>
              <w:jc w:val="center"/>
              <w:rPr>
                <w:color w:val="FFFFFF" w:themeColor="background1"/>
              </w:rPr>
            </w:pPr>
          </w:p>
        </w:tc>
      </w:tr>
      <w:tr w:rsidR="007F39C2" w:rsidRPr="009D53C4" w:rsidTr="00026855">
        <w:trPr>
          <w:cnfStyle w:val="000000010000" w:firstRow="0" w:lastRow="0" w:firstColumn="0" w:lastColumn="0" w:oddVBand="0" w:evenVBand="0" w:oddHBand="0" w:evenHBand="1" w:firstRowFirstColumn="0" w:firstRowLastColumn="0" w:lastRowFirstColumn="0" w:lastRowLastColumn="0"/>
        </w:trPr>
        <w:tc>
          <w:tcPr>
            <w:tcW w:w="10256" w:type="dxa"/>
          </w:tcPr>
          <w:p w:rsidR="007F39C2" w:rsidRDefault="007F39C2" w:rsidP="00250FF8">
            <w:pPr>
              <w:pStyle w:val="TableTextEntries"/>
            </w:pPr>
            <w:r w:rsidRPr="00D106C3">
              <w:rPr>
                <w:u w:val="single"/>
              </w:rPr>
              <w:t>Objective 2</w:t>
            </w:r>
            <w:r>
              <w:t>:</w:t>
            </w:r>
          </w:p>
          <w:p w:rsidR="007F39C2" w:rsidRPr="0019341B" w:rsidRDefault="007F39C2" w:rsidP="00250FF8">
            <w:pPr>
              <w:pStyle w:val="TableTextEntries"/>
            </w:pPr>
            <w:r>
              <w:t>Improve agriculture productivity and decision-making through support for development and adoption of new technologies and innovations in the agricultural sector</w:t>
            </w:r>
          </w:p>
        </w:tc>
        <w:tc>
          <w:tcPr>
            <w:tcW w:w="1653" w:type="dxa"/>
            <w:shd w:val="clear" w:color="auto" w:fill="009900"/>
            <w:noWrap/>
          </w:tcPr>
          <w:p w:rsidR="007F39C2" w:rsidRPr="007F39C2" w:rsidRDefault="007F39C2" w:rsidP="00250FF8">
            <w:pPr>
              <w:pStyle w:val="TableTextEntries"/>
              <w:jc w:val="center"/>
              <w:rPr>
                <w:color w:val="FFFFFF" w:themeColor="background1"/>
              </w:rPr>
            </w:pPr>
          </w:p>
        </w:tc>
        <w:tc>
          <w:tcPr>
            <w:tcW w:w="659" w:type="dxa"/>
          </w:tcPr>
          <w:p w:rsidR="007F39C2" w:rsidRPr="00443639" w:rsidRDefault="007F39C2" w:rsidP="00250FF8">
            <w:pPr>
              <w:pStyle w:val="TableTextEntries"/>
              <w:jc w:val="center"/>
              <w:rPr>
                <w:color w:val="FFFFFF" w:themeColor="background1"/>
              </w:rPr>
            </w:pPr>
          </w:p>
        </w:tc>
        <w:tc>
          <w:tcPr>
            <w:tcW w:w="1737" w:type="dxa"/>
            <w:shd w:val="clear" w:color="auto" w:fill="E36C0A" w:themeFill="accent6" w:themeFillShade="BF"/>
            <w:noWrap/>
          </w:tcPr>
          <w:p w:rsidR="007F39C2" w:rsidRPr="00443639" w:rsidRDefault="007F39C2" w:rsidP="00250FF8">
            <w:pPr>
              <w:pStyle w:val="TableTextEntries"/>
              <w:jc w:val="center"/>
              <w:rPr>
                <w:color w:val="FFFFFF" w:themeColor="background1"/>
              </w:rPr>
            </w:pPr>
          </w:p>
        </w:tc>
      </w:tr>
      <w:tr w:rsidR="007F39C2" w:rsidRPr="009D53C4" w:rsidTr="00E5019E">
        <w:trPr>
          <w:cnfStyle w:val="000000010000" w:firstRow="0" w:lastRow="0" w:firstColumn="0" w:lastColumn="0" w:oddVBand="0" w:evenVBand="0" w:oddHBand="0" w:evenHBand="1" w:firstRowFirstColumn="0" w:firstRowLastColumn="0" w:lastRowFirstColumn="0" w:lastRowLastColumn="0"/>
        </w:trPr>
        <w:tc>
          <w:tcPr>
            <w:tcW w:w="10256" w:type="dxa"/>
          </w:tcPr>
          <w:p w:rsidR="007F39C2" w:rsidRDefault="007F39C2" w:rsidP="000D733F">
            <w:pPr>
              <w:pStyle w:val="TableTextEntries"/>
            </w:pPr>
            <w:r w:rsidRPr="00D106C3">
              <w:rPr>
                <w:u w:val="single"/>
              </w:rPr>
              <w:t>Objective 3</w:t>
            </w:r>
            <w:r>
              <w:t>:</w:t>
            </w:r>
          </w:p>
          <w:p w:rsidR="007F39C2" w:rsidRDefault="007F39C2" w:rsidP="003056EB">
            <w:pPr>
              <w:pStyle w:val="TableTextEntries"/>
            </w:pPr>
            <w:r>
              <w:t>Respond appropriately to humanitarian crises in Africa through working with effective humanitarian partners</w:t>
            </w:r>
          </w:p>
        </w:tc>
        <w:tc>
          <w:tcPr>
            <w:tcW w:w="1653" w:type="dxa"/>
            <w:shd w:val="clear" w:color="auto" w:fill="009900"/>
            <w:noWrap/>
          </w:tcPr>
          <w:p w:rsidR="007F39C2" w:rsidRPr="007F39C2" w:rsidRDefault="007F39C2" w:rsidP="000D733F">
            <w:pPr>
              <w:pStyle w:val="TableTextEntries"/>
              <w:jc w:val="center"/>
              <w:rPr>
                <w:color w:val="FFFFFF" w:themeColor="background1"/>
              </w:rPr>
            </w:pPr>
          </w:p>
        </w:tc>
        <w:tc>
          <w:tcPr>
            <w:tcW w:w="659" w:type="dxa"/>
          </w:tcPr>
          <w:p w:rsidR="007F39C2" w:rsidRPr="00443639" w:rsidRDefault="007F39C2" w:rsidP="000D733F">
            <w:pPr>
              <w:pStyle w:val="TableTextEntries"/>
              <w:jc w:val="center"/>
              <w:rPr>
                <w:color w:val="FFFFFF" w:themeColor="background1"/>
              </w:rPr>
            </w:pPr>
          </w:p>
        </w:tc>
        <w:tc>
          <w:tcPr>
            <w:tcW w:w="1737" w:type="dxa"/>
            <w:shd w:val="clear" w:color="auto" w:fill="009900"/>
            <w:noWrap/>
          </w:tcPr>
          <w:p w:rsidR="007F39C2" w:rsidRPr="00443639" w:rsidRDefault="007F39C2" w:rsidP="000D733F">
            <w:pPr>
              <w:pStyle w:val="TableTextEntries"/>
              <w:jc w:val="center"/>
              <w:rPr>
                <w:color w:val="FFFFFF" w:themeColor="background1"/>
              </w:rPr>
            </w:pPr>
          </w:p>
        </w:tc>
      </w:tr>
      <w:tr w:rsidR="007F39C2" w:rsidRPr="009D53C4" w:rsidTr="00E5019E">
        <w:trPr>
          <w:cnfStyle w:val="000000010000" w:firstRow="0" w:lastRow="0" w:firstColumn="0" w:lastColumn="0" w:oddVBand="0" w:evenVBand="0" w:oddHBand="0" w:evenHBand="1" w:firstRowFirstColumn="0" w:firstRowLastColumn="0" w:lastRowFirstColumn="0" w:lastRowLastColumn="0"/>
        </w:trPr>
        <w:tc>
          <w:tcPr>
            <w:tcW w:w="10256" w:type="dxa"/>
          </w:tcPr>
          <w:p w:rsidR="007F39C2" w:rsidRDefault="007F39C2" w:rsidP="000D733F">
            <w:pPr>
              <w:pStyle w:val="TableTextEntries"/>
            </w:pPr>
            <w:r w:rsidRPr="00D106C3">
              <w:rPr>
                <w:u w:val="single"/>
              </w:rPr>
              <w:t>Objective 4</w:t>
            </w:r>
            <w:r>
              <w:t>:</w:t>
            </w:r>
          </w:p>
          <w:p w:rsidR="007F39C2" w:rsidRDefault="007F39C2" w:rsidP="001229AC">
            <w:pPr>
              <w:pStyle w:val="TableTextEntries"/>
            </w:pPr>
            <w:r>
              <w:t>Improve the resilience, health and productive capacity of target communities through improved health services (in particular for women and children), innovative social support and increased access to safe water and sanitation</w:t>
            </w:r>
          </w:p>
        </w:tc>
        <w:tc>
          <w:tcPr>
            <w:tcW w:w="1653" w:type="dxa"/>
            <w:shd w:val="clear" w:color="auto" w:fill="EB700B"/>
            <w:noWrap/>
          </w:tcPr>
          <w:p w:rsidR="007F39C2" w:rsidRPr="00443639" w:rsidRDefault="007F39C2" w:rsidP="000D733F">
            <w:pPr>
              <w:pStyle w:val="TableTextEntries"/>
              <w:jc w:val="center"/>
              <w:rPr>
                <w:color w:val="FFFFFF" w:themeColor="background1"/>
              </w:rPr>
            </w:pPr>
          </w:p>
        </w:tc>
        <w:tc>
          <w:tcPr>
            <w:tcW w:w="659" w:type="dxa"/>
          </w:tcPr>
          <w:p w:rsidR="007F39C2" w:rsidRPr="00443639" w:rsidRDefault="007F39C2" w:rsidP="000D733F">
            <w:pPr>
              <w:pStyle w:val="TableTextEntries"/>
              <w:jc w:val="center"/>
              <w:rPr>
                <w:color w:val="FFFFFF" w:themeColor="background1"/>
              </w:rPr>
            </w:pPr>
          </w:p>
        </w:tc>
        <w:tc>
          <w:tcPr>
            <w:tcW w:w="1737" w:type="dxa"/>
            <w:shd w:val="clear" w:color="auto" w:fill="009900"/>
            <w:noWrap/>
          </w:tcPr>
          <w:p w:rsidR="007F39C2" w:rsidRPr="00443639" w:rsidRDefault="007F39C2" w:rsidP="000D733F">
            <w:pPr>
              <w:pStyle w:val="TableTextEntries"/>
              <w:jc w:val="center"/>
              <w:rPr>
                <w:color w:val="FFFFFF" w:themeColor="background1"/>
              </w:rPr>
            </w:pP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5019E">
        <w:rPr>
          <w:color w:val="72AF2F"/>
          <w:shd w:val="clear" w:color="auto" w:fill="00B050"/>
        </w:rPr>
        <w:sym w:font="Webdings" w:char="F067"/>
      </w:r>
      <w:r w:rsidRPr="00180B19">
        <w:t> </w:t>
      </w:r>
      <w:r w:rsidRPr="00180B19">
        <w:t xml:space="preserve"> </w:t>
      </w:r>
      <w:proofErr w:type="gramStart"/>
      <w:r>
        <w:t>Green.</w:t>
      </w:r>
      <w:proofErr w:type="gramEnd"/>
      <w:r>
        <w:t xml:space="preserve">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Progress is significantly less than expected for this point in time and the objective is not likely to be met given available resources and priorities. Recasting the objective may be required.</w:t>
      </w:r>
    </w:p>
    <w:p w:rsidR="008D43FB" w:rsidRPr="00DB17F6" w:rsidRDefault="00A2724D" w:rsidP="00E628A5">
      <w:pPr>
        <w:pStyle w:val="Heading3"/>
      </w:pPr>
      <w:r w:rsidRPr="00DB17F6">
        <w:t>Objective</w:t>
      </w:r>
      <w:r w:rsidR="008D43FB" w:rsidRPr="00DB17F6">
        <w:t xml:space="preserve"> </w:t>
      </w:r>
      <w:r w:rsidR="005E31BD" w:rsidRPr="00DB17F6">
        <w:t>1</w:t>
      </w:r>
      <w:r w:rsidRPr="00DB17F6">
        <w:t>: Improve extractives sector management and its contribution to inclusive economic growth through developing skills, increasing government capacity and empowering local communitie</w:t>
      </w:r>
      <w:r w:rsidR="008D43FB" w:rsidRPr="00DB17F6">
        <w:t>s</w:t>
      </w:r>
    </w:p>
    <w:p w:rsidR="0036198E" w:rsidRDefault="007B5CC6" w:rsidP="00B87BE6">
      <w:pPr>
        <w:pStyle w:val="ListBullet"/>
        <w:numPr>
          <w:ilvl w:val="0"/>
          <w:numId w:val="0"/>
        </w:numPr>
        <w:tabs>
          <w:tab w:val="clear" w:pos="284"/>
        </w:tabs>
      </w:pPr>
      <w:r w:rsidRPr="007B5CC6">
        <w:t xml:space="preserve">Progress towards meeting this objective is rated as </w:t>
      </w:r>
      <w:r w:rsidR="0042137D">
        <w:t xml:space="preserve">amber due to some </w:t>
      </w:r>
      <w:r w:rsidR="00C4192A">
        <w:t>programs not proceeding and challenges associated with the breadth and ambition of work being undertaken by Australia in this sector</w:t>
      </w:r>
      <w:r w:rsidRPr="007B5CC6">
        <w:t xml:space="preserve">.  </w:t>
      </w:r>
      <w:r w:rsidR="005A3271">
        <w:t xml:space="preserve">Extractives </w:t>
      </w:r>
      <w:r w:rsidR="005A3271" w:rsidRPr="005A3271">
        <w:t>governance has been one of the most consistently demanded areas requested by African Governments for Australian assistance. Since 2010, DFAT’s extractives governance assistance program has increased Australia’s profile as an engaged and flexible partner to governments and regional organisations in Africa.</w:t>
      </w:r>
      <w:r w:rsidR="008125ED">
        <w:t xml:space="preserve"> </w:t>
      </w:r>
    </w:p>
    <w:p w:rsidR="008125ED" w:rsidRDefault="00A47A60" w:rsidP="00B87BE6">
      <w:pPr>
        <w:pStyle w:val="ListBullet"/>
        <w:numPr>
          <w:ilvl w:val="0"/>
          <w:numId w:val="0"/>
        </w:numPr>
        <w:tabs>
          <w:tab w:val="clear" w:pos="284"/>
        </w:tabs>
      </w:pPr>
      <w:r>
        <w:t xml:space="preserve">Over 2014-15, </w:t>
      </w:r>
      <w:r w:rsidR="00837CE6">
        <w:t>i</w:t>
      </w:r>
      <w:r w:rsidR="00837CE6" w:rsidRPr="00837CE6">
        <w:t xml:space="preserve">nvestments seeking to improve extractives sector management reported </w:t>
      </w:r>
      <w:r w:rsidR="00B87BE6">
        <w:t xml:space="preserve">good </w:t>
      </w:r>
      <w:r w:rsidR="00837CE6" w:rsidRPr="00837CE6">
        <w:t>results</w:t>
      </w:r>
      <w:r w:rsidR="00837CE6">
        <w:t>, including</w:t>
      </w:r>
      <w:r w:rsidR="005137F5">
        <w:t xml:space="preserve"> through</w:t>
      </w:r>
      <w:r w:rsidR="008865E1">
        <w:t>:</w:t>
      </w:r>
      <w:r w:rsidR="008D43FB">
        <w:t xml:space="preserve"> the Australia Africa Partnership</w:t>
      </w:r>
      <w:r w:rsidR="009C7BE0">
        <w:t>s</w:t>
      </w:r>
      <w:r w:rsidR="008D43FB">
        <w:t xml:space="preserve"> Facility </w:t>
      </w:r>
      <w:r w:rsidR="005D00A8">
        <w:t>(AAPF)</w:t>
      </w:r>
      <w:r w:rsidR="00837CE6">
        <w:t>,</w:t>
      </w:r>
      <w:r>
        <w:t xml:space="preserve"> </w:t>
      </w:r>
      <w:r w:rsidR="005D00A8">
        <w:t>the African Minerals Development Centre</w:t>
      </w:r>
      <w:r w:rsidR="00A76CB6">
        <w:t xml:space="preserve"> (AMDC)</w:t>
      </w:r>
      <w:r w:rsidR="005911AD">
        <w:t>,</w:t>
      </w:r>
      <w:r w:rsidR="00D96B9F">
        <w:t xml:space="preserve"> </w:t>
      </w:r>
      <w:proofErr w:type="gramStart"/>
      <w:r w:rsidR="00D96B9F">
        <w:t>the</w:t>
      </w:r>
      <w:proofErr w:type="gramEnd"/>
      <w:r w:rsidR="00D96B9F">
        <w:t xml:space="preserve"> International Mining for Development Centre (IM4DC)</w:t>
      </w:r>
      <w:r w:rsidR="005911AD">
        <w:t xml:space="preserve"> </w:t>
      </w:r>
      <w:r w:rsidR="00B87BE6">
        <w:t>and Australia Awards</w:t>
      </w:r>
      <w:r w:rsidR="00BA2E1A">
        <w:t>.</w:t>
      </w:r>
    </w:p>
    <w:p w:rsidR="00A96E09" w:rsidRDefault="00E020AA" w:rsidP="00FD0B9D">
      <w:pPr>
        <w:pStyle w:val="ListBullet"/>
        <w:numPr>
          <w:ilvl w:val="0"/>
          <w:numId w:val="0"/>
        </w:numPr>
      </w:pPr>
      <w:r w:rsidRPr="00E020AA">
        <w:t>The AAPF ($125 million over 2009-2015) provided support to 51 African countries through 191 capacity building activities in a variety of sectors.</w:t>
      </w:r>
      <w:r>
        <w:t xml:space="preserve"> </w:t>
      </w:r>
      <w:r w:rsidRPr="00E020AA">
        <w:t xml:space="preserve">Evidence from AAPF’s </w:t>
      </w:r>
      <w:r w:rsidR="0036198E">
        <w:t>M&amp;E</w:t>
      </w:r>
      <w:r w:rsidRPr="00E020AA">
        <w:t xml:space="preserve"> system and independent reviews shows that despite the breadth and short term nature of activities</w:t>
      </w:r>
      <w:r>
        <w:t>, s</w:t>
      </w:r>
      <w:r w:rsidR="005D00A8">
        <w:t xml:space="preserve">ound progress is being made to </w:t>
      </w:r>
      <w:r w:rsidR="00665247">
        <w:t>enhance</w:t>
      </w:r>
      <w:r w:rsidR="008125ED">
        <w:t xml:space="preserve"> </w:t>
      </w:r>
      <w:r w:rsidR="005D00A8">
        <w:t xml:space="preserve">extractives sector management through improved skills and increased government capacity.  </w:t>
      </w:r>
      <w:r w:rsidR="00CB2388">
        <w:t xml:space="preserve"> </w:t>
      </w:r>
      <w:r w:rsidR="00EB1A38">
        <w:t>AAPF</w:t>
      </w:r>
      <w:r w:rsidR="00B87BE6">
        <w:t xml:space="preserve"> has contributed to </w:t>
      </w:r>
      <w:r w:rsidR="00C87FAB">
        <w:t xml:space="preserve">the </w:t>
      </w:r>
      <w:r w:rsidR="00130C2E" w:rsidRPr="00130C2E">
        <w:t>establishment of industry-led extractives TVET models in Moz</w:t>
      </w:r>
      <w:r w:rsidR="00C87FAB">
        <w:t>ambique</w:t>
      </w:r>
      <w:r w:rsidR="00130C2E" w:rsidRPr="00130C2E">
        <w:t xml:space="preserve"> and Zambia</w:t>
      </w:r>
      <w:r w:rsidR="00FD0B9D">
        <w:t xml:space="preserve"> and the development of stronger rules-based architecture, </w:t>
      </w:r>
      <w:r w:rsidR="00EB1A38">
        <w:t>such as</w:t>
      </w:r>
      <w:r w:rsidR="00FD0B9D">
        <w:t xml:space="preserve"> public financial management, taxation (Ghana, Liberia, Zimbabwe) and legislative frameworks (Uganda and South Sudan). </w:t>
      </w:r>
      <w:r w:rsidR="005C70C1">
        <w:t>AAPF has been highly successful in meeting its overall objective of being a flexible, responsive Facility which can</w:t>
      </w:r>
      <w:r w:rsidR="0036198E">
        <w:t xml:space="preserve"> address issues</w:t>
      </w:r>
      <w:r w:rsidR="00986E51">
        <w:t xml:space="preserve"> across a </w:t>
      </w:r>
      <w:r w:rsidR="005C70C1">
        <w:t>broad range of African countries</w:t>
      </w:r>
      <w:r w:rsidR="00986E51">
        <w:t xml:space="preserve"> and sectors.</w:t>
      </w:r>
    </w:p>
    <w:p w:rsidR="00940702" w:rsidRPr="00D46AAF" w:rsidRDefault="00C9078C" w:rsidP="00C9078C">
      <w:pPr>
        <w:pStyle w:val="ListBullet"/>
        <w:numPr>
          <w:ilvl w:val="0"/>
          <w:numId w:val="0"/>
        </w:numPr>
        <w:tabs>
          <w:tab w:val="clear" w:pos="284"/>
        </w:tabs>
        <w:rPr>
          <w:rFonts w:ascii="Calibri" w:hAnsi="Calibri" w:cs="Calibri"/>
          <w:color w:val="1F497D"/>
          <w:sz w:val="22"/>
          <w:szCs w:val="22"/>
        </w:rPr>
      </w:pPr>
      <w:r>
        <w:t>Australia</w:t>
      </w:r>
      <w:r w:rsidR="003D5453">
        <w:t>’s contribution ($5 million) t</w:t>
      </w:r>
      <w:r w:rsidR="00986E51">
        <w:t>o</w:t>
      </w:r>
      <w:r w:rsidR="003D5453">
        <w:t xml:space="preserve"> the </w:t>
      </w:r>
      <w:r>
        <w:t>Africa Minerals Development Centre (AMDC) (2013–2016)</w:t>
      </w:r>
      <w:r w:rsidR="003D5453">
        <w:t xml:space="preserve"> has continued to help </w:t>
      </w:r>
      <w:r w:rsidRPr="00C9078C">
        <w:t xml:space="preserve">AU member states </w:t>
      </w:r>
      <w:r w:rsidR="00986E51">
        <w:t xml:space="preserve">to </w:t>
      </w:r>
      <w:r w:rsidRPr="00C9078C">
        <w:t>better manage their extractive industries</w:t>
      </w:r>
      <w:r w:rsidR="003D5453">
        <w:t>.</w:t>
      </w:r>
      <w:r w:rsidR="00F4584C">
        <w:t xml:space="preserve">  </w:t>
      </w:r>
      <w:r w:rsidR="00986E51">
        <w:t xml:space="preserve">AMDC </w:t>
      </w:r>
      <w:r w:rsidR="00986E51" w:rsidRPr="00986E51">
        <w:t xml:space="preserve">achieved some good results </w:t>
      </w:r>
      <w:r w:rsidR="00986E51">
        <w:t xml:space="preserve">despite delayed </w:t>
      </w:r>
      <w:r w:rsidR="00986E51" w:rsidRPr="00986E51">
        <w:t xml:space="preserve">implementation due to slow recruitment of </w:t>
      </w:r>
      <w:r w:rsidR="00986E51">
        <w:t xml:space="preserve">experts. </w:t>
      </w:r>
      <w:r w:rsidR="00C914E2">
        <w:t>Activities include:</w:t>
      </w:r>
      <w:r w:rsidR="00940702">
        <w:t xml:space="preserve"> </w:t>
      </w:r>
      <w:r w:rsidR="00740C47" w:rsidRPr="00B87BE6">
        <w:rPr>
          <w:szCs w:val="21"/>
        </w:rPr>
        <w:t>the development of</w:t>
      </w:r>
      <w:r w:rsidR="00740C47" w:rsidRPr="00D46AAF">
        <w:rPr>
          <w:color w:val="0D0D0D" w:themeColor="text1" w:themeTint="F2"/>
          <w:szCs w:val="21"/>
        </w:rPr>
        <w:t xml:space="preserve"> </w:t>
      </w:r>
      <w:r w:rsidR="00740C47" w:rsidRPr="00D46AAF">
        <w:rPr>
          <w:rFonts w:cs="Calibri"/>
          <w:color w:val="0D0D0D" w:themeColor="text1" w:themeTint="F2"/>
          <w:szCs w:val="21"/>
        </w:rPr>
        <w:t xml:space="preserve">the African Mining Vision (AMV)-compliant Minerals and Mining Policy for Lesotho; </w:t>
      </w:r>
      <w:r w:rsidR="00BF6A13" w:rsidRPr="00D46AAF">
        <w:rPr>
          <w:rFonts w:cs="Calibri"/>
          <w:color w:val="0D0D0D" w:themeColor="text1" w:themeTint="F2"/>
          <w:szCs w:val="21"/>
        </w:rPr>
        <w:t xml:space="preserve">a </w:t>
      </w:r>
      <w:r w:rsidR="003D5453" w:rsidRPr="00D46AAF">
        <w:rPr>
          <w:rFonts w:cs="Calibri"/>
          <w:color w:val="0D0D0D" w:themeColor="text1" w:themeTint="F2"/>
          <w:szCs w:val="21"/>
        </w:rPr>
        <w:t xml:space="preserve">review of key legislation in </w:t>
      </w:r>
      <w:r w:rsidR="00740C47" w:rsidRPr="00D46AAF">
        <w:rPr>
          <w:rFonts w:cs="Calibri"/>
          <w:color w:val="0D0D0D" w:themeColor="text1" w:themeTint="F2"/>
          <w:szCs w:val="21"/>
        </w:rPr>
        <w:t xml:space="preserve">Mozambique to </w:t>
      </w:r>
      <w:r w:rsidR="003D5453" w:rsidRPr="00D46AAF">
        <w:rPr>
          <w:rFonts w:cs="Calibri"/>
          <w:color w:val="0D0D0D" w:themeColor="text1" w:themeTint="F2"/>
          <w:szCs w:val="21"/>
        </w:rPr>
        <w:t>identify reform required to meet the AMV</w:t>
      </w:r>
      <w:r w:rsidR="00BF6A13" w:rsidRPr="00D46AAF">
        <w:rPr>
          <w:rFonts w:cs="Calibri"/>
          <w:color w:val="0D0D0D" w:themeColor="text1" w:themeTint="F2"/>
          <w:szCs w:val="21"/>
        </w:rPr>
        <w:t xml:space="preserve">; and a </w:t>
      </w:r>
      <w:r w:rsidR="003D5453" w:rsidRPr="00D46AAF">
        <w:rPr>
          <w:rFonts w:cs="Calibri"/>
          <w:color w:val="0D0D0D" w:themeColor="text1" w:themeTint="F2"/>
          <w:szCs w:val="21"/>
        </w:rPr>
        <w:t xml:space="preserve">review of mining regulation in </w:t>
      </w:r>
      <w:r w:rsidR="00740C47" w:rsidRPr="00D46AAF">
        <w:rPr>
          <w:rFonts w:cs="Calibri"/>
          <w:color w:val="0D0D0D" w:themeColor="text1" w:themeTint="F2"/>
          <w:szCs w:val="21"/>
        </w:rPr>
        <w:t>Ghana, Tanzania and Guinea to ensure AMV complian</w:t>
      </w:r>
      <w:r w:rsidR="00C914E2">
        <w:rPr>
          <w:rFonts w:cs="Calibri"/>
          <w:color w:val="0D0D0D" w:themeColor="text1" w:themeTint="F2"/>
          <w:szCs w:val="21"/>
        </w:rPr>
        <w:t>ce</w:t>
      </w:r>
      <w:r w:rsidR="00740C47" w:rsidRPr="00D46AAF">
        <w:rPr>
          <w:rFonts w:cs="Calibri"/>
          <w:color w:val="0D0D0D" w:themeColor="text1" w:themeTint="F2"/>
          <w:szCs w:val="21"/>
        </w:rPr>
        <w:t>.</w:t>
      </w:r>
      <w:r w:rsidR="00740C47" w:rsidRPr="00D46AAF">
        <w:rPr>
          <w:rFonts w:ascii="Calibri" w:hAnsi="Calibri" w:cs="Calibri"/>
          <w:color w:val="0D0D0D" w:themeColor="text1" w:themeTint="F2"/>
          <w:sz w:val="22"/>
          <w:szCs w:val="22"/>
        </w:rPr>
        <w:t xml:space="preserve"> </w:t>
      </w:r>
    </w:p>
    <w:p w:rsidR="009F3C8F" w:rsidRDefault="00BD3069" w:rsidP="00B87BE6">
      <w:pPr>
        <w:pStyle w:val="ListBullet"/>
        <w:numPr>
          <w:ilvl w:val="0"/>
          <w:numId w:val="0"/>
        </w:numPr>
        <w:tabs>
          <w:tab w:val="clear" w:pos="284"/>
        </w:tabs>
        <w:spacing w:before="120"/>
      </w:pPr>
      <w:r>
        <w:t xml:space="preserve">Support for extractives </w:t>
      </w:r>
      <w:r w:rsidR="00E020AA">
        <w:t xml:space="preserve">governance </w:t>
      </w:r>
      <w:r>
        <w:t xml:space="preserve">is also provided through Australia Awards and its alumni. </w:t>
      </w:r>
      <w:r w:rsidR="00B87BE6" w:rsidRPr="003C709B">
        <w:t>In 2014 and 2015,</w:t>
      </w:r>
      <w:r w:rsidR="00B87BE6">
        <w:t xml:space="preserve"> 113 awards were offered </w:t>
      </w:r>
      <w:r w:rsidR="00C914E2">
        <w:t>to African</w:t>
      </w:r>
      <w:r w:rsidR="00986E51">
        <w:t>s professional</w:t>
      </w:r>
      <w:r w:rsidR="00C914E2">
        <w:t xml:space="preserve"> </w:t>
      </w:r>
      <w:r w:rsidR="00B87BE6">
        <w:t xml:space="preserve">in the mining sector, with another 60 for study in environmental and resources management.  An Outcomes Study published in November 2014 found that 85 per cent </w:t>
      </w:r>
      <w:r w:rsidR="00C914E2">
        <w:t xml:space="preserve">of Awards Alumni </w:t>
      </w:r>
      <w:r w:rsidR="00B87BE6">
        <w:t>were contributing</w:t>
      </w:r>
      <w:r w:rsidR="00C914E2">
        <w:t xml:space="preserve"> to their countries </w:t>
      </w:r>
      <w:r w:rsidR="00B87BE6">
        <w:t>in their area of practice; 48 per cent were transferring skills; and 63 per cent were making contributions beyond their workplace.</w:t>
      </w:r>
      <w:r w:rsidR="00B87BE6" w:rsidRPr="00986E51">
        <w:rPr>
          <w:rStyle w:val="FootnoteReference"/>
          <w:rFonts w:ascii="Franklin Gothic Book" w:hAnsi="Franklin Gothic Book"/>
          <w:sz w:val="21"/>
          <w:szCs w:val="21"/>
          <w:vertAlign w:val="superscript"/>
        </w:rPr>
        <w:footnoteReference w:id="8"/>
      </w:r>
      <w:r w:rsidR="00B87BE6">
        <w:t xml:space="preserve">  </w:t>
      </w:r>
      <w:r w:rsidR="00E020AA">
        <w:t>I</w:t>
      </w:r>
      <w:r w:rsidR="00B26D1B">
        <w:t xml:space="preserve">n October 2014, Australia hosted a </w:t>
      </w:r>
      <w:r w:rsidR="00B26D1B" w:rsidRPr="00B26D1B">
        <w:t>Symposium on Mining and Agriculture in Uganda</w:t>
      </w:r>
      <w:r w:rsidR="00B26D1B">
        <w:t xml:space="preserve"> which built knowledge, skills and networks </w:t>
      </w:r>
      <w:r w:rsidR="00AC589D">
        <w:t>among</w:t>
      </w:r>
      <w:r w:rsidR="00B26D1B">
        <w:t xml:space="preserve"> African </w:t>
      </w:r>
      <w:r w:rsidR="00234488">
        <w:t xml:space="preserve">leaders </w:t>
      </w:r>
      <w:r w:rsidR="00B26D1B">
        <w:t xml:space="preserve">on how best to </w:t>
      </w:r>
      <w:r w:rsidR="00B26D1B" w:rsidRPr="00B26D1B">
        <w:t>maximise the development benefits of mining and agriculture</w:t>
      </w:r>
      <w:r w:rsidR="00B26D1B" w:rsidRPr="003C709B">
        <w:t xml:space="preserve">. </w:t>
      </w:r>
    </w:p>
    <w:p w:rsidR="00756404" w:rsidRDefault="00221D56" w:rsidP="00221D56">
      <w:pPr>
        <w:pStyle w:val="BodyText"/>
        <w:spacing w:line="276" w:lineRule="auto"/>
      </w:pPr>
      <w:r>
        <w:t>Australia’s g</w:t>
      </w:r>
      <w:r w:rsidRPr="0070110C">
        <w:t>lobal contributions to Africa</w:t>
      </w:r>
      <w:r>
        <w:t xml:space="preserve"> also contributed to improved extractives governance during 2014</w:t>
      </w:r>
      <w:r w:rsidR="00C914E2">
        <w:t>-</w:t>
      </w:r>
      <w:r>
        <w:t xml:space="preserve">15.  </w:t>
      </w:r>
      <w:r w:rsidR="00BA2E1A">
        <w:t>Funding was provided through t</w:t>
      </w:r>
      <w:r w:rsidRPr="0070110C">
        <w:t xml:space="preserve">he Extractives Global Programmatic Support (EGPS), Extractive Industries Transparency Initiative (EITI), the Extractive Industries Technical Assistance Fund (EI-TAF), </w:t>
      </w:r>
      <w:r>
        <w:t xml:space="preserve">and </w:t>
      </w:r>
      <w:r w:rsidRPr="0070110C">
        <w:t>the International Monetary Fund and the Managing Natural Resources Wealth Topical Trust Fund</w:t>
      </w:r>
      <w:r>
        <w:t>.</w:t>
      </w:r>
      <w:r w:rsidR="00756404">
        <w:t xml:space="preserve"> </w:t>
      </w:r>
      <w:r w:rsidRPr="00F205A6">
        <w:t xml:space="preserve"> </w:t>
      </w:r>
    </w:p>
    <w:p w:rsidR="00221D56" w:rsidRDefault="00756404" w:rsidP="00221D56">
      <w:pPr>
        <w:pStyle w:val="BodyText"/>
        <w:spacing w:line="276" w:lineRule="auto"/>
      </w:pPr>
      <w:r w:rsidRPr="00756404">
        <w:t xml:space="preserve">In 2014-15, 323 Africans (including 95 </w:t>
      </w:r>
      <w:r>
        <w:t>women</w:t>
      </w:r>
      <w:r w:rsidRPr="00756404">
        <w:t xml:space="preserve">) from the public and private sectors, civil society and academia and representing 32 </w:t>
      </w:r>
      <w:r>
        <w:t xml:space="preserve">African </w:t>
      </w:r>
      <w:r w:rsidRPr="00756404">
        <w:t xml:space="preserve">countries participated in 16 short courses and workshops in Australia or abroad delivered by the IM4DC. </w:t>
      </w:r>
      <w:r>
        <w:t>The Centre</w:t>
      </w:r>
      <w:r w:rsidRPr="00756404">
        <w:t xml:space="preserve"> closed in June 2015, and the design of a successor entity is underway and expected to be operational by 2016.  </w:t>
      </w:r>
      <w:r w:rsidR="00221D56" w:rsidRPr="00F205A6">
        <w:t xml:space="preserve">  </w:t>
      </w:r>
    </w:p>
    <w:p w:rsidR="00986E51" w:rsidRPr="00F205A6" w:rsidRDefault="00986E51" w:rsidP="00221D56">
      <w:pPr>
        <w:pStyle w:val="BodyText"/>
        <w:spacing w:line="276" w:lineRule="auto"/>
        <w:rPr>
          <w:b/>
          <w:szCs w:val="21"/>
          <w:lang w:val="en-GB"/>
        </w:rPr>
      </w:pPr>
      <w:r>
        <w:t xml:space="preserve">The planned Extractives for Growth investment did not proceed due to budget pressures. This has impacted the scale of results possible during the 2014-15 reporting period.  </w:t>
      </w:r>
    </w:p>
    <w:p w:rsidR="005E31BD" w:rsidRPr="00E628A5" w:rsidRDefault="005E31BD" w:rsidP="00E628A5">
      <w:pPr>
        <w:pStyle w:val="Heading3"/>
      </w:pPr>
      <w:r w:rsidRPr="00E628A5">
        <w:t>Objective 2: Improve agriculture productivity and decision-making through support for development and adoption of new technologies and innovations in the agricultural sector and through increasing human capacity</w:t>
      </w:r>
    </w:p>
    <w:p w:rsidR="005E31BD" w:rsidRPr="00BD3069" w:rsidRDefault="005E31BD" w:rsidP="005E31BD">
      <w:pPr>
        <w:pStyle w:val="BodyText"/>
        <w:rPr>
          <w:szCs w:val="21"/>
          <w:lang w:eastAsia="zh-CN"/>
        </w:rPr>
      </w:pPr>
      <w:r w:rsidRPr="00BD3069">
        <w:rPr>
          <w:szCs w:val="21"/>
          <w:lang w:eastAsia="zh-CN"/>
        </w:rPr>
        <w:t>Progress towards achieving the objective is rated as</w:t>
      </w:r>
      <w:r w:rsidR="00C216DC">
        <w:rPr>
          <w:szCs w:val="21"/>
          <w:lang w:eastAsia="zh-CN"/>
        </w:rPr>
        <w:t xml:space="preserve"> </w:t>
      </w:r>
      <w:r w:rsidR="00432CCF">
        <w:rPr>
          <w:szCs w:val="21"/>
          <w:lang w:eastAsia="zh-CN"/>
        </w:rPr>
        <w:t>amber</w:t>
      </w:r>
      <w:r w:rsidR="00986E51">
        <w:rPr>
          <w:szCs w:val="21"/>
          <w:lang w:eastAsia="zh-CN"/>
        </w:rPr>
        <w:t>.</w:t>
      </w:r>
      <w:r w:rsidR="00432CCF">
        <w:rPr>
          <w:szCs w:val="21"/>
          <w:lang w:eastAsia="zh-CN"/>
        </w:rPr>
        <w:t xml:space="preserve"> </w:t>
      </w:r>
      <w:r w:rsidR="00FD45D4" w:rsidRPr="00BD3069">
        <w:rPr>
          <w:szCs w:val="21"/>
          <w:lang w:eastAsia="zh-CN"/>
        </w:rPr>
        <w:t>Considerable efforts by DFAT’s program managers have helped to ensure that pr</w:t>
      </w:r>
      <w:r w:rsidRPr="00BD3069">
        <w:rPr>
          <w:szCs w:val="21"/>
          <w:lang w:eastAsia="zh-CN"/>
        </w:rPr>
        <w:t xml:space="preserve">ogress overall </w:t>
      </w:r>
      <w:r w:rsidR="00FD45D4" w:rsidRPr="00BD3069">
        <w:rPr>
          <w:szCs w:val="21"/>
          <w:lang w:eastAsia="zh-CN"/>
        </w:rPr>
        <w:t>remain</w:t>
      </w:r>
      <w:r w:rsidR="00BD3069">
        <w:rPr>
          <w:szCs w:val="21"/>
          <w:lang w:eastAsia="zh-CN"/>
        </w:rPr>
        <w:t>ed</w:t>
      </w:r>
      <w:r w:rsidR="00FD45D4" w:rsidRPr="00BD3069">
        <w:rPr>
          <w:szCs w:val="21"/>
          <w:lang w:eastAsia="zh-CN"/>
        </w:rPr>
        <w:t xml:space="preserve"> </w:t>
      </w:r>
      <w:r w:rsidR="00432CCF">
        <w:rPr>
          <w:szCs w:val="21"/>
          <w:lang w:eastAsia="zh-CN"/>
        </w:rPr>
        <w:t>on track, with some exceptions</w:t>
      </w:r>
      <w:r w:rsidR="00986E51">
        <w:rPr>
          <w:szCs w:val="21"/>
          <w:lang w:eastAsia="zh-CN"/>
        </w:rPr>
        <w:t>,</w:t>
      </w:r>
      <w:r w:rsidR="00432CCF">
        <w:rPr>
          <w:szCs w:val="21"/>
          <w:lang w:eastAsia="zh-CN"/>
        </w:rPr>
        <w:t xml:space="preserve"> </w:t>
      </w:r>
      <w:r w:rsidR="00432CCF" w:rsidRPr="00BD3069">
        <w:rPr>
          <w:szCs w:val="21"/>
          <w:lang w:eastAsia="zh-CN"/>
        </w:rPr>
        <w:t xml:space="preserve">despite significant pressures from budget reductions to a number of key programs.  </w:t>
      </w:r>
      <w:r w:rsidRPr="00BD3069">
        <w:rPr>
          <w:szCs w:val="21"/>
          <w:lang w:eastAsia="zh-CN"/>
        </w:rPr>
        <w:t xml:space="preserve">  </w:t>
      </w:r>
    </w:p>
    <w:p w:rsidR="00370C28" w:rsidRDefault="0039368D" w:rsidP="00370C28">
      <w:pPr>
        <w:pStyle w:val="BodyText"/>
        <w:rPr>
          <w:lang w:eastAsia="zh-CN"/>
        </w:rPr>
      </w:pPr>
      <w:r w:rsidRPr="00986E51">
        <w:rPr>
          <w:szCs w:val="21"/>
          <w:lang w:eastAsia="zh-CN"/>
        </w:rPr>
        <w:t xml:space="preserve">Australia’s </w:t>
      </w:r>
      <w:r w:rsidR="00370C28" w:rsidRPr="00986E51">
        <w:rPr>
          <w:szCs w:val="21"/>
          <w:lang w:eastAsia="zh-CN"/>
        </w:rPr>
        <w:t xml:space="preserve">$33.4 million </w:t>
      </w:r>
      <w:r w:rsidRPr="00986E51">
        <w:rPr>
          <w:szCs w:val="21"/>
          <w:lang w:eastAsia="zh-CN"/>
        </w:rPr>
        <w:t xml:space="preserve">contribution to the </w:t>
      </w:r>
      <w:r w:rsidR="00370C28" w:rsidRPr="00986E51">
        <w:rPr>
          <w:szCs w:val="21"/>
          <w:lang w:eastAsia="zh-CN"/>
        </w:rPr>
        <w:t xml:space="preserve">CSIRO Africa Food Security Initiative (AFSI) </w:t>
      </w:r>
      <w:r w:rsidR="00576D15" w:rsidRPr="00986E51">
        <w:rPr>
          <w:szCs w:val="21"/>
          <w:lang w:eastAsia="zh-CN"/>
        </w:rPr>
        <w:t>(2010</w:t>
      </w:r>
      <w:r w:rsidR="00986E51">
        <w:rPr>
          <w:szCs w:val="21"/>
          <w:lang w:eastAsia="zh-CN"/>
        </w:rPr>
        <w:t>-</w:t>
      </w:r>
      <w:r w:rsidR="00576D15" w:rsidRPr="00986E51">
        <w:rPr>
          <w:szCs w:val="21"/>
          <w:lang w:eastAsia="zh-CN"/>
        </w:rPr>
        <w:t xml:space="preserve">2016) </w:t>
      </w:r>
      <w:r w:rsidRPr="00986E51">
        <w:rPr>
          <w:szCs w:val="21"/>
          <w:lang w:eastAsia="zh-CN"/>
        </w:rPr>
        <w:t xml:space="preserve">is helping to address </w:t>
      </w:r>
      <w:r w:rsidR="00370C28" w:rsidRPr="00986E51">
        <w:rPr>
          <w:szCs w:val="21"/>
          <w:lang w:eastAsia="zh-CN"/>
        </w:rPr>
        <w:t>food security challenges, particularly related to agricultural productivity and market development in Africa through agriculture research, technology dissemination and adoption.  It comprises three components</w:t>
      </w:r>
      <w:r w:rsidR="00FE1F4A" w:rsidRPr="00986E51">
        <w:rPr>
          <w:szCs w:val="21"/>
          <w:lang w:eastAsia="zh-CN"/>
        </w:rPr>
        <w:t xml:space="preserve"> including</w:t>
      </w:r>
      <w:r w:rsidR="00370C28" w:rsidRPr="00986E51">
        <w:rPr>
          <w:szCs w:val="21"/>
          <w:lang w:eastAsia="zh-CN"/>
        </w:rPr>
        <w:t xml:space="preserve"> two partnerships between CSIRO and regional research institutes - Biosciences Eastern and Central Africa Hub (BecA) and </w:t>
      </w:r>
      <w:r w:rsidR="00F40FA7">
        <w:rPr>
          <w:szCs w:val="21"/>
          <w:lang w:eastAsia="zh-CN"/>
        </w:rPr>
        <w:t xml:space="preserve">the </w:t>
      </w:r>
      <w:r w:rsidR="00370C28" w:rsidRPr="00986E51">
        <w:rPr>
          <w:szCs w:val="21"/>
          <w:lang w:eastAsia="zh-CN"/>
        </w:rPr>
        <w:t>West and Central African Council for Research and Development (CORAF)</w:t>
      </w:r>
      <w:r w:rsidR="00576D15" w:rsidRPr="00986E51">
        <w:rPr>
          <w:szCs w:val="21"/>
          <w:lang w:eastAsia="zh-CN"/>
        </w:rPr>
        <w:t xml:space="preserve"> (which finished in March 2015)</w:t>
      </w:r>
      <w:r w:rsidR="00370C28" w:rsidRPr="00986E51">
        <w:rPr>
          <w:szCs w:val="21"/>
          <w:lang w:eastAsia="zh-CN"/>
        </w:rPr>
        <w:t>.</w:t>
      </w:r>
      <w:r w:rsidR="00370C28" w:rsidRPr="00E00D31">
        <w:rPr>
          <w:szCs w:val="21"/>
          <w:lang w:eastAsia="zh-CN"/>
        </w:rPr>
        <w:t xml:space="preserve"> </w:t>
      </w:r>
      <w:r w:rsidR="000C46E6">
        <w:rPr>
          <w:szCs w:val="21"/>
          <w:lang w:eastAsia="zh-CN"/>
        </w:rPr>
        <w:t xml:space="preserve">Overall, the </w:t>
      </w:r>
      <w:r w:rsidR="00370C28" w:rsidRPr="00E00D31">
        <w:rPr>
          <w:szCs w:val="21"/>
          <w:lang w:eastAsia="zh-CN"/>
        </w:rPr>
        <w:t>partnerships have supported 13 research p</w:t>
      </w:r>
      <w:r w:rsidR="00FE1F4A" w:rsidRPr="00E00D31">
        <w:rPr>
          <w:szCs w:val="21"/>
          <w:lang w:eastAsia="zh-CN"/>
        </w:rPr>
        <w:t>rojects across 15 countries in East, West</w:t>
      </w:r>
      <w:r w:rsidR="00FE1F4A">
        <w:rPr>
          <w:lang w:eastAsia="zh-CN"/>
        </w:rPr>
        <w:t xml:space="preserve"> and C</w:t>
      </w:r>
      <w:r w:rsidR="00370C28">
        <w:rPr>
          <w:lang w:eastAsia="zh-CN"/>
        </w:rPr>
        <w:t>entral Africa to increase agricultural productivity through research for development (i.e. research focused on crop improvement, animal health, food safety and human nutrition). The sub-partnership</w:t>
      </w:r>
      <w:r w:rsidR="00FE1F4A">
        <w:rPr>
          <w:lang w:eastAsia="zh-CN"/>
        </w:rPr>
        <w:t>s</w:t>
      </w:r>
      <w:r w:rsidR="00370C28">
        <w:rPr>
          <w:lang w:eastAsia="zh-CN"/>
        </w:rPr>
        <w:t xml:space="preserve"> also supported organisational capacity building for BecA and CORAF and their national partners, </w:t>
      </w:r>
      <w:r w:rsidR="00F40FA7">
        <w:rPr>
          <w:lang w:eastAsia="zh-CN"/>
        </w:rPr>
        <w:t>and</w:t>
      </w:r>
      <w:r w:rsidR="00370C28">
        <w:rPr>
          <w:lang w:eastAsia="zh-CN"/>
        </w:rPr>
        <w:t xml:space="preserve"> provid</w:t>
      </w:r>
      <w:r w:rsidR="00F40FA7">
        <w:rPr>
          <w:lang w:eastAsia="zh-CN"/>
        </w:rPr>
        <w:t>ed</w:t>
      </w:r>
      <w:r w:rsidR="00370C28">
        <w:rPr>
          <w:lang w:eastAsia="zh-CN"/>
        </w:rPr>
        <w:t xml:space="preserve"> fellowships for African scientists.  The third component of support </w:t>
      </w:r>
      <w:r w:rsidR="00FE1F4A">
        <w:rPr>
          <w:lang w:eastAsia="zh-CN"/>
        </w:rPr>
        <w:t xml:space="preserve">under </w:t>
      </w:r>
      <w:r w:rsidR="00F40FA7">
        <w:rPr>
          <w:lang w:eastAsia="zh-CN"/>
        </w:rPr>
        <w:t>the initiative</w:t>
      </w:r>
      <w:r w:rsidR="00FE1F4A">
        <w:rPr>
          <w:lang w:eastAsia="zh-CN"/>
        </w:rPr>
        <w:t xml:space="preserve"> </w:t>
      </w:r>
      <w:r w:rsidR="00370C28">
        <w:rPr>
          <w:lang w:eastAsia="zh-CN"/>
        </w:rPr>
        <w:t>was the Policy Pathways for Food Security pilot</w:t>
      </w:r>
      <w:r w:rsidR="00F40FA7">
        <w:rPr>
          <w:lang w:eastAsia="zh-CN"/>
        </w:rPr>
        <w:t xml:space="preserve">, </w:t>
      </w:r>
      <w:r w:rsidR="00576D15">
        <w:rPr>
          <w:lang w:eastAsia="zh-CN"/>
        </w:rPr>
        <w:t>which finished in December 2014</w:t>
      </w:r>
      <w:r w:rsidR="000C46E6">
        <w:rPr>
          <w:lang w:eastAsia="zh-CN"/>
        </w:rPr>
        <w:t>.</w:t>
      </w:r>
      <w:r w:rsidR="00370C28">
        <w:rPr>
          <w:lang w:eastAsia="zh-CN"/>
        </w:rPr>
        <w:t xml:space="preserve">  </w:t>
      </w:r>
    </w:p>
    <w:p w:rsidR="007F5424" w:rsidRDefault="00BD3069" w:rsidP="007F5424">
      <w:pPr>
        <w:pStyle w:val="BodyText"/>
        <w:rPr>
          <w:lang w:eastAsia="zh-CN"/>
        </w:rPr>
      </w:pPr>
      <w:r>
        <w:rPr>
          <w:lang w:eastAsia="zh-CN"/>
        </w:rPr>
        <w:t>Over 2014, Australia’s support for CSIRO’s AFSI enabled</w:t>
      </w:r>
      <w:r w:rsidR="00F561A7">
        <w:rPr>
          <w:lang w:eastAsia="zh-CN"/>
        </w:rPr>
        <w:t xml:space="preserve"> almost 16,000 men and women </w:t>
      </w:r>
      <w:r>
        <w:rPr>
          <w:lang w:eastAsia="zh-CN"/>
        </w:rPr>
        <w:t xml:space="preserve">to </w:t>
      </w:r>
      <w:r w:rsidR="00F561A7" w:rsidRPr="00F561A7">
        <w:rPr>
          <w:lang w:eastAsia="zh-CN"/>
        </w:rPr>
        <w:t>adopt innovative agricultural and fisheries practices</w:t>
      </w:r>
      <w:r w:rsidR="00F561A7">
        <w:rPr>
          <w:lang w:eastAsia="zh-CN"/>
        </w:rPr>
        <w:t xml:space="preserve"> to improve their livelihoods.  </w:t>
      </w:r>
      <w:r w:rsidR="00C914E2">
        <w:rPr>
          <w:lang w:eastAsia="zh-CN"/>
        </w:rPr>
        <w:t xml:space="preserve">It has </w:t>
      </w:r>
      <w:r>
        <w:rPr>
          <w:lang w:eastAsia="zh-CN"/>
        </w:rPr>
        <w:t xml:space="preserve">also provided </w:t>
      </w:r>
      <w:r w:rsidR="007272D1">
        <w:rPr>
          <w:lang w:eastAsia="zh-CN"/>
        </w:rPr>
        <w:t xml:space="preserve">over 11,500 men and women </w:t>
      </w:r>
      <w:r>
        <w:rPr>
          <w:lang w:eastAsia="zh-CN"/>
        </w:rPr>
        <w:t xml:space="preserve">with </w:t>
      </w:r>
      <w:r w:rsidR="007272D1">
        <w:rPr>
          <w:lang w:eastAsia="zh-CN"/>
        </w:rPr>
        <w:t xml:space="preserve">increased </w:t>
      </w:r>
      <w:r w:rsidR="00CE1A03">
        <w:rPr>
          <w:lang w:eastAsia="zh-CN"/>
        </w:rPr>
        <w:t xml:space="preserve">incomes </w:t>
      </w:r>
      <w:r w:rsidR="004B26F7">
        <w:rPr>
          <w:lang w:eastAsia="zh-CN"/>
        </w:rPr>
        <w:t xml:space="preserve">and almost $2 million </w:t>
      </w:r>
      <w:r w:rsidR="004B26F7" w:rsidRPr="004B26F7">
        <w:rPr>
          <w:lang w:eastAsia="zh-CN"/>
        </w:rPr>
        <w:t>of additional agricultural and fisheries production</w:t>
      </w:r>
      <w:r w:rsidR="004B26F7">
        <w:rPr>
          <w:lang w:eastAsia="zh-CN"/>
        </w:rPr>
        <w:t>.</w:t>
      </w:r>
      <w:r w:rsidR="008705AD">
        <w:rPr>
          <w:lang w:eastAsia="zh-CN"/>
        </w:rPr>
        <w:t xml:space="preserve">  </w:t>
      </w:r>
      <w:r w:rsidRPr="00DB17F6">
        <w:rPr>
          <w:lang w:eastAsia="zh-CN"/>
        </w:rPr>
        <w:t xml:space="preserve">Despite these results, </w:t>
      </w:r>
      <w:r w:rsidR="00F40FA7">
        <w:rPr>
          <w:lang w:eastAsia="zh-CN"/>
        </w:rPr>
        <w:t xml:space="preserve">budget </w:t>
      </w:r>
      <w:r w:rsidR="00790FEF">
        <w:rPr>
          <w:lang w:eastAsia="zh-CN"/>
        </w:rPr>
        <w:t>reduction</w:t>
      </w:r>
      <w:r w:rsidR="00F40FA7">
        <w:rPr>
          <w:lang w:eastAsia="zh-CN"/>
        </w:rPr>
        <w:t>s</w:t>
      </w:r>
      <w:r w:rsidR="00576D15" w:rsidRPr="00D46AAF">
        <w:rPr>
          <w:lang w:eastAsia="zh-CN"/>
        </w:rPr>
        <w:t xml:space="preserve"> meant that Australia could not fund the third phase of </w:t>
      </w:r>
      <w:r w:rsidR="000C46E6">
        <w:rPr>
          <w:lang w:eastAsia="zh-CN"/>
        </w:rPr>
        <w:t xml:space="preserve">the CSIRO </w:t>
      </w:r>
      <w:proofErr w:type="spellStart"/>
      <w:r w:rsidR="000C46E6">
        <w:rPr>
          <w:lang w:eastAsia="zh-CN"/>
        </w:rPr>
        <w:t>BeCA</w:t>
      </w:r>
      <w:proofErr w:type="spellEnd"/>
      <w:r w:rsidR="000C46E6">
        <w:rPr>
          <w:lang w:eastAsia="zh-CN"/>
        </w:rPr>
        <w:t xml:space="preserve"> partnership</w:t>
      </w:r>
      <w:r w:rsidR="00F40FA7">
        <w:rPr>
          <w:lang w:eastAsia="zh-CN"/>
        </w:rPr>
        <w:t xml:space="preserve"> and so </w:t>
      </w:r>
      <w:r w:rsidRPr="00B50731">
        <w:rPr>
          <w:lang w:eastAsia="zh-CN"/>
        </w:rPr>
        <w:t xml:space="preserve">the Africa Program </w:t>
      </w:r>
      <w:r w:rsidR="00F40FA7">
        <w:rPr>
          <w:lang w:eastAsia="zh-CN"/>
        </w:rPr>
        <w:t>has fallen short</w:t>
      </w:r>
      <w:r w:rsidRPr="008364EB">
        <w:rPr>
          <w:lang w:eastAsia="zh-CN"/>
        </w:rPr>
        <w:t xml:space="preserve"> of its target to support 26,000 poor women and men to benefit</w:t>
      </w:r>
      <w:r w:rsidRPr="00A245B0">
        <w:rPr>
          <w:lang w:eastAsia="zh-CN"/>
        </w:rPr>
        <w:t xml:space="preserve"> from access to and use of new agricultural technologies.</w:t>
      </w:r>
      <w:r>
        <w:rPr>
          <w:lang w:eastAsia="zh-CN"/>
        </w:rPr>
        <w:t xml:space="preserve">  </w:t>
      </w:r>
      <w:r w:rsidR="00C914E2">
        <w:rPr>
          <w:lang w:eastAsia="zh-CN"/>
        </w:rPr>
        <w:t xml:space="preserve">Key challenges around strengthening outcomes including on gender, highlighted by the </w:t>
      </w:r>
      <w:r w:rsidR="00E465D2">
        <w:rPr>
          <w:lang w:eastAsia="zh-CN"/>
        </w:rPr>
        <w:t xml:space="preserve">CSIRO </w:t>
      </w:r>
      <w:r w:rsidR="00C914E2">
        <w:rPr>
          <w:lang w:eastAsia="zh-CN"/>
        </w:rPr>
        <w:t xml:space="preserve">2012 </w:t>
      </w:r>
      <w:r w:rsidR="0024369B">
        <w:rPr>
          <w:lang w:eastAsia="zh-CN"/>
        </w:rPr>
        <w:t>Mid Term Review (MTR)</w:t>
      </w:r>
      <w:r w:rsidR="00F40FA7">
        <w:rPr>
          <w:lang w:eastAsia="zh-CN"/>
        </w:rPr>
        <w:t>,</w:t>
      </w:r>
      <w:r w:rsidR="007F5424">
        <w:rPr>
          <w:lang w:eastAsia="zh-CN"/>
        </w:rPr>
        <w:t xml:space="preserve"> </w:t>
      </w:r>
      <w:r w:rsidR="00F40FA7">
        <w:rPr>
          <w:lang w:eastAsia="zh-CN"/>
        </w:rPr>
        <w:t>would have been addressed had the next phase proceeded.</w:t>
      </w:r>
      <w:r w:rsidR="00ED13D6">
        <w:rPr>
          <w:lang w:eastAsia="zh-CN"/>
        </w:rPr>
        <w:t xml:space="preserve">  </w:t>
      </w:r>
    </w:p>
    <w:p w:rsidR="003709CC" w:rsidRDefault="004B26F7" w:rsidP="002D5293">
      <w:pPr>
        <w:pStyle w:val="BodyText"/>
        <w:rPr>
          <w:lang w:eastAsia="zh-CN"/>
        </w:rPr>
      </w:pPr>
      <w:r>
        <w:rPr>
          <w:lang w:eastAsia="zh-CN"/>
        </w:rPr>
        <w:t xml:space="preserve">Australia has provided almost $24 million to the Zimbabwe window of the </w:t>
      </w:r>
      <w:r w:rsidR="00F561A7">
        <w:rPr>
          <w:lang w:eastAsia="zh-CN"/>
        </w:rPr>
        <w:t>A</w:t>
      </w:r>
      <w:r>
        <w:rPr>
          <w:lang w:eastAsia="zh-CN"/>
        </w:rPr>
        <w:t xml:space="preserve">frica </w:t>
      </w:r>
      <w:r w:rsidR="00F561A7">
        <w:rPr>
          <w:lang w:eastAsia="zh-CN"/>
        </w:rPr>
        <w:t>E</w:t>
      </w:r>
      <w:r>
        <w:rPr>
          <w:lang w:eastAsia="zh-CN"/>
        </w:rPr>
        <w:t xml:space="preserve">nterprise </w:t>
      </w:r>
      <w:r w:rsidR="00F561A7">
        <w:rPr>
          <w:lang w:eastAsia="zh-CN"/>
        </w:rPr>
        <w:t>C</w:t>
      </w:r>
      <w:r>
        <w:rPr>
          <w:lang w:eastAsia="zh-CN"/>
        </w:rPr>
        <w:t xml:space="preserve">hallenge </w:t>
      </w:r>
      <w:r w:rsidR="00F561A7">
        <w:rPr>
          <w:lang w:eastAsia="zh-CN"/>
        </w:rPr>
        <w:t>F</w:t>
      </w:r>
      <w:r>
        <w:rPr>
          <w:lang w:eastAsia="zh-CN"/>
        </w:rPr>
        <w:t xml:space="preserve">und (AECF) </w:t>
      </w:r>
      <w:r w:rsidR="00576D15">
        <w:rPr>
          <w:lang w:eastAsia="zh-CN"/>
        </w:rPr>
        <w:t>and $</w:t>
      </w:r>
      <w:r w:rsidR="00234488">
        <w:rPr>
          <w:lang w:eastAsia="zh-CN"/>
        </w:rPr>
        <w:t>9</w:t>
      </w:r>
      <w:r w:rsidR="00576D15">
        <w:rPr>
          <w:lang w:eastAsia="zh-CN"/>
        </w:rPr>
        <w:t xml:space="preserve"> million to the Research </w:t>
      </w:r>
      <w:proofErr w:type="gramStart"/>
      <w:r w:rsidR="00576D15">
        <w:rPr>
          <w:lang w:eastAsia="zh-CN"/>
        </w:rPr>
        <w:t>Into</w:t>
      </w:r>
      <w:proofErr w:type="gramEnd"/>
      <w:r w:rsidR="00576D15">
        <w:rPr>
          <w:lang w:eastAsia="zh-CN"/>
        </w:rPr>
        <w:t xml:space="preserve"> Business (RIB) AECF window</w:t>
      </w:r>
      <w:r w:rsidR="00F40FA7">
        <w:rPr>
          <w:lang w:eastAsia="zh-CN"/>
        </w:rPr>
        <w:t xml:space="preserve"> </w:t>
      </w:r>
      <w:r w:rsidR="00F40FA7" w:rsidRPr="00F40FA7">
        <w:rPr>
          <w:lang w:eastAsia="zh-CN"/>
        </w:rPr>
        <w:t>(2010</w:t>
      </w:r>
      <w:r w:rsidR="002243A9">
        <w:rPr>
          <w:lang w:eastAsia="zh-CN"/>
        </w:rPr>
        <w:t>-</w:t>
      </w:r>
      <w:r w:rsidR="00F40FA7" w:rsidRPr="00F40FA7">
        <w:rPr>
          <w:lang w:eastAsia="zh-CN"/>
        </w:rPr>
        <w:t>2019)</w:t>
      </w:r>
      <w:r w:rsidR="00576D15">
        <w:rPr>
          <w:lang w:eastAsia="zh-CN"/>
        </w:rPr>
        <w:t xml:space="preserve">.  </w:t>
      </w:r>
      <w:r w:rsidR="00F40FA7">
        <w:rPr>
          <w:lang w:eastAsia="zh-CN"/>
        </w:rPr>
        <w:t>Funding</w:t>
      </w:r>
      <w:r w:rsidR="00576D15">
        <w:rPr>
          <w:lang w:eastAsia="zh-CN"/>
        </w:rPr>
        <w:t xml:space="preserve"> </w:t>
      </w:r>
      <w:r>
        <w:rPr>
          <w:lang w:eastAsia="zh-CN"/>
        </w:rPr>
        <w:t>support</w:t>
      </w:r>
      <w:r w:rsidR="00F40FA7">
        <w:rPr>
          <w:lang w:eastAsia="zh-CN"/>
        </w:rPr>
        <w:t>s</w:t>
      </w:r>
      <w:r>
        <w:rPr>
          <w:lang w:eastAsia="zh-CN"/>
        </w:rPr>
        <w:t xml:space="preserve"> innovative </w:t>
      </w:r>
      <w:r>
        <w:rPr>
          <w:bCs/>
          <w:iCs/>
        </w:rPr>
        <w:t>business models which</w:t>
      </w:r>
      <w:r w:rsidR="00617248">
        <w:rPr>
          <w:bCs/>
          <w:iCs/>
        </w:rPr>
        <w:t xml:space="preserve"> enhance business growth and </w:t>
      </w:r>
      <w:r>
        <w:rPr>
          <w:bCs/>
          <w:iCs/>
        </w:rPr>
        <w:t xml:space="preserve">benefit </w:t>
      </w:r>
      <w:r w:rsidR="00617248">
        <w:rPr>
          <w:bCs/>
          <w:iCs/>
        </w:rPr>
        <w:t>the poor</w:t>
      </w:r>
      <w:r>
        <w:rPr>
          <w:bCs/>
          <w:iCs/>
        </w:rPr>
        <w:t>.</w:t>
      </w:r>
      <w:r w:rsidR="00617248">
        <w:rPr>
          <w:bCs/>
          <w:iCs/>
        </w:rPr>
        <w:t xml:space="preserve">  </w:t>
      </w:r>
      <w:r w:rsidR="00637531">
        <w:rPr>
          <w:bCs/>
          <w:iCs/>
        </w:rPr>
        <w:t xml:space="preserve">RIB AECF </w:t>
      </w:r>
      <w:r w:rsidR="004D1563">
        <w:rPr>
          <w:bCs/>
          <w:iCs/>
        </w:rPr>
        <w:t>results</w:t>
      </w:r>
      <w:r w:rsidR="00637531">
        <w:rPr>
          <w:bCs/>
          <w:iCs/>
        </w:rPr>
        <w:t xml:space="preserve"> have been impacted by a </w:t>
      </w:r>
      <w:r w:rsidR="00637531" w:rsidRPr="00637531">
        <w:rPr>
          <w:bCs/>
          <w:iCs/>
        </w:rPr>
        <w:t>slow</w:t>
      </w:r>
      <w:r w:rsidR="00637531">
        <w:rPr>
          <w:bCs/>
          <w:iCs/>
        </w:rPr>
        <w:t>er</w:t>
      </w:r>
      <w:r w:rsidR="00637531" w:rsidRPr="00637531">
        <w:rPr>
          <w:bCs/>
          <w:iCs/>
        </w:rPr>
        <w:t xml:space="preserve"> </w:t>
      </w:r>
      <w:r w:rsidR="00637531">
        <w:rPr>
          <w:bCs/>
          <w:iCs/>
        </w:rPr>
        <w:t xml:space="preserve">than expected </w:t>
      </w:r>
      <w:r w:rsidR="00637531" w:rsidRPr="00637531">
        <w:rPr>
          <w:bCs/>
          <w:iCs/>
        </w:rPr>
        <w:t xml:space="preserve">start to </w:t>
      </w:r>
      <w:r w:rsidR="00637531">
        <w:rPr>
          <w:bCs/>
          <w:iCs/>
        </w:rPr>
        <w:t>the selection</w:t>
      </w:r>
      <w:r w:rsidR="00637531" w:rsidRPr="00637531">
        <w:rPr>
          <w:bCs/>
          <w:iCs/>
        </w:rPr>
        <w:t xml:space="preserve"> and contracting</w:t>
      </w:r>
      <w:r w:rsidR="00637531">
        <w:rPr>
          <w:bCs/>
          <w:iCs/>
        </w:rPr>
        <w:t xml:space="preserve"> of businesses.  As at December 2014, </w:t>
      </w:r>
      <w:r w:rsidR="00637531" w:rsidRPr="00637531">
        <w:rPr>
          <w:bCs/>
          <w:iCs/>
        </w:rPr>
        <w:t>six grantees</w:t>
      </w:r>
      <w:r w:rsidR="00637531">
        <w:rPr>
          <w:bCs/>
          <w:iCs/>
        </w:rPr>
        <w:t xml:space="preserve"> had been selected.</w:t>
      </w:r>
      <w:r w:rsidR="00637531" w:rsidRPr="00637531">
        <w:rPr>
          <w:bCs/>
          <w:iCs/>
        </w:rPr>
        <w:t xml:space="preserve"> </w:t>
      </w:r>
      <w:r w:rsidR="00022946">
        <w:rPr>
          <w:lang w:eastAsia="zh-CN"/>
        </w:rPr>
        <w:t xml:space="preserve">The </w:t>
      </w:r>
      <w:r w:rsidR="00022946" w:rsidRPr="00807FE4">
        <w:rPr>
          <w:lang w:eastAsia="zh-CN"/>
        </w:rPr>
        <w:t xml:space="preserve">quality of outputs </w:t>
      </w:r>
      <w:r w:rsidR="00637531">
        <w:rPr>
          <w:lang w:eastAsia="zh-CN"/>
        </w:rPr>
        <w:t xml:space="preserve">through the Zimbabwe window of AECF </w:t>
      </w:r>
      <w:r w:rsidR="00022946" w:rsidRPr="00807FE4">
        <w:rPr>
          <w:lang w:eastAsia="zh-CN"/>
        </w:rPr>
        <w:t>is a</w:t>
      </w:r>
      <w:r w:rsidR="00022946">
        <w:rPr>
          <w:lang w:eastAsia="zh-CN"/>
        </w:rPr>
        <w:t xml:space="preserve">s expected despite </w:t>
      </w:r>
      <w:r w:rsidR="004D1563">
        <w:rPr>
          <w:lang w:eastAsia="zh-CN"/>
        </w:rPr>
        <w:t>issues with</w:t>
      </w:r>
      <w:r w:rsidR="00022946">
        <w:rPr>
          <w:lang w:eastAsia="zh-CN"/>
        </w:rPr>
        <w:t xml:space="preserve"> t</w:t>
      </w:r>
      <w:r w:rsidR="00022946" w:rsidRPr="00807FE4">
        <w:rPr>
          <w:lang w:eastAsia="zh-CN"/>
        </w:rPr>
        <w:t xml:space="preserve">he </w:t>
      </w:r>
      <w:r w:rsidR="002630F0">
        <w:rPr>
          <w:lang w:eastAsia="zh-CN"/>
        </w:rPr>
        <w:t xml:space="preserve">Zimbabwe </w:t>
      </w:r>
      <w:r w:rsidR="00022946" w:rsidRPr="00807FE4">
        <w:rPr>
          <w:lang w:eastAsia="zh-CN"/>
        </w:rPr>
        <w:t>operating environment</w:t>
      </w:r>
      <w:r w:rsidR="00022946">
        <w:rPr>
          <w:lang w:eastAsia="zh-CN"/>
        </w:rPr>
        <w:t xml:space="preserve">, </w:t>
      </w:r>
      <w:r w:rsidR="00022946" w:rsidRPr="00807FE4">
        <w:rPr>
          <w:lang w:eastAsia="zh-CN"/>
        </w:rPr>
        <w:t>characteri</w:t>
      </w:r>
      <w:r w:rsidR="00022946">
        <w:rPr>
          <w:lang w:eastAsia="zh-CN"/>
        </w:rPr>
        <w:t>s</w:t>
      </w:r>
      <w:r w:rsidR="00022946" w:rsidRPr="00807FE4">
        <w:rPr>
          <w:lang w:eastAsia="zh-CN"/>
        </w:rPr>
        <w:t>ed by tight liquidity conditions, company closures and very high unemployment. KPMG</w:t>
      </w:r>
      <w:r w:rsidR="004D1563">
        <w:rPr>
          <w:lang w:eastAsia="zh-CN"/>
        </w:rPr>
        <w:t>, the Fund Manager, expects</w:t>
      </w:r>
      <w:r w:rsidR="00022946" w:rsidRPr="00807FE4">
        <w:rPr>
          <w:lang w:eastAsia="zh-CN"/>
        </w:rPr>
        <w:t xml:space="preserve"> AECF’s requirement for matching funds will become increasingly difficult in </w:t>
      </w:r>
      <w:r w:rsidR="00022946">
        <w:rPr>
          <w:lang w:eastAsia="zh-CN"/>
        </w:rPr>
        <w:t xml:space="preserve">the </w:t>
      </w:r>
      <w:r w:rsidR="004D1563">
        <w:rPr>
          <w:lang w:eastAsia="zh-CN"/>
        </w:rPr>
        <w:t xml:space="preserve">current </w:t>
      </w:r>
      <w:r w:rsidR="00022946" w:rsidRPr="00807FE4">
        <w:rPr>
          <w:lang w:eastAsia="zh-CN"/>
        </w:rPr>
        <w:t xml:space="preserve">economic </w:t>
      </w:r>
      <w:r w:rsidR="004D1563">
        <w:rPr>
          <w:lang w:eastAsia="zh-CN"/>
        </w:rPr>
        <w:t>climate</w:t>
      </w:r>
      <w:r w:rsidR="00022946" w:rsidRPr="00807FE4">
        <w:rPr>
          <w:lang w:eastAsia="zh-CN"/>
        </w:rPr>
        <w:t>.</w:t>
      </w:r>
      <w:r w:rsidR="00022946">
        <w:rPr>
          <w:lang w:eastAsia="zh-CN"/>
        </w:rPr>
        <w:t xml:space="preserve">  </w:t>
      </w:r>
    </w:p>
    <w:p w:rsidR="002630F0" w:rsidRDefault="002243A9" w:rsidP="002D5293">
      <w:pPr>
        <w:pStyle w:val="BodyText"/>
        <w:rPr>
          <w:lang w:eastAsia="zh-CN"/>
        </w:rPr>
      </w:pPr>
      <w:r>
        <w:rPr>
          <w:lang w:eastAsia="zh-CN"/>
        </w:rPr>
        <w:t>Consequently,</w:t>
      </w:r>
      <w:r w:rsidR="00ED13D6">
        <w:rPr>
          <w:lang w:eastAsia="zh-CN"/>
        </w:rPr>
        <w:t xml:space="preserve"> AECF has fallen short of its target to provide $75 per household</w:t>
      </w:r>
      <w:r>
        <w:rPr>
          <w:lang w:eastAsia="zh-CN"/>
        </w:rPr>
        <w:t>, instead providing</w:t>
      </w:r>
      <w:r w:rsidR="00ED13D6">
        <w:rPr>
          <w:lang w:eastAsia="zh-CN"/>
        </w:rPr>
        <w:t xml:space="preserve"> an average benefit of $25 per household.  </w:t>
      </w:r>
      <w:r w:rsidR="00B850AB">
        <w:rPr>
          <w:lang w:eastAsia="zh-CN"/>
        </w:rPr>
        <w:t xml:space="preserve">Measures are being taken by </w:t>
      </w:r>
      <w:r>
        <w:rPr>
          <w:lang w:eastAsia="zh-CN"/>
        </w:rPr>
        <w:t>KPMG</w:t>
      </w:r>
      <w:r w:rsidR="00B850AB">
        <w:rPr>
          <w:lang w:eastAsia="zh-CN"/>
        </w:rPr>
        <w:t xml:space="preserve"> to minimise the potentially detrimental impacts of this on otherwise successful projects.  </w:t>
      </w:r>
      <w:r>
        <w:rPr>
          <w:lang w:eastAsia="zh-CN"/>
        </w:rPr>
        <w:t>In 2014, DFID</w:t>
      </w:r>
      <w:r w:rsidR="00022946">
        <w:rPr>
          <w:lang w:eastAsia="zh-CN"/>
        </w:rPr>
        <w:t xml:space="preserve"> </w:t>
      </w:r>
      <w:r w:rsidR="00022946" w:rsidRPr="00807FE4">
        <w:rPr>
          <w:lang w:eastAsia="zh-CN"/>
        </w:rPr>
        <w:t>rated the AECF as performing well under the prevailing economic challenges</w:t>
      </w:r>
      <w:r w:rsidR="00A733B9">
        <w:rPr>
          <w:lang w:eastAsia="zh-CN"/>
        </w:rPr>
        <w:t>,</w:t>
      </w:r>
      <w:r w:rsidR="00022946" w:rsidRPr="00807FE4">
        <w:rPr>
          <w:lang w:eastAsia="zh-CN"/>
        </w:rPr>
        <w:t xml:space="preserve"> giving it a score of </w:t>
      </w:r>
      <w:r w:rsidR="00022946">
        <w:rPr>
          <w:lang w:eastAsia="zh-CN"/>
        </w:rPr>
        <w:t xml:space="preserve">an </w:t>
      </w:r>
      <w:r w:rsidR="00022946" w:rsidRPr="00807FE4">
        <w:rPr>
          <w:lang w:eastAsia="zh-CN"/>
        </w:rPr>
        <w:t>"A</w:t>
      </w:r>
      <w:r w:rsidR="00022946" w:rsidRPr="003709CC">
        <w:rPr>
          <w:lang w:eastAsia="zh-CN"/>
        </w:rPr>
        <w:t xml:space="preserve">".  </w:t>
      </w:r>
      <w:r w:rsidR="003709CC" w:rsidRPr="003709CC">
        <w:rPr>
          <w:bCs/>
          <w:iCs/>
        </w:rPr>
        <w:t>Latest available figures show that during 2013,</w:t>
      </w:r>
      <w:r w:rsidR="00022946" w:rsidRPr="003709CC">
        <w:rPr>
          <w:bCs/>
          <w:iCs/>
        </w:rPr>
        <w:t xml:space="preserve"> </w:t>
      </w:r>
      <w:r w:rsidR="00022946" w:rsidRPr="002243A9">
        <w:rPr>
          <w:bCs/>
          <w:iCs/>
        </w:rPr>
        <w:t>Australia’s contribution to the Zimbabwe window of the AECF increased incomes for over 170,000 poor women and men</w:t>
      </w:r>
      <w:r w:rsidR="00A733B9">
        <w:rPr>
          <w:bCs/>
          <w:iCs/>
        </w:rPr>
        <w:t>,</w:t>
      </w:r>
      <w:r w:rsidR="00022946" w:rsidRPr="002243A9">
        <w:rPr>
          <w:bCs/>
          <w:iCs/>
        </w:rPr>
        <w:t xml:space="preserve"> and </w:t>
      </w:r>
      <w:r w:rsidR="00A733B9">
        <w:rPr>
          <w:bCs/>
          <w:iCs/>
        </w:rPr>
        <w:t xml:space="preserve">increased </w:t>
      </w:r>
      <w:r>
        <w:rPr>
          <w:bCs/>
          <w:iCs/>
        </w:rPr>
        <w:t xml:space="preserve">access to financial services for </w:t>
      </w:r>
      <w:r w:rsidR="00022946" w:rsidRPr="002243A9">
        <w:rPr>
          <w:bCs/>
          <w:iCs/>
        </w:rPr>
        <w:t>over 90,000 poor women and men.</w:t>
      </w:r>
      <w:r w:rsidR="00022946">
        <w:rPr>
          <w:bCs/>
          <w:iCs/>
        </w:rPr>
        <w:t xml:space="preserve"> </w:t>
      </w:r>
      <w:r w:rsidR="00022946">
        <w:rPr>
          <w:lang w:eastAsia="zh-CN"/>
        </w:rPr>
        <w:t xml:space="preserve">AECF has responded comprehensively to </w:t>
      </w:r>
      <w:r>
        <w:rPr>
          <w:lang w:eastAsia="zh-CN"/>
        </w:rPr>
        <w:t>calls for improvements</w:t>
      </w:r>
      <w:r w:rsidR="00022946">
        <w:rPr>
          <w:lang w:eastAsia="zh-CN"/>
        </w:rPr>
        <w:t xml:space="preserve"> to </w:t>
      </w:r>
      <w:r>
        <w:rPr>
          <w:lang w:eastAsia="zh-CN"/>
        </w:rPr>
        <w:t xml:space="preserve">M&amp;E, including by </w:t>
      </w:r>
      <w:r w:rsidR="00A733B9">
        <w:rPr>
          <w:lang w:eastAsia="zh-CN"/>
        </w:rPr>
        <w:t>applying</w:t>
      </w:r>
      <w:r w:rsidR="00022946">
        <w:rPr>
          <w:lang w:eastAsia="zh-CN"/>
        </w:rPr>
        <w:t xml:space="preserve"> </w:t>
      </w:r>
      <w:r w:rsidR="00A733B9">
        <w:rPr>
          <w:lang w:eastAsia="zh-CN"/>
        </w:rPr>
        <w:t xml:space="preserve">the </w:t>
      </w:r>
      <w:r w:rsidR="00022946">
        <w:rPr>
          <w:lang w:eastAsia="zh-CN"/>
        </w:rPr>
        <w:t>Donor Committee Enterprise Development (</w:t>
      </w:r>
      <w:r w:rsidR="00022946" w:rsidRPr="00807FE4">
        <w:rPr>
          <w:lang w:eastAsia="zh-CN"/>
        </w:rPr>
        <w:t>DCED</w:t>
      </w:r>
      <w:r w:rsidR="00022946">
        <w:rPr>
          <w:lang w:eastAsia="zh-CN"/>
        </w:rPr>
        <w:t>) ‘Standard’ for results</w:t>
      </w:r>
      <w:r>
        <w:rPr>
          <w:lang w:eastAsia="zh-CN"/>
        </w:rPr>
        <w:t xml:space="preserve"> </w:t>
      </w:r>
      <w:r w:rsidR="00022946">
        <w:rPr>
          <w:lang w:eastAsia="zh-CN"/>
        </w:rPr>
        <w:t>measurement, which is widely regarded as best practice for market</w:t>
      </w:r>
      <w:r>
        <w:rPr>
          <w:lang w:eastAsia="zh-CN"/>
        </w:rPr>
        <w:t>-</w:t>
      </w:r>
      <w:r w:rsidR="00022946">
        <w:rPr>
          <w:lang w:eastAsia="zh-CN"/>
        </w:rPr>
        <w:t xml:space="preserve">based initiatives.  </w:t>
      </w:r>
    </w:p>
    <w:p w:rsidR="00121EAD" w:rsidRDefault="00294EEA" w:rsidP="008B6E40">
      <w:pPr>
        <w:pStyle w:val="BodyText"/>
        <w:rPr>
          <w:lang w:eastAsia="zh-CN"/>
        </w:rPr>
      </w:pPr>
      <w:r w:rsidRPr="00294EEA">
        <w:rPr>
          <w:lang w:eastAsia="zh-CN"/>
        </w:rPr>
        <w:t xml:space="preserve">The </w:t>
      </w:r>
      <w:r w:rsidR="00637531">
        <w:rPr>
          <w:lang w:eastAsia="zh-CN"/>
        </w:rPr>
        <w:t xml:space="preserve">$30.75 million </w:t>
      </w:r>
      <w:r w:rsidRPr="00294EEA">
        <w:rPr>
          <w:lang w:eastAsia="zh-CN"/>
        </w:rPr>
        <w:t xml:space="preserve">Zimbabwe Food Security- Agriculture production investment </w:t>
      </w:r>
      <w:r>
        <w:rPr>
          <w:lang w:eastAsia="zh-CN"/>
        </w:rPr>
        <w:t>(2009</w:t>
      </w:r>
      <w:r w:rsidR="00A733B9">
        <w:rPr>
          <w:lang w:eastAsia="zh-CN"/>
        </w:rPr>
        <w:t>-</w:t>
      </w:r>
      <w:r>
        <w:rPr>
          <w:lang w:eastAsia="zh-CN"/>
        </w:rPr>
        <w:t xml:space="preserve">2015) has helped to </w:t>
      </w:r>
      <w:r w:rsidRPr="00294EEA">
        <w:rPr>
          <w:lang w:eastAsia="zh-CN"/>
        </w:rPr>
        <w:t>reduce food insecurity through increasing agriculture productivity for vulnera</w:t>
      </w:r>
      <w:r>
        <w:rPr>
          <w:lang w:eastAsia="zh-CN"/>
        </w:rPr>
        <w:t xml:space="preserve">ble households in Zimbabwe. </w:t>
      </w:r>
      <w:r w:rsidRPr="00294EEA">
        <w:rPr>
          <w:lang w:eastAsia="zh-CN"/>
        </w:rPr>
        <w:t xml:space="preserve">This investment </w:t>
      </w:r>
      <w:r w:rsidR="00A733B9">
        <w:rPr>
          <w:lang w:eastAsia="zh-CN"/>
        </w:rPr>
        <w:t>is</w:t>
      </w:r>
      <w:r w:rsidRPr="00294EEA">
        <w:rPr>
          <w:lang w:eastAsia="zh-CN"/>
        </w:rPr>
        <w:t xml:space="preserve"> a delegated cooperation arrangement between DFID and DFAT</w:t>
      </w:r>
      <w:r w:rsidR="00A733B9">
        <w:rPr>
          <w:lang w:eastAsia="zh-CN"/>
        </w:rPr>
        <w:t>, consisting of a</w:t>
      </w:r>
      <w:r w:rsidR="002E6A21">
        <w:rPr>
          <w:lang w:eastAsia="zh-CN"/>
        </w:rPr>
        <w:t xml:space="preserve"> </w:t>
      </w:r>
      <w:r w:rsidR="002E6A21" w:rsidRPr="002E6A21">
        <w:rPr>
          <w:lang w:eastAsia="zh-CN"/>
        </w:rPr>
        <w:t>Protracted Relief Program (PRP II)</w:t>
      </w:r>
      <w:r w:rsidR="002E6A21">
        <w:rPr>
          <w:lang w:eastAsia="zh-CN"/>
        </w:rPr>
        <w:t xml:space="preserve"> and </w:t>
      </w:r>
      <w:r w:rsidR="00A733B9">
        <w:rPr>
          <w:lang w:eastAsia="zh-CN"/>
        </w:rPr>
        <w:t>a</w:t>
      </w:r>
      <w:r w:rsidR="002E6A21" w:rsidRPr="002E6A21">
        <w:rPr>
          <w:lang w:eastAsia="zh-CN"/>
        </w:rPr>
        <w:t xml:space="preserve"> Transitional Agriculture and Inputs Program</w:t>
      </w:r>
      <w:r w:rsidR="002E6A21">
        <w:rPr>
          <w:lang w:eastAsia="zh-CN"/>
        </w:rPr>
        <w:t xml:space="preserve"> (TAIP). </w:t>
      </w:r>
      <w:r w:rsidR="002E6A21" w:rsidRPr="002E6A21">
        <w:rPr>
          <w:lang w:eastAsia="zh-CN"/>
        </w:rPr>
        <w:t xml:space="preserve"> </w:t>
      </w:r>
      <w:r w:rsidR="002E6A21">
        <w:rPr>
          <w:lang w:eastAsia="zh-CN"/>
        </w:rPr>
        <w:t xml:space="preserve">PRP </w:t>
      </w:r>
      <w:r w:rsidR="00A733B9">
        <w:rPr>
          <w:lang w:eastAsia="zh-CN"/>
        </w:rPr>
        <w:t>helps</w:t>
      </w:r>
      <w:r w:rsidR="002E6A21" w:rsidRPr="002E6A21">
        <w:rPr>
          <w:lang w:eastAsia="zh-CN"/>
        </w:rPr>
        <w:t xml:space="preserve"> </w:t>
      </w:r>
      <w:r w:rsidR="002E6A21">
        <w:rPr>
          <w:lang w:eastAsia="zh-CN"/>
        </w:rPr>
        <w:t xml:space="preserve">poor </w:t>
      </w:r>
      <w:r w:rsidR="002E6A21" w:rsidRPr="002E6A21">
        <w:rPr>
          <w:lang w:eastAsia="zh-CN"/>
        </w:rPr>
        <w:t xml:space="preserve">people </w:t>
      </w:r>
      <w:r w:rsidR="002E6A21">
        <w:rPr>
          <w:lang w:eastAsia="zh-CN"/>
        </w:rPr>
        <w:t>through a range of support mechanisms including social transfers, i</w:t>
      </w:r>
      <w:r w:rsidR="002E6A21" w:rsidRPr="002E6A21">
        <w:rPr>
          <w:lang w:eastAsia="zh-CN"/>
        </w:rPr>
        <w:t>nternal savings</w:t>
      </w:r>
      <w:r w:rsidR="00A733B9">
        <w:rPr>
          <w:lang w:eastAsia="zh-CN"/>
        </w:rPr>
        <w:t xml:space="preserve"> and</w:t>
      </w:r>
      <w:r w:rsidR="002E6A21" w:rsidRPr="002E6A21">
        <w:rPr>
          <w:lang w:eastAsia="zh-CN"/>
        </w:rPr>
        <w:t xml:space="preserve"> lending</w:t>
      </w:r>
      <w:r w:rsidR="00A733B9">
        <w:rPr>
          <w:lang w:eastAsia="zh-CN"/>
        </w:rPr>
        <w:t>,</w:t>
      </w:r>
      <w:r w:rsidR="002E6A21" w:rsidRPr="002E6A21">
        <w:rPr>
          <w:lang w:eastAsia="zh-CN"/>
        </w:rPr>
        <w:t xml:space="preserve"> income generati</w:t>
      </w:r>
      <w:r w:rsidR="00A733B9">
        <w:rPr>
          <w:lang w:eastAsia="zh-CN"/>
        </w:rPr>
        <w:t>o</w:t>
      </w:r>
      <w:r w:rsidR="002E6A21" w:rsidRPr="002E6A21">
        <w:rPr>
          <w:lang w:eastAsia="zh-CN"/>
        </w:rPr>
        <w:t>n and water and sanitation</w:t>
      </w:r>
      <w:r w:rsidR="002E6A21">
        <w:rPr>
          <w:lang w:eastAsia="zh-CN"/>
        </w:rPr>
        <w:t xml:space="preserve">.  TAIP </w:t>
      </w:r>
      <w:r w:rsidR="00ED13D6">
        <w:rPr>
          <w:lang w:eastAsia="zh-CN"/>
        </w:rPr>
        <w:t>boost</w:t>
      </w:r>
      <w:r w:rsidR="005C7201">
        <w:rPr>
          <w:lang w:eastAsia="zh-CN"/>
        </w:rPr>
        <w:t>s</w:t>
      </w:r>
      <w:r w:rsidR="00ED13D6">
        <w:rPr>
          <w:lang w:eastAsia="zh-CN"/>
        </w:rPr>
        <w:t xml:space="preserve"> the resilience and productivity of target beneficiaries by </w:t>
      </w:r>
      <w:r w:rsidR="002E6A21" w:rsidRPr="002E6A21">
        <w:rPr>
          <w:lang w:eastAsia="zh-CN"/>
        </w:rPr>
        <w:t>graduat</w:t>
      </w:r>
      <w:r w:rsidR="00ED13D6">
        <w:rPr>
          <w:lang w:eastAsia="zh-CN"/>
        </w:rPr>
        <w:t>ing</w:t>
      </w:r>
      <w:r w:rsidR="002E6A21" w:rsidRPr="002E6A21">
        <w:rPr>
          <w:lang w:eastAsia="zh-CN"/>
        </w:rPr>
        <w:t xml:space="preserve"> households to higher socio-economic categories</w:t>
      </w:r>
      <w:r w:rsidR="002E6A21">
        <w:rPr>
          <w:lang w:eastAsia="zh-CN"/>
        </w:rPr>
        <w:t xml:space="preserve">.  </w:t>
      </w:r>
      <w:r w:rsidRPr="00294EEA">
        <w:rPr>
          <w:lang w:eastAsia="zh-CN"/>
        </w:rPr>
        <w:t>Overall</w:t>
      </w:r>
      <w:r>
        <w:rPr>
          <w:lang w:eastAsia="zh-CN"/>
        </w:rPr>
        <w:t>,</w:t>
      </w:r>
      <w:r w:rsidRPr="00294EEA">
        <w:rPr>
          <w:lang w:eastAsia="zh-CN"/>
        </w:rPr>
        <w:t xml:space="preserve"> </w:t>
      </w:r>
      <w:r w:rsidR="005C7201">
        <w:rPr>
          <w:lang w:eastAsia="zh-CN"/>
        </w:rPr>
        <w:t>objectives have</w:t>
      </w:r>
      <w:r w:rsidRPr="00294EEA">
        <w:rPr>
          <w:lang w:eastAsia="zh-CN"/>
        </w:rPr>
        <w:t xml:space="preserve"> largely </w:t>
      </w:r>
      <w:r w:rsidR="005C7201">
        <w:rPr>
          <w:lang w:eastAsia="zh-CN"/>
        </w:rPr>
        <w:t>been achieved despite</w:t>
      </w:r>
      <w:r w:rsidRPr="00294EEA">
        <w:rPr>
          <w:lang w:eastAsia="zh-CN"/>
        </w:rPr>
        <w:t xml:space="preserve"> economic decline and </w:t>
      </w:r>
      <w:r>
        <w:rPr>
          <w:lang w:eastAsia="zh-CN"/>
        </w:rPr>
        <w:t xml:space="preserve">political </w:t>
      </w:r>
      <w:r w:rsidR="00F75CFA">
        <w:rPr>
          <w:lang w:eastAsia="zh-CN"/>
        </w:rPr>
        <w:t>uncertainty</w:t>
      </w:r>
      <w:r>
        <w:rPr>
          <w:lang w:eastAsia="zh-CN"/>
        </w:rPr>
        <w:t xml:space="preserve">.  </w:t>
      </w:r>
      <w:r w:rsidR="00F75CFA">
        <w:rPr>
          <w:lang w:eastAsia="zh-CN"/>
        </w:rPr>
        <w:t xml:space="preserve">A </w:t>
      </w:r>
      <w:r w:rsidRPr="00294EEA">
        <w:rPr>
          <w:lang w:eastAsia="zh-CN"/>
        </w:rPr>
        <w:t xml:space="preserve">landmark achievement of the PRP </w:t>
      </w:r>
      <w:r w:rsidR="00F75CFA">
        <w:rPr>
          <w:lang w:eastAsia="zh-CN"/>
        </w:rPr>
        <w:t xml:space="preserve">during 2014-15 </w:t>
      </w:r>
      <w:r w:rsidRPr="00294EEA">
        <w:rPr>
          <w:lang w:eastAsia="zh-CN"/>
        </w:rPr>
        <w:t>was the graduation of 100</w:t>
      </w:r>
      <w:r w:rsidR="00F75CFA">
        <w:rPr>
          <w:lang w:eastAsia="zh-CN"/>
        </w:rPr>
        <w:t xml:space="preserve"> per</w:t>
      </w:r>
      <w:r w:rsidR="00A733B9">
        <w:rPr>
          <w:lang w:eastAsia="zh-CN"/>
        </w:rPr>
        <w:t xml:space="preserve"> </w:t>
      </w:r>
      <w:r w:rsidR="00F75CFA">
        <w:rPr>
          <w:lang w:eastAsia="zh-CN"/>
        </w:rPr>
        <w:t>cent</w:t>
      </w:r>
      <w:r w:rsidRPr="00294EEA">
        <w:rPr>
          <w:lang w:eastAsia="zh-CN"/>
        </w:rPr>
        <w:t xml:space="preserve"> of the chronically poor households out of the </w:t>
      </w:r>
      <w:r>
        <w:rPr>
          <w:lang w:eastAsia="zh-CN"/>
        </w:rPr>
        <w:t>‘</w:t>
      </w:r>
      <w:r w:rsidRPr="00294EEA">
        <w:rPr>
          <w:lang w:eastAsia="zh-CN"/>
        </w:rPr>
        <w:t>survival</w:t>
      </w:r>
      <w:r>
        <w:rPr>
          <w:lang w:eastAsia="zh-CN"/>
        </w:rPr>
        <w:t>’</w:t>
      </w:r>
      <w:r w:rsidRPr="00294EEA">
        <w:rPr>
          <w:lang w:eastAsia="zh-CN"/>
        </w:rPr>
        <w:t xml:space="preserve"> threshold. </w:t>
      </w:r>
      <w:r>
        <w:rPr>
          <w:lang w:eastAsia="zh-CN"/>
        </w:rPr>
        <w:t xml:space="preserve"> By the end of the program, a</w:t>
      </w:r>
      <w:r w:rsidRPr="00294EEA">
        <w:rPr>
          <w:lang w:eastAsia="zh-CN"/>
        </w:rPr>
        <w:t xml:space="preserve">ll </w:t>
      </w:r>
      <w:r w:rsidR="005C7201">
        <w:rPr>
          <w:lang w:eastAsia="zh-CN"/>
        </w:rPr>
        <w:t>participating</w:t>
      </w:r>
      <w:r w:rsidRPr="00294EEA">
        <w:rPr>
          <w:lang w:eastAsia="zh-CN"/>
        </w:rPr>
        <w:t xml:space="preserve"> households were able to meet their food requirements. </w:t>
      </w:r>
      <w:r w:rsidR="00121EAD">
        <w:rPr>
          <w:lang w:eastAsia="zh-CN"/>
        </w:rPr>
        <w:t xml:space="preserve">The program achieved some </w:t>
      </w:r>
      <w:r w:rsidR="00A733B9">
        <w:rPr>
          <w:lang w:eastAsia="zh-CN"/>
        </w:rPr>
        <w:t>good</w:t>
      </w:r>
      <w:r w:rsidR="00121EAD">
        <w:rPr>
          <w:lang w:eastAsia="zh-CN"/>
        </w:rPr>
        <w:t xml:space="preserve"> results on gender</w:t>
      </w:r>
      <w:r w:rsidR="00A733B9">
        <w:rPr>
          <w:lang w:eastAsia="zh-CN"/>
        </w:rPr>
        <w:t>,</w:t>
      </w:r>
      <w:r w:rsidR="00121EAD">
        <w:rPr>
          <w:lang w:eastAsia="zh-CN"/>
        </w:rPr>
        <w:t xml:space="preserve"> including increasing the </w:t>
      </w:r>
      <w:r w:rsidR="00121EAD" w:rsidRPr="00121EAD">
        <w:rPr>
          <w:lang w:eastAsia="zh-CN"/>
        </w:rPr>
        <w:t>proportion of women own</w:t>
      </w:r>
      <w:r w:rsidR="00A733B9">
        <w:rPr>
          <w:lang w:eastAsia="zh-CN"/>
        </w:rPr>
        <w:t>ing and managing livestock</w:t>
      </w:r>
      <w:r w:rsidR="00B850AB">
        <w:rPr>
          <w:lang w:eastAsia="zh-CN"/>
        </w:rPr>
        <w:t>, but more work is required</w:t>
      </w:r>
      <w:r w:rsidR="00121EAD" w:rsidRPr="00121EAD">
        <w:rPr>
          <w:lang w:eastAsia="zh-CN"/>
        </w:rPr>
        <w:t>.</w:t>
      </w:r>
      <w:r w:rsidR="00121EAD">
        <w:rPr>
          <w:lang w:eastAsia="zh-CN"/>
        </w:rPr>
        <w:t xml:space="preserve">  </w:t>
      </w:r>
    </w:p>
    <w:p w:rsidR="00AB7894" w:rsidRPr="00570EBB" w:rsidRDefault="00AB7894" w:rsidP="00570EBB">
      <w:pPr>
        <w:pStyle w:val="BodyText"/>
        <w:spacing w:line="276" w:lineRule="auto"/>
        <w:rPr>
          <w:rFonts w:cs="Calibri"/>
          <w:szCs w:val="21"/>
        </w:rPr>
      </w:pPr>
      <w:r w:rsidRPr="004B6364">
        <w:rPr>
          <w:rFonts w:cs="Calibri"/>
          <w:szCs w:val="21"/>
        </w:rPr>
        <w:t>Through Australia’s support for the Australia Africa Community Engagement Scheme (AACES</w:t>
      </w:r>
      <w:r w:rsidR="00ED13D6">
        <w:rPr>
          <w:rFonts w:cs="Calibri"/>
          <w:szCs w:val="21"/>
        </w:rPr>
        <w:t>)</w:t>
      </w:r>
      <w:r w:rsidRPr="004B6364">
        <w:rPr>
          <w:rFonts w:cs="Calibri"/>
          <w:szCs w:val="21"/>
        </w:rPr>
        <w:t xml:space="preserve"> ($83 million from 2010-2016), </w:t>
      </w:r>
      <w:r w:rsidR="00AB5174">
        <w:rPr>
          <w:rFonts w:cs="Calibri"/>
          <w:szCs w:val="21"/>
        </w:rPr>
        <w:t>1</w:t>
      </w:r>
      <w:r w:rsidR="001A4262">
        <w:rPr>
          <w:rFonts w:cs="Calibri"/>
          <w:szCs w:val="21"/>
        </w:rPr>
        <w:t>0</w:t>
      </w:r>
      <w:r w:rsidR="00AB5174">
        <w:rPr>
          <w:rFonts w:cs="Calibri"/>
          <w:szCs w:val="21"/>
        </w:rPr>
        <w:t xml:space="preserve"> </w:t>
      </w:r>
      <w:r w:rsidRPr="004B6364">
        <w:rPr>
          <w:rFonts w:cs="Calibri"/>
          <w:szCs w:val="21"/>
        </w:rPr>
        <w:t xml:space="preserve">Australian NGOs and their African partners work with the rural poor to increase their incomes by supporting agricultural </w:t>
      </w:r>
      <w:r w:rsidRPr="00570EBB">
        <w:rPr>
          <w:rFonts w:cs="Calibri"/>
          <w:szCs w:val="21"/>
        </w:rPr>
        <w:t>productivity</w:t>
      </w:r>
      <w:r w:rsidR="00AB5174">
        <w:rPr>
          <w:rFonts w:cs="Calibri"/>
          <w:szCs w:val="21"/>
        </w:rPr>
        <w:t xml:space="preserve">. </w:t>
      </w:r>
      <w:r w:rsidR="00A733B9">
        <w:rPr>
          <w:rFonts w:cs="Calibri"/>
          <w:szCs w:val="21"/>
        </w:rPr>
        <w:t>F</w:t>
      </w:r>
      <w:r w:rsidR="008D3E27" w:rsidRPr="00570EBB">
        <w:rPr>
          <w:rFonts w:eastAsia="MS Mincho" w:cstheme="minorHAnsi"/>
          <w:szCs w:val="21"/>
        </w:rPr>
        <w:t>armers, mostly women</w:t>
      </w:r>
      <w:r w:rsidR="001A4262">
        <w:rPr>
          <w:rFonts w:eastAsia="MS Mincho" w:cstheme="minorHAnsi"/>
          <w:szCs w:val="21"/>
        </w:rPr>
        <w:t>,</w:t>
      </w:r>
      <w:r w:rsidR="008D3E27" w:rsidRPr="00570EBB">
        <w:rPr>
          <w:rFonts w:eastAsia="MS Mincho" w:cstheme="minorHAnsi"/>
          <w:szCs w:val="21"/>
        </w:rPr>
        <w:t xml:space="preserve"> diversif</w:t>
      </w:r>
      <w:r w:rsidR="00A733B9">
        <w:rPr>
          <w:rFonts w:eastAsia="MS Mincho" w:cstheme="minorHAnsi"/>
          <w:szCs w:val="21"/>
        </w:rPr>
        <w:t>ied</w:t>
      </w:r>
      <w:r w:rsidR="008D3E27" w:rsidRPr="00570EBB">
        <w:rPr>
          <w:rFonts w:eastAsia="MS Mincho" w:cstheme="minorHAnsi"/>
          <w:szCs w:val="21"/>
        </w:rPr>
        <w:t xml:space="preserve"> their sources of income through village savings and loan associations, which helped them access credit for farm inputs, improve farming techniques and develop small businesses.  As a result, women in rural areas have improved</w:t>
      </w:r>
      <w:r w:rsidR="008D3E27" w:rsidRPr="00570EBB">
        <w:rPr>
          <w:rFonts w:cstheme="minorHAnsi"/>
          <w:szCs w:val="21"/>
        </w:rPr>
        <w:t xml:space="preserve"> access to services and are more involved in decision-making.</w:t>
      </w:r>
      <w:r w:rsidR="002630F0">
        <w:rPr>
          <w:rFonts w:cstheme="minorHAnsi"/>
          <w:szCs w:val="21"/>
        </w:rPr>
        <w:t xml:space="preserve">  Over 2014, AACES projects contributed to over 14,000 poor women and men accessing increased incomes in Ethiopia, Malawi and Tanzania.</w:t>
      </w:r>
    </w:p>
    <w:p w:rsidR="00706DF5" w:rsidRPr="00D2347D" w:rsidRDefault="00046FB2" w:rsidP="00D2347D">
      <w:pPr>
        <w:pStyle w:val="BodyText"/>
        <w:spacing w:line="276" w:lineRule="auto"/>
        <w:rPr>
          <w:szCs w:val="21"/>
        </w:rPr>
      </w:pPr>
      <w:r w:rsidRPr="00570EBB">
        <w:rPr>
          <w:szCs w:val="21"/>
        </w:rPr>
        <w:t>The Australian Centre for International Agricultural Research (ACIAR)</w:t>
      </w:r>
      <w:r w:rsidR="00D2347D">
        <w:rPr>
          <w:szCs w:val="21"/>
        </w:rPr>
        <w:t xml:space="preserve"> is a valued partner in the agricultural sector. ACIAR funds a number of research programs that help to improve food security and livelihoods in Africa. The </w:t>
      </w:r>
      <w:r w:rsidRPr="00D2347D">
        <w:rPr>
          <w:szCs w:val="21"/>
        </w:rPr>
        <w:t xml:space="preserve">Cropping Systems and Economics </w:t>
      </w:r>
      <w:r w:rsidR="00A64555" w:rsidRPr="00D2347D">
        <w:rPr>
          <w:szCs w:val="21"/>
        </w:rPr>
        <w:t>Cropping</w:t>
      </w:r>
      <w:r w:rsidR="00A64555" w:rsidRPr="00570EBB">
        <w:rPr>
          <w:szCs w:val="21"/>
        </w:rPr>
        <w:t xml:space="preserve"> </w:t>
      </w:r>
      <w:r w:rsidR="00D2347D">
        <w:rPr>
          <w:szCs w:val="21"/>
        </w:rPr>
        <w:t>P</w:t>
      </w:r>
      <w:r w:rsidRPr="00570EBB">
        <w:rPr>
          <w:szCs w:val="21"/>
        </w:rPr>
        <w:t>rogram</w:t>
      </w:r>
      <w:r w:rsidR="00D2347D">
        <w:rPr>
          <w:szCs w:val="21"/>
        </w:rPr>
        <w:t xml:space="preserve"> (</w:t>
      </w:r>
      <w:r w:rsidR="00D2347D" w:rsidRPr="00D2347D">
        <w:rPr>
          <w:szCs w:val="21"/>
        </w:rPr>
        <w:t>$29.33 million</w:t>
      </w:r>
      <w:r w:rsidR="00D2347D">
        <w:rPr>
          <w:szCs w:val="21"/>
        </w:rPr>
        <w:t>)</w:t>
      </w:r>
      <w:r w:rsidR="00D2347D" w:rsidRPr="00D2347D">
        <w:rPr>
          <w:szCs w:val="21"/>
        </w:rPr>
        <w:t xml:space="preserve"> </w:t>
      </w:r>
      <w:r w:rsidR="00D2347D">
        <w:rPr>
          <w:szCs w:val="21"/>
        </w:rPr>
        <w:t xml:space="preserve">focusses on improving </w:t>
      </w:r>
      <w:r w:rsidRPr="00570EBB">
        <w:rPr>
          <w:szCs w:val="21"/>
        </w:rPr>
        <w:t xml:space="preserve">crop </w:t>
      </w:r>
      <w:r w:rsidR="00ED13D6">
        <w:rPr>
          <w:szCs w:val="21"/>
        </w:rPr>
        <w:t xml:space="preserve">production </w:t>
      </w:r>
      <w:r w:rsidRPr="00570EBB">
        <w:rPr>
          <w:szCs w:val="21"/>
        </w:rPr>
        <w:t xml:space="preserve">of common </w:t>
      </w:r>
      <w:r w:rsidR="00451562" w:rsidRPr="00570EBB">
        <w:rPr>
          <w:szCs w:val="21"/>
        </w:rPr>
        <w:t xml:space="preserve">African </w:t>
      </w:r>
      <w:r w:rsidRPr="00570EBB">
        <w:rPr>
          <w:szCs w:val="21"/>
        </w:rPr>
        <w:t>produce</w:t>
      </w:r>
      <w:r w:rsidR="00451562" w:rsidRPr="00570EBB">
        <w:rPr>
          <w:szCs w:val="21"/>
        </w:rPr>
        <w:t>.</w:t>
      </w:r>
      <w:r w:rsidR="00A64555" w:rsidRPr="00570EBB">
        <w:rPr>
          <w:szCs w:val="21"/>
        </w:rPr>
        <w:t xml:space="preserve">  </w:t>
      </w:r>
      <w:r w:rsidR="00F84436" w:rsidRPr="00570EBB">
        <w:rPr>
          <w:szCs w:val="21"/>
        </w:rPr>
        <w:t>Despite challenges associated with the depreciation of the Australian dollar and the turnover of African scientists</w:t>
      </w:r>
      <w:r w:rsidR="00451562" w:rsidRPr="00570EBB">
        <w:rPr>
          <w:szCs w:val="21"/>
        </w:rPr>
        <w:t>,</w:t>
      </w:r>
      <w:r w:rsidR="00F84436" w:rsidRPr="00570EBB">
        <w:rPr>
          <w:szCs w:val="21"/>
        </w:rPr>
        <w:t xml:space="preserve"> </w:t>
      </w:r>
      <w:r w:rsidR="008B6E40">
        <w:rPr>
          <w:szCs w:val="21"/>
        </w:rPr>
        <w:t>strong</w:t>
      </w:r>
      <w:r w:rsidR="00F84436" w:rsidRPr="00570EBB">
        <w:rPr>
          <w:szCs w:val="21"/>
        </w:rPr>
        <w:t xml:space="preserve"> research results </w:t>
      </w:r>
      <w:r w:rsidR="006C62DF">
        <w:rPr>
          <w:szCs w:val="21"/>
        </w:rPr>
        <w:t xml:space="preserve">have been realised </w:t>
      </w:r>
      <w:r w:rsidR="00F84436" w:rsidRPr="00570EBB">
        <w:rPr>
          <w:szCs w:val="21"/>
        </w:rPr>
        <w:t xml:space="preserve">on maize legume intensification and crop-livestock integration in eight countries.  </w:t>
      </w:r>
      <w:r w:rsidR="006C62DF">
        <w:rPr>
          <w:szCs w:val="21"/>
        </w:rPr>
        <w:t>The</w:t>
      </w:r>
      <w:r w:rsidR="00F84436" w:rsidRPr="00570EBB">
        <w:rPr>
          <w:szCs w:val="21"/>
        </w:rPr>
        <w:t xml:space="preserve"> </w:t>
      </w:r>
      <w:r w:rsidR="00F84436" w:rsidRPr="00D2347D">
        <w:rPr>
          <w:szCs w:val="21"/>
        </w:rPr>
        <w:t>Land and Water Resources Program</w:t>
      </w:r>
      <w:r w:rsidR="00F84436" w:rsidRPr="00570EBB">
        <w:rPr>
          <w:szCs w:val="21"/>
        </w:rPr>
        <w:t xml:space="preserve"> </w:t>
      </w:r>
      <w:r w:rsidR="006C62DF">
        <w:rPr>
          <w:szCs w:val="21"/>
        </w:rPr>
        <w:t>(</w:t>
      </w:r>
      <w:r w:rsidR="006C62DF" w:rsidRPr="006C62DF">
        <w:rPr>
          <w:szCs w:val="21"/>
        </w:rPr>
        <w:t>$8.5 million</w:t>
      </w:r>
      <w:r w:rsidR="006C62DF">
        <w:rPr>
          <w:szCs w:val="21"/>
        </w:rPr>
        <w:t>) aims</w:t>
      </w:r>
      <w:r w:rsidR="00F84436" w:rsidRPr="00570EBB">
        <w:rPr>
          <w:szCs w:val="21"/>
        </w:rPr>
        <w:t xml:space="preserve"> to improve the sustainable management of land and water resources.  During 2014-15, </w:t>
      </w:r>
      <w:r w:rsidR="001039BB" w:rsidRPr="00570EBB">
        <w:rPr>
          <w:szCs w:val="21"/>
        </w:rPr>
        <w:t xml:space="preserve">the program increased the profitability </w:t>
      </w:r>
      <w:r w:rsidR="006C62DF">
        <w:rPr>
          <w:szCs w:val="21"/>
        </w:rPr>
        <w:t xml:space="preserve">of rice </w:t>
      </w:r>
      <w:r w:rsidR="001039BB" w:rsidRPr="00570EBB">
        <w:rPr>
          <w:szCs w:val="21"/>
        </w:rPr>
        <w:t xml:space="preserve">farmers in Tanzania by providing the technology and support to </w:t>
      </w:r>
      <w:r w:rsidR="00D2347D">
        <w:rPr>
          <w:szCs w:val="21"/>
        </w:rPr>
        <w:t>help</w:t>
      </w:r>
      <w:r w:rsidR="001039BB" w:rsidRPr="00570EBB">
        <w:rPr>
          <w:szCs w:val="21"/>
        </w:rPr>
        <w:t xml:space="preserve"> them</w:t>
      </w:r>
      <w:r w:rsidR="00D2347D">
        <w:rPr>
          <w:szCs w:val="21"/>
        </w:rPr>
        <w:t xml:space="preserve"> </w:t>
      </w:r>
      <w:r w:rsidR="001039BB" w:rsidRPr="00570EBB">
        <w:rPr>
          <w:szCs w:val="21"/>
        </w:rPr>
        <w:t xml:space="preserve">produce two traditional rice varieties. It also </w:t>
      </w:r>
      <w:r w:rsidR="006C62DF">
        <w:rPr>
          <w:szCs w:val="21"/>
        </w:rPr>
        <w:t xml:space="preserve">provided training and demonstrations for </w:t>
      </w:r>
      <w:r w:rsidR="001039BB" w:rsidRPr="00570EBB">
        <w:rPr>
          <w:szCs w:val="21"/>
        </w:rPr>
        <w:t>nutrient and pesticides/herbicides management.</w:t>
      </w:r>
      <w:r w:rsidR="00452B1E">
        <w:rPr>
          <w:szCs w:val="21"/>
        </w:rPr>
        <w:t xml:space="preserve">  </w:t>
      </w:r>
      <w:r w:rsidR="006C62DF">
        <w:rPr>
          <w:szCs w:val="21"/>
        </w:rPr>
        <w:t>The</w:t>
      </w:r>
      <w:r w:rsidR="00706DF5" w:rsidRPr="003709CC">
        <w:rPr>
          <w:szCs w:val="21"/>
        </w:rPr>
        <w:t xml:space="preserve"> Australian International Food Security Research Centre (AIFSRC) (</w:t>
      </w:r>
      <w:r w:rsidR="006C62DF" w:rsidRPr="006C62DF">
        <w:rPr>
          <w:szCs w:val="21"/>
        </w:rPr>
        <w:t xml:space="preserve">$33 million </w:t>
      </w:r>
      <w:r w:rsidR="006C62DF">
        <w:rPr>
          <w:szCs w:val="21"/>
        </w:rPr>
        <w:t xml:space="preserve">over </w:t>
      </w:r>
      <w:r w:rsidR="00706DF5" w:rsidRPr="003709CC">
        <w:rPr>
          <w:szCs w:val="21"/>
        </w:rPr>
        <w:t xml:space="preserve">2011-2015) </w:t>
      </w:r>
      <w:r w:rsidR="006C62DF">
        <w:rPr>
          <w:szCs w:val="21"/>
        </w:rPr>
        <w:t xml:space="preserve">has also continued to </w:t>
      </w:r>
      <w:r w:rsidR="00706DF5" w:rsidRPr="00B653FE">
        <w:rPr>
          <w:szCs w:val="21"/>
        </w:rPr>
        <w:t>contribute to research and the adoption of innovations for food security.</w:t>
      </w:r>
      <w:r w:rsidR="00706DF5" w:rsidRPr="00B653FE">
        <w:rPr>
          <w:color w:val="1F497D"/>
          <w:szCs w:val="21"/>
        </w:rPr>
        <w:t xml:space="preserve"> </w:t>
      </w:r>
      <w:r w:rsidR="00D2347D" w:rsidRPr="00D2347D">
        <w:rPr>
          <w:szCs w:val="21"/>
        </w:rPr>
        <w:t>Support provided by ACIAR to Africa has not been significantly impacted by budget reductions.</w:t>
      </w:r>
    </w:p>
    <w:p w:rsidR="00234488" w:rsidRPr="008B7EC0" w:rsidRDefault="006C62DF" w:rsidP="008B7EC0">
      <w:pPr>
        <w:pStyle w:val="BodyText"/>
        <w:spacing w:line="276" w:lineRule="auto"/>
        <w:rPr>
          <w:rFonts w:cstheme="minorHAnsi"/>
          <w:szCs w:val="21"/>
        </w:rPr>
      </w:pPr>
      <w:r w:rsidRPr="008B7EC0">
        <w:rPr>
          <w:rFonts w:cstheme="minorHAnsi"/>
          <w:szCs w:val="21"/>
        </w:rPr>
        <w:t>T</w:t>
      </w:r>
      <w:r w:rsidR="00234488" w:rsidRPr="008B7EC0">
        <w:rPr>
          <w:rFonts w:cstheme="minorHAnsi"/>
          <w:szCs w:val="21"/>
        </w:rPr>
        <w:t>he System for Land-based Emissions Estimation in Kenya (SLEEK)</w:t>
      </w:r>
      <w:r w:rsidRPr="008B7EC0">
        <w:rPr>
          <w:rFonts w:cstheme="minorHAnsi"/>
          <w:szCs w:val="21"/>
        </w:rPr>
        <w:t xml:space="preserve">, </w:t>
      </w:r>
      <w:r w:rsidR="00234488" w:rsidRPr="008B7EC0">
        <w:rPr>
          <w:rFonts w:cstheme="minorHAnsi"/>
          <w:szCs w:val="21"/>
        </w:rPr>
        <w:t xml:space="preserve">managed </w:t>
      </w:r>
      <w:r w:rsidRPr="008B7EC0">
        <w:rPr>
          <w:rFonts w:cstheme="minorHAnsi"/>
          <w:szCs w:val="21"/>
        </w:rPr>
        <w:t>by</w:t>
      </w:r>
      <w:r w:rsidR="00234488" w:rsidRPr="008B7EC0">
        <w:rPr>
          <w:rFonts w:cstheme="minorHAnsi"/>
          <w:szCs w:val="21"/>
        </w:rPr>
        <w:t xml:space="preserve"> the Department of Environment</w:t>
      </w:r>
      <w:r w:rsidRPr="008B7EC0">
        <w:rPr>
          <w:rFonts w:cstheme="minorHAnsi"/>
          <w:szCs w:val="21"/>
        </w:rPr>
        <w:t xml:space="preserve">, </w:t>
      </w:r>
      <w:r w:rsidR="00234488" w:rsidRPr="008B7EC0">
        <w:rPr>
          <w:rFonts w:cstheme="minorHAnsi"/>
          <w:szCs w:val="21"/>
        </w:rPr>
        <w:t>show</w:t>
      </w:r>
      <w:r w:rsidRPr="008B7EC0">
        <w:rPr>
          <w:rFonts w:cstheme="minorHAnsi"/>
          <w:szCs w:val="21"/>
        </w:rPr>
        <w:t>ed</w:t>
      </w:r>
      <w:r w:rsidR="00234488" w:rsidRPr="008B7EC0">
        <w:rPr>
          <w:rFonts w:cstheme="minorHAnsi"/>
          <w:szCs w:val="21"/>
        </w:rPr>
        <w:t xml:space="preserve"> promising signs of contributing to more sustainable land use</w:t>
      </w:r>
      <w:r w:rsidRPr="008B7EC0">
        <w:rPr>
          <w:rFonts w:cstheme="minorHAnsi"/>
          <w:szCs w:val="21"/>
        </w:rPr>
        <w:t xml:space="preserve"> in 2014-15</w:t>
      </w:r>
      <w:r w:rsidR="00234488" w:rsidRPr="008B7EC0">
        <w:rPr>
          <w:rFonts w:cstheme="minorHAnsi"/>
          <w:szCs w:val="21"/>
        </w:rPr>
        <w:t>.  SLEEK assist</w:t>
      </w:r>
      <w:r w:rsidR="008B7EC0">
        <w:rPr>
          <w:rFonts w:cstheme="minorHAnsi"/>
          <w:szCs w:val="21"/>
        </w:rPr>
        <w:t>s</w:t>
      </w:r>
      <w:r w:rsidR="00234488" w:rsidRPr="008B7EC0">
        <w:rPr>
          <w:rFonts w:cstheme="minorHAnsi"/>
          <w:szCs w:val="21"/>
        </w:rPr>
        <w:t xml:space="preserve"> Kenya to report on its land sector emissions to comply with international monitoring, verification and reporting standards, support</w:t>
      </w:r>
      <w:r w:rsidR="008B7EC0">
        <w:rPr>
          <w:rFonts w:cstheme="minorHAnsi"/>
          <w:szCs w:val="21"/>
        </w:rPr>
        <w:t>s</w:t>
      </w:r>
      <w:r w:rsidR="00234488" w:rsidRPr="008B7EC0">
        <w:rPr>
          <w:rFonts w:cstheme="minorHAnsi"/>
          <w:szCs w:val="21"/>
        </w:rPr>
        <w:t xml:space="preserve"> good land sector policy and ensure</w:t>
      </w:r>
      <w:r w:rsidR="008B7EC0">
        <w:rPr>
          <w:rFonts w:cstheme="minorHAnsi"/>
          <w:szCs w:val="21"/>
        </w:rPr>
        <w:t>s</w:t>
      </w:r>
      <w:r w:rsidR="00234488" w:rsidRPr="008B7EC0">
        <w:rPr>
          <w:rFonts w:cstheme="minorHAnsi"/>
          <w:szCs w:val="21"/>
        </w:rPr>
        <w:t xml:space="preserve"> data is accessible to those who most need it</w:t>
      </w:r>
      <w:r w:rsidR="000C46E6" w:rsidRPr="008B7EC0">
        <w:rPr>
          <w:rFonts w:cstheme="minorHAnsi"/>
          <w:szCs w:val="21"/>
        </w:rPr>
        <w:t xml:space="preserve">. </w:t>
      </w:r>
      <w:r w:rsidR="00234488" w:rsidRPr="008B7EC0">
        <w:rPr>
          <w:rFonts w:cstheme="minorHAnsi"/>
          <w:szCs w:val="21"/>
        </w:rPr>
        <w:t xml:space="preserve"> The MTR of SLEEK found it to be tracking well against its objectives.  However, SLEEK’s </w:t>
      </w:r>
      <w:r w:rsidR="000C46E6" w:rsidRPr="008B7EC0">
        <w:rPr>
          <w:rFonts w:cstheme="minorHAnsi"/>
          <w:szCs w:val="21"/>
        </w:rPr>
        <w:t xml:space="preserve">monitoring and evaluation </w:t>
      </w:r>
      <w:r w:rsidR="00234488" w:rsidRPr="008B7EC0">
        <w:rPr>
          <w:rFonts w:cstheme="minorHAnsi"/>
          <w:szCs w:val="21"/>
        </w:rPr>
        <w:t xml:space="preserve">system needs to be strengthened to better demonstrate the links between its activities and the longer term development outcomes sought.  </w:t>
      </w:r>
    </w:p>
    <w:p w:rsidR="001A4262" w:rsidRPr="008B7EC0" w:rsidRDefault="008D3E27" w:rsidP="008B7EC0">
      <w:pPr>
        <w:pStyle w:val="BodyText"/>
        <w:spacing w:line="276" w:lineRule="auto"/>
        <w:rPr>
          <w:rFonts w:cstheme="minorHAnsi"/>
          <w:szCs w:val="21"/>
        </w:rPr>
      </w:pPr>
      <w:r w:rsidRPr="008B7EC0">
        <w:rPr>
          <w:rFonts w:cstheme="minorHAnsi"/>
          <w:szCs w:val="21"/>
        </w:rPr>
        <w:t>Agricultural productivity continued to be a priority sector for the Australia Awards program to Africa in 2014-15</w:t>
      </w:r>
      <w:r w:rsidR="00DB0D61" w:rsidRPr="008B7EC0">
        <w:rPr>
          <w:rFonts w:cstheme="minorHAnsi"/>
          <w:szCs w:val="21"/>
        </w:rPr>
        <w:t xml:space="preserve"> with </w:t>
      </w:r>
      <w:r w:rsidR="001E65BD" w:rsidRPr="008B7EC0">
        <w:rPr>
          <w:rFonts w:cstheme="minorHAnsi"/>
          <w:szCs w:val="21"/>
        </w:rPr>
        <w:t xml:space="preserve">267 </w:t>
      </w:r>
      <w:r w:rsidR="00ED13D6" w:rsidRPr="008B7EC0">
        <w:rPr>
          <w:rFonts w:cstheme="minorHAnsi"/>
          <w:szCs w:val="21"/>
        </w:rPr>
        <w:t>agriculture</w:t>
      </w:r>
      <w:r w:rsidR="008B7EC0" w:rsidRPr="008B7EC0">
        <w:rPr>
          <w:rFonts w:cstheme="minorHAnsi"/>
          <w:szCs w:val="21"/>
        </w:rPr>
        <w:t>-</w:t>
      </w:r>
      <w:r w:rsidR="00ED13D6" w:rsidRPr="008B7EC0">
        <w:rPr>
          <w:rFonts w:cstheme="minorHAnsi"/>
          <w:szCs w:val="21"/>
        </w:rPr>
        <w:t xml:space="preserve">based </w:t>
      </w:r>
      <w:r w:rsidR="001E65BD" w:rsidRPr="008B7EC0">
        <w:rPr>
          <w:rFonts w:cstheme="minorHAnsi"/>
          <w:szCs w:val="21"/>
        </w:rPr>
        <w:t xml:space="preserve">awards offered </w:t>
      </w:r>
      <w:r w:rsidR="008B7EC0" w:rsidRPr="008B7EC0">
        <w:rPr>
          <w:rFonts w:cstheme="minorHAnsi"/>
          <w:szCs w:val="21"/>
        </w:rPr>
        <w:t>over</w:t>
      </w:r>
      <w:r w:rsidR="001E65BD" w:rsidRPr="008B7EC0">
        <w:rPr>
          <w:rFonts w:cstheme="minorHAnsi"/>
          <w:szCs w:val="21"/>
        </w:rPr>
        <w:t xml:space="preserve"> 2014 and 2015</w:t>
      </w:r>
      <w:r w:rsidR="001A4262" w:rsidRPr="008B7EC0">
        <w:rPr>
          <w:rFonts w:cstheme="minorHAnsi"/>
          <w:szCs w:val="21"/>
        </w:rPr>
        <w:t>.</w:t>
      </w:r>
      <w:r w:rsidR="001E65BD" w:rsidRPr="008B7EC0">
        <w:rPr>
          <w:rFonts w:cstheme="minorHAnsi"/>
          <w:szCs w:val="21"/>
        </w:rPr>
        <w:t xml:space="preserve"> </w:t>
      </w:r>
      <w:r w:rsidR="00DB0D61" w:rsidRPr="008B7EC0">
        <w:rPr>
          <w:rFonts w:cstheme="minorHAnsi"/>
          <w:szCs w:val="21"/>
        </w:rPr>
        <w:t xml:space="preserve"> An outcomes study of alumni contributions conducted in 2014 found a strong link </w:t>
      </w:r>
      <w:r w:rsidR="00221D56" w:rsidRPr="008B7EC0">
        <w:rPr>
          <w:rFonts w:cstheme="minorHAnsi"/>
          <w:szCs w:val="21"/>
        </w:rPr>
        <w:t xml:space="preserve">between the skills gained by Awards alumni and </w:t>
      </w:r>
      <w:r w:rsidR="00DB0D61" w:rsidRPr="008B7EC0">
        <w:rPr>
          <w:rFonts w:cstheme="minorHAnsi"/>
          <w:szCs w:val="21"/>
        </w:rPr>
        <w:t>the adoption and adaptation of relevant Australian practices to local contexts including conservation agriculture in Kenya and post-harvest production in Ghana and Kenya.</w:t>
      </w:r>
      <w:r w:rsidR="003E0CF2" w:rsidRPr="008B7EC0">
        <w:rPr>
          <w:rFonts w:cstheme="minorHAnsi"/>
          <w:szCs w:val="21"/>
        </w:rPr>
        <w:t xml:space="preserve"> </w:t>
      </w:r>
    </w:p>
    <w:p w:rsidR="00063D8D" w:rsidRPr="008B7EC0" w:rsidRDefault="003E0CF2" w:rsidP="008B7EC0">
      <w:pPr>
        <w:pStyle w:val="BodyText"/>
        <w:spacing w:line="276" w:lineRule="auto"/>
        <w:rPr>
          <w:rFonts w:cstheme="minorHAnsi"/>
          <w:szCs w:val="21"/>
        </w:rPr>
      </w:pPr>
      <w:r w:rsidRPr="008B7EC0">
        <w:rPr>
          <w:rFonts w:cstheme="minorHAnsi"/>
          <w:szCs w:val="21"/>
        </w:rPr>
        <w:t>During 2014-15</w:t>
      </w:r>
      <w:r w:rsidR="00DB0D61" w:rsidRPr="008B7EC0">
        <w:rPr>
          <w:rFonts w:cstheme="minorHAnsi"/>
          <w:szCs w:val="21"/>
        </w:rPr>
        <w:t>,</w:t>
      </w:r>
      <w:r w:rsidRPr="008B7EC0">
        <w:rPr>
          <w:rFonts w:cstheme="minorHAnsi"/>
          <w:szCs w:val="21"/>
        </w:rPr>
        <w:t xml:space="preserve"> Australia </w:t>
      </w:r>
      <w:r w:rsidR="00221D56" w:rsidRPr="008B7EC0">
        <w:rPr>
          <w:rFonts w:cstheme="minorHAnsi"/>
          <w:szCs w:val="21"/>
        </w:rPr>
        <w:t xml:space="preserve">also </w:t>
      </w:r>
      <w:r w:rsidRPr="008B7EC0">
        <w:rPr>
          <w:rFonts w:cstheme="minorHAnsi"/>
          <w:szCs w:val="21"/>
        </w:rPr>
        <w:t xml:space="preserve">continued to support increased agricultural productivity through the Global Agriculture and Food Security Program and </w:t>
      </w:r>
      <w:proofErr w:type="spellStart"/>
      <w:r w:rsidRPr="008B7EC0">
        <w:rPr>
          <w:rFonts w:cstheme="minorHAnsi"/>
          <w:szCs w:val="21"/>
        </w:rPr>
        <w:t>AgResults</w:t>
      </w:r>
      <w:proofErr w:type="spellEnd"/>
      <w:r w:rsidRPr="008B7EC0">
        <w:rPr>
          <w:rFonts w:cstheme="minorHAnsi"/>
          <w:szCs w:val="21"/>
        </w:rPr>
        <w:t xml:space="preserve">. </w:t>
      </w:r>
      <w:r w:rsidR="00EF5807" w:rsidRPr="008B7EC0">
        <w:rPr>
          <w:rFonts w:cstheme="minorHAnsi"/>
          <w:szCs w:val="21"/>
        </w:rPr>
        <w:t xml:space="preserve">During 2014-15, </w:t>
      </w:r>
      <w:proofErr w:type="spellStart"/>
      <w:r w:rsidR="00EF5807" w:rsidRPr="008B7EC0">
        <w:rPr>
          <w:rFonts w:cstheme="minorHAnsi"/>
          <w:szCs w:val="21"/>
        </w:rPr>
        <w:t>AgResults</w:t>
      </w:r>
      <w:proofErr w:type="spellEnd"/>
      <w:r w:rsidR="00EF5807" w:rsidRPr="008B7EC0">
        <w:rPr>
          <w:rFonts w:cstheme="minorHAnsi"/>
          <w:szCs w:val="21"/>
        </w:rPr>
        <w:t xml:space="preserve"> pilot projects, continued to drive adoption of existing technologies to increase agricultural productivity in Kenya, Nigeria, Uganda and Zambia.  In Nigeria the use of improved seeds, fertilizers and crop management practices through </w:t>
      </w:r>
      <w:proofErr w:type="spellStart"/>
      <w:r w:rsidR="00EF5807" w:rsidRPr="008B7EC0">
        <w:rPr>
          <w:rFonts w:cstheme="minorHAnsi"/>
          <w:szCs w:val="21"/>
        </w:rPr>
        <w:t>AgResults</w:t>
      </w:r>
      <w:proofErr w:type="spellEnd"/>
      <w:r w:rsidR="00EF5807" w:rsidRPr="008B7EC0">
        <w:rPr>
          <w:rFonts w:cstheme="minorHAnsi"/>
          <w:szCs w:val="21"/>
        </w:rPr>
        <w:t xml:space="preserve"> has assisted smallholder maize farmers to produce more than twice their normal yield and receive 13.2</w:t>
      </w:r>
      <w:r w:rsidR="000726B3">
        <w:rPr>
          <w:rFonts w:cstheme="minorHAnsi"/>
          <w:szCs w:val="21"/>
        </w:rPr>
        <w:t xml:space="preserve"> per cent</w:t>
      </w:r>
      <w:r w:rsidR="00EF5807" w:rsidRPr="008B7EC0">
        <w:rPr>
          <w:rFonts w:cstheme="minorHAnsi"/>
          <w:szCs w:val="21"/>
        </w:rPr>
        <w:t xml:space="preserve"> more than the average market price for their </w:t>
      </w:r>
      <w:proofErr w:type="spellStart"/>
      <w:r w:rsidR="00EF5807" w:rsidRPr="008B7EC0">
        <w:rPr>
          <w:rFonts w:cstheme="minorHAnsi"/>
          <w:szCs w:val="21"/>
        </w:rPr>
        <w:t>aflatoxin</w:t>
      </w:r>
      <w:proofErr w:type="spellEnd"/>
      <w:r w:rsidR="00EF5807" w:rsidRPr="008B7EC0">
        <w:rPr>
          <w:rFonts w:cstheme="minorHAnsi"/>
          <w:szCs w:val="21"/>
        </w:rPr>
        <w:t xml:space="preserve">-free grain.  </w:t>
      </w:r>
      <w:r w:rsidRPr="008B7EC0">
        <w:rPr>
          <w:rFonts w:cstheme="minorHAnsi"/>
          <w:szCs w:val="21"/>
        </w:rPr>
        <w:t xml:space="preserve">Progress against outcomes through these investments </w:t>
      </w:r>
      <w:r w:rsidR="001A4262" w:rsidRPr="008B7EC0">
        <w:rPr>
          <w:rFonts w:cstheme="minorHAnsi"/>
          <w:szCs w:val="21"/>
        </w:rPr>
        <w:t>is</w:t>
      </w:r>
      <w:r w:rsidRPr="008B7EC0">
        <w:rPr>
          <w:rFonts w:cstheme="minorHAnsi"/>
          <w:szCs w:val="21"/>
        </w:rPr>
        <w:t xml:space="preserve"> reported on through DFAT’s Multilateral Assessments.</w:t>
      </w:r>
    </w:p>
    <w:p w:rsidR="00A2724D" w:rsidRPr="00E628A5" w:rsidRDefault="00A2724D" w:rsidP="00E628A5">
      <w:pPr>
        <w:pStyle w:val="Heading3"/>
      </w:pPr>
      <w:r w:rsidRPr="00E628A5">
        <w:t xml:space="preserve">Objective 3: Respond appropriately to humanitarian </w:t>
      </w:r>
      <w:r w:rsidR="003056EB" w:rsidRPr="00E628A5">
        <w:t>crises</w:t>
      </w:r>
      <w:r w:rsidRPr="00E628A5">
        <w:t xml:space="preserve"> in Africa through working with effective humanitarian partners</w:t>
      </w:r>
    </w:p>
    <w:p w:rsidR="00A2724D" w:rsidRPr="00451562" w:rsidRDefault="00D1366C" w:rsidP="00D1366C">
      <w:pPr>
        <w:pStyle w:val="ListBullet"/>
        <w:numPr>
          <w:ilvl w:val="0"/>
          <w:numId w:val="0"/>
        </w:numPr>
        <w:tabs>
          <w:tab w:val="clear" w:pos="284"/>
        </w:tabs>
        <w:rPr>
          <w:szCs w:val="21"/>
        </w:rPr>
      </w:pPr>
      <w:r w:rsidRPr="00451562">
        <w:rPr>
          <w:szCs w:val="21"/>
        </w:rPr>
        <w:t>In 201</w:t>
      </w:r>
      <w:r w:rsidR="00AB7894" w:rsidRPr="00451562">
        <w:rPr>
          <w:szCs w:val="21"/>
        </w:rPr>
        <w:t>4</w:t>
      </w:r>
      <w:r w:rsidRPr="00451562">
        <w:rPr>
          <w:szCs w:val="21"/>
        </w:rPr>
        <w:t>-1</w:t>
      </w:r>
      <w:r w:rsidR="00AB7894" w:rsidRPr="00451562">
        <w:rPr>
          <w:szCs w:val="21"/>
        </w:rPr>
        <w:t>5</w:t>
      </w:r>
      <w:r w:rsidR="00C015A3" w:rsidRPr="00451562">
        <w:rPr>
          <w:szCs w:val="21"/>
        </w:rPr>
        <w:t>,</w:t>
      </w:r>
      <w:r w:rsidRPr="00451562">
        <w:rPr>
          <w:szCs w:val="21"/>
        </w:rPr>
        <w:t xml:space="preserve"> Australia responded to </w:t>
      </w:r>
      <w:r w:rsidR="007C3C9C">
        <w:rPr>
          <w:szCs w:val="21"/>
        </w:rPr>
        <w:t xml:space="preserve">protracted </w:t>
      </w:r>
      <w:r w:rsidRPr="00451562">
        <w:rPr>
          <w:szCs w:val="21"/>
        </w:rPr>
        <w:t xml:space="preserve">humanitarian </w:t>
      </w:r>
      <w:r w:rsidR="000F6159" w:rsidRPr="00451562">
        <w:rPr>
          <w:szCs w:val="21"/>
        </w:rPr>
        <w:t xml:space="preserve">crises </w:t>
      </w:r>
      <w:r w:rsidRPr="00451562">
        <w:rPr>
          <w:szCs w:val="21"/>
        </w:rPr>
        <w:t>in Somalia, South Sudan, the Central African Republic</w:t>
      </w:r>
      <w:r w:rsidR="008F717F" w:rsidRPr="00451562">
        <w:rPr>
          <w:szCs w:val="21"/>
        </w:rPr>
        <w:t xml:space="preserve"> (CAR)</w:t>
      </w:r>
      <w:r w:rsidRPr="00451562">
        <w:rPr>
          <w:szCs w:val="21"/>
        </w:rPr>
        <w:t>, and the Democratic Republic of Congo</w:t>
      </w:r>
      <w:r w:rsidR="008F717F" w:rsidRPr="00451562">
        <w:rPr>
          <w:szCs w:val="21"/>
        </w:rPr>
        <w:t xml:space="preserve"> (DRC)</w:t>
      </w:r>
      <w:r w:rsidRPr="00451562">
        <w:rPr>
          <w:szCs w:val="21"/>
        </w:rPr>
        <w:t>.  Our response has been appropriate</w:t>
      </w:r>
      <w:r w:rsidR="00EF55F1" w:rsidRPr="00451562">
        <w:rPr>
          <w:szCs w:val="21"/>
        </w:rPr>
        <w:t xml:space="preserve">ly targeted within </w:t>
      </w:r>
      <w:r w:rsidRPr="00451562">
        <w:rPr>
          <w:szCs w:val="21"/>
        </w:rPr>
        <w:t xml:space="preserve">the budget available, and our humanitarian partners have </w:t>
      </w:r>
      <w:r w:rsidR="00EF55F1" w:rsidRPr="001F6EDA">
        <w:rPr>
          <w:szCs w:val="21"/>
        </w:rPr>
        <w:t xml:space="preserve">broadly </w:t>
      </w:r>
      <w:r w:rsidRPr="001F6EDA">
        <w:rPr>
          <w:szCs w:val="21"/>
        </w:rPr>
        <w:t xml:space="preserve">demonstrated their effectiveness.  </w:t>
      </w:r>
      <w:r w:rsidR="007C3C9C">
        <w:t>Australian support</w:t>
      </w:r>
      <w:r w:rsidR="00FB6CAE">
        <w:t xml:space="preserve"> also supported broader donor efforts to strengthen the international humanitarian system and</w:t>
      </w:r>
      <w:r w:rsidR="007C3C9C">
        <w:t xml:space="preserve"> was delivered in line with </w:t>
      </w:r>
      <w:r w:rsidR="00FB6CAE">
        <w:t xml:space="preserve">DFAT’s </w:t>
      </w:r>
      <w:r w:rsidR="007C3C9C">
        <w:t xml:space="preserve">Humanitarian Action Policy and the Protection in Humanitarian Action Framework.  </w:t>
      </w:r>
      <w:r w:rsidRPr="001F6EDA">
        <w:rPr>
          <w:szCs w:val="21"/>
        </w:rPr>
        <w:t xml:space="preserve">For this reason progress against this </w:t>
      </w:r>
      <w:r w:rsidR="00BE6CBF" w:rsidRPr="00A2307E">
        <w:rPr>
          <w:szCs w:val="21"/>
        </w:rPr>
        <w:t>objective</w:t>
      </w:r>
      <w:r w:rsidRPr="00A2307E">
        <w:rPr>
          <w:szCs w:val="21"/>
        </w:rPr>
        <w:t xml:space="preserve"> is rated as</w:t>
      </w:r>
      <w:r w:rsidR="00EF55F1" w:rsidRPr="00536440">
        <w:rPr>
          <w:szCs w:val="21"/>
        </w:rPr>
        <w:t xml:space="preserve"> </w:t>
      </w:r>
      <w:r w:rsidR="00451562">
        <w:rPr>
          <w:szCs w:val="21"/>
        </w:rPr>
        <w:t>green</w:t>
      </w:r>
      <w:r w:rsidRPr="00451562">
        <w:rPr>
          <w:szCs w:val="21"/>
        </w:rPr>
        <w:t>.</w:t>
      </w:r>
    </w:p>
    <w:p w:rsidR="007C3C9C" w:rsidRDefault="001B118D" w:rsidP="00234488">
      <w:pPr>
        <w:pStyle w:val="ListBullet"/>
        <w:numPr>
          <w:ilvl w:val="0"/>
          <w:numId w:val="0"/>
        </w:numPr>
        <w:tabs>
          <w:tab w:val="clear" w:pos="284"/>
          <w:tab w:val="left" w:pos="720"/>
        </w:tabs>
      </w:pPr>
      <w:r w:rsidRPr="001F6EDA">
        <w:rPr>
          <w:szCs w:val="21"/>
        </w:rPr>
        <w:t xml:space="preserve">South Sudan, </w:t>
      </w:r>
      <w:r w:rsidR="007C3C9C">
        <w:rPr>
          <w:szCs w:val="21"/>
        </w:rPr>
        <w:t xml:space="preserve">the </w:t>
      </w:r>
      <w:r w:rsidRPr="001F6EDA">
        <w:rPr>
          <w:szCs w:val="21"/>
        </w:rPr>
        <w:t xml:space="preserve">CAR, </w:t>
      </w:r>
      <w:r w:rsidR="007C3C9C">
        <w:rPr>
          <w:szCs w:val="21"/>
        </w:rPr>
        <w:t xml:space="preserve">the </w:t>
      </w:r>
      <w:r w:rsidRPr="001F6EDA">
        <w:rPr>
          <w:szCs w:val="21"/>
        </w:rPr>
        <w:t xml:space="preserve">DRC and </w:t>
      </w:r>
      <w:r w:rsidR="00A64555" w:rsidRPr="00536440">
        <w:rPr>
          <w:szCs w:val="21"/>
        </w:rPr>
        <w:t xml:space="preserve">Somalia </w:t>
      </w:r>
      <w:r w:rsidRPr="00536440">
        <w:rPr>
          <w:szCs w:val="21"/>
        </w:rPr>
        <w:t xml:space="preserve">continued to </w:t>
      </w:r>
      <w:r w:rsidR="00A64555" w:rsidRPr="00E00D31">
        <w:rPr>
          <w:szCs w:val="21"/>
        </w:rPr>
        <w:t xml:space="preserve">require substantial humanitarian assistance due to </w:t>
      </w:r>
      <w:r w:rsidR="007C3C9C">
        <w:rPr>
          <w:szCs w:val="21"/>
        </w:rPr>
        <w:t xml:space="preserve">ongoing </w:t>
      </w:r>
      <w:r w:rsidR="00A64555">
        <w:t xml:space="preserve">conflict, </w:t>
      </w:r>
      <w:r>
        <w:t>violence</w:t>
      </w:r>
      <w:r w:rsidR="00A64555">
        <w:t xml:space="preserve">, </w:t>
      </w:r>
      <w:r>
        <w:t>displacement</w:t>
      </w:r>
      <w:r w:rsidR="007C3C9C">
        <w:t xml:space="preserve"> and drought</w:t>
      </w:r>
      <w:r>
        <w:t xml:space="preserve">.  </w:t>
      </w:r>
      <w:r w:rsidR="00790FEF">
        <w:t>At the time, t</w:t>
      </w:r>
      <w:r w:rsidR="007C3C9C">
        <w:t xml:space="preserve">he </w:t>
      </w:r>
      <w:r>
        <w:t>CAR and South Sudan</w:t>
      </w:r>
      <w:r w:rsidR="00A64555">
        <w:t xml:space="preserve"> </w:t>
      </w:r>
      <w:r w:rsidR="007C3C9C">
        <w:t>ha</w:t>
      </w:r>
      <w:r w:rsidR="00790FEF">
        <w:t>d</w:t>
      </w:r>
      <w:r w:rsidR="007C3C9C">
        <w:t xml:space="preserve"> been declared </w:t>
      </w:r>
      <w:r w:rsidR="00A64555">
        <w:t>level 3 humanitarian emergenc</w:t>
      </w:r>
      <w:r w:rsidR="007C3C9C">
        <w:t xml:space="preserve">ies, the </w:t>
      </w:r>
      <w:r w:rsidRPr="00117FD9">
        <w:t>UN</w:t>
      </w:r>
      <w:r w:rsidR="007C3C9C">
        <w:t>’s</w:t>
      </w:r>
      <w:r w:rsidRPr="00117FD9">
        <w:t xml:space="preserve"> classification for the most severe, large-scale humanitarian </w:t>
      </w:r>
      <w:r w:rsidRPr="0039368D">
        <w:rPr>
          <w:color w:val="0D0D0D" w:themeColor="text1" w:themeTint="F2"/>
        </w:rPr>
        <w:t>crises</w:t>
      </w:r>
      <w:r w:rsidR="00790FEF">
        <w:rPr>
          <w:color w:val="0D0D0D" w:themeColor="text1" w:themeTint="F2"/>
        </w:rPr>
        <w:t xml:space="preserve"> (the CAR is no longer a level 3 emergency)</w:t>
      </w:r>
      <w:r w:rsidRPr="0039368D">
        <w:rPr>
          <w:color w:val="0D0D0D" w:themeColor="text1" w:themeTint="F2"/>
        </w:rPr>
        <w:t xml:space="preserve">.  </w:t>
      </w:r>
      <w:r w:rsidR="007C3C9C" w:rsidRPr="0039368D">
        <w:rPr>
          <w:color w:val="0D0D0D" w:themeColor="text1" w:themeTint="F2"/>
        </w:rPr>
        <w:t xml:space="preserve">In Somalia, due to the ongoing conflict, drought and flooding, </w:t>
      </w:r>
      <w:r w:rsidR="00234488">
        <w:rPr>
          <w:color w:val="0D0D0D" w:themeColor="text1" w:themeTint="F2"/>
        </w:rPr>
        <w:t xml:space="preserve">more than 3.2 million people are in need of humanitarian assistance, of which 855,000 </w:t>
      </w:r>
      <w:proofErr w:type="gramStart"/>
      <w:r w:rsidR="00234488">
        <w:rPr>
          <w:color w:val="0D0D0D" w:themeColor="text1" w:themeTint="F2"/>
        </w:rPr>
        <w:t>are severely food</w:t>
      </w:r>
      <w:proofErr w:type="gramEnd"/>
      <w:r w:rsidR="00234488">
        <w:rPr>
          <w:color w:val="0D0D0D" w:themeColor="text1" w:themeTint="F2"/>
        </w:rPr>
        <w:t xml:space="preserve"> insecure.</w:t>
      </w:r>
      <w:r w:rsidR="00234488" w:rsidRPr="003A1CD3">
        <w:rPr>
          <w:rStyle w:val="FootnoteReference"/>
          <w:rFonts w:ascii="Franklin Gothic Book" w:hAnsi="Franklin Gothic Book"/>
          <w:color w:val="0D0D0D" w:themeColor="text1" w:themeTint="F2"/>
          <w:sz w:val="21"/>
          <w:szCs w:val="21"/>
          <w:vertAlign w:val="superscript"/>
        </w:rPr>
        <w:footnoteReference w:id="9"/>
      </w:r>
      <w:r w:rsidR="00234488" w:rsidRPr="003A1CD3">
        <w:rPr>
          <w:color w:val="0D0D0D" w:themeColor="text1" w:themeTint="F2"/>
          <w:szCs w:val="21"/>
          <w:vertAlign w:val="superscript"/>
        </w:rPr>
        <w:t xml:space="preserve"> </w:t>
      </w:r>
    </w:p>
    <w:p w:rsidR="007C3C9C" w:rsidRDefault="007C3C9C" w:rsidP="003709CC">
      <w:pPr>
        <w:pStyle w:val="ListBullet"/>
        <w:numPr>
          <w:ilvl w:val="0"/>
          <w:numId w:val="0"/>
        </w:numPr>
        <w:tabs>
          <w:tab w:val="clear" w:pos="284"/>
          <w:tab w:val="left" w:pos="720"/>
        </w:tabs>
        <w:spacing w:line="276" w:lineRule="auto"/>
      </w:pPr>
      <w:r>
        <w:t xml:space="preserve">Australia’s support to South Sudan directly responded to critical food and nutrition shortages to provide life-saving assistance for more than 203,000 vulnerable men, women and children, many of whom were internally displaced people (IDPs). Our assistance helped to contain a cholera outbreak, </w:t>
      </w:r>
      <w:r w:rsidR="003A1CD3">
        <w:t xml:space="preserve">contributed to the </w:t>
      </w:r>
      <w:r>
        <w:t>vaccinat</w:t>
      </w:r>
      <w:r w:rsidR="003A1CD3">
        <w:t>ion of</w:t>
      </w:r>
      <w:r>
        <w:t xml:space="preserve"> nearly </w:t>
      </w:r>
      <w:r w:rsidR="003A1CD3">
        <w:t>one</w:t>
      </w:r>
      <w:r>
        <w:t xml:space="preserve"> million children against measles and polio, and supported people being housed in UN Protection of Civilian and refugee camps. Support to WFP logistics </w:t>
      </w:r>
      <w:r w:rsidR="003A1CD3">
        <w:t>helped</w:t>
      </w:r>
      <w:r>
        <w:t xml:space="preserve"> humanitarian actors to deliver assistance in more difficult to reach areas</w:t>
      </w:r>
      <w:r w:rsidR="003A1CD3">
        <w:t xml:space="preserve"> and</w:t>
      </w:r>
      <w:r w:rsidR="00AF4DCF">
        <w:t xml:space="preserve"> supported a range of protection measures</w:t>
      </w:r>
      <w:r w:rsidR="003A1CD3">
        <w:t>,</w:t>
      </w:r>
      <w:r w:rsidR="00AF4DCF">
        <w:t xml:space="preserve"> </w:t>
      </w:r>
      <w:r w:rsidR="00F437B6">
        <w:t xml:space="preserve">including the hiring of an international protection advisor to reduce the vulnerability of women.  </w:t>
      </w:r>
      <w:r w:rsidR="003A1CD3">
        <w:t>G</w:t>
      </w:r>
      <w:r w:rsidR="00F437B6">
        <w:t xml:space="preserve">ood outcomes have been achieved through these initiatives, including increased rates of safety </w:t>
      </w:r>
      <w:r w:rsidR="00EF5807">
        <w:t xml:space="preserve">and awareness of rights </w:t>
      </w:r>
      <w:r w:rsidR="00F437B6">
        <w:t>among vulnerable populations when travelling to and from the project site (93 per</w:t>
      </w:r>
      <w:r w:rsidR="003A1CD3">
        <w:t xml:space="preserve"> </w:t>
      </w:r>
      <w:r w:rsidR="00F437B6">
        <w:t xml:space="preserve">cent of those interviewed did not experience safety </w:t>
      </w:r>
      <w:r w:rsidR="003A1CD3">
        <w:t>issues</w:t>
      </w:r>
      <w:r w:rsidR="00F437B6">
        <w:t xml:space="preserve"> and 87 per</w:t>
      </w:r>
      <w:r w:rsidR="003A1CD3">
        <w:t xml:space="preserve"> </w:t>
      </w:r>
      <w:r w:rsidR="00F437B6">
        <w:t>cent knew their entitlements and where to complain).</w:t>
      </w:r>
      <w:r w:rsidR="00EF5807">
        <w:t xml:space="preserve">  </w:t>
      </w:r>
      <w:r w:rsidR="003A1CD3">
        <w:t>O</w:t>
      </w:r>
      <w:r w:rsidR="00E8668A">
        <w:t>ngo</w:t>
      </w:r>
      <w:r w:rsidR="003A1CD3">
        <w:t>ing conflict and security issues continue to be</w:t>
      </w:r>
      <w:r w:rsidR="00E8668A">
        <w:t xml:space="preserve"> challenges to </w:t>
      </w:r>
      <w:r w:rsidR="003A1CD3">
        <w:t xml:space="preserve">the </w:t>
      </w:r>
      <w:r w:rsidR="00E8668A">
        <w:t xml:space="preserve">effective delivery of Australia’s </w:t>
      </w:r>
      <w:r w:rsidR="001D12B0">
        <w:t xml:space="preserve">humanitarian </w:t>
      </w:r>
      <w:r w:rsidR="003A1CD3">
        <w:t>assistance</w:t>
      </w:r>
      <w:r w:rsidR="00E8668A">
        <w:t>.</w:t>
      </w:r>
    </w:p>
    <w:p w:rsidR="001D12B0" w:rsidRDefault="007C3C9C" w:rsidP="001D12B0">
      <w:pPr>
        <w:pStyle w:val="DotPoint"/>
        <w:numPr>
          <w:ilvl w:val="0"/>
          <w:numId w:val="0"/>
        </w:numPr>
        <w:spacing w:after="120" w:line="276" w:lineRule="auto"/>
        <w:rPr>
          <w:rFonts w:ascii="Franklin Gothic Book" w:hAnsi="Franklin Gothic Book"/>
          <w:sz w:val="21"/>
          <w:szCs w:val="21"/>
        </w:rPr>
      </w:pPr>
      <w:r w:rsidRPr="005058C3">
        <w:rPr>
          <w:rFonts w:ascii="Franklin Gothic Book" w:hAnsi="Franklin Gothic Book"/>
          <w:sz w:val="21"/>
          <w:szCs w:val="21"/>
        </w:rPr>
        <w:t>Australia's support to Somalia in 2014 provided timely life-saving assistance to 18</w:t>
      </w:r>
      <w:r w:rsidR="00D335DA" w:rsidRPr="005058C3">
        <w:rPr>
          <w:rFonts w:ascii="Franklin Gothic Book" w:hAnsi="Franklin Gothic Book"/>
          <w:sz w:val="21"/>
          <w:szCs w:val="21"/>
        </w:rPr>
        <w:t>7</w:t>
      </w:r>
      <w:r w:rsidRPr="005058C3">
        <w:rPr>
          <w:rFonts w:ascii="Franklin Gothic Book" w:hAnsi="Franklin Gothic Book"/>
          <w:sz w:val="21"/>
          <w:szCs w:val="21"/>
        </w:rPr>
        <w:t xml:space="preserve">,000 vulnerable women, men and children. In rural and peri-urban areas, it helped to build community resilience to recurring shocks and stresses such as </w:t>
      </w:r>
      <w:r w:rsidR="000E5907" w:rsidRPr="005058C3">
        <w:rPr>
          <w:rFonts w:ascii="Franklin Gothic Book" w:hAnsi="Franklin Gothic Book"/>
          <w:sz w:val="21"/>
          <w:szCs w:val="21"/>
        </w:rPr>
        <w:t xml:space="preserve">floods, </w:t>
      </w:r>
      <w:r w:rsidRPr="005058C3">
        <w:rPr>
          <w:rFonts w:ascii="Franklin Gothic Book" w:hAnsi="Franklin Gothic Book"/>
          <w:sz w:val="21"/>
          <w:szCs w:val="21"/>
        </w:rPr>
        <w:t>drought</w:t>
      </w:r>
      <w:r w:rsidR="000E5907" w:rsidRPr="005058C3">
        <w:rPr>
          <w:rFonts w:ascii="Franklin Gothic Book" w:hAnsi="Franklin Gothic Book"/>
          <w:sz w:val="21"/>
          <w:szCs w:val="21"/>
        </w:rPr>
        <w:t xml:space="preserve">s and disease (polio and measles).  </w:t>
      </w:r>
      <w:r w:rsidR="00ED569B" w:rsidRPr="005058C3">
        <w:rPr>
          <w:rFonts w:ascii="Franklin Gothic Book" w:hAnsi="Franklin Gothic Book"/>
          <w:sz w:val="21"/>
          <w:szCs w:val="21"/>
        </w:rPr>
        <w:t>F</w:t>
      </w:r>
      <w:r w:rsidR="000E5907" w:rsidRPr="005058C3">
        <w:rPr>
          <w:rFonts w:ascii="Franklin Gothic Book" w:hAnsi="Franklin Gothic Book"/>
          <w:sz w:val="21"/>
          <w:szCs w:val="21"/>
        </w:rPr>
        <w:t xml:space="preserve">ood security support </w:t>
      </w:r>
      <w:r w:rsidR="00ED569B" w:rsidRPr="005058C3">
        <w:rPr>
          <w:rFonts w:ascii="Franklin Gothic Book" w:hAnsi="Franklin Gothic Book"/>
          <w:sz w:val="21"/>
          <w:szCs w:val="21"/>
        </w:rPr>
        <w:t xml:space="preserve">was </w:t>
      </w:r>
      <w:r w:rsidR="000E5907" w:rsidRPr="005058C3">
        <w:rPr>
          <w:rFonts w:ascii="Franklin Gothic Book" w:hAnsi="Franklin Gothic Book"/>
          <w:sz w:val="21"/>
          <w:szCs w:val="21"/>
        </w:rPr>
        <w:t>provided by the</w:t>
      </w:r>
      <w:r w:rsidR="001D12B0">
        <w:rPr>
          <w:rFonts w:ascii="Franklin Gothic Book" w:hAnsi="Franklin Gothic Book"/>
          <w:sz w:val="21"/>
          <w:szCs w:val="21"/>
        </w:rPr>
        <w:t xml:space="preserve"> Somalia</w:t>
      </w:r>
      <w:r w:rsidR="000E5907" w:rsidRPr="005058C3">
        <w:rPr>
          <w:rFonts w:ascii="Franklin Gothic Book" w:hAnsi="Franklin Gothic Book"/>
          <w:sz w:val="21"/>
          <w:szCs w:val="21"/>
        </w:rPr>
        <w:t xml:space="preserve"> Common Humanitarian Fund (CHF)</w:t>
      </w:r>
      <w:r w:rsidR="00ED569B" w:rsidRPr="005058C3">
        <w:rPr>
          <w:rFonts w:ascii="Franklin Gothic Book" w:hAnsi="Franklin Gothic Book"/>
          <w:sz w:val="21"/>
          <w:szCs w:val="21"/>
        </w:rPr>
        <w:t xml:space="preserve"> to reduce the malnutrition caseload and prevent people from falling back into crisis.  This co</w:t>
      </w:r>
      <w:r w:rsidR="00F437B6" w:rsidRPr="005058C3">
        <w:rPr>
          <w:rFonts w:ascii="Franklin Gothic Book" w:hAnsi="Franklin Gothic Book"/>
          <w:sz w:val="21"/>
          <w:szCs w:val="21"/>
        </w:rPr>
        <w:t>mplemented nutrition, health, water, sanitation</w:t>
      </w:r>
      <w:r w:rsidR="00ED569B" w:rsidRPr="005058C3">
        <w:rPr>
          <w:rFonts w:ascii="Franklin Gothic Book" w:hAnsi="Franklin Gothic Book"/>
          <w:sz w:val="21"/>
          <w:szCs w:val="21"/>
        </w:rPr>
        <w:t xml:space="preserve"> and other livelihoods support, including in hard </w:t>
      </w:r>
      <w:proofErr w:type="gramStart"/>
      <w:r w:rsidR="00ED569B" w:rsidRPr="005058C3">
        <w:rPr>
          <w:rFonts w:ascii="Franklin Gothic Book" w:hAnsi="Franklin Gothic Book"/>
          <w:sz w:val="21"/>
          <w:szCs w:val="21"/>
        </w:rPr>
        <w:t>to reach</w:t>
      </w:r>
      <w:proofErr w:type="gramEnd"/>
      <w:r w:rsidR="00ED569B" w:rsidRPr="005058C3">
        <w:rPr>
          <w:rFonts w:ascii="Franklin Gothic Book" w:hAnsi="Franklin Gothic Book"/>
          <w:sz w:val="21"/>
          <w:szCs w:val="21"/>
        </w:rPr>
        <w:t xml:space="preserve"> areas.  </w:t>
      </w:r>
      <w:r w:rsidRPr="005058C3">
        <w:rPr>
          <w:rFonts w:ascii="Franklin Gothic Book" w:hAnsi="Franklin Gothic Book"/>
          <w:sz w:val="21"/>
          <w:szCs w:val="21"/>
        </w:rPr>
        <w:t xml:space="preserve">Through the International Committee of the </w:t>
      </w:r>
      <w:r w:rsidR="00FB6CAE" w:rsidRPr="005058C3">
        <w:rPr>
          <w:rFonts w:ascii="Franklin Gothic Book" w:hAnsi="Franklin Gothic Book"/>
          <w:sz w:val="21"/>
          <w:szCs w:val="21"/>
        </w:rPr>
        <w:t xml:space="preserve">Red </w:t>
      </w:r>
      <w:r w:rsidRPr="005058C3">
        <w:rPr>
          <w:rFonts w:ascii="Franklin Gothic Book" w:hAnsi="Franklin Gothic Book"/>
          <w:sz w:val="21"/>
          <w:szCs w:val="21"/>
        </w:rPr>
        <w:t>Cross (ICRC) and the Somalia Resilience Program, Australia’s support helped meet the immediate food, water, household and hygiene needs of people affected by fighting or climate shocks.</w:t>
      </w:r>
      <w:r w:rsidR="00E8668A" w:rsidRPr="005058C3">
        <w:rPr>
          <w:rFonts w:ascii="Franklin Gothic Book" w:hAnsi="Franklin Gothic Book"/>
          <w:sz w:val="21"/>
          <w:szCs w:val="21"/>
        </w:rPr>
        <w:t xml:space="preserve">  Key challenges to the effective delivery of services include instability caused by Al-</w:t>
      </w:r>
      <w:proofErr w:type="spellStart"/>
      <w:r w:rsidR="00E8668A" w:rsidRPr="005058C3">
        <w:rPr>
          <w:rFonts w:ascii="Franklin Gothic Book" w:hAnsi="Franklin Gothic Book"/>
          <w:sz w:val="21"/>
          <w:szCs w:val="21"/>
        </w:rPr>
        <w:t>Shabaab</w:t>
      </w:r>
      <w:proofErr w:type="spellEnd"/>
      <w:r w:rsidR="00E8668A" w:rsidRPr="005058C3">
        <w:rPr>
          <w:rFonts w:ascii="Franklin Gothic Book" w:hAnsi="Franklin Gothic Book"/>
          <w:sz w:val="21"/>
          <w:szCs w:val="21"/>
        </w:rPr>
        <w:t>, the AMISOM offensive and the influx of refugees from Yemen.</w:t>
      </w:r>
      <w:r w:rsidR="001D12B0">
        <w:rPr>
          <w:rFonts w:ascii="Franklin Gothic Book" w:hAnsi="Franklin Gothic Book"/>
          <w:sz w:val="21"/>
          <w:szCs w:val="21"/>
        </w:rPr>
        <w:t xml:space="preserve"> </w:t>
      </w:r>
    </w:p>
    <w:p w:rsidR="00AF3DC2" w:rsidRDefault="007C3C9C" w:rsidP="00AF3DC2">
      <w:pPr>
        <w:pStyle w:val="DotPoint"/>
        <w:numPr>
          <w:ilvl w:val="0"/>
          <w:numId w:val="0"/>
        </w:numPr>
        <w:spacing w:after="120" w:line="276" w:lineRule="auto"/>
        <w:rPr>
          <w:rFonts w:ascii="Franklin Gothic Book" w:hAnsi="Franklin Gothic Book"/>
          <w:sz w:val="21"/>
          <w:szCs w:val="24"/>
        </w:rPr>
      </w:pPr>
      <w:r w:rsidRPr="001D12B0">
        <w:rPr>
          <w:rFonts w:ascii="Franklin Gothic Book" w:hAnsi="Franklin Gothic Book"/>
          <w:sz w:val="21"/>
          <w:szCs w:val="24"/>
        </w:rPr>
        <w:t xml:space="preserve">In the DRC and CAR, Australia’s contributions </w:t>
      </w:r>
      <w:r w:rsidR="00D335DA" w:rsidRPr="001D12B0">
        <w:rPr>
          <w:rFonts w:ascii="Franklin Gothic Book" w:hAnsi="Franklin Gothic Book"/>
          <w:sz w:val="21"/>
          <w:szCs w:val="24"/>
        </w:rPr>
        <w:t xml:space="preserve">during 2014 </w:t>
      </w:r>
      <w:r w:rsidRPr="001D12B0">
        <w:rPr>
          <w:rFonts w:ascii="Franklin Gothic Book" w:hAnsi="Franklin Gothic Book"/>
          <w:sz w:val="21"/>
          <w:szCs w:val="24"/>
        </w:rPr>
        <w:t>helped</w:t>
      </w:r>
      <w:r w:rsidR="00D335DA" w:rsidRPr="001D12B0">
        <w:rPr>
          <w:rFonts w:ascii="Franklin Gothic Book" w:hAnsi="Franklin Gothic Book"/>
          <w:sz w:val="21"/>
          <w:szCs w:val="24"/>
        </w:rPr>
        <w:t xml:space="preserve"> an additional 74,000 vulnerable women and men </w:t>
      </w:r>
      <w:r w:rsidRPr="001D12B0">
        <w:rPr>
          <w:rFonts w:ascii="Franklin Gothic Book" w:hAnsi="Franklin Gothic Book"/>
          <w:sz w:val="21"/>
          <w:szCs w:val="24"/>
        </w:rPr>
        <w:t xml:space="preserve">access to food, improved livelihoods, </w:t>
      </w:r>
      <w:proofErr w:type="gramStart"/>
      <w:r w:rsidRPr="001D12B0">
        <w:rPr>
          <w:rFonts w:ascii="Franklin Gothic Book" w:hAnsi="Franklin Gothic Book"/>
          <w:sz w:val="21"/>
          <w:szCs w:val="24"/>
        </w:rPr>
        <w:t>water</w:t>
      </w:r>
      <w:proofErr w:type="gramEnd"/>
      <w:r w:rsidRPr="001D12B0">
        <w:rPr>
          <w:rFonts w:ascii="Franklin Gothic Book" w:hAnsi="Franklin Gothic Book"/>
          <w:sz w:val="21"/>
          <w:szCs w:val="24"/>
        </w:rPr>
        <w:t xml:space="preserve"> and health services. Assistance to these countries reunited families separated by </w:t>
      </w:r>
      <w:proofErr w:type="gramStart"/>
      <w:r w:rsidRPr="001D12B0">
        <w:rPr>
          <w:rFonts w:ascii="Franklin Gothic Book" w:hAnsi="Franklin Gothic Book"/>
          <w:sz w:val="21"/>
          <w:szCs w:val="24"/>
        </w:rPr>
        <w:t>conflict</w:t>
      </w:r>
      <w:r w:rsidR="001D12B0">
        <w:rPr>
          <w:rFonts w:ascii="Franklin Gothic Book" w:hAnsi="Franklin Gothic Book"/>
          <w:sz w:val="21"/>
          <w:szCs w:val="24"/>
        </w:rPr>
        <w:t>,</w:t>
      </w:r>
      <w:proofErr w:type="gramEnd"/>
      <w:r w:rsidR="009E1C90" w:rsidRPr="001D12B0">
        <w:rPr>
          <w:rFonts w:ascii="Franklin Gothic Book" w:hAnsi="Franklin Gothic Book"/>
          <w:sz w:val="21"/>
          <w:szCs w:val="24"/>
        </w:rPr>
        <w:t xml:space="preserve"> </w:t>
      </w:r>
      <w:r w:rsidRPr="001D12B0">
        <w:rPr>
          <w:rFonts w:ascii="Franklin Gothic Book" w:hAnsi="Franklin Gothic Book"/>
          <w:sz w:val="21"/>
          <w:szCs w:val="24"/>
        </w:rPr>
        <w:t>provided medical and psychosocial support to victims of sexual violence and emergency medical treatment for people affected by conflict</w:t>
      </w:r>
      <w:r w:rsidR="00801075" w:rsidRPr="001D12B0">
        <w:rPr>
          <w:rFonts w:ascii="Franklin Gothic Book" w:hAnsi="Franklin Gothic Book"/>
          <w:sz w:val="21"/>
          <w:szCs w:val="24"/>
        </w:rPr>
        <w:t>.</w:t>
      </w:r>
      <w:r w:rsidR="0018442E" w:rsidRPr="001D12B0">
        <w:rPr>
          <w:rFonts w:ascii="Franklin Gothic Book" w:hAnsi="Franklin Gothic Book"/>
          <w:sz w:val="21"/>
          <w:szCs w:val="24"/>
        </w:rPr>
        <w:t xml:space="preserve">  </w:t>
      </w:r>
      <w:r w:rsidR="001F2600" w:rsidRPr="001D12B0">
        <w:rPr>
          <w:rFonts w:ascii="Franklin Gothic Book" w:hAnsi="Franklin Gothic Book"/>
          <w:sz w:val="21"/>
          <w:szCs w:val="24"/>
        </w:rPr>
        <w:t xml:space="preserve">DFAT provides its support through </w:t>
      </w:r>
      <w:r w:rsidR="00F831FA" w:rsidRPr="001D12B0">
        <w:rPr>
          <w:rFonts w:ascii="Franklin Gothic Book" w:hAnsi="Franklin Gothic Book"/>
          <w:sz w:val="21"/>
          <w:szCs w:val="24"/>
        </w:rPr>
        <w:t xml:space="preserve">partners who have proven to be effective and are able to access hard to reach places.  </w:t>
      </w:r>
    </w:p>
    <w:p w:rsidR="00AF3DC2" w:rsidRDefault="00AF3DC2" w:rsidP="00AF3DC2">
      <w:pPr>
        <w:pStyle w:val="DotPoint"/>
        <w:numPr>
          <w:ilvl w:val="0"/>
          <w:numId w:val="0"/>
        </w:numPr>
        <w:spacing w:before="120" w:after="120" w:line="276" w:lineRule="auto"/>
        <w:rPr>
          <w:rFonts w:ascii="Franklin Gothic Book" w:hAnsi="Franklin Gothic Book"/>
          <w:sz w:val="21"/>
          <w:szCs w:val="24"/>
        </w:rPr>
      </w:pPr>
      <w:r w:rsidRPr="00AF3DC2">
        <w:rPr>
          <w:rFonts w:ascii="Franklin Gothic Book" w:hAnsi="Franklin Gothic Book"/>
          <w:sz w:val="21"/>
          <w:szCs w:val="24"/>
        </w:rPr>
        <w:t>Previously, the humanitarian program has aimed to provide greater funding predictability for partners</w:t>
      </w:r>
      <w:r w:rsidR="005153B1">
        <w:rPr>
          <w:rFonts w:ascii="Franklin Gothic Book" w:hAnsi="Franklin Gothic Book"/>
          <w:sz w:val="21"/>
          <w:szCs w:val="24"/>
        </w:rPr>
        <w:t xml:space="preserve">, and it will continue to attempt to improve </w:t>
      </w:r>
      <w:r w:rsidRPr="00AF3DC2">
        <w:rPr>
          <w:rFonts w:ascii="Franklin Gothic Book" w:hAnsi="Franklin Gothic Book"/>
          <w:sz w:val="21"/>
          <w:szCs w:val="24"/>
        </w:rPr>
        <w:t>in 2015-16.</w:t>
      </w:r>
      <w:r>
        <w:rPr>
          <w:rFonts w:ascii="Franklin Gothic Book" w:hAnsi="Franklin Gothic Book"/>
          <w:sz w:val="21"/>
          <w:szCs w:val="24"/>
        </w:rPr>
        <w:t xml:space="preserve"> </w:t>
      </w:r>
    </w:p>
    <w:p w:rsidR="00AF3DC2" w:rsidRPr="00E628A5" w:rsidRDefault="00A2724D" w:rsidP="00E628A5">
      <w:pPr>
        <w:pStyle w:val="Heading3"/>
      </w:pPr>
      <w:r w:rsidRPr="00E628A5">
        <w:t xml:space="preserve">Objective 4: Improve the resilience, health and productive capacity of target communities through improved health services (in particular for women and children), innovative social support and increased access to safe water and sanitation </w:t>
      </w:r>
    </w:p>
    <w:p w:rsidR="00F1601B" w:rsidRPr="00AF3DC2" w:rsidRDefault="00A96AD4" w:rsidP="00AF3DC2">
      <w:pPr>
        <w:pStyle w:val="DotPoint"/>
        <w:numPr>
          <w:ilvl w:val="0"/>
          <w:numId w:val="0"/>
        </w:numPr>
        <w:spacing w:before="120" w:after="120" w:line="276" w:lineRule="auto"/>
        <w:rPr>
          <w:rFonts w:ascii="Franklin Gothic Book" w:hAnsi="Franklin Gothic Book"/>
          <w:sz w:val="21"/>
          <w:szCs w:val="21"/>
        </w:rPr>
      </w:pPr>
      <w:r w:rsidRPr="00AF3DC2">
        <w:rPr>
          <w:rFonts w:ascii="Franklin Gothic Book" w:hAnsi="Franklin Gothic Book"/>
          <w:sz w:val="21"/>
          <w:szCs w:val="21"/>
        </w:rPr>
        <w:t xml:space="preserve">Progress towards achieving objective 4 is rated as </w:t>
      </w:r>
      <w:r w:rsidR="008705AD" w:rsidRPr="00AF3DC2">
        <w:rPr>
          <w:rFonts w:ascii="Franklin Gothic Book" w:hAnsi="Franklin Gothic Book"/>
          <w:sz w:val="21"/>
          <w:szCs w:val="21"/>
        </w:rPr>
        <w:t xml:space="preserve">green </w:t>
      </w:r>
      <w:r w:rsidR="001D6A75" w:rsidRPr="00AF3DC2">
        <w:rPr>
          <w:rFonts w:ascii="Franklin Gothic Book" w:hAnsi="Franklin Gothic Book"/>
          <w:sz w:val="21"/>
          <w:szCs w:val="21"/>
        </w:rPr>
        <w:t xml:space="preserve">due to strong progress being made against expected objectives </w:t>
      </w:r>
      <w:r w:rsidR="008705AD" w:rsidRPr="00AF3DC2">
        <w:rPr>
          <w:rFonts w:ascii="Franklin Gothic Book" w:hAnsi="Franklin Gothic Book"/>
          <w:sz w:val="21"/>
          <w:szCs w:val="21"/>
        </w:rPr>
        <w:t xml:space="preserve">despite </w:t>
      </w:r>
      <w:r w:rsidR="001D6A75" w:rsidRPr="00AF3DC2">
        <w:rPr>
          <w:rFonts w:ascii="Franklin Gothic Book" w:hAnsi="Franklin Gothic Book"/>
          <w:sz w:val="21"/>
          <w:szCs w:val="21"/>
        </w:rPr>
        <w:t xml:space="preserve">significant challenges faced by some programs being scaled down or finishing earlier than anticipated due to </w:t>
      </w:r>
      <w:r w:rsidR="009065CD" w:rsidRPr="00AF3DC2">
        <w:rPr>
          <w:rFonts w:ascii="Franklin Gothic Book" w:hAnsi="Franklin Gothic Book"/>
          <w:sz w:val="21"/>
          <w:szCs w:val="21"/>
        </w:rPr>
        <w:t>2014</w:t>
      </w:r>
      <w:r w:rsidR="00F1601B" w:rsidRPr="00AF3DC2">
        <w:rPr>
          <w:rFonts w:ascii="Franklin Gothic Book" w:hAnsi="Franklin Gothic Book"/>
          <w:sz w:val="21"/>
          <w:szCs w:val="21"/>
        </w:rPr>
        <w:t>-</w:t>
      </w:r>
      <w:r w:rsidR="001D6A75" w:rsidRPr="00AF3DC2">
        <w:rPr>
          <w:rFonts w:ascii="Franklin Gothic Book" w:hAnsi="Franklin Gothic Book"/>
          <w:sz w:val="21"/>
          <w:szCs w:val="21"/>
        </w:rPr>
        <w:t xml:space="preserve">15 </w:t>
      </w:r>
      <w:r w:rsidRPr="00AF3DC2">
        <w:rPr>
          <w:rFonts w:ascii="Franklin Gothic Book" w:hAnsi="Franklin Gothic Book"/>
          <w:sz w:val="21"/>
          <w:szCs w:val="21"/>
        </w:rPr>
        <w:t xml:space="preserve">budget reductions. </w:t>
      </w:r>
      <w:r w:rsidR="00F1601B" w:rsidRPr="00AF3DC2">
        <w:rPr>
          <w:rFonts w:ascii="Franklin Gothic Book" w:hAnsi="Franklin Gothic Book"/>
          <w:sz w:val="21"/>
          <w:szCs w:val="21"/>
        </w:rPr>
        <w:t>A number of global and regional programs that continue to receive funding contributed to the achievement of this objective.</w:t>
      </w:r>
      <w:r w:rsidRPr="00AF3DC2">
        <w:rPr>
          <w:rFonts w:ascii="Franklin Gothic Book" w:hAnsi="Franklin Gothic Book"/>
          <w:sz w:val="21"/>
          <w:szCs w:val="21"/>
        </w:rPr>
        <w:t xml:space="preserve"> </w:t>
      </w:r>
    </w:p>
    <w:p w:rsidR="006A33B1" w:rsidRDefault="00B066F6" w:rsidP="006A33B1">
      <w:pPr>
        <w:pStyle w:val="ListBullet"/>
        <w:numPr>
          <w:ilvl w:val="0"/>
          <w:numId w:val="0"/>
        </w:numPr>
        <w:tabs>
          <w:tab w:val="clear" w:pos="284"/>
        </w:tabs>
        <w:rPr>
          <w:rFonts w:eastAsia="MS Mincho" w:cstheme="minorHAnsi"/>
          <w:color w:val="000000"/>
          <w:szCs w:val="21"/>
        </w:rPr>
      </w:pPr>
      <w:r w:rsidRPr="00570EBB">
        <w:rPr>
          <w:szCs w:val="21"/>
        </w:rPr>
        <w:t xml:space="preserve">In 2014-15, AACES </w:t>
      </w:r>
      <w:r w:rsidR="00F1601B">
        <w:rPr>
          <w:szCs w:val="21"/>
        </w:rPr>
        <w:t xml:space="preserve">helped </w:t>
      </w:r>
      <w:r w:rsidRPr="00570EBB">
        <w:rPr>
          <w:szCs w:val="21"/>
        </w:rPr>
        <w:t>more people accessing health</w:t>
      </w:r>
      <w:r w:rsidR="008B6E40">
        <w:rPr>
          <w:szCs w:val="21"/>
        </w:rPr>
        <w:t xml:space="preserve">, including almost 26,000 additional boys and girls being vaccinated during 2014.  The program </w:t>
      </w:r>
      <w:r w:rsidR="00F1601B">
        <w:rPr>
          <w:szCs w:val="21"/>
        </w:rPr>
        <w:t xml:space="preserve">worked </w:t>
      </w:r>
      <w:r w:rsidR="008B6E40">
        <w:rPr>
          <w:szCs w:val="21"/>
        </w:rPr>
        <w:t>to strengthen government health systems, foster positive social and behavioural change</w:t>
      </w:r>
      <w:r w:rsidR="00F1601B">
        <w:rPr>
          <w:szCs w:val="21"/>
        </w:rPr>
        <w:t>,</w:t>
      </w:r>
      <w:r w:rsidR="008B6E40">
        <w:rPr>
          <w:szCs w:val="21"/>
        </w:rPr>
        <w:t xml:space="preserve"> and </w:t>
      </w:r>
      <w:r w:rsidRPr="00570EBB">
        <w:rPr>
          <w:szCs w:val="21"/>
        </w:rPr>
        <w:t xml:space="preserve">empower women and people with disability to identify and advocate for their rights.  </w:t>
      </w:r>
      <w:r w:rsidRPr="00570EBB">
        <w:rPr>
          <w:rFonts w:eastAsia="MS Mincho" w:cstheme="minorHAnsi"/>
          <w:color w:val="000000"/>
          <w:szCs w:val="21"/>
        </w:rPr>
        <w:t>AACES NGOs</w:t>
      </w:r>
      <w:r w:rsidRPr="00570EBB">
        <w:rPr>
          <w:rFonts w:eastAsia="MS Mincho" w:cstheme="minorHAnsi"/>
          <w:szCs w:val="21"/>
        </w:rPr>
        <w:t xml:space="preserve"> improved access to safe water and sanitation for marginalised communities by constructing and rehabilitating water supply and sanitation facilities. Their efforts resulted in</w:t>
      </w:r>
      <w:r w:rsidRPr="00570EBB">
        <w:rPr>
          <w:rFonts w:eastAsia="MS Mincho" w:cstheme="minorHAnsi"/>
          <w:color w:val="000000"/>
          <w:szCs w:val="21"/>
        </w:rPr>
        <w:t xml:space="preserve"> an additional </w:t>
      </w:r>
      <w:r w:rsidRPr="002E40F4">
        <w:rPr>
          <w:rFonts w:eastAsia="MS Mincho" w:cstheme="minorHAnsi"/>
          <w:color w:val="000000"/>
          <w:szCs w:val="21"/>
        </w:rPr>
        <w:t>408,000</w:t>
      </w:r>
      <w:r w:rsidRPr="00570EBB">
        <w:rPr>
          <w:rFonts w:eastAsia="MS Mincho" w:cstheme="minorHAnsi"/>
          <w:color w:val="000000"/>
          <w:szCs w:val="21"/>
        </w:rPr>
        <w:t xml:space="preserve"> people accessing safe, sustainable water</w:t>
      </w:r>
      <w:r>
        <w:rPr>
          <w:rFonts w:eastAsia="MS Mincho" w:cstheme="minorHAnsi"/>
          <w:color w:val="000000"/>
          <w:szCs w:val="21"/>
        </w:rPr>
        <w:t xml:space="preserve"> and appropriate sanitation.</w:t>
      </w:r>
      <w:r w:rsidRPr="00570EBB">
        <w:rPr>
          <w:rFonts w:eastAsia="MS Mincho" w:cstheme="minorHAnsi"/>
          <w:color w:val="000000"/>
          <w:szCs w:val="21"/>
        </w:rPr>
        <w:t xml:space="preserve"> </w:t>
      </w:r>
    </w:p>
    <w:p w:rsidR="003709CC" w:rsidRDefault="009065CD" w:rsidP="006A33B1">
      <w:pPr>
        <w:pStyle w:val="ListBullet"/>
        <w:numPr>
          <w:ilvl w:val="0"/>
          <w:numId w:val="0"/>
        </w:numPr>
        <w:tabs>
          <w:tab w:val="clear" w:pos="284"/>
        </w:tabs>
      </w:pPr>
      <w:r w:rsidRPr="009065CD">
        <w:rPr>
          <w:szCs w:val="21"/>
        </w:rPr>
        <w:t xml:space="preserve">Australia’s $24.6 million support (2011-2016) for the Hunger Safety Net Program (HSNP) and Index Based Livestock Insurance project (IBLI) has contributed greatly to improved resilience, health and productive capacity.  </w:t>
      </w:r>
      <w:r w:rsidR="00F1601B">
        <w:rPr>
          <w:szCs w:val="21"/>
        </w:rPr>
        <w:t xml:space="preserve">In partnerships with DFID, in </w:t>
      </w:r>
      <w:r w:rsidRPr="009065CD">
        <w:rPr>
          <w:szCs w:val="21"/>
        </w:rPr>
        <w:t>2014-15 Australia’s support to HSNP enabled an additional 98,000 poor and chronically food insecure women and men in the four poorest counties of Kenya access regular non-conditional cash transfers</w:t>
      </w:r>
      <w:r w:rsidR="00F1601B">
        <w:rPr>
          <w:szCs w:val="21"/>
        </w:rPr>
        <w:t xml:space="preserve"> and</w:t>
      </w:r>
      <w:r w:rsidRPr="009065CD">
        <w:rPr>
          <w:szCs w:val="21"/>
        </w:rPr>
        <w:t xml:space="preserve"> an additional 260,000 poor women and men access to financial services through IBLI.  Evidence from DFID’s </w:t>
      </w:r>
      <w:r w:rsidR="00F1601B">
        <w:rPr>
          <w:szCs w:val="21"/>
        </w:rPr>
        <w:t>M&amp;E</w:t>
      </w:r>
      <w:r w:rsidRPr="009065CD">
        <w:rPr>
          <w:szCs w:val="21"/>
        </w:rPr>
        <w:t xml:space="preserve"> system showed that HSNP exceeded its planned target (70,000 households) with 74,138 households</w:t>
      </w:r>
      <w:r>
        <w:rPr>
          <w:szCs w:val="21"/>
        </w:rPr>
        <w:t xml:space="preserve"> </w:t>
      </w:r>
      <w:r w:rsidRPr="009065CD">
        <w:rPr>
          <w:szCs w:val="21"/>
        </w:rPr>
        <w:t>rece</w:t>
      </w:r>
      <w:r>
        <w:rPr>
          <w:szCs w:val="21"/>
        </w:rPr>
        <w:t>i</w:t>
      </w:r>
      <w:r w:rsidRPr="009065CD">
        <w:rPr>
          <w:szCs w:val="21"/>
        </w:rPr>
        <w:t xml:space="preserve">ving regular, timely non-conditional cash transfers. This earned HSNP an </w:t>
      </w:r>
      <w:r w:rsidRPr="009065CD">
        <w:t xml:space="preserve">A+ rating in DFID’s 2014-2015 Annual Review. An additional 95,000 households </w:t>
      </w:r>
      <w:r w:rsidR="00F1601B">
        <w:t>received</w:t>
      </w:r>
      <w:r w:rsidRPr="009065CD">
        <w:t xml:space="preserve"> support through HSNP</w:t>
      </w:r>
      <w:r>
        <w:t>’</w:t>
      </w:r>
      <w:r w:rsidRPr="009065CD">
        <w:t xml:space="preserve">s innovative emergency cash transfer program which is a first for Sub-Saharan Africa. </w:t>
      </w:r>
    </w:p>
    <w:p w:rsidR="00F1601B" w:rsidRDefault="009065CD" w:rsidP="009065CD">
      <w:pPr>
        <w:pStyle w:val="ListBullet"/>
        <w:numPr>
          <w:ilvl w:val="0"/>
          <w:numId w:val="0"/>
        </w:numPr>
        <w:tabs>
          <w:tab w:val="clear" w:pos="284"/>
        </w:tabs>
        <w:rPr>
          <w:szCs w:val="21"/>
        </w:rPr>
      </w:pPr>
      <w:r w:rsidRPr="009065CD">
        <w:rPr>
          <w:szCs w:val="21"/>
        </w:rPr>
        <w:t xml:space="preserve">Issues related to security in the region as well as lack of access to required identification (including IDs cards and/or established bank accounts) for cash transfers were the main </w:t>
      </w:r>
      <w:r w:rsidR="00F1601B">
        <w:rPr>
          <w:szCs w:val="21"/>
        </w:rPr>
        <w:t>challenges</w:t>
      </w:r>
      <w:r w:rsidRPr="009065CD">
        <w:rPr>
          <w:szCs w:val="21"/>
        </w:rPr>
        <w:t xml:space="preserve"> in 2014-15.  DFID has engaged Help Aid International (HAI) and the National Registrations Board to establish an ID registration and bank account opening process across all counties to address this in order to meet its target of reaching 100,000 households by 2016.  While there is evidence that IBLI has been an effective insurance product, contributing to improved resilience and productive capacity, limited knowledge of the product has contributed to fluctuations in policy sales.  IBLI is running a communications campaign to address this.  </w:t>
      </w:r>
    </w:p>
    <w:p w:rsidR="009065CD" w:rsidRPr="009065CD" w:rsidRDefault="009065CD" w:rsidP="009065CD">
      <w:pPr>
        <w:pStyle w:val="ListBullet"/>
        <w:numPr>
          <w:ilvl w:val="0"/>
          <w:numId w:val="0"/>
        </w:numPr>
        <w:tabs>
          <w:tab w:val="clear" w:pos="284"/>
        </w:tabs>
      </w:pPr>
      <w:r w:rsidRPr="009065CD">
        <w:rPr>
          <w:szCs w:val="21"/>
        </w:rPr>
        <w:t>Concerted efforts by HSNP to address gender equality issues have resulted in some impressive results</w:t>
      </w:r>
      <w:r w:rsidR="00F1601B">
        <w:rPr>
          <w:szCs w:val="21"/>
        </w:rPr>
        <w:t>: a</w:t>
      </w:r>
      <w:r w:rsidRPr="009065CD">
        <w:rPr>
          <w:szCs w:val="21"/>
        </w:rPr>
        <w:t xml:space="preserve">s at </w:t>
      </w:r>
      <w:r w:rsidR="00CC7E9C">
        <w:rPr>
          <w:szCs w:val="21"/>
        </w:rPr>
        <w:t xml:space="preserve">16 June </w:t>
      </w:r>
      <w:r w:rsidRPr="009065CD">
        <w:rPr>
          <w:szCs w:val="21"/>
        </w:rPr>
        <w:t xml:space="preserve">2015, </w:t>
      </w:r>
      <w:r w:rsidR="00CC7E9C">
        <w:rPr>
          <w:szCs w:val="21"/>
        </w:rPr>
        <w:t xml:space="preserve">76,803 bank accounts were active for Group 1 beneficiaries (those receiving regular, timely cash transfers), with </w:t>
      </w:r>
      <w:r w:rsidR="00706DF5">
        <w:rPr>
          <w:szCs w:val="21"/>
        </w:rPr>
        <w:t>59</w:t>
      </w:r>
      <w:r w:rsidR="00CC7E9C">
        <w:rPr>
          <w:szCs w:val="21"/>
        </w:rPr>
        <w:t xml:space="preserve"> </w:t>
      </w:r>
      <w:r w:rsidRPr="00B653FE">
        <w:rPr>
          <w:szCs w:val="21"/>
        </w:rPr>
        <w:t>per</w:t>
      </w:r>
      <w:r w:rsidR="00F1601B">
        <w:rPr>
          <w:szCs w:val="21"/>
        </w:rPr>
        <w:t xml:space="preserve"> </w:t>
      </w:r>
      <w:r w:rsidRPr="00B653FE">
        <w:rPr>
          <w:szCs w:val="21"/>
        </w:rPr>
        <w:t xml:space="preserve">cent of </w:t>
      </w:r>
      <w:r w:rsidR="00F1601B">
        <w:rPr>
          <w:szCs w:val="21"/>
        </w:rPr>
        <w:t>those</w:t>
      </w:r>
      <w:r w:rsidR="00706DF5" w:rsidRPr="00B653FE">
        <w:rPr>
          <w:szCs w:val="21"/>
        </w:rPr>
        <w:t xml:space="preserve"> </w:t>
      </w:r>
      <w:r w:rsidR="00CC7E9C" w:rsidRPr="00B653FE">
        <w:rPr>
          <w:szCs w:val="21"/>
        </w:rPr>
        <w:t xml:space="preserve">owned </w:t>
      </w:r>
      <w:r w:rsidRPr="00B653FE">
        <w:rPr>
          <w:szCs w:val="21"/>
        </w:rPr>
        <w:t>by women.</w:t>
      </w:r>
      <w:r w:rsidRPr="009065CD">
        <w:rPr>
          <w:szCs w:val="21"/>
        </w:rPr>
        <w:t xml:space="preserve">  HSNP’s 2014 Annual Review also noted that women who had suffered discrimination due to their tribe, poverty or disability, reported </w:t>
      </w:r>
      <w:r w:rsidR="00F1601B">
        <w:rPr>
          <w:szCs w:val="21"/>
        </w:rPr>
        <w:t xml:space="preserve">that </w:t>
      </w:r>
      <w:r w:rsidRPr="009065CD">
        <w:rPr>
          <w:szCs w:val="21"/>
        </w:rPr>
        <w:t xml:space="preserve">HSNP had helped them become more engaged in their communities. </w:t>
      </w:r>
    </w:p>
    <w:p w:rsidR="00C72905" w:rsidRPr="000605CB" w:rsidRDefault="00A804BC" w:rsidP="00E00D31">
      <w:pPr>
        <w:pStyle w:val="ListBullet"/>
        <w:numPr>
          <w:ilvl w:val="0"/>
          <w:numId w:val="0"/>
        </w:numPr>
        <w:tabs>
          <w:tab w:val="clear" w:pos="284"/>
        </w:tabs>
        <w:rPr>
          <w:szCs w:val="21"/>
        </w:rPr>
      </w:pPr>
      <w:r>
        <w:rPr>
          <w:szCs w:val="21"/>
        </w:rPr>
        <w:t>The Australia</w:t>
      </w:r>
      <w:r w:rsidRPr="00A804BC">
        <w:rPr>
          <w:szCs w:val="21"/>
        </w:rPr>
        <w:t xml:space="preserve">n Government has </w:t>
      </w:r>
      <w:r w:rsidR="006D7CA7">
        <w:rPr>
          <w:szCs w:val="21"/>
        </w:rPr>
        <w:t xml:space="preserve">also contributed to improved health services through its $26 million support to </w:t>
      </w:r>
      <w:r w:rsidRPr="00A804BC">
        <w:rPr>
          <w:szCs w:val="21"/>
        </w:rPr>
        <w:t>Ethiopia’s Health Sector Development Program IV (HSDP IV)</w:t>
      </w:r>
      <w:r w:rsidR="00DD6D87">
        <w:rPr>
          <w:szCs w:val="21"/>
        </w:rPr>
        <w:t xml:space="preserve">, </w:t>
      </w:r>
      <w:r w:rsidR="006D7CA7">
        <w:rPr>
          <w:szCs w:val="21"/>
        </w:rPr>
        <w:t>(</w:t>
      </w:r>
      <w:r>
        <w:rPr>
          <w:szCs w:val="21"/>
        </w:rPr>
        <w:t>2011</w:t>
      </w:r>
      <w:r w:rsidR="00DD6D87">
        <w:rPr>
          <w:szCs w:val="21"/>
        </w:rPr>
        <w:t xml:space="preserve"> –June 2015</w:t>
      </w:r>
      <w:r w:rsidR="006D7CA7">
        <w:rPr>
          <w:szCs w:val="21"/>
        </w:rPr>
        <w:t>)</w:t>
      </w:r>
      <w:r w:rsidRPr="00A804BC">
        <w:rPr>
          <w:szCs w:val="21"/>
        </w:rPr>
        <w:t>. The overall goal of HSDP IV is to reduce morbidity, mortality and disability and improve the health status of Ethiopians through providing and regulating a comprehensive package of health services via a decentralised health system.</w:t>
      </w:r>
      <w:r w:rsidR="00105D44">
        <w:rPr>
          <w:szCs w:val="21"/>
        </w:rPr>
        <w:t xml:space="preserve">  </w:t>
      </w:r>
      <w:r w:rsidR="006D7CA7">
        <w:rPr>
          <w:szCs w:val="21"/>
        </w:rPr>
        <w:t xml:space="preserve">Over its lifetime, </w:t>
      </w:r>
      <w:r w:rsidR="00105D44">
        <w:rPr>
          <w:szCs w:val="21"/>
        </w:rPr>
        <w:t xml:space="preserve">HSDP IV has made impressive progress against key milestones including: </w:t>
      </w:r>
      <w:r w:rsidR="00105D44" w:rsidRPr="00105D44">
        <w:rPr>
          <w:szCs w:val="21"/>
        </w:rPr>
        <w:t xml:space="preserve">overall health system improvements such as </w:t>
      </w:r>
      <w:r w:rsidR="00105D44">
        <w:rPr>
          <w:szCs w:val="21"/>
        </w:rPr>
        <w:t xml:space="preserve">the </w:t>
      </w:r>
      <w:r w:rsidR="00105D44" w:rsidRPr="00105D44">
        <w:rPr>
          <w:szCs w:val="21"/>
        </w:rPr>
        <w:t>timely supply of essential drugs, and the increase in</w:t>
      </w:r>
      <w:r w:rsidR="00105D44">
        <w:rPr>
          <w:szCs w:val="21"/>
        </w:rPr>
        <w:t xml:space="preserve"> the number of health centres and </w:t>
      </w:r>
      <w:r w:rsidR="00105D44" w:rsidRPr="00105D44">
        <w:rPr>
          <w:szCs w:val="21"/>
        </w:rPr>
        <w:t xml:space="preserve">hospitals providing basic and comprehensive Emergency Obstetric and Neonatal Care. </w:t>
      </w:r>
      <w:r w:rsidR="00105D44">
        <w:rPr>
          <w:szCs w:val="21"/>
        </w:rPr>
        <w:t xml:space="preserve">Australia’s support has also enabled </w:t>
      </w:r>
      <w:r w:rsidR="00105D44" w:rsidRPr="00105D44">
        <w:rPr>
          <w:szCs w:val="21"/>
        </w:rPr>
        <w:t xml:space="preserve">large-scale training of health workers to improve </w:t>
      </w:r>
      <w:r w:rsidR="00105D44">
        <w:rPr>
          <w:szCs w:val="21"/>
        </w:rPr>
        <w:t xml:space="preserve">the </w:t>
      </w:r>
      <w:r w:rsidR="00105D44" w:rsidRPr="00105D44">
        <w:rPr>
          <w:szCs w:val="21"/>
        </w:rPr>
        <w:t xml:space="preserve">quality </w:t>
      </w:r>
      <w:r w:rsidR="00105D44">
        <w:rPr>
          <w:szCs w:val="21"/>
        </w:rPr>
        <w:t xml:space="preserve">of </w:t>
      </w:r>
      <w:r w:rsidR="00105D44" w:rsidRPr="00105D44">
        <w:rPr>
          <w:szCs w:val="21"/>
        </w:rPr>
        <w:t>health services</w:t>
      </w:r>
      <w:r w:rsidR="00B066F6">
        <w:rPr>
          <w:szCs w:val="21"/>
        </w:rPr>
        <w:t>.</w:t>
      </w:r>
      <w:r w:rsidR="00B50731">
        <w:rPr>
          <w:szCs w:val="21"/>
        </w:rPr>
        <w:t xml:space="preserve">  </w:t>
      </w:r>
      <w:r w:rsidR="003709CC">
        <w:rPr>
          <w:szCs w:val="21"/>
        </w:rPr>
        <w:t xml:space="preserve">Latest figures from </w:t>
      </w:r>
      <w:r w:rsidR="00B50731">
        <w:rPr>
          <w:szCs w:val="21"/>
        </w:rPr>
        <w:t xml:space="preserve">2013-14 </w:t>
      </w:r>
      <w:r w:rsidR="003709CC">
        <w:rPr>
          <w:szCs w:val="21"/>
        </w:rPr>
        <w:t xml:space="preserve">show </w:t>
      </w:r>
      <w:r w:rsidR="00B50731">
        <w:rPr>
          <w:szCs w:val="21"/>
        </w:rPr>
        <w:t>Australia’s support enabled more than 55,000 boys and girls to be vaccinated and almost 16,000 additional births to be attended by a skilled birth attendant.</w:t>
      </w:r>
    </w:p>
    <w:p w:rsidR="00756404" w:rsidRDefault="00472CA3" w:rsidP="00A96AD4">
      <w:pPr>
        <w:pStyle w:val="ListBullet"/>
        <w:numPr>
          <w:ilvl w:val="0"/>
          <w:numId w:val="0"/>
        </w:numPr>
        <w:tabs>
          <w:tab w:val="clear" w:pos="284"/>
        </w:tabs>
        <w:rPr>
          <w:szCs w:val="21"/>
        </w:rPr>
      </w:pPr>
      <w:r>
        <w:rPr>
          <w:szCs w:val="21"/>
        </w:rPr>
        <w:t xml:space="preserve">Australia </w:t>
      </w:r>
      <w:r w:rsidR="006A33B1">
        <w:rPr>
          <w:szCs w:val="21"/>
        </w:rPr>
        <w:t xml:space="preserve">contributed </w:t>
      </w:r>
      <w:r>
        <w:rPr>
          <w:szCs w:val="21"/>
        </w:rPr>
        <w:t xml:space="preserve">to the </w:t>
      </w:r>
      <w:r w:rsidR="000605CB" w:rsidRPr="000605CB">
        <w:rPr>
          <w:szCs w:val="21"/>
        </w:rPr>
        <w:t>Health Pooled Fund (HPF)</w:t>
      </w:r>
      <w:r w:rsidR="006A33B1">
        <w:rPr>
          <w:szCs w:val="21"/>
        </w:rPr>
        <w:t xml:space="preserve"> in South Sudan</w:t>
      </w:r>
      <w:r>
        <w:rPr>
          <w:szCs w:val="21"/>
        </w:rPr>
        <w:t>,</w:t>
      </w:r>
      <w:r w:rsidR="000605CB" w:rsidRPr="000605CB">
        <w:rPr>
          <w:szCs w:val="21"/>
        </w:rPr>
        <w:t xml:space="preserve"> a three-year UK-led multi-donor funding mechanism which aims to </w:t>
      </w:r>
      <w:r>
        <w:rPr>
          <w:szCs w:val="21"/>
        </w:rPr>
        <w:t xml:space="preserve">improve </w:t>
      </w:r>
      <w:r w:rsidR="000605CB" w:rsidRPr="000605CB">
        <w:rPr>
          <w:szCs w:val="21"/>
        </w:rPr>
        <w:t xml:space="preserve">basic health services, particularly for women and children. </w:t>
      </w:r>
      <w:r w:rsidR="00F072E2" w:rsidRPr="00BA08D1">
        <w:rPr>
          <w:szCs w:val="21"/>
        </w:rPr>
        <w:t xml:space="preserve">DFID’s most recent annual review highlights </w:t>
      </w:r>
      <w:r w:rsidR="006A33B1">
        <w:rPr>
          <w:szCs w:val="21"/>
        </w:rPr>
        <w:t>strong results des</w:t>
      </w:r>
      <w:r w:rsidR="00F072E2" w:rsidRPr="00C72905">
        <w:rPr>
          <w:szCs w:val="21"/>
        </w:rPr>
        <w:t xml:space="preserve">pite the </w:t>
      </w:r>
      <w:r w:rsidR="003D1366" w:rsidRPr="00C72905">
        <w:rPr>
          <w:szCs w:val="21"/>
        </w:rPr>
        <w:t xml:space="preserve">December 2013 </w:t>
      </w:r>
      <w:r w:rsidR="00F072E2" w:rsidRPr="00C72905">
        <w:rPr>
          <w:szCs w:val="21"/>
        </w:rPr>
        <w:t>crisis</w:t>
      </w:r>
      <w:r>
        <w:rPr>
          <w:szCs w:val="21"/>
        </w:rPr>
        <w:t>,</w:t>
      </w:r>
      <w:r w:rsidR="00F072E2" w:rsidRPr="00C72905">
        <w:rPr>
          <w:szCs w:val="21"/>
        </w:rPr>
        <w:t xml:space="preserve"> with 11 out of 13 indicators in 2014 being met or exceeded</w:t>
      </w:r>
      <w:r w:rsidR="006A33B1">
        <w:rPr>
          <w:szCs w:val="21"/>
        </w:rPr>
        <w:t>.</w:t>
      </w:r>
      <w:r w:rsidR="00C216DC">
        <w:rPr>
          <w:szCs w:val="21"/>
        </w:rPr>
        <w:t xml:space="preserve"> </w:t>
      </w:r>
      <w:r w:rsidR="006A33B1">
        <w:rPr>
          <w:szCs w:val="21"/>
        </w:rPr>
        <w:t>The r</w:t>
      </w:r>
      <w:r w:rsidR="001F2468" w:rsidRPr="000605CB">
        <w:rPr>
          <w:szCs w:val="21"/>
        </w:rPr>
        <w:t xml:space="preserve">eview highlighted the need for strengthening quality of care needs in the program’s final years.  Australia funded a Social Appraisal </w:t>
      </w:r>
      <w:r w:rsidR="00AF3DC2">
        <w:rPr>
          <w:szCs w:val="21"/>
        </w:rPr>
        <w:t>that</w:t>
      </w:r>
      <w:r w:rsidR="001F2468" w:rsidRPr="000605CB">
        <w:rPr>
          <w:szCs w:val="21"/>
        </w:rPr>
        <w:t xml:space="preserve"> investigated barriers for women to maternal health</w:t>
      </w:r>
      <w:r w:rsidR="00AF3DC2">
        <w:rPr>
          <w:szCs w:val="21"/>
        </w:rPr>
        <w:t xml:space="preserve"> and </w:t>
      </w:r>
      <w:r w:rsidR="001F2468" w:rsidRPr="000605CB">
        <w:rPr>
          <w:szCs w:val="21"/>
        </w:rPr>
        <w:t>informed a gender and social inclusion strategy and workplan. Strong</w:t>
      </w:r>
      <w:r w:rsidR="006A33B1">
        <w:rPr>
          <w:szCs w:val="21"/>
        </w:rPr>
        <w:t xml:space="preserve"> male-dominated cultural practic</w:t>
      </w:r>
      <w:r w:rsidR="001F2468" w:rsidRPr="000605CB">
        <w:rPr>
          <w:szCs w:val="21"/>
        </w:rPr>
        <w:t xml:space="preserve">es and views on family and children </w:t>
      </w:r>
      <w:r w:rsidR="00AF3DC2">
        <w:rPr>
          <w:szCs w:val="21"/>
        </w:rPr>
        <w:t xml:space="preserve">have </w:t>
      </w:r>
      <w:r w:rsidR="001F2468" w:rsidRPr="000605CB">
        <w:rPr>
          <w:szCs w:val="21"/>
        </w:rPr>
        <w:t>presented significant challenges around efforts to improve safe</w:t>
      </w:r>
      <w:r w:rsidR="006A33B1">
        <w:rPr>
          <w:szCs w:val="21"/>
        </w:rPr>
        <w:t xml:space="preserve"> sex and family planning practic</w:t>
      </w:r>
      <w:r w:rsidR="001F2468" w:rsidRPr="000605CB">
        <w:rPr>
          <w:szCs w:val="21"/>
        </w:rPr>
        <w:t>es.  The Program is responding to questions around the proliferation of gender based violence.</w:t>
      </w:r>
      <w:r w:rsidR="00C72905">
        <w:rPr>
          <w:szCs w:val="21"/>
        </w:rPr>
        <w:t xml:space="preserve">  </w:t>
      </w:r>
      <w:r w:rsidRPr="000605CB">
        <w:rPr>
          <w:szCs w:val="21"/>
        </w:rPr>
        <w:t>Australia's commitment to HPF finish</w:t>
      </w:r>
      <w:r w:rsidR="006D7CA7">
        <w:rPr>
          <w:szCs w:val="21"/>
        </w:rPr>
        <w:t>ed</w:t>
      </w:r>
      <w:r w:rsidRPr="000605CB">
        <w:rPr>
          <w:szCs w:val="21"/>
        </w:rPr>
        <w:t xml:space="preserve"> on 30 June 2015. The broader HPF will continue with other donor support</w:t>
      </w:r>
      <w:r w:rsidR="006A33B1">
        <w:rPr>
          <w:szCs w:val="21"/>
        </w:rPr>
        <w:t xml:space="preserve"> until</w:t>
      </w:r>
      <w:r w:rsidRPr="000605CB">
        <w:rPr>
          <w:szCs w:val="21"/>
        </w:rPr>
        <w:t xml:space="preserve"> April 2016.</w:t>
      </w:r>
    </w:p>
    <w:p w:rsidR="00756404" w:rsidRDefault="00B03600" w:rsidP="00A96AD4">
      <w:pPr>
        <w:pStyle w:val="ListBullet"/>
        <w:numPr>
          <w:ilvl w:val="0"/>
          <w:numId w:val="0"/>
        </w:numPr>
        <w:tabs>
          <w:tab w:val="clear" w:pos="284"/>
        </w:tabs>
        <w:rPr>
          <w:szCs w:val="21"/>
        </w:rPr>
      </w:pPr>
      <w:r>
        <w:rPr>
          <w:szCs w:val="21"/>
        </w:rPr>
        <w:t xml:space="preserve">Australia’s </w:t>
      </w:r>
      <w:r w:rsidR="000C5FDC">
        <w:rPr>
          <w:szCs w:val="21"/>
        </w:rPr>
        <w:t>$28.5 m</w:t>
      </w:r>
      <w:r w:rsidR="001D276B">
        <w:rPr>
          <w:szCs w:val="21"/>
        </w:rPr>
        <w:t>illion funding (2011-201</w:t>
      </w:r>
      <w:r w:rsidR="006D7CA7">
        <w:rPr>
          <w:szCs w:val="21"/>
        </w:rPr>
        <w:t>5</w:t>
      </w:r>
      <w:r w:rsidR="001D276B">
        <w:rPr>
          <w:szCs w:val="21"/>
        </w:rPr>
        <w:t xml:space="preserve">) </w:t>
      </w:r>
      <w:r>
        <w:rPr>
          <w:szCs w:val="21"/>
        </w:rPr>
        <w:t xml:space="preserve">for three investments under the </w:t>
      </w:r>
      <w:r w:rsidRPr="00B03600">
        <w:rPr>
          <w:szCs w:val="21"/>
        </w:rPr>
        <w:t>Sustainable Water and Sanitation Services for Africa (</w:t>
      </w:r>
      <w:proofErr w:type="spellStart"/>
      <w:r w:rsidRPr="00B03600">
        <w:rPr>
          <w:szCs w:val="21"/>
        </w:rPr>
        <w:t>SWaSSA</w:t>
      </w:r>
      <w:proofErr w:type="spellEnd"/>
      <w:r w:rsidRPr="00B03600">
        <w:rPr>
          <w:szCs w:val="21"/>
        </w:rPr>
        <w:t xml:space="preserve">) </w:t>
      </w:r>
      <w:r>
        <w:rPr>
          <w:szCs w:val="21"/>
        </w:rPr>
        <w:t xml:space="preserve">Mozambique </w:t>
      </w:r>
      <w:r w:rsidR="006D7CA7">
        <w:rPr>
          <w:szCs w:val="21"/>
        </w:rPr>
        <w:t>investment</w:t>
      </w:r>
      <w:r w:rsidR="00C216DC">
        <w:rPr>
          <w:szCs w:val="21"/>
        </w:rPr>
        <w:t xml:space="preserve"> </w:t>
      </w:r>
      <w:r>
        <w:rPr>
          <w:szCs w:val="21"/>
        </w:rPr>
        <w:t xml:space="preserve">show promising signs of contributing to </w:t>
      </w:r>
      <w:r w:rsidRPr="00B03600">
        <w:rPr>
          <w:szCs w:val="21"/>
        </w:rPr>
        <w:t>increase</w:t>
      </w:r>
      <w:r>
        <w:rPr>
          <w:szCs w:val="21"/>
        </w:rPr>
        <w:t>d</w:t>
      </w:r>
      <w:r w:rsidRPr="00B03600">
        <w:rPr>
          <w:szCs w:val="21"/>
        </w:rPr>
        <w:t xml:space="preserve"> access to safe water, effective sanitation services, and improved hygiene knowledge and practices</w:t>
      </w:r>
      <w:r>
        <w:rPr>
          <w:szCs w:val="21"/>
        </w:rPr>
        <w:t xml:space="preserve">.  </w:t>
      </w:r>
      <w:r w:rsidR="006D7CA7">
        <w:rPr>
          <w:szCs w:val="21"/>
        </w:rPr>
        <w:t xml:space="preserve">In 2014-15, </w:t>
      </w:r>
      <w:r w:rsidR="001A4262">
        <w:rPr>
          <w:szCs w:val="21"/>
        </w:rPr>
        <w:t>t</w:t>
      </w:r>
      <w:r w:rsidRPr="00B03600">
        <w:rPr>
          <w:szCs w:val="21"/>
        </w:rPr>
        <w:t>he initiatives help</w:t>
      </w:r>
      <w:r w:rsidR="000C5FDC">
        <w:rPr>
          <w:szCs w:val="21"/>
        </w:rPr>
        <w:t>ed</w:t>
      </w:r>
      <w:r w:rsidRPr="00B03600">
        <w:rPr>
          <w:szCs w:val="21"/>
        </w:rPr>
        <w:t xml:space="preserve"> establish and accelerate implementation of an institutional and regulatory framework for water supply in smaller cities and towns in </w:t>
      </w:r>
      <w:proofErr w:type="gramStart"/>
      <w:r w:rsidRPr="00B03600">
        <w:rPr>
          <w:szCs w:val="21"/>
        </w:rPr>
        <w:t>Mozambique</w:t>
      </w:r>
      <w:r w:rsidR="006A33B1">
        <w:rPr>
          <w:szCs w:val="21"/>
        </w:rPr>
        <w:t>,</w:t>
      </w:r>
      <w:proofErr w:type="gramEnd"/>
      <w:r w:rsidR="006A33B1">
        <w:rPr>
          <w:szCs w:val="21"/>
        </w:rPr>
        <w:t xml:space="preserve"> </w:t>
      </w:r>
      <w:r w:rsidR="001D276B">
        <w:rPr>
          <w:szCs w:val="21"/>
        </w:rPr>
        <w:t xml:space="preserve">provided more than 19,000 additional women and men </w:t>
      </w:r>
      <w:r w:rsidR="001D276B" w:rsidRPr="001D276B">
        <w:rPr>
          <w:szCs w:val="21"/>
        </w:rPr>
        <w:t>with increased access to safe water</w:t>
      </w:r>
      <w:r w:rsidR="006A33B1">
        <w:rPr>
          <w:szCs w:val="21"/>
        </w:rPr>
        <w:t>,</w:t>
      </w:r>
      <w:r w:rsidR="001D276B">
        <w:rPr>
          <w:szCs w:val="21"/>
        </w:rPr>
        <w:t xml:space="preserve"> and almost 15,000 women and men with </w:t>
      </w:r>
      <w:r w:rsidR="001D276B" w:rsidRPr="001D276B">
        <w:rPr>
          <w:szCs w:val="21"/>
        </w:rPr>
        <w:t>increased access to basic sanitation</w:t>
      </w:r>
      <w:r w:rsidR="001D276B">
        <w:rPr>
          <w:szCs w:val="21"/>
        </w:rPr>
        <w:t xml:space="preserve">. </w:t>
      </w:r>
      <w:proofErr w:type="spellStart"/>
      <w:r w:rsidR="006A33B1">
        <w:rPr>
          <w:szCs w:val="21"/>
        </w:rPr>
        <w:t>SWaSSA</w:t>
      </w:r>
      <w:proofErr w:type="spellEnd"/>
      <w:r w:rsidR="00654765">
        <w:rPr>
          <w:szCs w:val="21"/>
        </w:rPr>
        <w:t xml:space="preserve"> made good progress against </w:t>
      </w:r>
      <w:r w:rsidR="006A33B1">
        <w:rPr>
          <w:szCs w:val="21"/>
        </w:rPr>
        <w:t xml:space="preserve">objectives even though future funding is no longer available. The investment’s </w:t>
      </w:r>
      <w:r w:rsidR="005657C2">
        <w:rPr>
          <w:szCs w:val="21"/>
        </w:rPr>
        <w:t>systemic approach to addressing gender equality issues has made it a reference point for key partners o</w:t>
      </w:r>
      <w:r w:rsidR="005657C2" w:rsidRPr="005657C2">
        <w:rPr>
          <w:szCs w:val="21"/>
        </w:rPr>
        <w:t>n gender issues</w:t>
      </w:r>
      <w:r w:rsidR="006A33B1">
        <w:rPr>
          <w:szCs w:val="21"/>
        </w:rPr>
        <w:t xml:space="preserve">, and the </w:t>
      </w:r>
      <w:r w:rsidR="005657C2">
        <w:rPr>
          <w:szCs w:val="21"/>
        </w:rPr>
        <w:t xml:space="preserve">Government </w:t>
      </w:r>
      <w:r w:rsidR="006A33B1">
        <w:rPr>
          <w:szCs w:val="21"/>
        </w:rPr>
        <w:t xml:space="preserve">of Mozambique has </w:t>
      </w:r>
      <w:r w:rsidR="005657C2">
        <w:rPr>
          <w:szCs w:val="21"/>
        </w:rPr>
        <w:t xml:space="preserve">requested </w:t>
      </w:r>
      <w:r w:rsidR="006A33B1">
        <w:rPr>
          <w:szCs w:val="21"/>
        </w:rPr>
        <w:t>i</w:t>
      </w:r>
      <w:r w:rsidR="005657C2">
        <w:rPr>
          <w:szCs w:val="21"/>
        </w:rPr>
        <w:t>t</w:t>
      </w:r>
      <w:r w:rsidR="005657C2" w:rsidRPr="005657C2">
        <w:rPr>
          <w:szCs w:val="21"/>
        </w:rPr>
        <w:t xml:space="preserve"> contribute to the National Gender Strategy for the Water and Sanitation sector.</w:t>
      </w:r>
    </w:p>
    <w:p w:rsidR="009E45DC" w:rsidRDefault="00101F57" w:rsidP="00A96AD4">
      <w:pPr>
        <w:pStyle w:val="ListBullet"/>
        <w:numPr>
          <w:ilvl w:val="0"/>
          <w:numId w:val="0"/>
        </w:numPr>
        <w:tabs>
          <w:tab w:val="clear" w:pos="284"/>
        </w:tabs>
        <w:rPr>
          <w:szCs w:val="21"/>
        </w:rPr>
      </w:pPr>
      <w:r>
        <w:rPr>
          <w:szCs w:val="21"/>
        </w:rPr>
        <w:t>Australia’s $17.5 million support (2010</w:t>
      </w:r>
      <w:r w:rsidR="000C21D6">
        <w:rPr>
          <w:szCs w:val="21"/>
        </w:rPr>
        <w:t>-</w:t>
      </w:r>
      <w:r>
        <w:rPr>
          <w:szCs w:val="21"/>
        </w:rPr>
        <w:t xml:space="preserve">2015) through the SADC </w:t>
      </w:r>
      <w:proofErr w:type="spellStart"/>
      <w:r w:rsidR="00C26A2D">
        <w:rPr>
          <w:szCs w:val="21"/>
        </w:rPr>
        <w:t>Transboundary</w:t>
      </w:r>
      <w:proofErr w:type="spellEnd"/>
      <w:r w:rsidR="00C26A2D">
        <w:rPr>
          <w:szCs w:val="21"/>
        </w:rPr>
        <w:t xml:space="preserve"> Water Management </w:t>
      </w:r>
      <w:r>
        <w:rPr>
          <w:szCs w:val="21"/>
        </w:rPr>
        <w:t>Programme</w:t>
      </w:r>
      <w:r w:rsidR="000C21D6">
        <w:rPr>
          <w:szCs w:val="21"/>
        </w:rPr>
        <w:t xml:space="preserve"> (</w:t>
      </w:r>
      <w:r>
        <w:rPr>
          <w:szCs w:val="21"/>
        </w:rPr>
        <w:t>Phase III</w:t>
      </w:r>
      <w:r w:rsidR="000C21D6">
        <w:rPr>
          <w:szCs w:val="21"/>
        </w:rPr>
        <w:t>)</w:t>
      </w:r>
      <w:r>
        <w:rPr>
          <w:szCs w:val="21"/>
        </w:rPr>
        <w:t xml:space="preserve"> </w:t>
      </w:r>
      <w:r w:rsidR="00536440">
        <w:rPr>
          <w:szCs w:val="21"/>
        </w:rPr>
        <w:t xml:space="preserve">has </w:t>
      </w:r>
      <w:r w:rsidR="00F363BF">
        <w:rPr>
          <w:szCs w:val="21"/>
        </w:rPr>
        <w:t xml:space="preserve">contributed to </w:t>
      </w:r>
      <w:r w:rsidR="00536440">
        <w:rPr>
          <w:szCs w:val="21"/>
        </w:rPr>
        <w:t xml:space="preserve">improved </w:t>
      </w:r>
      <w:r>
        <w:rPr>
          <w:szCs w:val="21"/>
        </w:rPr>
        <w:t>water management</w:t>
      </w:r>
      <w:r w:rsidR="00536440">
        <w:rPr>
          <w:szCs w:val="21"/>
        </w:rPr>
        <w:t xml:space="preserve"> and</w:t>
      </w:r>
      <w:r w:rsidR="00C216DC">
        <w:rPr>
          <w:szCs w:val="21"/>
        </w:rPr>
        <w:t xml:space="preserve"> </w:t>
      </w:r>
      <w:r>
        <w:rPr>
          <w:szCs w:val="21"/>
        </w:rPr>
        <w:t>water governance</w:t>
      </w:r>
      <w:r w:rsidR="00F363BF">
        <w:rPr>
          <w:szCs w:val="21"/>
        </w:rPr>
        <w:t xml:space="preserve"> during 2014-15</w:t>
      </w:r>
      <w:r>
        <w:rPr>
          <w:szCs w:val="21"/>
        </w:rPr>
        <w:t>.  In a water</w:t>
      </w:r>
      <w:r w:rsidR="000C21D6">
        <w:rPr>
          <w:szCs w:val="21"/>
        </w:rPr>
        <w:t>-</w:t>
      </w:r>
      <w:r>
        <w:rPr>
          <w:szCs w:val="21"/>
        </w:rPr>
        <w:t>scarce region, wh</w:t>
      </w:r>
      <w:r w:rsidR="00C26A2D">
        <w:rPr>
          <w:szCs w:val="21"/>
        </w:rPr>
        <w:t>ere 70 per</w:t>
      </w:r>
      <w:r w:rsidR="000C21D6">
        <w:rPr>
          <w:szCs w:val="21"/>
        </w:rPr>
        <w:t xml:space="preserve"> </w:t>
      </w:r>
      <w:r w:rsidR="00C26A2D">
        <w:rPr>
          <w:szCs w:val="21"/>
        </w:rPr>
        <w:t>cent of water resourc</w:t>
      </w:r>
      <w:r>
        <w:rPr>
          <w:szCs w:val="21"/>
        </w:rPr>
        <w:t>e</w:t>
      </w:r>
      <w:r w:rsidR="00C26A2D">
        <w:rPr>
          <w:szCs w:val="21"/>
        </w:rPr>
        <w:t>s</w:t>
      </w:r>
      <w:r>
        <w:rPr>
          <w:szCs w:val="21"/>
        </w:rPr>
        <w:t xml:space="preserve"> </w:t>
      </w:r>
      <w:proofErr w:type="spellStart"/>
      <w:r w:rsidR="009E45DC">
        <w:rPr>
          <w:szCs w:val="21"/>
        </w:rPr>
        <w:t>cross</w:t>
      </w:r>
      <w:proofErr w:type="spellEnd"/>
      <w:r w:rsidR="009E45DC">
        <w:rPr>
          <w:szCs w:val="21"/>
        </w:rPr>
        <w:t xml:space="preserve"> international borders</w:t>
      </w:r>
      <w:r>
        <w:rPr>
          <w:szCs w:val="21"/>
        </w:rPr>
        <w:t xml:space="preserve">, the program </w:t>
      </w:r>
      <w:r w:rsidR="00F15C74">
        <w:rPr>
          <w:szCs w:val="21"/>
        </w:rPr>
        <w:t>c</w:t>
      </w:r>
      <w:r>
        <w:rPr>
          <w:szCs w:val="21"/>
        </w:rPr>
        <w:t xml:space="preserve">ontributes to an effective regional </w:t>
      </w:r>
      <w:r w:rsidR="00C26A2D">
        <w:rPr>
          <w:szCs w:val="21"/>
        </w:rPr>
        <w:t xml:space="preserve">water governance environment, </w:t>
      </w:r>
      <w:r>
        <w:rPr>
          <w:szCs w:val="21"/>
        </w:rPr>
        <w:t xml:space="preserve">enabling delivery of </w:t>
      </w:r>
      <w:r w:rsidR="00C26A2D">
        <w:rPr>
          <w:szCs w:val="21"/>
        </w:rPr>
        <w:t xml:space="preserve">sustainable </w:t>
      </w:r>
      <w:r>
        <w:rPr>
          <w:szCs w:val="21"/>
        </w:rPr>
        <w:t>access to water and sanitation Southern Africa</w:t>
      </w:r>
      <w:r w:rsidR="009E45DC">
        <w:rPr>
          <w:szCs w:val="21"/>
        </w:rPr>
        <w:t>n countries</w:t>
      </w:r>
      <w:r>
        <w:rPr>
          <w:szCs w:val="21"/>
        </w:rPr>
        <w:t xml:space="preserve">.  </w:t>
      </w:r>
      <w:r w:rsidR="00C26A2D">
        <w:rPr>
          <w:szCs w:val="21"/>
        </w:rPr>
        <w:t xml:space="preserve">The program has achieved </w:t>
      </w:r>
      <w:r w:rsidR="00F363BF">
        <w:rPr>
          <w:szCs w:val="21"/>
        </w:rPr>
        <w:t>strong</w:t>
      </w:r>
      <w:r w:rsidR="001A4262">
        <w:rPr>
          <w:szCs w:val="21"/>
        </w:rPr>
        <w:t xml:space="preserve"> </w:t>
      </w:r>
      <w:r w:rsidR="00C26A2D">
        <w:rPr>
          <w:szCs w:val="21"/>
        </w:rPr>
        <w:t>results including increased resilience and improved flood warning systems</w:t>
      </w:r>
      <w:r w:rsidR="009E45DC">
        <w:rPr>
          <w:szCs w:val="21"/>
        </w:rPr>
        <w:t>,</w:t>
      </w:r>
      <w:r w:rsidR="00C26A2D">
        <w:rPr>
          <w:szCs w:val="21"/>
        </w:rPr>
        <w:t xml:space="preserve"> the facilitation of two additional partnerships which will lead to better services delivered beyond the life of the program</w:t>
      </w:r>
      <w:r w:rsidR="009E45DC">
        <w:rPr>
          <w:szCs w:val="21"/>
        </w:rPr>
        <w:t>,</w:t>
      </w:r>
      <w:r w:rsidR="00C26A2D">
        <w:rPr>
          <w:szCs w:val="21"/>
        </w:rPr>
        <w:t xml:space="preserve"> the </w:t>
      </w:r>
      <w:r w:rsidR="00C26A2D" w:rsidRPr="00C26A2D">
        <w:rPr>
          <w:szCs w:val="21"/>
        </w:rPr>
        <w:t>development of flood risk mapping and planning tools</w:t>
      </w:r>
      <w:r w:rsidR="00536440">
        <w:rPr>
          <w:szCs w:val="21"/>
        </w:rPr>
        <w:t>.</w:t>
      </w:r>
      <w:r w:rsidR="00C26A2D" w:rsidRPr="00C26A2D">
        <w:rPr>
          <w:szCs w:val="21"/>
        </w:rPr>
        <w:t xml:space="preserve"> </w:t>
      </w:r>
    </w:p>
    <w:p w:rsidR="009561B4" w:rsidRPr="005058C3" w:rsidRDefault="00F15C74" w:rsidP="00A96AD4">
      <w:pPr>
        <w:pStyle w:val="ListBullet"/>
        <w:numPr>
          <w:ilvl w:val="0"/>
          <w:numId w:val="0"/>
        </w:numPr>
        <w:tabs>
          <w:tab w:val="clear" w:pos="284"/>
        </w:tabs>
        <w:rPr>
          <w:szCs w:val="21"/>
        </w:rPr>
      </w:pPr>
      <w:r>
        <w:rPr>
          <w:szCs w:val="21"/>
        </w:rPr>
        <w:t xml:space="preserve">The program has made notable achievements on successfully mainstreaming gender into its activities.  The gender mainstreaming </w:t>
      </w:r>
      <w:r w:rsidRPr="00F15C74">
        <w:rPr>
          <w:szCs w:val="21"/>
        </w:rPr>
        <w:t xml:space="preserve">handbook </w:t>
      </w:r>
      <w:r>
        <w:rPr>
          <w:szCs w:val="21"/>
        </w:rPr>
        <w:t xml:space="preserve">produced will </w:t>
      </w:r>
      <w:r w:rsidRPr="00F15C74">
        <w:rPr>
          <w:szCs w:val="21"/>
        </w:rPr>
        <w:t xml:space="preserve">provide </w:t>
      </w:r>
      <w:r>
        <w:rPr>
          <w:szCs w:val="21"/>
        </w:rPr>
        <w:t>clear guidance for ensuring gender considerations are</w:t>
      </w:r>
      <w:r w:rsidRPr="005058C3">
        <w:rPr>
          <w:szCs w:val="21"/>
        </w:rPr>
        <w:t xml:space="preserve"> integrated into each step of the water resource management project cycle.</w:t>
      </w:r>
      <w:r w:rsidR="009561B4" w:rsidRPr="005058C3">
        <w:rPr>
          <w:szCs w:val="21"/>
        </w:rPr>
        <w:t xml:space="preserve"> </w:t>
      </w:r>
    </w:p>
    <w:p w:rsidR="00DF0DD9" w:rsidRPr="005058C3" w:rsidRDefault="00DF0DD9" w:rsidP="00AF3DC2">
      <w:pPr>
        <w:pStyle w:val="ListBullet"/>
        <w:numPr>
          <w:ilvl w:val="0"/>
          <w:numId w:val="0"/>
        </w:numPr>
        <w:tabs>
          <w:tab w:val="clear" w:pos="284"/>
          <w:tab w:val="left" w:pos="720"/>
        </w:tabs>
        <w:spacing w:line="276" w:lineRule="auto"/>
        <w:rPr>
          <w:szCs w:val="21"/>
        </w:rPr>
      </w:pPr>
      <w:r w:rsidRPr="005058C3">
        <w:rPr>
          <w:szCs w:val="21"/>
        </w:rPr>
        <w:t xml:space="preserve">Australia’s $25 million contribution </w:t>
      </w:r>
      <w:r w:rsidR="009E45DC">
        <w:rPr>
          <w:szCs w:val="21"/>
        </w:rPr>
        <w:t>to</w:t>
      </w:r>
      <w:r w:rsidRPr="005058C3">
        <w:rPr>
          <w:szCs w:val="21"/>
        </w:rPr>
        <w:t xml:space="preserve"> the Urban Water Supply and Sanitation in Zimbabwe program (2011</w:t>
      </w:r>
      <w:r w:rsidR="009E45DC">
        <w:rPr>
          <w:szCs w:val="21"/>
        </w:rPr>
        <w:t>-</w:t>
      </w:r>
      <w:r w:rsidRPr="005058C3">
        <w:rPr>
          <w:szCs w:val="21"/>
        </w:rPr>
        <w:t xml:space="preserve">2016), has contributed to improved access to water, sanitation and health outcomes.  The joint DFAT- GIZ program </w:t>
      </w:r>
      <w:r w:rsidR="009E45DC">
        <w:rPr>
          <w:szCs w:val="21"/>
        </w:rPr>
        <w:t>aims</w:t>
      </w:r>
      <w:r w:rsidRPr="005058C3">
        <w:rPr>
          <w:szCs w:val="21"/>
        </w:rPr>
        <w:t xml:space="preserve"> to restore reliable water and sanitation to six towns, provide institutional support to local authorities and re-establish sewerage and solid waste management.  </w:t>
      </w:r>
      <w:r w:rsidR="009E45DC" w:rsidRPr="009E45DC">
        <w:rPr>
          <w:szCs w:val="21"/>
        </w:rPr>
        <w:t xml:space="preserve">In 2014-15, our support provided 15,000 additional women and men with increased access to safe water.  </w:t>
      </w:r>
      <w:r w:rsidRPr="005058C3">
        <w:rPr>
          <w:szCs w:val="21"/>
        </w:rPr>
        <w:t>The program has been responsive to addressing social inclusion needs</w:t>
      </w:r>
      <w:r w:rsidR="009E45DC">
        <w:rPr>
          <w:szCs w:val="21"/>
        </w:rPr>
        <w:t>, but i</w:t>
      </w:r>
      <w:r w:rsidRPr="005058C3">
        <w:rPr>
          <w:szCs w:val="21"/>
        </w:rPr>
        <w:t>t is too early to determine the longer term financial sustainability of the institutions supported.</w:t>
      </w:r>
    </w:p>
    <w:p w:rsidR="00AF3DC2" w:rsidRDefault="00592CE4" w:rsidP="00AF3DC2">
      <w:pPr>
        <w:pStyle w:val="DotPoint"/>
        <w:numPr>
          <w:ilvl w:val="0"/>
          <w:numId w:val="0"/>
        </w:numPr>
        <w:spacing w:after="120" w:line="276" w:lineRule="auto"/>
        <w:rPr>
          <w:rFonts w:ascii="Franklin Gothic Book" w:hAnsi="Franklin Gothic Book"/>
          <w:sz w:val="21"/>
          <w:szCs w:val="21"/>
        </w:rPr>
      </w:pPr>
      <w:r w:rsidRPr="005058C3">
        <w:rPr>
          <w:rFonts w:ascii="Franklin Gothic Book" w:hAnsi="Franklin Gothic Book"/>
          <w:sz w:val="21"/>
          <w:szCs w:val="21"/>
        </w:rPr>
        <w:t xml:space="preserve">The </w:t>
      </w:r>
      <w:r w:rsidR="00DF0DD9" w:rsidRPr="005058C3">
        <w:rPr>
          <w:rFonts w:ascii="Franklin Gothic Book" w:hAnsi="Franklin Gothic Book"/>
          <w:sz w:val="21"/>
          <w:szCs w:val="21"/>
        </w:rPr>
        <w:t xml:space="preserve">UNICEF </w:t>
      </w:r>
      <w:r w:rsidRPr="005058C3">
        <w:rPr>
          <w:rFonts w:ascii="Franklin Gothic Book" w:hAnsi="Franklin Gothic Book"/>
          <w:sz w:val="21"/>
          <w:szCs w:val="21"/>
        </w:rPr>
        <w:t xml:space="preserve">Small Towns Water Sanitation and Hygiene (STWSH) Program </w:t>
      </w:r>
      <w:r w:rsidR="00CF668D" w:rsidRPr="005058C3">
        <w:rPr>
          <w:rFonts w:ascii="Franklin Gothic Book" w:hAnsi="Franklin Gothic Book"/>
          <w:sz w:val="21"/>
          <w:szCs w:val="21"/>
        </w:rPr>
        <w:t xml:space="preserve">aims to increase access to safe water and improved sanitation in </w:t>
      </w:r>
      <w:r w:rsidR="00F363BF" w:rsidRPr="005058C3">
        <w:rPr>
          <w:rFonts w:ascii="Franklin Gothic Book" w:hAnsi="Franklin Gothic Book"/>
          <w:sz w:val="21"/>
          <w:szCs w:val="21"/>
        </w:rPr>
        <w:t xml:space="preserve">seven </w:t>
      </w:r>
      <w:r w:rsidR="00CF668D" w:rsidRPr="005058C3">
        <w:rPr>
          <w:rFonts w:ascii="Franklin Gothic Book" w:hAnsi="Franklin Gothic Book"/>
          <w:sz w:val="21"/>
          <w:szCs w:val="21"/>
        </w:rPr>
        <w:t>small and medium sized towns</w:t>
      </w:r>
      <w:r w:rsidR="005974E9">
        <w:rPr>
          <w:rFonts w:ascii="Franklin Gothic Book" w:hAnsi="Franklin Gothic Book"/>
          <w:sz w:val="21"/>
          <w:szCs w:val="21"/>
        </w:rPr>
        <w:t xml:space="preserve"> in Zimbabwe</w:t>
      </w:r>
      <w:r w:rsidR="00CF668D" w:rsidRPr="005058C3">
        <w:rPr>
          <w:rFonts w:ascii="Franklin Gothic Book" w:hAnsi="Franklin Gothic Book"/>
          <w:sz w:val="21"/>
          <w:szCs w:val="21"/>
        </w:rPr>
        <w:t xml:space="preserve"> through </w:t>
      </w:r>
      <w:r w:rsidR="009E45DC">
        <w:rPr>
          <w:rFonts w:ascii="Franklin Gothic Book" w:hAnsi="Franklin Gothic Book"/>
          <w:sz w:val="21"/>
          <w:szCs w:val="21"/>
        </w:rPr>
        <w:t xml:space="preserve">the </w:t>
      </w:r>
      <w:r w:rsidR="00CF668D" w:rsidRPr="005058C3">
        <w:rPr>
          <w:rFonts w:ascii="Franklin Gothic Book" w:hAnsi="Franklin Gothic Book"/>
          <w:sz w:val="21"/>
          <w:szCs w:val="21"/>
        </w:rPr>
        <w:t xml:space="preserve">rehabilitation of water and sanitation infrastructure, institutional support and hygiene promotion. </w:t>
      </w:r>
      <w:r w:rsidRPr="005058C3">
        <w:rPr>
          <w:rFonts w:ascii="Franklin Gothic Book" w:hAnsi="Franklin Gothic Book"/>
          <w:sz w:val="21"/>
          <w:szCs w:val="21"/>
        </w:rPr>
        <w:t xml:space="preserve">This in turn will likely decrease the incidence of water borne diseases.  Through the program, </w:t>
      </w:r>
      <w:r w:rsidR="009E45DC">
        <w:rPr>
          <w:rFonts w:ascii="Franklin Gothic Book" w:hAnsi="Franklin Gothic Book"/>
          <w:sz w:val="21"/>
          <w:szCs w:val="21"/>
        </w:rPr>
        <w:t>Australia has assisted</w:t>
      </w:r>
      <w:r w:rsidR="00CF668D" w:rsidRPr="005058C3">
        <w:rPr>
          <w:rFonts w:ascii="Franklin Gothic Book" w:hAnsi="Franklin Gothic Book"/>
          <w:sz w:val="21"/>
          <w:szCs w:val="21"/>
        </w:rPr>
        <w:t xml:space="preserve"> more than 6,500 women and men increased access to basic sanitation</w:t>
      </w:r>
      <w:r w:rsidR="00F363BF" w:rsidRPr="005058C3">
        <w:rPr>
          <w:rFonts w:ascii="Franklin Gothic Book" w:hAnsi="Franklin Gothic Book"/>
          <w:sz w:val="21"/>
          <w:szCs w:val="21"/>
        </w:rPr>
        <w:t xml:space="preserve"> in 2014-15</w:t>
      </w:r>
      <w:r w:rsidR="00987FFC" w:rsidRPr="005058C3">
        <w:rPr>
          <w:rFonts w:ascii="Franklin Gothic Book" w:hAnsi="Franklin Gothic Book"/>
          <w:sz w:val="21"/>
          <w:szCs w:val="21"/>
        </w:rPr>
        <w:t xml:space="preserve">.  </w:t>
      </w:r>
      <w:r w:rsidR="00EC27E5" w:rsidRPr="005058C3">
        <w:rPr>
          <w:rFonts w:ascii="Franklin Gothic Book" w:hAnsi="Franklin Gothic Book"/>
          <w:sz w:val="21"/>
          <w:szCs w:val="21"/>
        </w:rPr>
        <w:t xml:space="preserve">DFAT responded to budget cuts in 2013 and 2014 by slightly reducing the </w:t>
      </w:r>
      <w:r w:rsidR="00B40D43" w:rsidRPr="005058C3">
        <w:rPr>
          <w:rFonts w:ascii="Franklin Gothic Book" w:hAnsi="Franklin Gothic Book"/>
          <w:sz w:val="21"/>
          <w:szCs w:val="21"/>
        </w:rPr>
        <w:t>original scope of rehabilitation work</w:t>
      </w:r>
      <w:r w:rsidR="009E45DC">
        <w:rPr>
          <w:rFonts w:ascii="Franklin Gothic Book" w:hAnsi="Franklin Gothic Book"/>
          <w:sz w:val="21"/>
          <w:szCs w:val="21"/>
        </w:rPr>
        <w:t>s</w:t>
      </w:r>
      <w:r w:rsidR="00B40D43" w:rsidRPr="005058C3">
        <w:rPr>
          <w:rFonts w:ascii="Franklin Gothic Book" w:hAnsi="Franklin Gothic Book"/>
          <w:sz w:val="21"/>
          <w:szCs w:val="21"/>
        </w:rPr>
        <w:t xml:space="preserve">.  </w:t>
      </w:r>
      <w:r w:rsidR="00987FFC" w:rsidRPr="005058C3">
        <w:rPr>
          <w:rFonts w:ascii="Franklin Gothic Book" w:hAnsi="Franklin Gothic Book"/>
          <w:sz w:val="21"/>
          <w:szCs w:val="21"/>
        </w:rPr>
        <w:t xml:space="preserve">Nonetheless, </w:t>
      </w:r>
      <w:r w:rsidR="00B40D43" w:rsidRPr="005058C3">
        <w:rPr>
          <w:rFonts w:ascii="Franklin Gothic Book" w:hAnsi="Franklin Gothic Book"/>
          <w:sz w:val="21"/>
          <w:szCs w:val="21"/>
        </w:rPr>
        <w:t xml:space="preserve">UNICEF’s report notes promising progress towards investment milestones.  </w:t>
      </w:r>
      <w:r w:rsidR="00987FFC" w:rsidRPr="005058C3">
        <w:rPr>
          <w:rFonts w:ascii="Franklin Gothic Book" w:hAnsi="Franklin Gothic Book"/>
          <w:sz w:val="21"/>
          <w:szCs w:val="21"/>
        </w:rPr>
        <w:t xml:space="preserve">UNICEF has developed a strategy to address gender gaps following a gender analysis </w:t>
      </w:r>
      <w:r w:rsidR="009E45DC">
        <w:rPr>
          <w:rFonts w:ascii="Franklin Gothic Book" w:hAnsi="Franklin Gothic Book"/>
          <w:sz w:val="21"/>
          <w:szCs w:val="21"/>
        </w:rPr>
        <w:t>conducted</w:t>
      </w:r>
      <w:r w:rsidR="00C728B6" w:rsidRPr="005058C3">
        <w:rPr>
          <w:rFonts w:ascii="Franklin Gothic Book" w:hAnsi="Franklin Gothic Book"/>
          <w:sz w:val="21"/>
          <w:szCs w:val="21"/>
        </w:rPr>
        <w:t xml:space="preserve"> </w:t>
      </w:r>
      <w:r w:rsidR="00987FFC" w:rsidRPr="005058C3">
        <w:rPr>
          <w:rFonts w:ascii="Franklin Gothic Book" w:hAnsi="Franklin Gothic Book"/>
          <w:sz w:val="21"/>
          <w:szCs w:val="21"/>
        </w:rPr>
        <w:t>in 2014.  This will be supported by the Gender Technical Working Group, which will provide training tools on gender for NGOs and local authorities.</w:t>
      </w:r>
    </w:p>
    <w:p w:rsidR="00AF3DC2" w:rsidRDefault="00592CE4" w:rsidP="00AF3DC2">
      <w:pPr>
        <w:pStyle w:val="DotPoint"/>
        <w:numPr>
          <w:ilvl w:val="0"/>
          <w:numId w:val="0"/>
        </w:numPr>
        <w:spacing w:after="120" w:line="276" w:lineRule="auto"/>
        <w:rPr>
          <w:rFonts w:ascii="Franklin Gothic Book" w:hAnsi="Franklin Gothic Book"/>
          <w:sz w:val="21"/>
          <w:szCs w:val="21"/>
        </w:rPr>
      </w:pPr>
      <w:r w:rsidRPr="005058C3">
        <w:rPr>
          <w:rFonts w:ascii="Franklin Gothic Book" w:hAnsi="Franklin Gothic Book"/>
          <w:sz w:val="21"/>
          <w:szCs w:val="21"/>
        </w:rPr>
        <w:t>Australi</w:t>
      </w:r>
      <w:r w:rsidR="00536440" w:rsidRPr="005058C3">
        <w:rPr>
          <w:rFonts w:ascii="Franklin Gothic Book" w:hAnsi="Franklin Gothic Book"/>
          <w:sz w:val="21"/>
          <w:szCs w:val="21"/>
        </w:rPr>
        <w:t xml:space="preserve">a’s support to the </w:t>
      </w:r>
      <w:r w:rsidRPr="005058C3">
        <w:rPr>
          <w:rFonts w:ascii="Franklin Gothic Book" w:hAnsi="Franklin Gothic Book"/>
          <w:sz w:val="21"/>
          <w:szCs w:val="21"/>
        </w:rPr>
        <w:t>Zimbabwe Multi Donor Trust Fund (</w:t>
      </w:r>
      <w:proofErr w:type="spellStart"/>
      <w:r w:rsidRPr="005058C3">
        <w:rPr>
          <w:rFonts w:ascii="Franklin Gothic Book" w:hAnsi="Franklin Gothic Book"/>
          <w:sz w:val="21"/>
          <w:szCs w:val="21"/>
        </w:rPr>
        <w:t>ZimFund</w:t>
      </w:r>
      <w:proofErr w:type="spellEnd"/>
      <w:r w:rsidRPr="005058C3">
        <w:rPr>
          <w:rFonts w:ascii="Franklin Gothic Book" w:hAnsi="Franklin Gothic Book"/>
          <w:sz w:val="21"/>
          <w:szCs w:val="21"/>
        </w:rPr>
        <w:t>)</w:t>
      </w:r>
      <w:r w:rsidR="00536440" w:rsidRPr="005058C3">
        <w:rPr>
          <w:rFonts w:ascii="Franklin Gothic Book" w:hAnsi="Franklin Gothic Book"/>
          <w:sz w:val="21"/>
          <w:szCs w:val="21"/>
        </w:rPr>
        <w:t xml:space="preserve"> has contributed to improving vital infrastructure to enhance the availability and quality of water supply and sanitation in Zimbabwe</w:t>
      </w:r>
      <w:r w:rsidRPr="005058C3">
        <w:rPr>
          <w:rFonts w:ascii="Franklin Gothic Book" w:hAnsi="Franklin Gothic Book"/>
          <w:sz w:val="21"/>
          <w:szCs w:val="21"/>
        </w:rPr>
        <w:t xml:space="preserve">.  </w:t>
      </w:r>
      <w:proofErr w:type="spellStart"/>
      <w:r w:rsidR="00D50A0F" w:rsidRPr="005058C3">
        <w:rPr>
          <w:rFonts w:ascii="Franklin Gothic Book" w:hAnsi="Franklin Gothic Book"/>
          <w:sz w:val="21"/>
          <w:szCs w:val="21"/>
        </w:rPr>
        <w:t>ZimFund's</w:t>
      </w:r>
      <w:proofErr w:type="spellEnd"/>
      <w:r w:rsidR="00D50A0F" w:rsidRPr="005058C3">
        <w:rPr>
          <w:rFonts w:ascii="Franklin Gothic Book" w:hAnsi="Franklin Gothic Book"/>
          <w:sz w:val="21"/>
          <w:szCs w:val="21"/>
        </w:rPr>
        <w:t xml:space="preserve"> December 2014 report notes </w:t>
      </w:r>
      <w:r w:rsidR="00EC27E5" w:rsidRPr="005058C3">
        <w:rPr>
          <w:rFonts w:ascii="Franklin Gothic Book" w:hAnsi="Franklin Gothic Book"/>
          <w:sz w:val="21"/>
          <w:szCs w:val="21"/>
        </w:rPr>
        <w:t xml:space="preserve">good </w:t>
      </w:r>
      <w:r w:rsidR="00D50A0F" w:rsidRPr="005058C3">
        <w:rPr>
          <w:rFonts w:ascii="Franklin Gothic Book" w:hAnsi="Franklin Gothic Book"/>
          <w:sz w:val="21"/>
          <w:szCs w:val="21"/>
        </w:rPr>
        <w:t>progress towards</w:t>
      </w:r>
      <w:r w:rsidR="00B066F6" w:rsidRPr="005058C3">
        <w:rPr>
          <w:rFonts w:ascii="Franklin Gothic Book" w:hAnsi="Franklin Gothic Book"/>
          <w:sz w:val="21"/>
          <w:szCs w:val="21"/>
        </w:rPr>
        <w:t xml:space="preserve"> </w:t>
      </w:r>
      <w:r w:rsidR="00A4337B" w:rsidRPr="005058C3">
        <w:rPr>
          <w:rFonts w:ascii="Franklin Gothic Book" w:hAnsi="Franklin Gothic Book"/>
          <w:sz w:val="21"/>
          <w:szCs w:val="21"/>
        </w:rPr>
        <w:t>the rehabilitation of critical infrastructure</w:t>
      </w:r>
      <w:r w:rsidR="00D50A0F" w:rsidRPr="005058C3">
        <w:rPr>
          <w:rFonts w:ascii="Franklin Gothic Book" w:hAnsi="Franklin Gothic Book"/>
          <w:sz w:val="21"/>
          <w:szCs w:val="21"/>
        </w:rPr>
        <w:t xml:space="preserve"> with 90 per</w:t>
      </w:r>
      <w:r w:rsidR="009E45DC">
        <w:rPr>
          <w:rFonts w:ascii="Franklin Gothic Book" w:hAnsi="Franklin Gothic Book"/>
          <w:sz w:val="21"/>
          <w:szCs w:val="21"/>
        </w:rPr>
        <w:t xml:space="preserve"> </w:t>
      </w:r>
      <w:r w:rsidR="00D50A0F" w:rsidRPr="005058C3">
        <w:rPr>
          <w:rFonts w:ascii="Franklin Gothic Book" w:hAnsi="Franklin Gothic Book"/>
          <w:sz w:val="21"/>
          <w:szCs w:val="21"/>
        </w:rPr>
        <w:t xml:space="preserve">cent of work contracts complete.  </w:t>
      </w:r>
      <w:proofErr w:type="spellStart"/>
      <w:r w:rsidR="00D50A0F" w:rsidRPr="005058C3">
        <w:rPr>
          <w:rFonts w:ascii="Franklin Gothic Book" w:hAnsi="Franklin Gothic Book"/>
          <w:sz w:val="21"/>
          <w:szCs w:val="21"/>
        </w:rPr>
        <w:t>ZimFund</w:t>
      </w:r>
      <w:proofErr w:type="spellEnd"/>
      <w:r w:rsidR="00D50A0F" w:rsidRPr="005058C3">
        <w:rPr>
          <w:rFonts w:ascii="Franklin Gothic Book" w:hAnsi="Franklin Gothic Book"/>
          <w:sz w:val="21"/>
          <w:szCs w:val="21"/>
        </w:rPr>
        <w:t xml:space="preserve"> </w:t>
      </w:r>
      <w:r w:rsidR="00A4337B" w:rsidRPr="005058C3">
        <w:rPr>
          <w:rFonts w:ascii="Franklin Gothic Book" w:hAnsi="Franklin Gothic Book"/>
          <w:sz w:val="21"/>
          <w:szCs w:val="21"/>
        </w:rPr>
        <w:t xml:space="preserve">will </w:t>
      </w:r>
      <w:r w:rsidR="00AC589D" w:rsidRPr="005058C3">
        <w:rPr>
          <w:rFonts w:ascii="Franklin Gothic Book" w:hAnsi="Franklin Gothic Book"/>
          <w:sz w:val="21"/>
          <w:szCs w:val="21"/>
        </w:rPr>
        <w:t>c</w:t>
      </w:r>
      <w:r w:rsidR="00D50A0F" w:rsidRPr="005058C3">
        <w:rPr>
          <w:rFonts w:ascii="Franklin Gothic Book" w:hAnsi="Franklin Gothic Book"/>
          <w:sz w:val="21"/>
          <w:szCs w:val="21"/>
        </w:rPr>
        <w:t>onduct a gender analysis to inform programming and policy dialogue discussions with key partners</w:t>
      </w:r>
      <w:r w:rsidR="00A4337B" w:rsidRPr="005058C3">
        <w:rPr>
          <w:rFonts w:ascii="Franklin Gothic Book" w:hAnsi="Franklin Gothic Book"/>
          <w:sz w:val="21"/>
          <w:szCs w:val="21"/>
        </w:rPr>
        <w:t xml:space="preserve"> following recommendations from a 2014 donor review.</w:t>
      </w:r>
    </w:p>
    <w:p w:rsidR="005058C3" w:rsidRPr="00B653FE" w:rsidRDefault="005058C3" w:rsidP="00AF3DC2">
      <w:pPr>
        <w:pStyle w:val="DotPoint"/>
        <w:numPr>
          <w:ilvl w:val="0"/>
          <w:numId w:val="0"/>
        </w:numPr>
        <w:spacing w:after="120" w:line="276" w:lineRule="auto"/>
        <w:rPr>
          <w:rFonts w:ascii="Franklin Gothic Book" w:hAnsi="Franklin Gothic Book"/>
          <w:sz w:val="21"/>
          <w:szCs w:val="21"/>
        </w:rPr>
      </w:pPr>
      <w:r w:rsidRPr="009E45DC">
        <w:rPr>
          <w:rFonts w:ascii="Franklin Gothic Book" w:hAnsi="Franklin Gothic Book"/>
          <w:sz w:val="21"/>
          <w:szCs w:val="21"/>
        </w:rPr>
        <w:t>In 2014-15 Australia provided $35 million to the international Ebola response</w:t>
      </w:r>
      <w:r w:rsidR="009E45DC">
        <w:rPr>
          <w:rFonts w:ascii="Franklin Gothic Book" w:hAnsi="Franklin Gothic Book"/>
          <w:sz w:val="21"/>
          <w:szCs w:val="21"/>
        </w:rPr>
        <w:t xml:space="preserve">, in </w:t>
      </w:r>
      <w:r w:rsidRPr="00B653FE">
        <w:rPr>
          <w:rFonts w:ascii="Franklin Gothic Book" w:hAnsi="Franklin Gothic Book"/>
          <w:iCs/>
          <w:sz w:val="21"/>
          <w:szCs w:val="21"/>
        </w:rPr>
        <w:t xml:space="preserve">addition to more than $40 million provided to the WHO </w:t>
      </w:r>
      <w:r w:rsidR="009E45DC">
        <w:rPr>
          <w:rFonts w:ascii="Franklin Gothic Book" w:hAnsi="Franklin Gothic Book"/>
          <w:iCs/>
          <w:sz w:val="21"/>
          <w:szCs w:val="21"/>
        </w:rPr>
        <w:t>for</w:t>
      </w:r>
      <w:r w:rsidRPr="00B653FE">
        <w:rPr>
          <w:rFonts w:ascii="Franklin Gothic Book" w:hAnsi="Franklin Gothic Book"/>
          <w:iCs/>
          <w:sz w:val="21"/>
          <w:szCs w:val="21"/>
        </w:rPr>
        <w:t xml:space="preserve"> global health activities. </w:t>
      </w:r>
      <w:r w:rsidRPr="00B653FE">
        <w:rPr>
          <w:rFonts w:ascii="Franklin Gothic Book" w:hAnsi="Franklin Gothic Book"/>
          <w:sz w:val="21"/>
          <w:szCs w:val="21"/>
        </w:rPr>
        <w:t>The Australian-managed and operated Ebola Treatment Centre (ETC) at Hastings Airfield in Sierra Leone cared for 216 patients.  Australia’s support also helped to train 200 Sierra Leonean health care workers and support staff in preventing, detecting and treating Ebola.</w:t>
      </w:r>
    </w:p>
    <w:p w:rsidR="0085585D" w:rsidRDefault="00B066F6" w:rsidP="00046F52">
      <w:pPr>
        <w:pStyle w:val="ListBullet"/>
        <w:numPr>
          <w:ilvl w:val="0"/>
          <w:numId w:val="0"/>
        </w:numPr>
        <w:tabs>
          <w:tab w:val="clear" w:pos="284"/>
        </w:tabs>
      </w:pPr>
      <w:r>
        <w:t xml:space="preserve">In 2014 and 2015, </w:t>
      </w:r>
      <w:r w:rsidR="00531420">
        <w:t xml:space="preserve">188 </w:t>
      </w:r>
      <w:r w:rsidR="0085585D">
        <w:t xml:space="preserve">Australia Awards </w:t>
      </w:r>
      <w:r w:rsidR="00531420">
        <w:t xml:space="preserve">were offered for study in the health sector, including a short course in Maternal and </w:t>
      </w:r>
      <w:r w:rsidR="00A454F9">
        <w:t xml:space="preserve">Neo-natal </w:t>
      </w:r>
      <w:r w:rsidR="00531420">
        <w:t>Child Health.</w:t>
      </w:r>
      <w:r w:rsidR="003E0CF2">
        <w:t xml:space="preserve">  Australia also continued to support improved health outcomes </w:t>
      </w:r>
      <w:r w:rsidR="00602C24">
        <w:t xml:space="preserve">in Sub-Saharan Africa </w:t>
      </w:r>
      <w:r w:rsidR="003E0CF2">
        <w:t xml:space="preserve">via its </w:t>
      </w:r>
      <w:r w:rsidR="009355AA">
        <w:t xml:space="preserve">2014-15 </w:t>
      </w:r>
      <w:r w:rsidR="003E0CF2">
        <w:t>contribution</w:t>
      </w:r>
      <w:r w:rsidR="009355AA">
        <w:t>s</w:t>
      </w:r>
      <w:r w:rsidR="003E0CF2">
        <w:t xml:space="preserve"> through GAVI, the Global Fund to Fight AIDS, Tuberculosis and Malaria (Global Fund) and WHO.</w:t>
      </w:r>
    </w:p>
    <w:p w:rsidR="00190DBD" w:rsidRPr="00D46AAF" w:rsidRDefault="00190DBD" w:rsidP="00E628A5">
      <w:pPr>
        <w:pStyle w:val="Heading3"/>
      </w:pPr>
      <w:r w:rsidRPr="00D46AAF">
        <w:t>Performance Benchmarks</w:t>
      </w:r>
    </w:p>
    <w:p w:rsidR="00CB187A" w:rsidRPr="008364EB" w:rsidRDefault="00CB187A" w:rsidP="00CB187A">
      <w:pPr>
        <w:spacing w:line="276" w:lineRule="auto"/>
        <w:rPr>
          <w:rFonts w:ascii="Franklin Gothic Book" w:hAnsi="Franklin Gothic Book"/>
          <w:sz w:val="21"/>
          <w:szCs w:val="21"/>
        </w:rPr>
      </w:pPr>
      <w:r w:rsidRPr="008364EB">
        <w:rPr>
          <w:rFonts w:ascii="Franklin Gothic Book" w:hAnsi="Franklin Gothic Book"/>
          <w:sz w:val="21"/>
          <w:szCs w:val="21"/>
        </w:rPr>
        <w:t xml:space="preserve">The Africa Aid Program </w:t>
      </w:r>
      <w:r>
        <w:rPr>
          <w:rFonts w:ascii="Franklin Gothic Book" w:hAnsi="Franklin Gothic Book"/>
          <w:sz w:val="21"/>
          <w:szCs w:val="21"/>
        </w:rPr>
        <w:t xml:space="preserve">achieved </w:t>
      </w:r>
      <w:r w:rsidRPr="008364EB">
        <w:rPr>
          <w:rFonts w:ascii="Franklin Gothic Book" w:hAnsi="Franklin Gothic Book"/>
          <w:sz w:val="21"/>
          <w:szCs w:val="21"/>
        </w:rPr>
        <w:t xml:space="preserve">mixed results </w:t>
      </w:r>
      <w:r>
        <w:rPr>
          <w:rFonts w:ascii="Franklin Gothic Book" w:hAnsi="Franklin Gothic Book"/>
          <w:sz w:val="21"/>
          <w:szCs w:val="21"/>
        </w:rPr>
        <w:t xml:space="preserve">in </w:t>
      </w:r>
      <w:r w:rsidRPr="008364EB">
        <w:rPr>
          <w:rFonts w:ascii="Franklin Gothic Book" w:hAnsi="Franklin Gothic Book"/>
          <w:sz w:val="21"/>
          <w:szCs w:val="21"/>
        </w:rPr>
        <w:t xml:space="preserve">meeting the pilot performance benchmarks proposed in the 2013-14 APPR, with two fully </w:t>
      </w:r>
      <w:r w:rsidR="002B25C1">
        <w:rPr>
          <w:rFonts w:ascii="Franklin Gothic Book" w:hAnsi="Franklin Gothic Book"/>
          <w:sz w:val="21"/>
          <w:szCs w:val="21"/>
        </w:rPr>
        <w:t>achieved</w:t>
      </w:r>
      <w:r w:rsidRPr="008364EB">
        <w:rPr>
          <w:rFonts w:ascii="Franklin Gothic Book" w:hAnsi="Franklin Gothic Book"/>
          <w:sz w:val="21"/>
          <w:szCs w:val="21"/>
        </w:rPr>
        <w:t xml:space="preserve">, one not </w:t>
      </w:r>
      <w:r w:rsidR="002B25C1">
        <w:rPr>
          <w:rFonts w:ascii="Franklin Gothic Book" w:hAnsi="Franklin Gothic Book"/>
          <w:sz w:val="21"/>
          <w:szCs w:val="21"/>
        </w:rPr>
        <w:t>achieved</w:t>
      </w:r>
      <w:r w:rsidRPr="008364EB">
        <w:rPr>
          <w:rFonts w:ascii="Franklin Gothic Book" w:hAnsi="Franklin Gothic Book"/>
          <w:sz w:val="21"/>
          <w:szCs w:val="21"/>
        </w:rPr>
        <w:t xml:space="preserve"> and one partially </w:t>
      </w:r>
      <w:r w:rsidR="002B25C1">
        <w:rPr>
          <w:rFonts w:ascii="Franklin Gothic Book" w:hAnsi="Franklin Gothic Book"/>
          <w:sz w:val="21"/>
          <w:szCs w:val="21"/>
        </w:rPr>
        <w:t>achieved</w:t>
      </w:r>
      <w:r w:rsidRPr="008364EB">
        <w:rPr>
          <w:rFonts w:ascii="Franklin Gothic Book" w:hAnsi="Franklin Gothic Book"/>
          <w:sz w:val="21"/>
          <w:szCs w:val="21"/>
        </w:rPr>
        <w:t xml:space="preserve">.  The contraction in the 2015 budget to Sub-Saharan Africa was the key factor influencing </w:t>
      </w:r>
      <w:r w:rsidR="002B25C1">
        <w:rPr>
          <w:rFonts w:ascii="Franklin Gothic Book" w:hAnsi="Franklin Gothic Book"/>
          <w:sz w:val="21"/>
          <w:szCs w:val="21"/>
        </w:rPr>
        <w:t xml:space="preserve">these results </w:t>
      </w:r>
      <w:r w:rsidRPr="003C709B">
        <w:rPr>
          <w:rFonts w:ascii="Franklin Gothic Book" w:hAnsi="Franklin Gothic Book"/>
          <w:sz w:val="21"/>
          <w:szCs w:val="21"/>
        </w:rPr>
        <w:t xml:space="preserve">(the third phase of </w:t>
      </w:r>
      <w:r w:rsidR="002B25C1">
        <w:rPr>
          <w:rFonts w:ascii="Franklin Gothic Book" w:hAnsi="Franklin Gothic Book"/>
          <w:sz w:val="21"/>
          <w:szCs w:val="21"/>
        </w:rPr>
        <w:t>the</w:t>
      </w:r>
      <w:r w:rsidRPr="003C709B">
        <w:rPr>
          <w:rFonts w:ascii="Franklin Gothic Book" w:hAnsi="Franklin Gothic Book"/>
          <w:sz w:val="21"/>
          <w:szCs w:val="21"/>
        </w:rPr>
        <w:t xml:space="preserve"> CSIRO </w:t>
      </w:r>
      <w:proofErr w:type="spellStart"/>
      <w:r w:rsidRPr="003C709B">
        <w:rPr>
          <w:rFonts w:ascii="Franklin Gothic Book" w:hAnsi="Franklin Gothic Book"/>
          <w:sz w:val="21"/>
          <w:szCs w:val="21"/>
        </w:rPr>
        <w:t>BeCA</w:t>
      </w:r>
      <w:proofErr w:type="spellEnd"/>
      <w:r w:rsidRPr="003C709B">
        <w:rPr>
          <w:rFonts w:ascii="Franklin Gothic Book" w:hAnsi="Franklin Gothic Book"/>
          <w:sz w:val="21"/>
          <w:szCs w:val="21"/>
        </w:rPr>
        <w:t xml:space="preserve"> program was not funded nor was</w:t>
      </w:r>
      <w:r w:rsidR="002B25C1">
        <w:rPr>
          <w:rFonts w:ascii="Franklin Gothic Book" w:hAnsi="Franklin Gothic Book"/>
          <w:sz w:val="21"/>
          <w:szCs w:val="21"/>
        </w:rPr>
        <w:t xml:space="preserve"> the </w:t>
      </w:r>
      <w:r w:rsidRPr="003C709B">
        <w:rPr>
          <w:rFonts w:ascii="Franklin Gothic Book" w:hAnsi="Franklin Gothic Book"/>
          <w:sz w:val="21"/>
          <w:szCs w:val="21"/>
        </w:rPr>
        <w:t>planned Extractives</w:t>
      </w:r>
      <w:r w:rsidR="002B25C1">
        <w:rPr>
          <w:rFonts w:ascii="Franklin Gothic Book" w:hAnsi="Franklin Gothic Book"/>
          <w:sz w:val="21"/>
          <w:szCs w:val="21"/>
        </w:rPr>
        <w:t xml:space="preserve"> for Growth investment</w:t>
      </w:r>
      <w:r w:rsidRPr="003C709B">
        <w:rPr>
          <w:rFonts w:ascii="Franklin Gothic Book" w:hAnsi="Franklin Gothic Book"/>
          <w:sz w:val="21"/>
          <w:szCs w:val="21"/>
        </w:rPr>
        <w:t>).</w:t>
      </w:r>
      <w:r w:rsidRPr="008364EB">
        <w:rPr>
          <w:rFonts w:ascii="Franklin Gothic Book" w:hAnsi="Franklin Gothic Book"/>
          <w:sz w:val="21"/>
          <w:szCs w:val="21"/>
        </w:rPr>
        <w:t xml:space="preserve">  The program did, however, </w:t>
      </w:r>
      <w:r>
        <w:rPr>
          <w:rFonts w:ascii="Franklin Gothic Book" w:hAnsi="Franklin Gothic Book"/>
          <w:sz w:val="21"/>
          <w:szCs w:val="21"/>
        </w:rPr>
        <w:t xml:space="preserve">reach its target to ensure </w:t>
      </w:r>
      <w:r w:rsidRPr="008364EB">
        <w:rPr>
          <w:rFonts w:ascii="Franklin Gothic Book" w:hAnsi="Franklin Gothic Book"/>
          <w:sz w:val="21"/>
          <w:szCs w:val="21"/>
        </w:rPr>
        <w:t>45 per</w:t>
      </w:r>
      <w:r w:rsidR="002B25C1">
        <w:rPr>
          <w:rFonts w:ascii="Franklin Gothic Book" w:hAnsi="Franklin Gothic Book"/>
          <w:sz w:val="21"/>
          <w:szCs w:val="21"/>
        </w:rPr>
        <w:t xml:space="preserve"> </w:t>
      </w:r>
      <w:r w:rsidRPr="008364EB">
        <w:rPr>
          <w:rFonts w:ascii="Franklin Gothic Book" w:hAnsi="Franklin Gothic Book"/>
          <w:sz w:val="21"/>
          <w:szCs w:val="21"/>
        </w:rPr>
        <w:t xml:space="preserve">cent of its scholarships </w:t>
      </w:r>
      <w:r>
        <w:rPr>
          <w:rFonts w:ascii="Franklin Gothic Book" w:hAnsi="Franklin Gothic Book"/>
          <w:sz w:val="21"/>
          <w:szCs w:val="21"/>
        </w:rPr>
        <w:t xml:space="preserve">were </w:t>
      </w:r>
      <w:r w:rsidRPr="008364EB">
        <w:rPr>
          <w:rFonts w:ascii="Franklin Gothic Book" w:hAnsi="Franklin Gothic Book"/>
          <w:sz w:val="21"/>
          <w:szCs w:val="21"/>
        </w:rPr>
        <w:t>offered to women in 2014-15.  The program also met its target to consolidate 70 per</w:t>
      </w:r>
      <w:r w:rsidR="002B25C1">
        <w:rPr>
          <w:rFonts w:ascii="Franklin Gothic Book" w:hAnsi="Franklin Gothic Book"/>
          <w:sz w:val="21"/>
          <w:szCs w:val="21"/>
        </w:rPr>
        <w:t xml:space="preserve"> </w:t>
      </w:r>
      <w:r w:rsidRPr="008364EB">
        <w:rPr>
          <w:rFonts w:ascii="Franklin Gothic Book" w:hAnsi="Franklin Gothic Book"/>
          <w:sz w:val="21"/>
          <w:szCs w:val="21"/>
        </w:rPr>
        <w:t>cent of its programming in Eastern and Southern Africa (see Annex B for further details).</w:t>
      </w:r>
    </w:p>
    <w:p w:rsidR="00F42B03" w:rsidRPr="00E628A5" w:rsidRDefault="000D733F" w:rsidP="00E628A5">
      <w:pPr>
        <w:pStyle w:val="Heading3"/>
      </w:pPr>
      <w:r w:rsidRPr="00E628A5">
        <w:t>Mutual Obligations</w:t>
      </w:r>
    </w:p>
    <w:p w:rsidR="00F42B03" w:rsidRDefault="00790FEF" w:rsidP="00F42B03">
      <w:pPr>
        <w:pStyle w:val="BodyText"/>
        <w:rPr>
          <w:lang w:eastAsia="zh-CN"/>
        </w:rPr>
      </w:pPr>
      <w:r>
        <w:rPr>
          <w:lang w:eastAsia="zh-CN"/>
        </w:rPr>
        <w:t>T</w:t>
      </w:r>
      <w:r w:rsidR="00095F69">
        <w:rPr>
          <w:lang w:eastAsia="zh-CN"/>
        </w:rPr>
        <w:t xml:space="preserve">he Africa </w:t>
      </w:r>
      <w:r w:rsidR="007A0D2D">
        <w:rPr>
          <w:lang w:eastAsia="zh-CN"/>
        </w:rPr>
        <w:t>A</w:t>
      </w:r>
      <w:r w:rsidR="00095F69">
        <w:rPr>
          <w:lang w:eastAsia="zh-CN"/>
        </w:rPr>
        <w:t xml:space="preserve">id </w:t>
      </w:r>
      <w:r w:rsidR="007A0D2D">
        <w:rPr>
          <w:lang w:eastAsia="zh-CN"/>
        </w:rPr>
        <w:t>P</w:t>
      </w:r>
      <w:r w:rsidR="00095F69">
        <w:rPr>
          <w:lang w:eastAsia="zh-CN"/>
        </w:rPr>
        <w:t xml:space="preserve">rogram has </w:t>
      </w:r>
      <w:r>
        <w:rPr>
          <w:lang w:eastAsia="zh-CN"/>
        </w:rPr>
        <w:t xml:space="preserve">several (mostly informal) </w:t>
      </w:r>
      <w:r w:rsidR="0062581A">
        <w:rPr>
          <w:lang w:eastAsia="zh-CN"/>
        </w:rPr>
        <w:t>mutual obligations</w:t>
      </w:r>
      <w:r w:rsidR="00B32F0A">
        <w:rPr>
          <w:lang w:eastAsia="zh-CN"/>
        </w:rPr>
        <w:t xml:space="preserve"> </w:t>
      </w:r>
      <w:r w:rsidR="0062581A">
        <w:rPr>
          <w:lang w:eastAsia="zh-CN"/>
        </w:rPr>
        <w:t xml:space="preserve">at </w:t>
      </w:r>
      <w:r w:rsidR="007E37FB">
        <w:rPr>
          <w:lang w:eastAsia="zh-CN"/>
        </w:rPr>
        <w:t xml:space="preserve">multiple levels of government: </w:t>
      </w:r>
      <w:r w:rsidR="0062581A">
        <w:rPr>
          <w:lang w:eastAsia="zh-CN"/>
        </w:rPr>
        <w:t>regional</w:t>
      </w:r>
      <w:r w:rsidR="00B32F0A">
        <w:rPr>
          <w:lang w:eastAsia="zh-CN"/>
        </w:rPr>
        <w:t>,</w:t>
      </w:r>
      <w:r w:rsidR="0062581A">
        <w:rPr>
          <w:lang w:eastAsia="zh-CN"/>
        </w:rPr>
        <w:t xml:space="preserve"> </w:t>
      </w:r>
      <w:r w:rsidR="007E37FB">
        <w:rPr>
          <w:lang w:eastAsia="zh-CN"/>
        </w:rPr>
        <w:t xml:space="preserve">national, </w:t>
      </w:r>
      <w:r w:rsidR="0062581A">
        <w:rPr>
          <w:lang w:eastAsia="zh-CN"/>
        </w:rPr>
        <w:t xml:space="preserve">provincial </w:t>
      </w:r>
      <w:r w:rsidR="007E37FB">
        <w:rPr>
          <w:lang w:eastAsia="zh-CN"/>
        </w:rPr>
        <w:t>and</w:t>
      </w:r>
      <w:r w:rsidR="0062581A">
        <w:rPr>
          <w:lang w:eastAsia="zh-CN"/>
        </w:rPr>
        <w:t xml:space="preserve"> local government level</w:t>
      </w:r>
      <w:r w:rsidR="00095F69">
        <w:rPr>
          <w:lang w:eastAsia="zh-CN"/>
        </w:rPr>
        <w:t>s</w:t>
      </w:r>
      <w:r w:rsidR="0062581A">
        <w:rPr>
          <w:lang w:eastAsia="zh-CN"/>
        </w:rPr>
        <w:t>.</w:t>
      </w:r>
      <w:r>
        <w:rPr>
          <w:lang w:eastAsia="zh-CN"/>
        </w:rPr>
        <w:t xml:space="preserve"> </w:t>
      </w:r>
      <w:r w:rsidR="007E37FB">
        <w:rPr>
          <w:lang w:eastAsia="zh-CN"/>
        </w:rPr>
        <w:t>This is a point of difference</w:t>
      </w:r>
      <w:r>
        <w:rPr>
          <w:lang w:eastAsia="zh-CN"/>
        </w:rPr>
        <w:t xml:space="preserve"> to many bilateral aid programs which have formal agreements in place </w:t>
      </w:r>
      <w:r w:rsidR="007E37FB">
        <w:rPr>
          <w:lang w:eastAsia="zh-CN"/>
        </w:rPr>
        <w:t>with</w:t>
      </w:r>
      <w:r>
        <w:rPr>
          <w:lang w:eastAsia="zh-CN"/>
        </w:rPr>
        <w:t xml:space="preserve"> national governments.</w:t>
      </w:r>
      <w:r w:rsidR="0062581A">
        <w:rPr>
          <w:lang w:eastAsia="zh-CN"/>
        </w:rPr>
        <w:t xml:space="preserve">  </w:t>
      </w:r>
      <w:r w:rsidR="00870411">
        <w:rPr>
          <w:lang w:eastAsia="zh-CN"/>
        </w:rPr>
        <w:t xml:space="preserve">The </w:t>
      </w:r>
      <w:r w:rsidR="007E37FB">
        <w:rPr>
          <w:lang w:eastAsia="zh-CN"/>
        </w:rPr>
        <w:t xml:space="preserve">information </w:t>
      </w:r>
      <w:r w:rsidR="00870411">
        <w:rPr>
          <w:lang w:eastAsia="zh-CN"/>
        </w:rPr>
        <w:t xml:space="preserve">below captures progress against a select number </w:t>
      </w:r>
      <w:r w:rsidR="007E37FB">
        <w:rPr>
          <w:lang w:eastAsia="zh-CN"/>
        </w:rPr>
        <w:t>of</w:t>
      </w:r>
      <w:r w:rsidR="00B32F0A">
        <w:rPr>
          <w:lang w:eastAsia="zh-CN"/>
        </w:rPr>
        <w:t xml:space="preserve"> regional </w:t>
      </w:r>
      <w:r w:rsidR="007E37FB">
        <w:rPr>
          <w:lang w:eastAsia="zh-CN"/>
        </w:rPr>
        <w:t>and</w:t>
      </w:r>
      <w:r w:rsidR="00475C3B">
        <w:rPr>
          <w:lang w:eastAsia="zh-CN"/>
        </w:rPr>
        <w:t xml:space="preserve"> bilateral </w:t>
      </w:r>
      <w:r w:rsidR="00B32F0A">
        <w:rPr>
          <w:lang w:eastAsia="zh-CN"/>
        </w:rPr>
        <w:t xml:space="preserve">commitments in Sub-Saharan Africa.  </w:t>
      </w:r>
    </w:p>
    <w:p w:rsidR="00812688" w:rsidRPr="00E00D31" w:rsidRDefault="007E286B" w:rsidP="00B6789E">
      <w:pPr>
        <w:pStyle w:val="BodyText"/>
        <w:spacing w:line="276" w:lineRule="auto"/>
        <w:rPr>
          <w:szCs w:val="21"/>
          <w:lang w:eastAsia="zh-CN"/>
        </w:rPr>
      </w:pPr>
      <w:r w:rsidRPr="007034D4">
        <w:rPr>
          <w:lang w:eastAsia="zh-CN"/>
        </w:rPr>
        <w:t xml:space="preserve">Our </w:t>
      </w:r>
      <w:r w:rsidRPr="00E00D31">
        <w:rPr>
          <w:szCs w:val="21"/>
          <w:lang w:eastAsia="zh-CN"/>
        </w:rPr>
        <w:t xml:space="preserve">work in agricultural productivity </w:t>
      </w:r>
      <w:r w:rsidR="00795809" w:rsidRPr="00E00D31">
        <w:rPr>
          <w:szCs w:val="21"/>
          <w:lang w:eastAsia="zh-CN"/>
        </w:rPr>
        <w:t xml:space="preserve">has been aligned with and informed by </w:t>
      </w:r>
      <w:r w:rsidRPr="00E00D31">
        <w:rPr>
          <w:szCs w:val="21"/>
          <w:lang w:eastAsia="zh-CN"/>
        </w:rPr>
        <w:t>the African-</w:t>
      </w:r>
      <w:r w:rsidR="001A08D5" w:rsidRPr="00E00D31">
        <w:rPr>
          <w:szCs w:val="21"/>
          <w:lang w:eastAsia="zh-CN"/>
        </w:rPr>
        <w:t xml:space="preserve">led </w:t>
      </w:r>
      <w:r w:rsidRPr="00E00D31">
        <w:rPr>
          <w:szCs w:val="21"/>
          <w:lang w:eastAsia="zh-CN"/>
        </w:rPr>
        <w:t>Comprehensive African Agriculture Development Program (CAADP</w:t>
      </w:r>
      <w:r w:rsidR="0071077A">
        <w:rPr>
          <w:szCs w:val="21"/>
          <w:lang w:eastAsia="zh-CN"/>
        </w:rPr>
        <w:t>)</w:t>
      </w:r>
      <w:r w:rsidR="00795809" w:rsidRPr="00E00D31">
        <w:rPr>
          <w:szCs w:val="21"/>
          <w:lang w:eastAsia="zh-CN"/>
        </w:rPr>
        <w:t xml:space="preserve"> which sets out clear objectives </w:t>
      </w:r>
      <w:r w:rsidR="00F96DB1" w:rsidRPr="00E00D31">
        <w:rPr>
          <w:szCs w:val="21"/>
          <w:lang w:eastAsia="zh-CN"/>
        </w:rPr>
        <w:t>for agriculture across the continent</w:t>
      </w:r>
      <w:r w:rsidR="00475C3B">
        <w:rPr>
          <w:szCs w:val="21"/>
          <w:lang w:eastAsia="zh-CN"/>
        </w:rPr>
        <w:t>,</w:t>
      </w:r>
      <w:r w:rsidR="00F96DB1" w:rsidRPr="00E00D31">
        <w:rPr>
          <w:szCs w:val="21"/>
          <w:lang w:eastAsia="zh-CN"/>
        </w:rPr>
        <w:t xml:space="preserve"> endorsed by African leaders</w:t>
      </w:r>
      <w:r w:rsidRPr="00E00D31">
        <w:rPr>
          <w:szCs w:val="21"/>
          <w:lang w:eastAsia="zh-CN"/>
        </w:rPr>
        <w:t xml:space="preserve">.  </w:t>
      </w:r>
      <w:r w:rsidR="00475C3B">
        <w:rPr>
          <w:szCs w:val="21"/>
          <w:lang w:eastAsia="zh-CN"/>
        </w:rPr>
        <w:t xml:space="preserve">Australia’s </w:t>
      </w:r>
      <w:r w:rsidR="00991C4D">
        <w:rPr>
          <w:szCs w:val="21"/>
          <w:lang w:eastAsia="zh-CN"/>
        </w:rPr>
        <w:t>ongoing engagement with CAADP has helped to ensure b</w:t>
      </w:r>
      <w:r w:rsidR="00475C3B">
        <w:rPr>
          <w:szCs w:val="21"/>
          <w:lang w:eastAsia="zh-CN"/>
        </w:rPr>
        <w:t xml:space="preserve">etter alignment </w:t>
      </w:r>
      <w:r w:rsidR="00991C4D">
        <w:rPr>
          <w:szCs w:val="21"/>
          <w:lang w:eastAsia="zh-CN"/>
        </w:rPr>
        <w:t xml:space="preserve">and coordination of individual country </w:t>
      </w:r>
      <w:r w:rsidR="00475C3B">
        <w:rPr>
          <w:szCs w:val="21"/>
          <w:lang w:eastAsia="zh-CN"/>
        </w:rPr>
        <w:t>National Agricultural Research System (NARS)</w:t>
      </w:r>
      <w:r w:rsidR="00991C4D">
        <w:rPr>
          <w:szCs w:val="21"/>
          <w:lang w:eastAsia="zh-CN"/>
        </w:rPr>
        <w:t xml:space="preserve"> priorities</w:t>
      </w:r>
      <w:r w:rsidR="009020E7">
        <w:rPr>
          <w:szCs w:val="21"/>
          <w:lang w:eastAsia="zh-CN"/>
        </w:rPr>
        <w:t xml:space="preserve"> across CAADP member states</w:t>
      </w:r>
      <w:r w:rsidR="00475C3B">
        <w:rPr>
          <w:szCs w:val="21"/>
          <w:lang w:eastAsia="zh-CN"/>
        </w:rPr>
        <w:t>.</w:t>
      </w:r>
      <w:r w:rsidR="00991C4D" w:rsidRPr="00E00D31" w:rsidDel="00991C4D">
        <w:rPr>
          <w:szCs w:val="21"/>
          <w:lang w:eastAsia="zh-CN"/>
        </w:rPr>
        <w:t xml:space="preserve"> </w:t>
      </w:r>
    </w:p>
    <w:p w:rsidR="00991C4D" w:rsidRDefault="00F96DB1" w:rsidP="00991C4D">
      <w:pPr>
        <w:pStyle w:val="BodyText"/>
        <w:rPr>
          <w:lang w:eastAsia="zh-CN"/>
        </w:rPr>
      </w:pPr>
      <w:r w:rsidRPr="000950D6">
        <w:rPr>
          <w:szCs w:val="21"/>
          <w:lang w:eastAsia="zh-CN"/>
        </w:rPr>
        <w:t xml:space="preserve">Our work through the AAPF has reinforced and complemented our commitment to encouraging compliance with EITI by </w:t>
      </w:r>
      <w:r w:rsidR="001A08D5" w:rsidRPr="000950D6">
        <w:rPr>
          <w:szCs w:val="21"/>
          <w:lang w:eastAsia="zh-CN"/>
        </w:rPr>
        <w:t>help</w:t>
      </w:r>
      <w:r w:rsidRPr="000950D6">
        <w:rPr>
          <w:szCs w:val="21"/>
          <w:lang w:eastAsia="zh-CN"/>
        </w:rPr>
        <w:t>ing</w:t>
      </w:r>
      <w:r w:rsidR="001A08D5" w:rsidRPr="000950D6">
        <w:rPr>
          <w:szCs w:val="21"/>
          <w:lang w:eastAsia="zh-CN"/>
        </w:rPr>
        <w:t xml:space="preserve"> </w:t>
      </w:r>
      <w:r w:rsidR="007E37FB">
        <w:rPr>
          <w:szCs w:val="21"/>
          <w:lang w:eastAsia="zh-CN"/>
        </w:rPr>
        <w:t>African</w:t>
      </w:r>
      <w:r w:rsidR="001A08D5" w:rsidRPr="000950D6">
        <w:rPr>
          <w:szCs w:val="21"/>
          <w:lang w:eastAsia="zh-CN"/>
        </w:rPr>
        <w:t xml:space="preserve"> governments </w:t>
      </w:r>
      <w:r w:rsidRPr="000950D6">
        <w:rPr>
          <w:szCs w:val="21"/>
          <w:lang w:eastAsia="zh-CN"/>
        </w:rPr>
        <w:t xml:space="preserve">to </w:t>
      </w:r>
      <w:r w:rsidR="001A08D5" w:rsidRPr="000950D6">
        <w:rPr>
          <w:szCs w:val="21"/>
          <w:lang w:eastAsia="zh-CN"/>
        </w:rPr>
        <w:t>improve extractives governance</w:t>
      </w:r>
      <w:r w:rsidRPr="000950D6">
        <w:rPr>
          <w:szCs w:val="21"/>
          <w:lang w:eastAsia="zh-CN"/>
        </w:rPr>
        <w:t>.  P</w:t>
      </w:r>
      <w:r w:rsidR="00A4474C" w:rsidRPr="000950D6">
        <w:rPr>
          <w:szCs w:val="21"/>
          <w:lang w:eastAsia="zh-CN"/>
        </w:rPr>
        <w:t xml:space="preserve">artner countries </w:t>
      </w:r>
      <w:r w:rsidRPr="000950D6">
        <w:rPr>
          <w:szCs w:val="21"/>
          <w:lang w:eastAsia="zh-CN"/>
        </w:rPr>
        <w:t xml:space="preserve">continue to </w:t>
      </w:r>
      <w:r w:rsidR="00A4474C" w:rsidRPr="000950D6">
        <w:rPr>
          <w:szCs w:val="21"/>
          <w:lang w:eastAsia="zh-CN"/>
        </w:rPr>
        <w:t>demonstrate</w:t>
      </w:r>
      <w:r w:rsidRPr="000950D6">
        <w:rPr>
          <w:szCs w:val="21"/>
          <w:lang w:eastAsia="zh-CN"/>
        </w:rPr>
        <w:t xml:space="preserve"> </w:t>
      </w:r>
      <w:r w:rsidR="00A4474C" w:rsidRPr="000950D6">
        <w:rPr>
          <w:szCs w:val="21"/>
          <w:lang w:eastAsia="zh-CN"/>
        </w:rPr>
        <w:t>strong commitment to improvements in extractives regulation and management</w:t>
      </w:r>
      <w:r w:rsidRPr="000950D6">
        <w:rPr>
          <w:szCs w:val="21"/>
          <w:lang w:eastAsia="zh-CN"/>
        </w:rPr>
        <w:t xml:space="preserve"> through Australia’s support </w:t>
      </w:r>
      <w:r w:rsidR="007E37FB">
        <w:rPr>
          <w:szCs w:val="21"/>
          <w:lang w:eastAsia="zh-CN"/>
        </w:rPr>
        <w:t>through</w:t>
      </w:r>
      <w:r w:rsidRPr="000950D6">
        <w:rPr>
          <w:szCs w:val="21"/>
          <w:lang w:eastAsia="zh-CN"/>
        </w:rPr>
        <w:t xml:space="preserve"> </w:t>
      </w:r>
      <w:r w:rsidR="007E37FB">
        <w:rPr>
          <w:szCs w:val="21"/>
          <w:lang w:eastAsia="zh-CN"/>
        </w:rPr>
        <w:t>AAPF</w:t>
      </w:r>
      <w:r w:rsidR="008705AD" w:rsidRPr="000950D6">
        <w:rPr>
          <w:szCs w:val="21"/>
        </w:rPr>
        <w:t>.</w:t>
      </w:r>
      <w:r w:rsidR="0086088A" w:rsidRPr="000950D6">
        <w:rPr>
          <w:szCs w:val="21"/>
        </w:rPr>
        <w:t xml:space="preserve">  </w:t>
      </w:r>
    </w:p>
    <w:p w:rsidR="00991C4D" w:rsidRDefault="00991C4D" w:rsidP="00991C4D">
      <w:pPr>
        <w:pStyle w:val="BodyText"/>
        <w:rPr>
          <w:lang w:eastAsia="zh-CN"/>
        </w:rPr>
      </w:pPr>
      <w:r>
        <w:rPr>
          <w:lang w:eastAsia="zh-CN"/>
        </w:rPr>
        <w:t>Australia</w:t>
      </w:r>
      <w:r w:rsidR="00A65D9F">
        <w:rPr>
          <w:lang w:eastAsia="zh-CN"/>
        </w:rPr>
        <w:t>’s m</w:t>
      </w:r>
      <w:r w:rsidR="007E37FB">
        <w:rPr>
          <w:lang w:eastAsia="zh-CN"/>
        </w:rPr>
        <w:t>utual obligations with partner g</w:t>
      </w:r>
      <w:r w:rsidR="00A65D9F">
        <w:rPr>
          <w:lang w:eastAsia="zh-CN"/>
        </w:rPr>
        <w:t>overnments on key investments have continued to remain strong during 2014-15.  For example, the Kenya Government continues to demonstrate leadership and commitment in implementing the HSNP cash transfer program in the four poorest counties of Kenya as well as working with the Department of Environment to establish a sustainable emissions program in Kenya through SLEEK.</w:t>
      </w:r>
      <w:r>
        <w:rPr>
          <w:lang w:eastAsia="zh-CN"/>
        </w:rPr>
        <w:t xml:space="preserve">  </w:t>
      </w:r>
      <w:r w:rsidR="00A65D9F">
        <w:rPr>
          <w:lang w:eastAsia="zh-CN"/>
        </w:rPr>
        <w:t xml:space="preserve">The </w:t>
      </w:r>
      <w:r w:rsidR="00A65D9F">
        <w:rPr>
          <w:color w:val="0D0D0D" w:themeColor="text1" w:themeTint="F2"/>
        </w:rPr>
        <w:t>Ethiopian Government has also demonstrated its</w:t>
      </w:r>
      <w:r w:rsidRPr="00F3406D">
        <w:rPr>
          <w:color w:val="0D0D0D" w:themeColor="text1" w:themeTint="F2"/>
        </w:rPr>
        <w:t xml:space="preserve"> ongoing leadership and </w:t>
      </w:r>
      <w:r w:rsidR="00436297">
        <w:rPr>
          <w:color w:val="0D0D0D" w:themeColor="text1" w:themeTint="F2"/>
        </w:rPr>
        <w:t xml:space="preserve">continued </w:t>
      </w:r>
      <w:r w:rsidRPr="00F3406D">
        <w:rPr>
          <w:color w:val="0D0D0D" w:themeColor="text1" w:themeTint="F2"/>
        </w:rPr>
        <w:t>commitment to improving maternal and child health</w:t>
      </w:r>
      <w:r w:rsidRPr="00F3406D">
        <w:rPr>
          <w:color w:val="0D0D0D" w:themeColor="text1" w:themeTint="F2"/>
          <w:lang w:eastAsia="zh-CN"/>
        </w:rPr>
        <w:t xml:space="preserve"> </w:t>
      </w:r>
      <w:r w:rsidR="00A65D9F">
        <w:rPr>
          <w:color w:val="0D0D0D" w:themeColor="text1" w:themeTint="F2"/>
          <w:lang w:eastAsia="zh-CN"/>
        </w:rPr>
        <w:t xml:space="preserve">through the </w:t>
      </w:r>
      <w:r w:rsidR="00436297" w:rsidRPr="00A804BC">
        <w:rPr>
          <w:szCs w:val="21"/>
        </w:rPr>
        <w:t>HSDP IV</w:t>
      </w:r>
      <w:r w:rsidR="00A65D9F">
        <w:rPr>
          <w:lang w:eastAsia="zh-CN"/>
        </w:rPr>
        <w:t>.</w:t>
      </w:r>
    </w:p>
    <w:p w:rsidR="00436297" w:rsidRDefault="00EF233E" w:rsidP="006557E1">
      <w:pPr>
        <w:spacing w:line="276" w:lineRule="auto"/>
        <w:rPr>
          <w:rFonts w:ascii="Helvetica" w:eastAsia="Times New Roman" w:hAnsi="Helvetica" w:cs="Arial"/>
          <w:color w:val="007FAD"/>
          <w:kern w:val="28"/>
          <w:sz w:val="28"/>
          <w:szCs w:val="28"/>
        </w:rPr>
      </w:pPr>
      <w:r w:rsidRPr="000950D6">
        <w:rPr>
          <w:rFonts w:ascii="Franklin Gothic Book" w:hAnsi="Franklin Gothic Book"/>
          <w:sz w:val="21"/>
          <w:szCs w:val="21"/>
        </w:rPr>
        <w:t>M</w:t>
      </w:r>
      <w:r w:rsidR="001E77F4" w:rsidRPr="000950D6">
        <w:rPr>
          <w:rFonts w:ascii="Franklin Gothic Book" w:hAnsi="Franklin Gothic Book"/>
          <w:sz w:val="21"/>
          <w:szCs w:val="21"/>
        </w:rPr>
        <w:t xml:space="preserve">utual obligations with </w:t>
      </w:r>
      <w:r w:rsidR="001A08D5" w:rsidRPr="000950D6">
        <w:rPr>
          <w:rFonts w:ascii="Franklin Gothic Book" w:hAnsi="Franklin Gothic Book"/>
          <w:sz w:val="21"/>
          <w:szCs w:val="21"/>
        </w:rPr>
        <w:t xml:space="preserve">Australia Awards partner governments’ </w:t>
      </w:r>
      <w:r w:rsidR="001E77F4" w:rsidRPr="000950D6">
        <w:rPr>
          <w:rFonts w:ascii="Franklin Gothic Book" w:hAnsi="Franklin Gothic Book"/>
          <w:sz w:val="21"/>
          <w:szCs w:val="21"/>
        </w:rPr>
        <w:t>Coordinating Authorities</w:t>
      </w:r>
      <w:r w:rsidRPr="000950D6">
        <w:rPr>
          <w:rFonts w:ascii="Franklin Gothic Book" w:hAnsi="Franklin Gothic Book"/>
          <w:sz w:val="21"/>
          <w:szCs w:val="21"/>
        </w:rPr>
        <w:t xml:space="preserve"> remain</w:t>
      </w:r>
      <w:r w:rsidR="001E77F4" w:rsidRPr="000950D6">
        <w:rPr>
          <w:rFonts w:ascii="Franklin Gothic Book" w:hAnsi="Franklin Gothic Book"/>
          <w:sz w:val="21"/>
          <w:szCs w:val="21"/>
        </w:rPr>
        <w:t xml:space="preserve"> strong</w:t>
      </w:r>
      <w:r w:rsidR="00B32F0A" w:rsidRPr="000950D6">
        <w:rPr>
          <w:rFonts w:ascii="Franklin Gothic Book" w:hAnsi="Franklin Gothic Book"/>
          <w:sz w:val="21"/>
          <w:szCs w:val="21"/>
        </w:rPr>
        <w:t xml:space="preserve">.  Partner </w:t>
      </w:r>
      <w:r w:rsidR="001E77F4" w:rsidRPr="000950D6">
        <w:rPr>
          <w:rFonts w:ascii="Franklin Gothic Book" w:hAnsi="Franklin Gothic Book"/>
          <w:sz w:val="21"/>
          <w:szCs w:val="21"/>
        </w:rPr>
        <w:t xml:space="preserve">governments </w:t>
      </w:r>
      <w:r w:rsidR="00B32F0A" w:rsidRPr="000950D6">
        <w:rPr>
          <w:rFonts w:ascii="Franklin Gothic Book" w:hAnsi="Franklin Gothic Book"/>
          <w:sz w:val="21"/>
          <w:szCs w:val="21"/>
        </w:rPr>
        <w:t>continue</w:t>
      </w:r>
      <w:r w:rsidRPr="000950D6">
        <w:rPr>
          <w:rFonts w:ascii="Franklin Gothic Book" w:hAnsi="Franklin Gothic Book"/>
          <w:sz w:val="21"/>
          <w:szCs w:val="21"/>
        </w:rPr>
        <w:t xml:space="preserve"> to </w:t>
      </w:r>
      <w:r w:rsidR="00B32F0A" w:rsidRPr="000950D6">
        <w:rPr>
          <w:rFonts w:ascii="Franklin Gothic Book" w:hAnsi="Franklin Gothic Book"/>
          <w:sz w:val="21"/>
          <w:szCs w:val="21"/>
        </w:rPr>
        <w:t xml:space="preserve">support </w:t>
      </w:r>
      <w:r w:rsidR="009C2385" w:rsidRPr="000950D6">
        <w:rPr>
          <w:rFonts w:ascii="Franklin Gothic Book" w:hAnsi="Franklin Gothic Book"/>
          <w:sz w:val="21"/>
          <w:szCs w:val="21"/>
        </w:rPr>
        <w:t xml:space="preserve">Australia Awards </w:t>
      </w:r>
      <w:r w:rsidR="00B32F0A" w:rsidRPr="000950D6">
        <w:rPr>
          <w:rFonts w:ascii="Franklin Gothic Book" w:hAnsi="Franklin Gothic Book"/>
          <w:sz w:val="21"/>
          <w:szCs w:val="21"/>
        </w:rPr>
        <w:t xml:space="preserve">recipients </w:t>
      </w:r>
      <w:r w:rsidRPr="000950D6">
        <w:rPr>
          <w:rFonts w:ascii="Franklin Gothic Book" w:hAnsi="Franklin Gothic Book"/>
          <w:sz w:val="21"/>
          <w:szCs w:val="21"/>
        </w:rPr>
        <w:t xml:space="preserve">including by </w:t>
      </w:r>
      <w:r w:rsidR="009C2385" w:rsidRPr="000950D6">
        <w:rPr>
          <w:rFonts w:ascii="Franklin Gothic Book" w:hAnsi="Franklin Gothic Book"/>
          <w:sz w:val="21"/>
          <w:szCs w:val="21"/>
        </w:rPr>
        <w:t xml:space="preserve">supporting alumni development </w:t>
      </w:r>
      <w:r w:rsidRPr="000950D6">
        <w:rPr>
          <w:rFonts w:ascii="Franklin Gothic Book" w:hAnsi="Franklin Gothic Book"/>
          <w:sz w:val="21"/>
          <w:szCs w:val="21"/>
        </w:rPr>
        <w:t xml:space="preserve">and ensuring </w:t>
      </w:r>
      <w:r w:rsidR="00B32F0A" w:rsidRPr="000950D6">
        <w:rPr>
          <w:rFonts w:ascii="Franklin Gothic Book" w:hAnsi="Franklin Gothic Book"/>
          <w:sz w:val="21"/>
          <w:szCs w:val="21"/>
        </w:rPr>
        <w:t xml:space="preserve">utilisation of skills and knowledge </w:t>
      </w:r>
      <w:r w:rsidRPr="000950D6">
        <w:rPr>
          <w:rFonts w:ascii="Franklin Gothic Book" w:hAnsi="Franklin Gothic Book"/>
          <w:sz w:val="21"/>
          <w:szCs w:val="21"/>
        </w:rPr>
        <w:t xml:space="preserve">upon return from </w:t>
      </w:r>
      <w:r w:rsidR="00B32F0A" w:rsidRPr="000950D6">
        <w:rPr>
          <w:rFonts w:ascii="Franklin Gothic Book" w:hAnsi="Franklin Gothic Book"/>
          <w:sz w:val="21"/>
          <w:szCs w:val="21"/>
        </w:rPr>
        <w:t>Australia</w:t>
      </w:r>
      <w:r w:rsidR="009C2385" w:rsidRPr="000950D6">
        <w:rPr>
          <w:rFonts w:ascii="Franklin Gothic Book" w:hAnsi="Franklin Gothic Book"/>
          <w:sz w:val="21"/>
          <w:szCs w:val="21"/>
        </w:rPr>
        <w:t>.</w:t>
      </w:r>
      <w:r w:rsidR="00E00D31" w:rsidRPr="00E00D31">
        <w:rPr>
          <w:rFonts w:ascii="Franklin Gothic Book" w:eastAsia="Times New Roman" w:hAnsi="Franklin Gothic Book"/>
          <w:sz w:val="21"/>
          <w:szCs w:val="21"/>
        </w:rPr>
        <w:br/>
      </w:r>
    </w:p>
    <w:p w:rsidR="00E628A5" w:rsidRDefault="000D733F" w:rsidP="00E628A5">
      <w:pPr>
        <w:spacing w:line="276" w:lineRule="auto"/>
        <w:rPr>
          <w:rFonts w:ascii="Helvetica" w:eastAsia="Times New Roman" w:hAnsi="Helvetica" w:cs="Arial"/>
          <w:b/>
          <w:color w:val="124486"/>
          <w:kern w:val="28"/>
          <w:sz w:val="22"/>
          <w:szCs w:val="22"/>
          <w:lang w:eastAsia="zh-CN"/>
        </w:rPr>
      </w:pPr>
      <w:r w:rsidRPr="003E1B39">
        <w:rPr>
          <w:rFonts w:ascii="Helvetica" w:eastAsia="Times New Roman" w:hAnsi="Helvetica" w:cs="Arial"/>
          <w:color w:val="007FAD"/>
          <w:kern w:val="28"/>
          <w:sz w:val="28"/>
          <w:szCs w:val="28"/>
        </w:rPr>
        <w:t xml:space="preserve">Program Quality </w:t>
      </w:r>
      <w:r w:rsidR="00190DBD" w:rsidRPr="003E1B39">
        <w:rPr>
          <w:rFonts w:ascii="Helvetica" w:eastAsia="Times New Roman" w:hAnsi="Helvetica" w:cs="Arial"/>
          <w:color w:val="007FAD"/>
          <w:kern w:val="28"/>
          <w:sz w:val="28"/>
          <w:szCs w:val="28"/>
        </w:rPr>
        <w:t>and Partner Performance</w:t>
      </w:r>
      <w:r w:rsidRPr="000950D6">
        <w:rPr>
          <w:rFonts w:ascii="Franklin Gothic Book" w:hAnsi="Franklin Gothic Book"/>
          <w:sz w:val="21"/>
          <w:szCs w:val="21"/>
        </w:rPr>
        <w:tab/>
      </w:r>
      <w:r w:rsidR="00F363BF">
        <w:rPr>
          <w:rFonts w:ascii="Franklin Gothic Book" w:hAnsi="Franklin Gothic Book"/>
          <w:sz w:val="21"/>
          <w:szCs w:val="21"/>
        </w:rPr>
        <w:br/>
      </w:r>
    </w:p>
    <w:p w:rsidR="00190DBD" w:rsidRPr="00E628A5" w:rsidRDefault="00190DBD" w:rsidP="00E628A5">
      <w:pPr>
        <w:spacing w:line="276" w:lineRule="auto"/>
        <w:rPr>
          <w:rFonts w:ascii="Helvetica" w:eastAsia="Times New Roman" w:hAnsi="Helvetica" w:cs="Arial"/>
          <w:b/>
          <w:color w:val="124486"/>
          <w:kern w:val="28"/>
          <w:sz w:val="22"/>
          <w:szCs w:val="22"/>
          <w:lang w:eastAsia="zh-CN"/>
        </w:rPr>
      </w:pPr>
      <w:r w:rsidRPr="00E628A5">
        <w:rPr>
          <w:rFonts w:ascii="Helvetica" w:eastAsia="Times New Roman" w:hAnsi="Helvetica" w:cs="Arial"/>
          <w:b/>
          <w:color w:val="124486"/>
          <w:kern w:val="28"/>
          <w:sz w:val="22"/>
          <w:szCs w:val="22"/>
          <w:lang w:eastAsia="zh-CN"/>
        </w:rPr>
        <w:t>Overview</w:t>
      </w:r>
    </w:p>
    <w:p w:rsidR="00E8023F" w:rsidRDefault="007E37FB" w:rsidP="00E8023F">
      <w:pPr>
        <w:pStyle w:val="BodyText"/>
        <w:spacing w:after="120"/>
        <w:rPr>
          <w:lang w:eastAsia="zh-CN"/>
        </w:rPr>
      </w:pPr>
      <w:r>
        <w:rPr>
          <w:lang w:eastAsia="zh-CN"/>
        </w:rPr>
        <w:t>Overall, t</w:t>
      </w:r>
      <w:r w:rsidR="00911A26">
        <w:rPr>
          <w:lang w:eastAsia="zh-CN"/>
        </w:rPr>
        <w:t xml:space="preserve">he Sub-Saharan Africa program </w:t>
      </w:r>
      <w:r>
        <w:rPr>
          <w:lang w:eastAsia="zh-CN"/>
        </w:rPr>
        <w:t>strongly supported</w:t>
      </w:r>
      <w:r w:rsidR="00911A26">
        <w:rPr>
          <w:lang w:eastAsia="zh-CN"/>
        </w:rPr>
        <w:t xml:space="preserve"> the Government’s </w:t>
      </w:r>
      <w:hyperlink r:id="rId17" w:history="1">
        <w:r w:rsidR="00911A26" w:rsidRPr="00627169">
          <w:rPr>
            <w:rStyle w:val="Hyperlink"/>
            <w:sz w:val="21"/>
            <w:szCs w:val="24"/>
            <w:lang w:eastAsia="zh-CN"/>
          </w:rPr>
          <w:t>strategic aid objectives in 2014-15</w:t>
        </w:r>
      </w:hyperlink>
      <w:r>
        <w:rPr>
          <w:lang w:eastAsia="zh-CN"/>
        </w:rPr>
        <w:t xml:space="preserve">, and </w:t>
      </w:r>
      <w:r w:rsidR="00911A26">
        <w:rPr>
          <w:lang w:eastAsia="zh-CN"/>
        </w:rPr>
        <w:t>significant improvements were made towards</w:t>
      </w:r>
      <w:r w:rsidR="00446883">
        <w:rPr>
          <w:lang w:eastAsia="zh-CN"/>
        </w:rPr>
        <w:t xml:space="preserve"> strengthening </w:t>
      </w:r>
      <w:r w:rsidR="00911A26">
        <w:rPr>
          <w:lang w:eastAsia="zh-CN"/>
        </w:rPr>
        <w:t xml:space="preserve">the effectiveness and efficiency of the Africa Aid Program’s investments.  </w:t>
      </w:r>
      <w:r>
        <w:rPr>
          <w:lang w:eastAsia="zh-CN"/>
        </w:rPr>
        <w:t>T</w:t>
      </w:r>
      <w:r w:rsidR="00911A26">
        <w:rPr>
          <w:lang w:eastAsia="zh-CN"/>
        </w:rPr>
        <w:t>he Program met the Government’s value for money</w:t>
      </w:r>
      <w:r w:rsidR="00A245B0" w:rsidRPr="007E37FB">
        <w:rPr>
          <w:rStyle w:val="FootnoteReference"/>
          <w:rFonts w:ascii="Franklin Gothic Book" w:hAnsi="Franklin Gothic Book"/>
          <w:sz w:val="21"/>
          <w:szCs w:val="21"/>
          <w:vertAlign w:val="superscript"/>
          <w:lang w:eastAsia="zh-CN"/>
        </w:rPr>
        <w:footnoteReference w:id="10"/>
      </w:r>
      <w:r w:rsidR="00A245B0">
        <w:rPr>
          <w:lang w:eastAsia="zh-CN"/>
        </w:rPr>
        <w:t xml:space="preserve"> and consolidation</w:t>
      </w:r>
      <w:r w:rsidR="00A245B0" w:rsidRPr="007E37FB">
        <w:rPr>
          <w:rStyle w:val="FootnoteReference"/>
          <w:rFonts w:ascii="Franklin Gothic Book" w:hAnsi="Franklin Gothic Book"/>
          <w:sz w:val="21"/>
          <w:szCs w:val="21"/>
          <w:vertAlign w:val="superscript"/>
          <w:lang w:eastAsia="zh-CN"/>
        </w:rPr>
        <w:footnoteReference w:id="11"/>
      </w:r>
      <w:r w:rsidR="00A245B0">
        <w:rPr>
          <w:lang w:eastAsia="zh-CN"/>
        </w:rPr>
        <w:t xml:space="preserve"> strategic targets.  </w:t>
      </w:r>
      <w:r>
        <w:rPr>
          <w:lang w:eastAsia="zh-CN"/>
        </w:rPr>
        <w:t>T</w:t>
      </w:r>
      <w:r w:rsidR="00A245B0">
        <w:rPr>
          <w:lang w:eastAsia="zh-CN"/>
        </w:rPr>
        <w:t>he Program did not meet the Government’s strategic target for empowering women and girls</w:t>
      </w:r>
      <w:r w:rsidR="00A245B0" w:rsidRPr="007E37FB">
        <w:rPr>
          <w:rStyle w:val="FootnoteReference"/>
          <w:rFonts w:ascii="Franklin Gothic Book" w:hAnsi="Franklin Gothic Book"/>
          <w:sz w:val="21"/>
          <w:szCs w:val="21"/>
          <w:vertAlign w:val="superscript"/>
          <w:lang w:eastAsia="zh-CN"/>
        </w:rPr>
        <w:footnoteReference w:id="12"/>
      </w:r>
      <w:r w:rsidRPr="007E37FB">
        <w:rPr>
          <w:szCs w:val="21"/>
          <w:vertAlign w:val="superscript"/>
          <w:lang w:eastAsia="zh-CN"/>
        </w:rPr>
        <w:t xml:space="preserve"> </w:t>
      </w:r>
      <w:r>
        <w:rPr>
          <w:lang w:eastAsia="zh-CN"/>
        </w:rPr>
        <w:t>by a very small margin, nor the</w:t>
      </w:r>
      <w:r w:rsidR="00A245B0">
        <w:rPr>
          <w:lang w:eastAsia="zh-CN"/>
        </w:rPr>
        <w:t xml:space="preserve"> aid for trade target</w:t>
      </w:r>
      <w:r w:rsidR="00A245B0" w:rsidRPr="007E37FB">
        <w:rPr>
          <w:rStyle w:val="FootnoteReference"/>
          <w:rFonts w:ascii="Franklin Gothic Book" w:hAnsi="Franklin Gothic Book"/>
          <w:sz w:val="21"/>
          <w:szCs w:val="21"/>
          <w:vertAlign w:val="superscript"/>
          <w:lang w:eastAsia="zh-CN"/>
        </w:rPr>
        <w:footnoteReference w:id="13"/>
      </w:r>
      <w:r w:rsidR="005974E9">
        <w:rPr>
          <w:lang w:eastAsia="zh-CN"/>
        </w:rPr>
        <w:t xml:space="preserve"> and renewed efforts will be made in the next reporting period</w:t>
      </w:r>
      <w:r>
        <w:rPr>
          <w:lang w:eastAsia="zh-CN"/>
        </w:rPr>
        <w:t>.</w:t>
      </w:r>
      <w:r w:rsidR="00911A26">
        <w:rPr>
          <w:lang w:eastAsia="zh-CN"/>
        </w:rPr>
        <w:t xml:space="preserve"> </w:t>
      </w:r>
    </w:p>
    <w:p w:rsidR="00CB187A" w:rsidRPr="002C04CD" w:rsidRDefault="00CB187A" w:rsidP="00CB187A">
      <w:pPr>
        <w:spacing w:after="160" w:line="280" w:lineRule="exact"/>
        <w:rPr>
          <w:rFonts w:ascii="Franklin Gothic Book" w:eastAsia="Times New Roman" w:hAnsi="Franklin Gothic Book"/>
          <w:sz w:val="21"/>
          <w:lang w:eastAsia="zh-CN"/>
        </w:rPr>
      </w:pPr>
      <w:r w:rsidRPr="00CB187A">
        <w:rPr>
          <w:rFonts w:ascii="Franklin Gothic Book" w:eastAsia="Times New Roman" w:hAnsi="Franklin Gothic Book"/>
          <w:sz w:val="21"/>
          <w:szCs w:val="21"/>
          <w:lang w:eastAsia="zh-CN"/>
        </w:rPr>
        <w:t xml:space="preserve">Ten of the anticipated 12 evaluations for 2014-15 were completed during the reporting period.  </w:t>
      </w:r>
      <w:r w:rsidR="00790FEF">
        <w:rPr>
          <w:rFonts w:ascii="Franklin Gothic Book" w:eastAsia="Times New Roman" w:hAnsi="Franklin Gothic Book"/>
          <w:sz w:val="21"/>
          <w:szCs w:val="21"/>
          <w:lang w:eastAsia="zh-CN"/>
        </w:rPr>
        <w:t>O</w:t>
      </w:r>
      <w:r w:rsidRPr="00CB187A">
        <w:rPr>
          <w:rFonts w:ascii="Franklin Gothic Book" w:eastAsia="Times New Roman" w:hAnsi="Franklin Gothic Book"/>
          <w:sz w:val="21"/>
          <w:szCs w:val="21"/>
          <w:lang w:eastAsia="zh-CN"/>
        </w:rPr>
        <w:t xml:space="preserve">f these seven were published to DFAT’s internet site.  </w:t>
      </w:r>
      <w:r w:rsidRPr="00CB187A">
        <w:rPr>
          <w:rFonts w:ascii="Franklin Gothic Book" w:eastAsia="Times New Roman" w:hAnsi="Franklin Gothic Book"/>
          <w:sz w:val="21"/>
          <w:szCs w:val="21"/>
        </w:rPr>
        <w:t xml:space="preserve">During 2015-16, </w:t>
      </w:r>
      <w:r w:rsidRPr="00186DB7">
        <w:rPr>
          <w:rFonts w:ascii="Franklin Gothic Book" w:eastAsia="Times New Roman" w:hAnsi="Franklin Gothic Book"/>
          <w:sz w:val="21"/>
          <w:szCs w:val="21"/>
          <w:lang w:eastAsia="zh-CN"/>
        </w:rPr>
        <w:t>DFAT will continue</w:t>
      </w:r>
      <w:r w:rsidRPr="002C04CD">
        <w:rPr>
          <w:rFonts w:ascii="Franklin Gothic Book" w:eastAsia="Times New Roman" w:hAnsi="Franklin Gothic Book"/>
          <w:sz w:val="21"/>
          <w:lang w:eastAsia="zh-CN"/>
        </w:rPr>
        <w:t xml:space="preserve"> to work to ensure more timely management responses and publication of evaluations to support the Government’s aid transparency agenda.  During 2015-16, the Africa Aid Program is scheduled to conduct six evaluations</w:t>
      </w:r>
      <w:r w:rsidR="00E8023F">
        <w:rPr>
          <w:rFonts w:ascii="Franklin Gothic Book" w:eastAsia="Times New Roman" w:hAnsi="Franklin Gothic Book"/>
          <w:sz w:val="21"/>
          <w:lang w:eastAsia="zh-CN"/>
        </w:rPr>
        <w:t xml:space="preserve"> to</w:t>
      </w:r>
      <w:r w:rsidRPr="002C04CD">
        <w:rPr>
          <w:rFonts w:ascii="Franklin Gothic Book" w:eastAsia="Times New Roman" w:hAnsi="Franklin Gothic Book"/>
          <w:sz w:val="21"/>
          <w:lang w:eastAsia="zh-CN"/>
        </w:rPr>
        <w:t xml:space="preserve"> </w:t>
      </w:r>
      <w:r>
        <w:rPr>
          <w:rFonts w:ascii="Franklin Gothic Book" w:eastAsia="Times New Roman" w:hAnsi="Franklin Gothic Book"/>
          <w:sz w:val="21"/>
          <w:lang w:eastAsia="zh-CN"/>
        </w:rPr>
        <w:t>strengthen</w:t>
      </w:r>
      <w:r w:rsidRPr="002C04CD">
        <w:rPr>
          <w:rFonts w:ascii="Franklin Gothic Book" w:eastAsia="Times New Roman" w:hAnsi="Franklin Gothic Book"/>
          <w:sz w:val="21"/>
          <w:lang w:eastAsia="zh-CN"/>
        </w:rPr>
        <w:t xml:space="preserve"> programming.</w:t>
      </w:r>
    </w:p>
    <w:p w:rsidR="00D06226" w:rsidRPr="00E628A5" w:rsidRDefault="00D06226" w:rsidP="00E628A5">
      <w:pPr>
        <w:spacing w:line="276" w:lineRule="auto"/>
        <w:rPr>
          <w:rFonts w:ascii="Helvetica" w:eastAsia="Times New Roman" w:hAnsi="Helvetica" w:cs="Arial"/>
          <w:b/>
          <w:color w:val="124486"/>
          <w:kern w:val="28"/>
          <w:sz w:val="22"/>
          <w:szCs w:val="22"/>
          <w:lang w:eastAsia="zh-CN"/>
        </w:rPr>
      </w:pPr>
      <w:r w:rsidRPr="00E628A5">
        <w:rPr>
          <w:rFonts w:ascii="Helvetica" w:eastAsia="Times New Roman" w:hAnsi="Helvetica" w:cs="Arial"/>
          <w:b/>
          <w:color w:val="124486"/>
          <w:kern w:val="28"/>
          <w:sz w:val="22"/>
          <w:szCs w:val="22"/>
          <w:lang w:eastAsia="zh-CN"/>
        </w:rPr>
        <w:t>Analysis of Aid Quality Checks (AQCs)</w:t>
      </w:r>
    </w:p>
    <w:p w:rsidR="00D06226" w:rsidRDefault="00D06226" w:rsidP="00D06226">
      <w:pPr>
        <w:pStyle w:val="ListBullet"/>
        <w:numPr>
          <w:ilvl w:val="0"/>
          <w:numId w:val="0"/>
        </w:numPr>
        <w:tabs>
          <w:tab w:val="clear" w:pos="284"/>
        </w:tabs>
      </w:pPr>
      <w:r>
        <w:rPr>
          <w:lang w:eastAsia="zh-CN"/>
        </w:rPr>
        <w:t xml:space="preserve">During 2014-15, significant improvements were made towards improving the effectiveness and efficiency of the Africa Aid Program’s investments.  </w:t>
      </w:r>
      <w:r w:rsidR="00AA64C9">
        <w:rPr>
          <w:lang w:eastAsia="zh-CN"/>
        </w:rPr>
        <w:t xml:space="preserve">For example, </w:t>
      </w:r>
      <w:r w:rsidR="007C671B">
        <w:rPr>
          <w:lang w:eastAsia="zh-CN"/>
        </w:rPr>
        <w:t>100 per</w:t>
      </w:r>
      <w:r w:rsidR="00310D8A">
        <w:rPr>
          <w:lang w:eastAsia="zh-CN"/>
        </w:rPr>
        <w:t xml:space="preserve"> </w:t>
      </w:r>
      <w:r w:rsidR="007C671B">
        <w:rPr>
          <w:lang w:eastAsia="zh-CN"/>
        </w:rPr>
        <w:t>cent of inve</w:t>
      </w:r>
      <w:r w:rsidR="004D3E06">
        <w:rPr>
          <w:lang w:eastAsia="zh-CN"/>
        </w:rPr>
        <w:t xml:space="preserve">stments </w:t>
      </w:r>
      <w:r w:rsidR="0071077A">
        <w:rPr>
          <w:lang w:eastAsia="zh-CN"/>
        </w:rPr>
        <w:t xml:space="preserve">were </w:t>
      </w:r>
      <w:r w:rsidR="004D3E06">
        <w:rPr>
          <w:lang w:eastAsia="zh-CN"/>
        </w:rPr>
        <w:t>rated as satisfactory and</w:t>
      </w:r>
      <w:r w:rsidR="007C671B">
        <w:rPr>
          <w:lang w:eastAsia="zh-CN"/>
        </w:rPr>
        <w:t xml:space="preserve"> above for effectiveness (compared with 81 per</w:t>
      </w:r>
      <w:r w:rsidR="00310D8A">
        <w:rPr>
          <w:lang w:eastAsia="zh-CN"/>
        </w:rPr>
        <w:t xml:space="preserve"> </w:t>
      </w:r>
      <w:r w:rsidR="007C671B">
        <w:rPr>
          <w:lang w:eastAsia="zh-CN"/>
        </w:rPr>
        <w:t>cent in 2014) and 92 per</w:t>
      </w:r>
      <w:r w:rsidR="00310D8A">
        <w:rPr>
          <w:lang w:eastAsia="zh-CN"/>
        </w:rPr>
        <w:t xml:space="preserve"> </w:t>
      </w:r>
      <w:r w:rsidR="007C671B">
        <w:rPr>
          <w:lang w:eastAsia="zh-CN"/>
        </w:rPr>
        <w:t>cent sco</w:t>
      </w:r>
      <w:r w:rsidR="00095F69">
        <w:rPr>
          <w:lang w:eastAsia="zh-CN"/>
        </w:rPr>
        <w:t>red</w:t>
      </w:r>
      <w:r w:rsidR="007C671B">
        <w:rPr>
          <w:lang w:eastAsia="zh-CN"/>
        </w:rPr>
        <w:t xml:space="preserve"> </w:t>
      </w:r>
      <w:r w:rsidR="004D3E06">
        <w:rPr>
          <w:lang w:eastAsia="zh-CN"/>
        </w:rPr>
        <w:t>satisfactory and above for efficiency (compared with 78 per</w:t>
      </w:r>
      <w:r w:rsidR="00310D8A">
        <w:rPr>
          <w:lang w:eastAsia="zh-CN"/>
        </w:rPr>
        <w:t xml:space="preserve"> </w:t>
      </w:r>
      <w:r w:rsidR="004D3E06">
        <w:rPr>
          <w:lang w:eastAsia="zh-CN"/>
        </w:rPr>
        <w:t xml:space="preserve">cent in 2014).  </w:t>
      </w:r>
      <w:r w:rsidRPr="00CB4A1A">
        <w:rPr>
          <w:lang w:eastAsia="zh-CN"/>
        </w:rPr>
        <w:t>The Program greatly consolidated the number of individual investments during 2014-15 from</w:t>
      </w:r>
      <w:r w:rsidR="00CB4A1A" w:rsidRPr="00CB4A1A">
        <w:rPr>
          <w:lang w:eastAsia="zh-CN"/>
        </w:rPr>
        <w:t xml:space="preserve"> 56 at 1 July 2014</w:t>
      </w:r>
      <w:r w:rsidRPr="00CB4A1A">
        <w:rPr>
          <w:lang w:eastAsia="zh-CN"/>
        </w:rPr>
        <w:t xml:space="preserve"> to</w:t>
      </w:r>
      <w:r w:rsidR="00CB4A1A">
        <w:rPr>
          <w:lang w:eastAsia="zh-CN"/>
        </w:rPr>
        <w:t xml:space="preserve"> </w:t>
      </w:r>
      <w:r w:rsidR="00CB4A1A" w:rsidRPr="00CB4A1A">
        <w:rPr>
          <w:lang w:eastAsia="zh-CN"/>
        </w:rPr>
        <w:t>44 at the 1 July 2015</w:t>
      </w:r>
      <w:r w:rsidRPr="00CB4A1A">
        <w:rPr>
          <w:lang w:eastAsia="zh-CN"/>
        </w:rPr>
        <w:t xml:space="preserve"> (</w:t>
      </w:r>
      <w:r w:rsidR="00AA64C9" w:rsidRPr="00CB4A1A">
        <w:rPr>
          <w:lang w:eastAsia="zh-CN"/>
        </w:rPr>
        <w:t>exceed</w:t>
      </w:r>
      <w:r w:rsidRPr="00CB4A1A">
        <w:rPr>
          <w:lang w:eastAsia="zh-CN"/>
        </w:rPr>
        <w:t>ing</w:t>
      </w:r>
      <w:r w:rsidR="00AA64C9" w:rsidRPr="00CB4A1A">
        <w:rPr>
          <w:lang w:eastAsia="zh-CN"/>
        </w:rPr>
        <w:t xml:space="preserve"> the </w:t>
      </w:r>
      <w:r w:rsidR="004D3E06" w:rsidRPr="00CB4A1A">
        <w:rPr>
          <w:lang w:eastAsia="zh-CN"/>
        </w:rPr>
        <w:t xml:space="preserve">Government’s </w:t>
      </w:r>
      <w:r w:rsidR="00095F69" w:rsidRPr="00CB4A1A">
        <w:rPr>
          <w:lang w:eastAsia="zh-CN"/>
        </w:rPr>
        <w:t>20 per</w:t>
      </w:r>
      <w:r w:rsidR="00E8023F">
        <w:rPr>
          <w:lang w:eastAsia="zh-CN"/>
        </w:rPr>
        <w:t xml:space="preserve"> </w:t>
      </w:r>
      <w:r w:rsidR="00095F69" w:rsidRPr="00CB4A1A">
        <w:rPr>
          <w:lang w:eastAsia="zh-CN"/>
        </w:rPr>
        <w:t xml:space="preserve">cent </w:t>
      </w:r>
      <w:r w:rsidRPr="00CB4A1A">
        <w:rPr>
          <w:lang w:eastAsia="zh-CN"/>
        </w:rPr>
        <w:t xml:space="preserve">consolidation target </w:t>
      </w:r>
      <w:r w:rsidR="00095F69" w:rsidRPr="00CB4A1A">
        <w:rPr>
          <w:lang w:eastAsia="zh-CN"/>
        </w:rPr>
        <w:t>by 2016-1</w:t>
      </w:r>
      <w:r w:rsidRPr="00CB4A1A">
        <w:rPr>
          <w:lang w:eastAsia="zh-CN"/>
        </w:rPr>
        <w:t>7</w:t>
      </w:r>
      <w:r w:rsidR="009D6527">
        <w:rPr>
          <w:lang w:eastAsia="zh-CN"/>
        </w:rPr>
        <w:t>)</w:t>
      </w:r>
      <w:r w:rsidRPr="00CB4A1A">
        <w:rPr>
          <w:lang w:eastAsia="zh-CN"/>
        </w:rPr>
        <w:t>.</w:t>
      </w:r>
      <w:r>
        <w:rPr>
          <w:lang w:eastAsia="zh-CN"/>
        </w:rPr>
        <w:t xml:space="preserve">  </w:t>
      </w:r>
      <w:r w:rsidR="00095F69">
        <w:rPr>
          <w:lang w:eastAsia="zh-CN"/>
        </w:rPr>
        <w:t xml:space="preserve">However, </w:t>
      </w:r>
      <w:r w:rsidR="0071077A">
        <w:rPr>
          <w:lang w:eastAsia="zh-CN"/>
        </w:rPr>
        <w:t>7</w:t>
      </w:r>
      <w:r w:rsidR="00EC27E5">
        <w:rPr>
          <w:lang w:eastAsia="zh-CN"/>
        </w:rPr>
        <w:t>3</w:t>
      </w:r>
      <w:r w:rsidR="009D6527">
        <w:rPr>
          <w:lang w:eastAsia="zh-CN"/>
        </w:rPr>
        <w:t xml:space="preserve"> per</w:t>
      </w:r>
      <w:r w:rsidR="00E8023F">
        <w:rPr>
          <w:lang w:eastAsia="zh-CN"/>
        </w:rPr>
        <w:t xml:space="preserve"> </w:t>
      </w:r>
      <w:r w:rsidR="009D6527">
        <w:rPr>
          <w:lang w:eastAsia="zh-CN"/>
        </w:rPr>
        <w:t>cent</w:t>
      </w:r>
      <w:r>
        <w:rPr>
          <w:lang w:eastAsia="zh-CN"/>
        </w:rPr>
        <w:t xml:space="preserve"> of </w:t>
      </w:r>
      <w:r w:rsidR="00E8023F">
        <w:rPr>
          <w:lang w:eastAsia="zh-CN"/>
        </w:rPr>
        <w:t>investments</w:t>
      </w:r>
      <w:r>
        <w:rPr>
          <w:lang w:eastAsia="zh-CN"/>
        </w:rPr>
        <w:t xml:space="preserve"> scored a satisfactory or above rating for effectively addressing gender (</w:t>
      </w:r>
      <w:r w:rsidR="00EC27E5">
        <w:rPr>
          <w:lang w:eastAsia="zh-CN"/>
        </w:rPr>
        <w:t>reduced slightly from 74 per</w:t>
      </w:r>
      <w:r w:rsidR="00E8023F">
        <w:rPr>
          <w:lang w:eastAsia="zh-CN"/>
        </w:rPr>
        <w:t xml:space="preserve"> </w:t>
      </w:r>
      <w:r w:rsidR="00EC27E5">
        <w:rPr>
          <w:lang w:eastAsia="zh-CN"/>
        </w:rPr>
        <w:t xml:space="preserve">cent in </w:t>
      </w:r>
      <w:r w:rsidR="0071077A">
        <w:rPr>
          <w:lang w:eastAsia="zh-CN"/>
        </w:rPr>
        <w:t>2013-14</w:t>
      </w:r>
      <w:r w:rsidR="004D3E06">
        <w:rPr>
          <w:lang w:eastAsia="zh-CN"/>
        </w:rPr>
        <w:t>).</w:t>
      </w:r>
      <w:r w:rsidR="000A5D7C">
        <w:rPr>
          <w:lang w:eastAsia="zh-CN"/>
        </w:rPr>
        <w:t xml:space="preserve">  </w:t>
      </w:r>
      <w:r>
        <w:rPr>
          <w:lang w:eastAsia="zh-CN"/>
        </w:rPr>
        <w:t>G</w:t>
      </w:r>
      <w:r w:rsidR="00AA64C9">
        <w:rPr>
          <w:lang w:eastAsia="zh-CN"/>
        </w:rPr>
        <w:t>ender specialist</w:t>
      </w:r>
      <w:r w:rsidR="008364EB">
        <w:rPr>
          <w:lang w:eastAsia="zh-CN"/>
        </w:rPr>
        <w:t>s</w:t>
      </w:r>
      <w:r>
        <w:rPr>
          <w:lang w:eastAsia="zh-CN"/>
        </w:rPr>
        <w:t xml:space="preserve"> have been enlisted for those programs which extend beyond 2015 to ensure gender is strengthened.  </w:t>
      </w:r>
      <w:r>
        <w:t>There were no underperforming investments (scor</w:t>
      </w:r>
      <w:r w:rsidR="00E8023F">
        <w:t>ing</w:t>
      </w:r>
      <w:r>
        <w:t xml:space="preserve"> unsatisfactory ratings for effectiveness and efficiency) or </w:t>
      </w:r>
      <w:r w:rsidR="00E8023F">
        <w:t>r</w:t>
      </w:r>
      <w:r>
        <w:t xml:space="preserve">equiring </w:t>
      </w:r>
      <w:r w:rsidR="00E8023F">
        <w:t>i</w:t>
      </w:r>
      <w:r>
        <w:t xml:space="preserve">mprovement (scoring unsatisfactory for effectiveness and efficiency two years in a row) during the 2014-15 reporting period. </w:t>
      </w:r>
    </w:p>
    <w:p w:rsidR="00D06226" w:rsidRPr="008705AD" w:rsidRDefault="00D06226" w:rsidP="00D06226">
      <w:pPr>
        <w:pStyle w:val="ListBullet"/>
        <w:numPr>
          <w:ilvl w:val="0"/>
          <w:numId w:val="0"/>
        </w:numPr>
        <w:tabs>
          <w:tab w:val="clear" w:pos="284"/>
        </w:tabs>
        <w:rPr>
          <w:szCs w:val="21"/>
        </w:rPr>
      </w:pPr>
      <w:r w:rsidRPr="008705AD">
        <w:rPr>
          <w:szCs w:val="21"/>
        </w:rPr>
        <w:t>A more specific breakdown of scores against key quality criteria for 2015 is provided below:</w:t>
      </w:r>
    </w:p>
    <w:p w:rsidR="00E8023F" w:rsidRDefault="00D06226" w:rsidP="00E8023F">
      <w:pPr>
        <w:spacing w:after="120" w:line="276" w:lineRule="auto"/>
        <w:rPr>
          <w:rFonts w:ascii="Franklin Gothic Book" w:hAnsi="Franklin Gothic Book"/>
          <w:sz w:val="21"/>
          <w:szCs w:val="21"/>
        </w:rPr>
      </w:pPr>
      <w:r w:rsidRPr="0067679E">
        <w:rPr>
          <w:rFonts w:ascii="Franklin Gothic Book" w:hAnsi="Franklin Gothic Book"/>
          <w:i/>
          <w:sz w:val="21"/>
          <w:szCs w:val="21"/>
        </w:rPr>
        <w:t>Relevance</w:t>
      </w:r>
      <w:r w:rsidRPr="0067679E">
        <w:rPr>
          <w:rFonts w:ascii="Franklin Gothic Book" w:hAnsi="Franklin Gothic Book"/>
          <w:sz w:val="21"/>
          <w:szCs w:val="21"/>
        </w:rPr>
        <w:t xml:space="preserve">:  All investments were assessed as highly relevant to the development context in Sub-Saharan Africa during this year’s AQC reporting.  </w:t>
      </w:r>
    </w:p>
    <w:p w:rsidR="00E8023F" w:rsidRDefault="00D06226" w:rsidP="00E8023F">
      <w:pPr>
        <w:spacing w:after="120" w:line="276" w:lineRule="auto"/>
        <w:rPr>
          <w:rFonts w:ascii="Franklin Gothic Book" w:hAnsi="Franklin Gothic Book" w:cstheme="minorHAnsi"/>
          <w:sz w:val="21"/>
          <w:szCs w:val="21"/>
        </w:rPr>
      </w:pPr>
      <w:r w:rsidRPr="0067679E">
        <w:rPr>
          <w:rFonts w:ascii="Franklin Gothic Book" w:hAnsi="Franklin Gothic Book"/>
          <w:i/>
          <w:sz w:val="21"/>
          <w:szCs w:val="21"/>
        </w:rPr>
        <w:t>Effectiveness</w:t>
      </w:r>
      <w:r w:rsidRPr="0067679E">
        <w:rPr>
          <w:rFonts w:ascii="Franklin Gothic Book" w:hAnsi="Franklin Gothic Book"/>
          <w:sz w:val="21"/>
          <w:szCs w:val="21"/>
        </w:rPr>
        <w:t>:  All investments were rated as being effective in the 2014-15 reporting cycle:  five of these were rated as performing well and the remaining 13 performing adequately.  Key issues included: difficulties in clearly articulating the program’s theory of change</w:t>
      </w:r>
      <w:r w:rsidRPr="0067679E">
        <w:rPr>
          <w:rFonts w:ascii="Franklin Gothic Book" w:hAnsi="Franklin Gothic Book" w:cstheme="minorHAnsi"/>
          <w:sz w:val="21"/>
          <w:szCs w:val="21"/>
        </w:rPr>
        <w:t xml:space="preserve"> and higher level objectives; challenges faced by the reduced scope of programs and the inability to fund future phases; and difficult operating environments. </w:t>
      </w:r>
    </w:p>
    <w:p w:rsidR="009C7817" w:rsidRDefault="00D06226" w:rsidP="00E8023F">
      <w:pPr>
        <w:spacing w:after="120" w:line="276" w:lineRule="auto"/>
        <w:rPr>
          <w:rFonts w:ascii="Franklin Gothic Book" w:hAnsi="Franklin Gothic Book" w:cstheme="minorHAnsi"/>
          <w:sz w:val="21"/>
          <w:szCs w:val="21"/>
        </w:rPr>
      </w:pPr>
      <w:r w:rsidRPr="0067679E">
        <w:rPr>
          <w:rFonts w:ascii="Franklin Gothic Book" w:hAnsi="Franklin Gothic Book"/>
          <w:i/>
          <w:sz w:val="21"/>
          <w:szCs w:val="21"/>
        </w:rPr>
        <w:t>Efficiency</w:t>
      </w:r>
      <w:r w:rsidRPr="0067679E">
        <w:rPr>
          <w:rFonts w:ascii="Franklin Gothic Book" w:hAnsi="Franklin Gothic Book"/>
          <w:sz w:val="21"/>
          <w:szCs w:val="21"/>
        </w:rPr>
        <w:t>:  Seven investments were rated as performing well, one as very well</w:t>
      </w:r>
      <w:r w:rsidR="009C7817">
        <w:rPr>
          <w:rFonts w:ascii="Franklin Gothic Book" w:hAnsi="Franklin Gothic Book"/>
          <w:sz w:val="21"/>
          <w:szCs w:val="21"/>
        </w:rPr>
        <w:t>,</w:t>
      </w:r>
      <w:r w:rsidRPr="0067679E">
        <w:rPr>
          <w:rFonts w:ascii="Franklin Gothic Book" w:hAnsi="Franklin Gothic Book"/>
          <w:sz w:val="21"/>
          <w:szCs w:val="21"/>
        </w:rPr>
        <w:t xml:space="preserve"> eight as adequate and two as unsatisfactory.  The two investments rated as unsatisfactory were the Zimbabwe Multi Donor Trust Fund and the Democratic Reform in Zimbabwe program.</w:t>
      </w:r>
      <w:r w:rsidR="00EC27E5" w:rsidRPr="00B653FE">
        <w:rPr>
          <w:rFonts w:ascii="Franklin Gothic Book" w:hAnsi="Franklin Gothic Book"/>
          <w:sz w:val="21"/>
          <w:szCs w:val="21"/>
        </w:rPr>
        <w:t xml:space="preserve"> Complex governance arrangements associated with trust funds and challenging operational environments (due to serious economic and political challenges) influenced the scores of these investments.  Measures are being taken to manage </w:t>
      </w:r>
      <w:r w:rsidR="009C7817">
        <w:rPr>
          <w:rFonts w:ascii="Franklin Gothic Book" w:hAnsi="Franklin Gothic Book"/>
          <w:sz w:val="21"/>
          <w:szCs w:val="21"/>
        </w:rPr>
        <w:t xml:space="preserve">these issues. </w:t>
      </w:r>
      <w:r w:rsidR="00EC27E5" w:rsidRPr="00B653FE">
        <w:rPr>
          <w:rFonts w:ascii="Franklin Gothic Book" w:hAnsi="Franklin Gothic Book"/>
          <w:sz w:val="21"/>
          <w:szCs w:val="21"/>
        </w:rPr>
        <w:t>O</w:t>
      </w:r>
      <w:r w:rsidRPr="00B653FE">
        <w:rPr>
          <w:rFonts w:ascii="Franklin Gothic Book" w:hAnsi="Franklin Gothic Book"/>
          <w:sz w:val="21"/>
          <w:szCs w:val="21"/>
        </w:rPr>
        <w:t xml:space="preserve">ther challenges which influenced the scores of investments included: </w:t>
      </w:r>
      <w:r w:rsidRPr="00B653FE">
        <w:rPr>
          <w:rFonts w:ascii="Franklin Gothic Book" w:hAnsi="Franklin Gothic Book" w:cstheme="minorHAnsi"/>
          <w:sz w:val="21"/>
          <w:szCs w:val="21"/>
        </w:rPr>
        <w:t>managing programs remotely</w:t>
      </w:r>
      <w:r w:rsidR="009C7817">
        <w:rPr>
          <w:rFonts w:ascii="Franklin Gothic Book" w:hAnsi="Franklin Gothic Book" w:cstheme="minorHAnsi"/>
          <w:sz w:val="21"/>
          <w:szCs w:val="21"/>
        </w:rPr>
        <w:t>;</w:t>
      </w:r>
      <w:r w:rsidRPr="00B653FE">
        <w:rPr>
          <w:rFonts w:ascii="Franklin Gothic Book" w:hAnsi="Franklin Gothic Book" w:cstheme="minorHAnsi"/>
          <w:sz w:val="21"/>
          <w:szCs w:val="21"/>
        </w:rPr>
        <w:t xml:space="preserve"> adequate oversight of delegated cooperation agreements</w:t>
      </w:r>
      <w:r w:rsidR="009C7817">
        <w:rPr>
          <w:rFonts w:ascii="Franklin Gothic Book" w:hAnsi="Franklin Gothic Book" w:cstheme="minorHAnsi"/>
          <w:sz w:val="21"/>
          <w:szCs w:val="21"/>
        </w:rPr>
        <w:t>;</w:t>
      </w:r>
      <w:r w:rsidRPr="00B653FE">
        <w:rPr>
          <w:rFonts w:ascii="Franklin Gothic Book" w:hAnsi="Franklin Gothic Book" w:cstheme="minorHAnsi"/>
          <w:sz w:val="21"/>
          <w:szCs w:val="21"/>
        </w:rPr>
        <w:t xml:space="preserve"> and unrealistic and/or changing timeframes and budgets.</w:t>
      </w:r>
    </w:p>
    <w:p w:rsidR="009C7817" w:rsidRDefault="00D06226" w:rsidP="00E8023F">
      <w:pPr>
        <w:spacing w:after="120" w:line="276" w:lineRule="auto"/>
        <w:rPr>
          <w:rFonts w:ascii="Franklin Gothic Book" w:hAnsi="Franklin Gothic Book"/>
          <w:sz w:val="21"/>
          <w:szCs w:val="21"/>
        </w:rPr>
      </w:pPr>
      <w:r w:rsidRPr="00B653FE">
        <w:rPr>
          <w:rFonts w:ascii="Franklin Gothic Book" w:hAnsi="Franklin Gothic Book"/>
          <w:i/>
          <w:sz w:val="21"/>
          <w:szCs w:val="21"/>
        </w:rPr>
        <w:t>Monitoring and evaluation systems</w:t>
      </w:r>
      <w:r w:rsidRPr="00B653FE">
        <w:rPr>
          <w:rFonts w:ascii="Franklin Gothic Book" w:hAnsi="Franklin Gothic Book"/>
          <w:sz w:val="21"/>
          <w:szCs w:val="21"/>
        </w:rPr>
        <w:t xml:space="preserve">:  Six investments were </w:t>
      </w:r>
      <w:r w:rsidR="009C7817">
        <w:rPr>
          <w:rFonts w:ascii="Franklin Gothic Book" w:hAnsi="Franklin Gothic Book"/>
          <w:sz w:val="21"/>
          <w:szCs w:val="21"/>
        </w:rPr>
        <w:t xml:space="preserve">rated as </w:t>
      </w:r>
      <w:r w:rsidRPr="00B653FE">
        <w:rPr>
          <w:rFonts w:ascii="Franklin Gothic Book" w:hAnsi="Franklin Gothic Book"/>
          <w:sz w:val="21"/>
          <w:szCs w:val="21"/>
        </w:rPr>
        <w:t>performing well in</w:t>
      </w:r>
      <w:r w:rsidR="009C7817">
        <w:rPr>
          <w:rFonts w:ascii="Franklin Gothic Book" w:hAnsi="Franklin Gothic Book"/>
          <w:sz w:val="21"/>
          <w:szCs w:val="21"/>
        </w:rPr>
        <w:t xml:space="preserve"> M&amp;E</w:t>
      </w:r>
      <w:r w:rsidRPr="00B653FE">
        <w:rPr>
          <w:rFonts w:ascii="Franklin Gothic Book" w:hAnsi="Franklin Gothic Book"/>
          <w:sz w:val="21"/>
          <w:szCs w:val="21"/>
        </w:rPr>
        <w:t xml:space="preserve">, one as performing very well, eight as performing adequately and three as performing unsatisfactorily in capturing the necessary information to satisfy DFAT’s quality reporting requirements.  The complexity of operating environments and systems and the broad range of stakeholders </w:t>
      </w:r>
      <w:r w:rsidR="009C7817">
        <w:rPr>
          <w:rFonts w:ascii="Franklin Gothic Book" w:hAnsi="Franklin Gothic Book"/>
          <w:sz w:val="21"/>
          <w:szCs w:val="21"/>
        </w:rPr>
        <w:t>w</w:t>
      </w:r>
      <w:r w:rsidRPr="00B653FE">
        <w:rPr>
          <w:rFonts w:ascii="Franklin Gothic Book" w:hAnsi="Franklin Gothic Book"/>
          <w:sz w:val="21"/>
          <w:szCs w:val="21"/>
        </w:rPr>
        <w:t>ere contributing factors.</w:t>
      </w:r>
    </w:p>
    <w:p w:rsidR="009C7817" w:rsidRDefault="00D06226" w:rsidP="00E8023F">
      <w:pPr>
        <w:spacing w:after="120" w:line="276" w:lineRule="auto"/>
        <w:rPr>
          <w:rFonts w:ascii="Franklin Gothic Book" w:hAnsi="Franklin Gothic Book"/>
          <w:sz w:val="21"/>
          <w:szCs w:val="21"/>
        </w:rPr>
      </w:pPr>
      <w:r w:rsidRPr="00B653FE">
        <w:rPr>
          <w:rFonts w:ascii="Franklin Gothic Book" w:hAnsi="Franklin Gothic Book"/>
          <w:i/>
          <w:sz w:val="21"/>
          <w:szCs w:val="21"/>
        </w:rPr>
        <w:t>Gender</w:t>
      </w:r>
      <w:r w:rsidRPr="00B653FE">
        <w:rPr>
          <w:rFonts w:ascii="Franklin Gothic Book" w:hAnsi="Franklin Gothic Book"/>
          <w:sz w:val="21"/>
          <w:szCs w:val="21"/>
        </w:rPr>
        <w:t xml:space="preserve">:  One investment was assessed as performing very well against gender equality, one as performing well, 11 as performing adequately and five as unsatisfactorily.  DFAT gender specialists are working closely with the managers of those investments which scored unsatisfactory ratings to explore further opportunities for strengthening the ratings of these investments.  </w:t>
      </w:r>
      <w:r w:rsidR="00A37BEC" w:rsidRPr="00B653FE">
        <w:rPr>
          <w:rFonts w:ascii="Franklin Gothic Book" w:hAnsi="Franklin Gothic Book"/>
          <w:sz w:val="21"/>
          <w:szCs w:val="21"/>
        </w:rPr>
        <w:t xml:space="preserve">Key issues included: analysis of gender issues not being conducted or being conducted later in the program; a lack of gender specific expertise to utilise; and gender not being adequately captured through monitoring.  </w:t>
      </w:r>
      <w:r w:rsidRPr="00B653FE">
        <w:rPr>
          <w:rFonts w:ascii="Franklin Gothic Book" w:hAnsi="Franklin Gothic Book"/>
          <w:sz w:val="21"/>
          <w:szCs w:val="21"/>
        </w:rPr>
        <w:t xml:space="preserve">The </w:t>
      </w:r>
      <w:r w:rsidR="009C7817">
        <w:rPr>
          <w:rFonts w:ascii="Franklin Gothic Book" w:hAnsi="Franklin Gothic Book"/>
          <w:sz w:val="21"/>
          <w:szCs w:val="21"/>
        </w:rPr>
        <w:t>new</w:t>
      </w:r>
      <w:r w:rsidRPr="00B653FE">
        <w:rPr>
          <w:rFonts w:ascii="Franklin Gothic Book" w:hAnsi="Franklin Gothic Book"/>
          <w:sz w:val="21"/>
          <w:szCs w:val="21"/>
        </w:rPr>
        <w:t xml:space="preserve"> AIP for Sub-Saharan </w:t>
      </w:r>
      <w:proofErr w:type="gramStart"/>
      <w:r w:rsidRPr="00B653FE">
        <w:rPr>
          <w:rFonts w:ascii="Franklin Gothic Book" w:hAnsi="Franklin Gothic Book"/>
          <w:sz w:val="21"/>
          <w:szCs w:val="21"/>
        </w:rPr>
        <w:t>Africa,</w:t>
      </w:r>
      <w:proofErr w:type="gramEnd"/>
      <w:r w:rsidRPr="00B653FE">
        <w:rPr>
          <w:rFonts w:ascii="Franklin Gothic Book" w:hAnsi="Franklin Gothic Book"/>
          <w:sz w:val="21"/>
          <w:szCs w:val="21"/>
        </w:rPr>
        <w:t xml:space="preserve"> proposes the Africa Aid Program works towards achieving at least an adequate score on gender for all of its investments.  This will be supported by all investments having a strategy, informed by gender analysis, to improve gender equality outcomes.</w:t>
      </w:r>
    </w:p>
    <w:p w:rsidR="00D06226" w:rsidRPr="00B653FE" w:rsidRDefault="00D06226" w:rsidP="00E8023F">
      <w:pPr>
        <w:spacing w:after="120" w:line="276" w:lineRule="auto"/>
        <w:rPr>
          <w:rFonts w:ascii="Franklin Gothic Book" w:hAnsi="Franklin Gothic Book" w:cstheme="minorHAnsi"/>
        </w:rPr>
      </w:pPr>
      <w:r w:rsidRPr="00B653FE">
        <w:rPr>
          <w:rFonts w:ascii="Franklin Gothic Book" w:hAnsi="Franklin Gothic Book"/>
          <w:i/>
          <w:sz w:val="21"/>
          <w:szCs w:val="21"/>
        </w:rPr>
        <w:t>Sustainability</w:t>
      </w:r>
      <w:r w:rsidRPr="00B653FE">
        <w:rPr>
          <w:rFonts w:ascii="Franklin Gothic Book" w:hAnsi="Franklin Gothic Book"/>
          <w:sz w:val="21"/>
          <w:szCs w:val="21"/>
        </w:rPr>
        <w:t>:  Five of the investments were rated as performing well</w:t>
      </w:r>
      <w:r w:rsidR="006557E1" w:rsidRPr="00B653FE">
        <w:rPr>
          <w:rFonts w:ascii="Franklin Gothic Book" w:hAnsi="Franklin Gothic Book"/>
          <w:sz w:val="21"/>
          <w:szCs w:val="21"/>
        </w:rPr>
        <w:t xml:space="preserve"> with</w:t>
      </w:r>
      <w:r w:rsidRPr="00B653FE">
        <w:rPr>
          <w:rFonts w:ascii="Franklin Gothic Book" w:hAnsi="Franklin Gothic Book"/>
          <w:sz w:val="21"/>
          <w:szCs w:val="21"/>
        </w:rPr>
        <w:t xml:space="preserve"> nine </w:t>
      </w:r>
      <w:r w:rsidR="006557E1" w:rsidRPr="00B653FE">
        <w:rPr>
          <w:rFonts w:ascii="Franklin Gothic Book" w:hAnsi="Franklin Gothic Book"/>
          <w:sz w:val="21"/>
          <w:szCs w:val="21"/>
        </w:rPr>
        <w:t xml:space="preserve">assessed </w:t>
      </w:r>
      <w:r w:rsidRPr="00B653FE">
        <w:rPr>
          <w:rFonts w:ascii="Franklin Gothic Book" w:hAnsi="Franklin Gothic Book"/>
          <w:sz w:val="21"/>
          <w:szCs w:val="21"/>
        </w:rPr>
        <w:t xml:space="preserve">as adequate and the remaining two as unsatisfactory (note: humanitarian investments were not assessed against this criteria).  Most issues related to sustainability were around those investments </w:t>
      </w:r>
      <w:r w:rsidRPr="00B653FE">
        <w:rPr>
          <w:rFonts w:ascii="Franklin Gothic Book" w:hAnsi="Franklin Gothic Book" w:cstheme="minorHAnsi"/>
          <w:sz w:val="21"/>
          <w:szCs w:val="21"/>
        </w:rPr>
        <w:t>impacted by budget cuts.  Investment managers explored a range of options to mitigate the impacts of this</w:t>
      </w:r>
      <w:r w:rsidR="009C7817">
        <w:rPr>
          <w:rFonts w:ascii="Franklin Gothic Book" w:hAnsi="Franklin Gothic Book" w:cstheme="minorHAnsi"/>
          <w:sz w:val="21"/>
          <w:szCs w:val="21"/>
        </w:rPr>
        <w:t>,</w:t>
      </w:r>
      <w:r w:rsidRPr="00B653FE">
        <w:rPr>
          <w:rFonts w:ascii="Franklin Gothic Book" w:hAnsi="Franklin Gothic Book" w:cstheme="minorHAnsi"/>
          <w:sz w:val="21"/>
          <w:szCs w:val="21"/>
        </w:rPr>
        <w:t xml:space="preserve"> including encouraging partners to look for donors to fill this gap and establishing suitable exit strategies.</w:t>
      </w:r>
      <w:r w:rsidRPr="00B653FE">
        <w:rPr>
          <w:rFonts w:ascii="Franklin Gothic Book" w:hAnsi="Franklin Gothic Book" w:cstheme="minorHAnsi"/>
        </w:rPr>
        <w:t xml:space="preserve"> </w:t>
      </w:r>
    </w:p>
    <w:p w:rsidR="00F876CE" w:rsidRPr="00D46AAF" w:rsidRDefault="000D733F" w:rsidP="00E628A5">
      <w:pPr>
        <w:pStyle w:val="Heading3"/>
      </w:pPr>
      <w:r w:rsidRPr="00D46AAF">
        <w:t xml:space="preserve">Performance </w:t>
      </w:r>
      <w:r w:rsidR="004F4630" w:rsidRPr="00D46AAF">
        <w:t>of key delivery partners</w:t>
      </w:r>
    </w:p>
    <w:p w:rsidR="00B51DA1" w:rsidRDefault="00E00D31" w:rsidP="00F876CE">
      <w:pPr>
        <w:pStyle w:val="BodyText"/>
        <w:rPr>
          <w:lang w:eastAsia="zh-CN"/>
        </w:rPr>
      </w:pPr>
      <w:r>
        <w:rPr>
          <w:lang w:eastAsia="zh-CN"/>
        </w:rPr>
        <w:t xml:space="preserve">The Africa Aid Program’s </w:t>
      </w:r>
      <w:r w:rsidR="007460CD">
        <w:rPr>
          <w:lang w:eastAsia="zh-CN"/>
        </w:rPr>
        <w:t xml:space="preserve">multilateral delivery partners </w:t>
      </w:r>
      <w:r w:rsidR="00F73675">
        <w:rPr>
          <w:lang w:eastAsia="zh-CN"/>
        </w:rPr>
        <w:t xml:space="preserve">include </w:t>
      </w:r>
      <w:r w:rsidR="00306329">
        <w:rPr>
          <w:lang w:eastAsia="zh-CN"/>
        </w:rPr>
        <w:t>United Nations agencies</w:t>
      </w:r>
      <w:r w:rsidR="00306329" w:rsidRPr="00826E87">
        <w:rPr>
          <w:rStyle w:val="FootnoteReference"/>
          <w:rFonts w:ascii="Franklin Gothic Book" w:hAnsi="Franklin Gothic Book"/>
          <w:sz w:val="21"/>
          <w:szCs w:val="21"/>
          <w:vertAlign w:val="superscript"/>
          <w:lang w:eastAsia="zh-CN"/>
        </w:rPr>
        <w:footnoteReference w:id="14"/>
      </w:r>
      <w:r w:rsidR="006557E1" w:rsidRPr="00826E87">
        <w:rPr>
          <w:szCs w:val="21"/>
          <w:vertAlign w:val="superscript"/>
          <w:lang w:eastAsia="zh-CN"/>
        </w:rPr>
        <w:t>,</w:t>
      </w:r>
      <w:r w:rsidR="00826E87">
        <w:rPr>
          <w:lang w:eastAsia="zh-CN"/>
        </w:rPr>
        <w:t xml:space="preserve"> </w:t>
      </w:r>
      <w:r w:rsidR="0071077A">
        <w:rPr>
          <w:lang w:eastAsia="zh-CN"/>
        </w:rPr>
        <w:t xml:space="preserve">the </w:t>
      </w:r>
      <w:r w:rsidR="00CB4A1A">
        <w:rPr>
          <w:lang w:eastAsia="zh-CN"/>
        </w:rPr>
        <w:t>African Development Bank (</w:t>
      </w:r>
      <w:proofErr w:type="spellStart"/>
      <w:r w:rsidR="00B51DA1">
        <w:rPr>
          <w:lang w:eastAsia="zh-CN"/>
        </w:rPr>
        <w:t>AfDB</w:t>
      </w:r>
      <w:proofErr w:type="spellEnd"/>
      <w:r w:rsidR="00CB4A1A">
        <w:rPr>
          <w:lang w:eastAsia="zh-CN"/>
        </w:rPr>
        <w:t>)</w:t>
      </w:r>
      <w:r w:rsidR="00F73675">
        <w:rPr>
          <w:lang w:eastAsia="zh-CN"/>
        </w:rPr>
        <w:t xml:space="preserve">, </w:t>
      </w:r>
      <w:r w:rsidR="00A8478C">
        <w:rPr>
          <w:lang w:eastAsia="zh-CN"/>
        </w:rPr>
        <w:t>the ICRC</w:t>
      </w:r>
      <w:r w:rsidR="00F73675">
        <w:rPr>
          <w:lang w:eastAsia="zh-CN"/>
        </w:rPr>
        <w:t xml:space="preserve"> and the World Bank.</w:t>
      </w:r>
      <w:r w:rsidR="00306329">
        <w:rPr>
          <w:lang w:eastAsia="zh-CN"/>
        </w:rPr>
        <w:t xml:space="preserve">  </w:t>
      </w:r>
      <w:r w:rsidR="006557E1">
        <w:rPr>
          <w:lang w:eastAsia="zh-CN"/>
        </w:rPr>
        <w:t>A</w:t>
      </w:r>
      <w:r w:rsidR="00B17EBE">
        <w:rPr>
          <w:lang w:eastAsia="zh-CN"/>
        </w:rPr>
        <w:t>ll of our partners during 2014-15 have been assessed as being most appropriate, with encouraging signs of improvement in their efficiency and effectiveness</w:t>
      </w:r>
      <w:r w:rsidR="00306329">
        <w:rPr>
          <w:lang w:eastAsia="zh-CN"/>
        </w:rPr>
        <w:t xml:space="preserve">.  </w:t>
      </w:r>
      <w:r w:rsidR="008800D8" w:rsidRPr="008800D8">
        <w:rPr>
          <w:lang w:eastAsia="zh-CN"/>
        </w:rPr>
        <w:t xml:space="preserve">The performance of the </w:t>
      </w:r>
      <w:proofErr w:type="spellStart"/>
      <w:r w:rsidR="008800D8">
        <w:rPr>
          <w:lang w:eastAsia="zh-CN"/>
        </w:rPr>
        <w:t>AfDB</w:t>
      </w:r>
      <w:proofErr w:type="spellEnd"/>
      <w:r w:rsidR="008800D8">
        <w:rPr>
          <w:lang w:eastAsia="zh-CN"/>
        </w:rPr>
        <w:t xml:space="preserve"> </w:t>
      </w:r>
      <w:r w:rsidR="008800D8" w:rsidRPr="008800D8">
        <w:rPr>
          <w:lang w:eastAsia="zh-CN"/>
        </w:rPr>
        <w:t xml:space="preserve">in delivering outputs </w:t>
      </w:r>
      <w:r w:rsidR="008800D8">
        <w:rPr>
          <w:lang w:eastAsia="zh-CN"/>
        </w:rPr>
        <w:t xml:space="preserve">for </w:t>
      </w:r>
      <w:proofErr w:type="spellStart"/>
      <w:r w:rsidR="008800D8">
        <w:rPr>
          <w:lang w:eastAsia="zh-CN"/>
        </w:rPr>
        <w:t>ZimFund</w:t>
      </w:r>
      <w:proofErr w:type="spellEnd"/>
      <w:r w:rsidR="008800D8">
        <w:rPr>
          <w:lang w:eastAsia="zh-CN"/>
        </w:rPr>
        <w:t xml:space="preserve"> </w:t>
      </w:r>
      <w:r w:rsidR="008800D8" w:rsidRPr="008800D8">
        <w:rPr>
          <w:lang w:eastAsia="zh-CN"/>
        </w:rPr>
        <w:t xml:space="preserve">has improved in the past year.  While there were some noted delays in the implementation of rehabilitation of water and sanitation infrastructure, the Bank was on time </w:t>
      </w:r>
      <w:r w:rsidR="000950D6">
        <w:rPr>
          <w:lang w:eastAsia="zh-CN"/>
        </w:rPr>
        <w:t xml:space="preserve">with its </w:t>
      </w:r>
      <w:r w:rsidR="008800D8" w:rsidRPr="008800D8">
        <w:rPr>
          <w:lang w:eastAsia="zh-CN"/>
        </w:rPr>
        <w:t xml:space="preserve">rehabilitation of power infrastructure.  </w:t>
      </w:r>
      <w:r w:rsidR="008800D8">
        <w:rPr>
          <w:lang w:eastAsia="zh-CN"/>
        </w:rPr>
        <w:t>I</w:t>
      </w:r>
      <w:r w:rsidR="008800D8" w:rsidRPr="008800D8">
        <w:rPr>
          <w:lang w:eastAsia="zh-CN"/>
        </w:rPr>
        <w:t xml:space="preserve">n the past </w:t>
      </w:r>
      <w:proofErr w:type="spellStart"/>
      <w:r w:rsidR="008800D8">
        <w:rPr>
          <w:lang w:eastAsia="zh-CN"/>
        </w:rPr>
        <w:t>AfDB</w:t>
      </w:r>
      <w:proofErr w:type="spellEnd"/>
      <w:r w:rsidR="008800D8">
        <w:rPr>
          <w:lang w:eastAsia="zh-CN"/>
        </w:rPr>
        <w:t xml:space="preserve"> </w:t>
      </w:r>
      <w:r w:rsidR="008800D8" w:rsidRPr="008800D8">
        <w:rPr>
          <w:lang w:eastAsia="zh-CN"/>
        </w:rPr>
        <w:t>had challenges with app</w:t>
      </w:r>
      <w:r w:rsidR="008800D8">
        <w:rPr>
          <w:lang w:eastAsia="zh-CN"/>
        </w:rPr>
        <w:t>lying value for money on contrac</w:t>
      </w:r>
      <w:r w:rsidR="008800D8" w:rsidRPr="008800D8">
        <w:rPr>
          <w:lang w:eastAsia="zh-CN"/>
        </w:rPr>
        <w:t>ts because of the inherent risk of doing business in Zimbabwe</w:t>
      </w:r>
      <w:r w:rsidR="00826E87">
        <w:rPr>
          <w:lang w:eastAsia="zh-CN"/>
        </w:rPr>
        <w:t>,</w:t>
      </w:r>
      <w:r w:rsidR="008800D8" w:rsidRPr="008800D8">
        <w:rPr>
          <w:lang w:eastAsia="zh-CN"/>
        </w:rPr>
        <w:t xml:space="preserve"> which increased the tender costs.  </w:t>
      </w:r>
      <w:r w:rsidR="008800D8">
        <w:rPr>
          <w:lang w:eastAsia="zh-CN"/>
        </w:rPr>
        <w:t xml:space="preserve">With DFAT’s support, </w:t>
      </w:r>
      <w:proofErr w:type="spellStart"/>
      <w:r w:rsidR="008800D8" w:rsidRPr="008800D8">
        <w:rPr>
          <w:lang w:eastAsia="zh-CN"/>
        </w:rPr>
        <w:t>Zim</w:t>
      </w:r>
      <w:r w:rsidR="000950D6">
        <w:rPr>
          <w:lang w:eastAsia="zh-CN"/>
        </w:rPr>
        <w:t>F</w:t>
      </w:r>
      <w:r w:rsidR="008800D8" w:rsidRPr="008800D8">
        <w:rPr>
          <w:lang w:eastAsia="zh-CN"/>
        </w:rPr>
        <w:t>und</w:t>
      </w:r>
      <w:proofErr w:type="spellEnd"/>
      <w:r w:rsidR="008800D8" w:rsidRPr="008800D8">
        <w:rPr>
          <w:lang w:eastAsia="zh-CN"/>
        </w:rPr>
        <w:t xml:space="preserve"> have </w:t>
      </w:r>
      <w:r w:rsidR="008800D8">
        <w:rPr>
          <w:lang w:eastAsia="zh-CN"/>
        </w:rPr>
        <w:t>trialled alternatives (such as local contracting) to re-tendering that</w:t>
      </w:r>
      <w:r w:rsidR="008800D8" w:rsidRPr="008800D8">
        <w:rPr>
          <w:lang w:eastAsia="zh-CN"/>
        </w:rPr>
        <w:t xml:space="preserve"> have avoided or minimised concerns. </w:t>
      </w:r>
    </w:p>
    <w:p w:rsidR="006557E1" w:rsidRDefault="00A8478C" w:rsidP="00553E52">
      <w:pPr>
        <w:pStyle w:val="BodyText"/>
        <w:rPr>
          <w:lang w:eastAsia="zh-CN"/>
        </w:rPr>
      </w:pPr>
      <w:r>
        <w:rPr>
          <w:lang w:eastAsia="zh-CN"/>
        </w:rPr>
        <w:t xml:space="preserve">Our </w:t>
      </w:r>
      <w:r w:rsidR="006D499A">
        <w:rPr>
          <w:lang w:eastAsia="zh-CN"/>
        </w:rPr>
        <w:t xml:space="preserve">largest </w:t>
      </w:r>
      <w:r>
        <w:rPr>
          <w:lang w:eastAsia="zh-CN"/>
        </w:rPr>
        <w:t xml:space="preserve">humanitarian </w:t>
      </w:r>
      <w:r w:rsidR="006D499A">
        <w:rPr>
          <w:lang w:eastAsia="zh-CN"/>
        </w:rPr>
        <w:t xml:space="preserve">contributions </w:t>
      </w:r>
      <w:r w:rsidR="00B92F7E">
        <w:rPr>
          <w:lang w:eastAsia="zh-CN"/>
        </w:rPr>
        <w:t xml:space="preserve">during 2014-15 continued to be </w:t>
      </w:r>
      <w:r w:rsidR="006D499A">
        <w:rPr>
          <w:lang w:eastAsia="zh-CN"/>
        </w:rPr>
        <w:t>through</w:t>
      </w:r>
      <w:r>
        <w:rPr>
          <w:lang w:eastAsia="zh-CN"/>
        </w:rPr>
        <w:t xml:space="preserve"> OCHA, </w:t>
      </w:r>
      <w:r w:rsidR="00B92F7E">
        <w:rPr>
          <w:lang w:eastAsia="zh-CN"/>
        </w:rPr>
        <w:t xml:space="preserve">UNDP, </w:t>
      </w:r>
      <w:r>
        <w:rPr>
          <w:lang w:eastAsia="zh-CN"/>
        </w:rPr>
        <w:t xml:space="preserve">ICRC and WFP.  </w:t>
      </w:r>
      <w:r w:rsidR="00F142CA" w:rsidRPr="00F142CA">
        <w:rPr>
          <w:lang w:eastAsia="zh-CN"/>
        </w:rPr>
        <w:t xml:space="preserve">WFP's work contributed significantly to the overall international humanitarian effort that helped to avert a looming famine in South Sudan in 2014. </w:t>
      </w:r>
      <w:r w:rsidR="00F142CA">
        <w:rPr>
          <w:lang w:eastAsia="zh-CN"/>
        </w:rPr>
        <w:t xml:space="preserve">Its </w:t>
      </w:r>
      <w:r w:rsidR="00F142CA" w:rsidRPr="00F142CA">
        <w:rPr>
          <w:lang w:eastAsia="zh-CN"/>
        </w:rPr>
        <w:t>monitoring and evaluation plans and reporting provided confidence and assurance of progress towards meeting objectives.</w:t>
      </w:r>
      <w:r w:rsidR="00F142CA">
        <w:rPr>
          <w:lang w:eastAsia="zh-CN"/>
        </w:rPr>
        <w:t xml:space="preserve">  WFP’s re-positioning of food </w:t>
      </w:r>
      <w:r w:rsidR="00F142CA" w:rsidRPr="00F142CA">
        <w:rPr>
          <w:lang w:eastAsia="zh-CN"/>
        </w:rPr>
        <w:t>prior</w:t>
      </w:r>
      <w:r w:rsidR="00F142CA">
        <w:rPr>
          <w:lang w:eastAsia="zh-CN"/>
        </w:rPr>
        <w:t xml:space="preserve"> to the onset of the wet season as opposed to utilisation of </w:t>
      </w:r>
      <w:r w:rsidR="00F142CA" w:rsidRPr="00F142CA">
        <w:rPr>
          <w:lang w:eastAsia="zh-CN"/>
        </w:rPr>
        <w:t xml:space="preserve">expensive airlift services </w:t>
      </w:r>
      <w:r w:rsidR="00F142CA">
        <w:rPr>
          <w:lang w:eastAsia="zh-CN"/>
        </w:rPr>
        <w:t>during t</w:t>
      </w:r>
      <w:r w:rsidR="00F142CA" w:rsidRPr="00F142CA">
        <w:rPr>
          <w:lang w:eastAsia="zh-CN"/>
        </w:rPr>
        <w:t>he wet season</w:t>
      </w:r>
      <w:r w:rsidR="00F142CA">
        <w:rPr>
          <w:lang w:eastAsia="zh-CN"/>
        </w:rPr>
        <w:t>, proved excellent value for money</w:t>
      </w:r>
      <w:r w:rsidR="005A4BF1">
        <w:rPr>
          <w:lang w:eastAsia="zh-CN"/>
        </w:rPr>
        <w:t>.</w:t>
      </w:r>
      <w:r w:rsidR="009F68E9">
        <w:rPr>
          <w:lang w:eastAsia="zh-CN"/>
        </w:rPr>
        <w:t xml:space="preserve"> </w:t>
      </w:r>
      <w:r w:rsidR="00655948" w:rsidRPr="00655948">
        <w:rPr>
          <w:lang w:eastAsia="zh-CN"/>
        </w:rPr>
        <w:t>ICRC is able to access populations where m</w:t>
      </w:r>
      <w:r w:rsidR="00655948">
        <w:rPr>
          <w:lang w:eastAsia="zh-CN"/>
        </w:rPr>
        <w:t>any</w:t>
      </w:r>
      <w:r w:rsidR="00655948" w:rsidRPr="00655948">
        <w:rPr>
          <w:lang w:eastAsia="zh-CN"/>
        </w:rPr>
        <w:t xml:space="preserve"> other humanitarian agencies are unable to reach</w:t>
      </w:r>
      <w:bookmarkStart w:id="2" w:name="_GoBack"/>
      <w:bookmarkEnd w:id="2"/>
      <w:r w:rsidR="00655948" w:rsidRPr="00655948">
        <w:rPr>
          <w:lang w:eastAsia="zh-CN"/>
        </w:rPr>
        <w:t xml:space="preserve"> due to their unique nature of their mandate - for example in Somalia</w:t>
      </w:r>
      <w:r w:rsidR="00943722">
        <w:rPr>
          <w:lang w:eastAsia="zh-CN"/>
        </w:rPr>
        <w:t xml:space="preserve">.  </w:t>
      </w:r>
    </w:p>
    <w:p w:rsidR="00553E52" w:rsidRDefault="00826E87" w:rsidP="00553E52">
      <w:pPr>
        <w:pStyle w:val="BodyText"/>
        <w:rPr>
          <w:lang w:eastAsia="zh-CN"/>
        </w:rPr>
      </w:pPr>
      <w:r>
        <w:rPr>
          <w:lang w:eastAsia="zh-CN"/>
        </w:rPr>
        <w:t>A</w:t>
      </w:r>
      <w:r w:rsidR="006D499A">
        <w:rPr>
          <w:lang w:eastAsia="zh-CN"/>
        </w:rPr>
        <w:t xml:space="preserve"> number of investments </w:t>
      </w:r>
      <w:r w:rsidR="00E00D31">
        <w:rPr>
          <w:lang w:eastAsia="zh-CN"/>
        </w:rPr>
        <w:t xml:space="preserve">are delivered </w:t>
      </w:r>
      <w:r w:rsidR="00306329">
        <w:rPr>
          <w:lang w:eastAsia="zh-CN"/>
        </w:rPr>
        <w:t xml:space="preserve">through delegated cooperation </w:t>
      </w:r>
      <w:r w:rsidR="00E00D31">
        <w:rPr>
          <w:lang w:eastAsia="zh-CN"/>
        </w:rPr>
        <w:t xml:space="preserve">arrangements with </w:t>
      </w:r>
      <w:r w:rsidR="00306329">
        <w:rPr>
          <w:lang w:eastAsia="zh-CN"/>
        </w:rPr>
        <w:t xml:space="preserve">donors such as Germany (through </w:t>
      </w:r>
      <w:r w:rsidR="00306329" w:rsidRPr="003C709B">
        <w:rPr>
          <w:lang w:eastAsia="zh-CN"/>
        </w:rPr>
        <w:t>GIZ) and the United Kingdom (through D</w:t>
      </w:r>
      <w:r>
        <w:rPr>
          <w:lang w:eastAsia="zh-CN"/>
        </w:rPr>
        <w:t>F</w:t>
      </w:r>
      <w:r w:rsidR="00306329" w:rsidRPr="003C709B">
        <w:rPr>
          <w:lang w:eastAsia="zh-CN"/>
        </w:rPr>
        <w:t xml:space="preserve">ID).  </w:t>
      </w:r>
      <w:r w:rsidR="00B51DA1" w:rsidRPr="003C709B">
        <w:rPr>
          <w:lang w:eastAsia="zh-CN"/>
        </w:rPr>
        <w:t>B</w:t>
      </w:r>
      <w:r w:rsidR="00B51DA1">
        <w:rPr>
          <w:lang w:eastAsia="zh-CN"/>
        </w:rPr>
        <w:t xml:space="preserve">oth these partners </w:t>
      </w:r>
      <w:r w:rsidR="00E00D31">
        <w:rPr>
          <w:lang w:eastAsia="zh-CN"/>
        </w:rPr>
        <w:t xml:space="preserve">remained </w:t>
      </w:r>
      <w:r w:rsidR="00B51DA1">
        <w:rPr>
          <w:lang w:eastAsia="zh-CN"/>
        </w:rPr>
        <w:t>effective</w:t>
      </w:r>
      <w:r w:rsidR="00553E52">
        <w:rPr>
          <w:lang w:eastAsia="zh-CN"/>
        </w:rPr>
        <w:t xml:space="preserve"> and appropriate partners</w:t>
      </w:r>
      <w:r w:rsidR="00E00D31">
        <w:rPr>
          <w:lang w:eastAsia="zh-CN"/>
        </w:rPr>
        <w:t xml:space="preserve"> in 2014-15</w:t>
      </w:r>
      <w:r w:rsidR="00B51DA1">
        <w:rPr>
          <w:lang w:eastAsia="zh-CN"/>
        </w:rPr>
        <w:t xml:space="preserve">.  GIZ </w:t>
      </w:r>
      <w:r w:rsidR="00640C77">
        <w:rPr>
          <w:lang w:eastAsia="zh-CN"/>
        </w:rPr>
        <w:t xml:space="preserve">has </w:t>
      </w:r>
      <w:r w:rsidR="00640C77" w:rsidRPr="00640C77">
        <w:rPr>
          <w:lang w:eastAsia="zh-CN"/>
        </w:rPr>
        <w:t>achieve</w:t>
      </w:r>
      <w:r w:rsidR="00640C77">
        <w:rPr>
          <w:lang w:eastAsia="zh-CN"/>
        </w:rPr>
        <w:t>d progress in all outcome areas and surpassed e</w:t>
      </w:r>
      <w:r w:rsidR="00640C77" w:rsidRPr="00640C77">
        <w:rPr>
          <w:lang w:eastAsia="zh-CN"/>
        </w:rPr>
        <w:t xml:space="preserve">xpectations in some as outlined </w:t>
      </w:r>
      <w:r w:rsidR="00F142CA">
        <w:rPr>
          <w:lang w:eastAsia="zh-CN"/>
        </w:rPr>
        <w:t xml:space="preserve">by a </w:t>
      </w:r>
      <w:r w:rsidR="00640C77" w:rsidRPr="00640C77">
        <w:rPr>
          <w:lang w:eastAsia="zh-CN"/>
        </w:rPr>
        <w:t xml:space="preserve">recent independent evaluation.  </w:t>
      </w:r>
      <w:r w:rsidR="00640C77">
        <w:rPr>
          <w:lang w:eastAsia="zh-CN"/>
        </w:rPr>
        <w:t xml:space="preserve">A recent </w:t>
      </w:r>
      <w:r w:rsidR="00F142CA">
        <w:rPr>
          <w:lang w:eastAsia="zh-CN"/>
        </w:rPr>
        <w:t xml:space="preserve">DFAT </w:t>
      </w:r>
      <w:r w:rsidR="00640C77">
        <w:rPr>
          <w:lang w:eastAsia="zh-CN"/>
        </w:rPr>
        <w:t xml:space="preserve">performance assessment also found GIZ to be excellent value for money.  </w:t>
      </w:r>
      <w:r w:rsidR="00553E52">
        <w:rPr>
          <w:lang w:eastAsia="zh-CN"/>
        </w:rPr>
        <w:t>DFID implemented a number of changes over 2014-15 which have increased the efficiency and effectiveness of HSNP operations</w:t>
      </w:r>
      <w:r w:rsidR="000950D6">
        <w:rPr>
          <w:lang w:eastAsia="zh-CN"/>
        </w:rPr>
        <w:t xml:space="preserve"> including </w:t>
      </w:r>
      <w:r w:rsidR="00553E52">
        <w:rPr>
          <w:lang w:eastAsia="zh-CN"/>
        </w:rPr>
        <w:t>the introduction of a more cost-effective, less intensive approach to monitoring and evaluation</w:t>
      </w:r>
      <w:r w:rsidR="000950D6">
        <w:rPr>
          <w:lang w:eastAsia="zh-CN"/>
        </w:rPr>
        <w:t xml:space="preserve">, among other measures. </w:t>
      </w:r>
      <w:r w:rsidR="00553E52">
        <w:rPr>
          <w:lang w:eastAsia="zh-CN"/>
        </w:rPr>
        <w:t>While implementation of HSNP through DFID</w:t>
      </w:r>
      <w:r w:rsidR="000950D6">
        <w:rPr>
          <w:lang w:eastAsia="zh-CN"/>
        </w:rPr>
        <w:t xml:space="preserve"> </w:t>
      </w:r>
      <w:r w:rsidR="00E465D2">
        <w:rPr>
          <w:lang w:eastAsia="zh-CN"/>
        </w:rPr>
        <w:t xml:space="preserve">is </w:t>
      </w:r>
      <w:r w:rsidR="000950D6">
        <w:rPr>
          <w:lang w:eastAsia="zh-CN"/>
        </w:rPr>
        <w:t>efficient</w:t>
      </w:r>
      <w:r w:rsidR="00E00D31">
        <w:rPr>
          <w:lang w:eastAsia="zh-CN"/>
        </w:rPr>
        <w:t xml:space="preserve">, the administration requirements of IBLI </w:t>
      </w:r>
      <w:r w:rsidR="00E27620">
        <w:rPr>
          <w:lang w:eastAsia="zh-CN"/>
        </w:rPr>
        <w:t xml:space="preserve">are </w:t>
      </w:r>
      <w:r w:rsidR="00E00D31">
        <w:rPr>
          <w:lang w:eastAsia="zh-CN"/>
        </w:rPr>
        <w:t>less so.</w:t>
      </w:r>
      <w:r w:rsidR="00553E52">
        <w:rPr>
          <w:lang w:eastAsia="zh-CN"/>
        </w:rPr>
        <w:t xml:space="preserve"> </w:t>
      </w:r>
    </w:p>
    <w:p w:rsidR="00B17EBE" w:rsidRDefault="00B17EBE" w:rsidP="00F876CE">
      <w:pPr>
        <w:pStyle w:val="BodyText"/>
        <w:rPr>
          <w:lang w:eastAsia="zh-CN"/>
        </w:rPr>
      </w:pPr>
      <w:r>
        <w:rPr>
          <w:lang w:eastAsia="zh-CN"/>
        </w:rPr>
        <w:t xml:space="preserve">Our partner governments have continued to demonstrate strong commitment to programs </w:t>
      </w:r>
      <w:r w:rsidR="005974E9">
        <w:rPr>
          <w:lang w:eastAsia="zh-CN"/>
        </w:rPr>
        <w:t xml:space="preserve">supported by </w:t>
      </w:r>
      <w:r>
        <w:rPr>
          <w:lang w:eastAsia="zh-CN"/>
        </w:rPr>
        <w:t>the Australian Government</w:t>
      </w:r>
      <w:r w:rsidR="006557E1">
        <w:rPr>
          <w:lang w:eastAsia="zh-CN"/>
        </w:rPr>
        <w:t>.</w:t>
      </w:r>
      <w:r>
        <w:rPr>
          <w:lang w:eastAsia="zh-CN"/>
        </w:rPr>
        <w:t xml:space="preserve"> Examples include the </w:t>
      </w:r>
      <w:r w:rsidR="007460CD">
        <w:rPr>
          <w:lang w:eastAsia="zh-CN"/>
        </w:rPr>
        <w:t xml:space="preserve">Kenyan </w:t>
      </w:r>
      <w:r w:rsidR="00613396">
        <w:rPr>
          <w:lang w:eastAsia="zh-CN"/>
        </w:rPr>
        <w:t>Government</w:t>
      </w:r>
      <w:r>
        <w:rPr>
          <w:lang w:eastAsia="zh-CN"/>
        </w:rPr>
        <w:t>’s support for</w:t>
      </w:r>
      <w:r w:rsidR="00613396">
        <w:rPr>
          <w:lang w:eastAsia="zh-CN"/>
        </w:rPr>
        <w:t xml:space="preserve"> </w:t>
      </w:r>
      <w:r w:rsidR="00A04ED0">
        <w:rPr>
          <w:lang w:eastAsia="zh-CN"/>
        </w:rPr>
        <w:t xml:space="preserve">both </w:t>
      </w:r>
      <w:r w:rsidR="00937C1D">
        <w:rPr>
          <w:lang w:eastAsia="zh-CN"/>
        </w:rPr>
        <w:t>H</w:t>
      </w:r>
      <w:r w:rsidR="00613396">
        <w:rPr>
          <w:lang w:eastAsia="zh-CN"/>
        </w:rPr>
        <w:t>S</w:t>
      </w:r>
      <w:r w:rsidR="00937C1D">
        <w:rPr>
          <w:lang w:eastAsia="zh-CN"/>
        </w:rPr>
        <w:t>N</w:t>
      </w:r>
      <w:r w:rsidR="00613396">
        <w:rPr>
          <w:lang w:eastAsia="zh-CN"/>
        </w:rPr>
        <w:t xml:space="preserve">P </w:t>
      </w:r>
      <w:r w:rsidR="00A04ED0">
        <w:rPr>
          <w:lang w:eastAsia="zh-CN"/>
        </w:rPr>
        <w:t>and SLEEK</w:t>
      </w:r>
      <w:r>
        <w:rPr>
          <w:lang w:eastAsia="zh-CN"/>
        </w:rPr>
        <w:t xml:space="preserve"> and the </w:t>
      </w:r>
      <w:r w:rsidR="00F3406D" w:rsidRPr="00F3406D">
        <w:rPr>
          <w:color w:val="0D0D0D" w:themeColor="text1" w:themeTint="F2"/>
        </w:rPr>
        <w:t>Ethiopian Government’s ongoing leadership and commitment to improving maternal and child health</w:t>
      </w:r>
      <w:r w:rsidR="00A96C85" w:rsidRPr="00F3406D">
        <w:rPr>
          <w:color w:val="0D0D0D" w:themeColor="text1" w:themeTint="F2"/>
          <w:lang w:eastAsia="zh-CN"/>
        </w:rPr>
        <w:t xml:space="preserve"> </w:t>
      </w:r>
      <w:r w:rsidR="00A96C85">
        <w:rPr>
          <w:lang w:eastAsia="zh-CN"/>
        </w:rPr>
        <w:t xml:space="preserve">in the </w:t>
      </w:r>
      <w:r w:rsidR="007460CD">
        <w:rPr>
          <w:lang w:eastAsia="zh-CN"/>
        </w:rPr>
        <w:t>Ethiopia Health Sector Development Plan</w:t>
      </w:r>
      <w:r w:rsidR="005974E9">
        <w:rPr>
          <w:lang w:eastAsia="zh-CN"/>
        </w:rPr>
        <w:t>, which remain important to national development priorities</w:t>
      </w:r>
      <w:r>
        <w:rPr>
          <w:lang w:eastAsia="zh-CN"/>
        </w:rPr>
        <w:t>.</w:t>
      </w:r>
      <w:r w:rsidR="00862E1D">
        <w:rPr>
          <w:lang w:eastAsia="zh-CN"/>
        </w:rPr>
        <w:t xml:space="preserve"> </w:t>
      </w:r>
    </w:p>
    <w:p w:rsidR="0071077A" w:rsidRDefault="00A96C85" w:rsidP="00F876CE">
      <w:pPr>
        <w:pStyle w:val="BodyText"/>
        <w:rPr>
          <w:lang w:eastAsia="zh-CN"/>
        </w:rPr>
      </w:pPr>
      <w:r>
        <w:rPr>
          <w:lang w:eastAsia="zh-CN"/>
        </w:rPr>
        <w:t xml:space="preserve">Throughout 2014-15, DFAT has continued to work closely with highly effective Australian and international NGOs through programs </w:t>
      </w:r>
      <w:r w:rsidR="00826E87">
        <w:rPr>
          <w:lang w:eastAsia="zh-CN"/>
        </w:rPr>
        <w:t>such as</w:t>
      </w:r>
      <w:r>
        <w:rPr>
          <w:lang w:eastAsia="zh-CN"/>
        </w:rPr>
        <w:t xml:space="preserve"> </w:t>
      </w:r>
      <w:r w:rsidR="00B17EBE">
        <w:rPr>
          <w:lang w:eastAsia="zh-CN"/>
        </w:rPr>
        <w:t xml:space="preserve">AACES </w:t>
      </w:r>
      <w:r>
        <w:rPr>
          <w:lang w:eastAsia="zh-CN"/>
        </w:rPr>
        <w:t xml:space="preserve">and ANCP </w:t>
      </w:r>
      <w:r w:rsidR="00826E87">
        <w:rPr>
          <w:lang w:eastAsia="zh-CN"/>
        </w:rPr>
        <w:t>across</w:t>
      </w:r>
      <w:r>
        <w:rPr>
          <w:lang w:eastAsia="zh-CN"/>
        </w:rPr>
        <w:t xml:space="preserve"> a range of African countries.  </w:t>
      </w:r>
      <w:r w:rsidR="00E00D31">
        <w:rPr>
          <w:lang w:eastAsia="zh-CN"/>
        </w:rPr>
        <w:t>Over the past year</w:t>
      </w:r>
      <w:r>
        <w:rPr>
          <w:lang w:eastAsia="zh-CN"/>
        </w:rPr>
        <w:t xml:space="preserve">, AACES NGOs have improved their </w:t>
      </w:r>
      <w:r w:rsidR="00826E87">
        <w:rPr>
          <w:lang w:eastAsia="zh-CN"/>
        </w:rPr>
        <w:t>M&amp;E</w:t>
      </w:r>
      <w:r>
        <w:rPr>
          <w:lang w:eastAsia="zh-CN"/>
        </w:rPr>
        <w:t xml:space="preserve"> systems by strengthening focus on </w:t>
      </w:r>
      <w:r w:rsidR="00B17EBE">
        <w:rPr>
          <w:lang w:eastAsia="zh-CN"/>
        </w:rPr>
        <w:t xml:space="preserve">value for money </w:t>
      </w:r>
      <w:r>
        <w:rPr>
          <w:lang w:eastAsia="zh-CN"/>
        </w:rPr>
        <w:t xml:space="preserve">and gender and providing more targeted information to enable DFAT to better assess progress against objectives. </w:t>
      </w:r>
    </w:p>
    <w:p w:rsidR="00826E87" w:rsidRDefault="0071077A" w:rsidP="00F876CE">
      <w:pPr>
        <w:pStyle w:val="BodyText"/>
      </w:pPr>
      <w:r>
        <w:rPr>
          <w:lang w:eastAsia="zh-CN"/>
        </w:rPr>
        <w:t>Palladium</w:t>
      </w:r>
      <w:r w:rsidR="00D2391C">
        <w:rPr>
          <w:lang w:eastAsia="zh-CN"/>
        </w:rPr>
        <w:t xml:space="preserve">, the managing contractor of Australia’s major aid program to Africa, </w:t>
      </w:r>
      <w:r w:rsidR="006557E1">
        <w:rPr>
          <w:lang w:eastAsia="zh-CN"/>
        </w:rPr>
        <w:t>(</w:t>
      </w:r>
      <w:r w:rsidR="00D2391C">
        <w:rPr>
          <w:lang w:eastAsia="zh-CN"/>
        </w:rPr>
        <w:t>Australia Awards</w:t>
      </w:r>
      <w:r w:rsidR="006557E1">
        <w:rPr>
          <w:lang w:eastAsia="zh-CN"/>
        </w:rPr>
        <w:t>)</w:t>
      </w:r>
      <w:r w:rsidR="00D2391C">
        <w:rPr>
          <w:lang w:eastAsia="zh-CN"/>
        </w:rPr>
        <w:t xml:space="preserve"> has performed well over 2014-15, </w:t>
      </w:r>
      <w:r w:rsidR="00475C3B">
        <w:rPr>
          <w:lang w:eastAsia="zh-CN"/>
        </w:rPr>
        <w:t xml:space="preserve">exercising </w:t>
      </w:r>
      <w:r w:rsidR="00D2391C">
        <w:rPr>
          <w:lang w:eastAsia="zh-CN"/>
        </w:rPr>
        <w:t xml:space="preserve">flexibly and </w:t>
      </w:r>
      <w:r w:rsidR="00475C3B">
        <w:rPr>
          <w:lang w:eastAsia="zh-CN"/>
        </w:rPr>
        <w:t xml:space="preserve">responding </w:t>
      </w:r>
      <w:r w:rsidR="00D2391C">
        <w:rPr>
          <w:lang w:eastAsia="zh-CN"/>
        </w:rPr>
        <w:t xml:space="preserve">promptly to requests from DFAT in a period of decreasing budget </w:t>
      </w:r>
      <w:r w:rsidR="00826E87">
        <w:rPr>
          <w:lang w:eastAsia="zh-CN"/>
        </w:rPr>
        <w:t>realignment of policy imperatives</w:t>
      </w:r>
      <w:r w:rsidR="00D2391C">
        <w:rPr>
          <w:lang w:eastAsia="zh-CN"/>
        </w:rPr>
        <w:t xml:space="preserve">.  They have </w:t>
      </w:r>
      <w:r w:rsidR="00475C3B">
        <w:rPr>
          <w:lang w:eastAsia="zh-CN"/>
        </w:rPr>
        <w:t xml:space="preserve">also made </w:t>
      </w:r>
      <w:r w:rsidR="00D2391C">
        <w:rPr>
          <w:lang w:eastAsia="zh-CN"/>
        </w:rPr>
        <w:t xml:space="preserve">improvements </w:t>
      </w:r>
      <w:r w:rsidR="00475C3B">
        <w:rPr>
          <w:lang w:eastAsia="zh-CN"/>
        </w:rPr>
        <w:t xml:space="preserve">to </w:t>
      </w:r>
      <w:r w:rsidR="00D2391C">
        <w:rPr>
          <w:lang w:eastAsia="zh-CN"/>
        </w:rPr>
        <w:t>the quality of reporting, financial management and monitoring and evaluation</w:t>
      </w:r>
      <w:r w:rsidR="00475C3B">
        <w:rPr>
          <w:lang w:eastAsia="zh-CN"/>
        </w:rPr>
        <w:t xml:space="preserve"> upon DFAT’s request</w:t>
      </w:r>
      <w:r w:rsidR="006557E1">
        <w:rPr>
          <w:lang w:eastAsia="zh-CN"/>
        </w:rPr>
        <w:t>.</w:t>
      </w:r>
      <w:r w:rsidR="00EF5807" w:rsidRPr="00EF5807">
        <w:t xml:space="preserve"> </w:t>
      </w:r>
    </w:p>
    <w:p w:rsidR="00862E1D" w:rsidRPr="00F876CE" w:rsidRDefault="00EF5807" w:rsidP="00F876CE">
      <w:pPr>
        <w:pStyle w:val="BodyText"/>
        <w:rPr>
          <w:lang w:eastAsia="zh-CN"/>
        </w:rPr>
      </w:pPr>
      <w:r w:rsidRPr="00EF5807">
        <w:rPr>
          <w:lang w:eastAsia="zh-CN"/>
        </w:rPr>
        <w:t>A total of 26 Partner Performance Agreements (PPAs) were conducted in 2014-15.  Of th</w:t>
      </w:r>
      <w:r>
        <w:rPr>
          <w:lang w:eastAsia="zh-CN"/>
        </w:rPr>
        <w:t xml:space="preserve">ese, 15 were for NGOs, nine </w:t>
      </w:r>
      <w:r w:rsidRPr="00EF5807">
        <w:rPr>
          <w:lang w:eastAsia="zh-CN"/>
        </w:rPr>
        <w:t>we</w:t>
      </w:r>
      <w:r>
        <w:rPr>
          <w:lang w:eastAsia="zh-CN"/>
        </w:rPr>
        <w:t>re for multilaterals and two</w:t>
      </w:r>
      <w:r w:rsidRPr="00EF5807">
        <w:rPr>
          <w:lang w:eastAsia="zh-CN"/>
        </w:rPr>
        <w:t xml:space="preserve"> were for commercial suppliers.</w:t>
      </w:r>
      <w:r w:rsidR="00D2391C">
        <w:rPr>
          <w:lang w:eastAsia="zh-CN"/>
        </w:rPr>
        <w:t xml:space="preserve"> </w:t>
      </w:r>
    </w:p>
    <w:p w:rsidR="000D733F" w:rsidRPr="00E628A5" w:rsidRDefault="000D733F" w:rsidP="00E628A5">
      <w:pPr>
        <w:pStyle w:val="Heading3"/>
      </w:pPr>
      <w:r w:rsidRPr="00E628A5">
        <w:t>Risks</w:t>
      </w:r>
    </w:p>
    <w:p w:rsidR="00FA1602" w:rsidRPr="00FA1602" w:rsidRDefault="00FA1602" w:rsidP="00FA1602">
      <w:pPr>
        <w:keepNext/>
        <w:spacing w:before="80" w:after="80" w:line="280" w:lineRule="atLeast"/>
        <w:rPr>
          <w:rFonts w:ascii="Franklin Gothic Book" w:eastAsia="Times New Roman" w:hAnsi="Franklin Gothic Book" w:cs="Arial"/>
          <w:b/>
          <w:szCs w:val="19"/>
        </w:rPr>
      </w:pPr>
      <w:r w:rsidRPr="00FA1602">
        <w:rPr>
          <w:rFonts w:ascii="Franklin Gothic Book" w:eastAsia="Times New Roman" w:hAnsi="Franklin Gothic Book" w:cs="Arial"/>
          <w:b/>
          <w:szCs w:val="19"/>
        </w:rPr>
        <w:t>Table 3 Management of Key Risks to Achieving Objectives</w:t>
      </w:r>
    </w:p>
    <w:tbl>
      <w:tblPr>
        <w:tblStyle w:val="APPR1"/>
        <w:tblW w:w="5139" w:type="pct"/>
        <w:tblLook w:val="0600" w:firstRow="0" w:lastRow="0" w:firstColumn="0" w:lastColumn="0" w:noHBand="1" w:noVBand="1"/>
        <w:tblCaption w:val="Risk table"/>
      </w:tblPr>
      <w:tblGrid>
        <w:gridCol w:w="2830"/>
        <w:gridCol w:w="3118"/>
        <w:gridCol w:w="2214"/>
        <w:gridCol w:w="1615"/>
      </w:tblGrid>
      <w:tr w:rsidR="00602C24" w:rsidRPr="00FA1602" w:rsidTr="00826E87">
        <w:trPr>
          <w:trHeight w:val="891"/>
        </w:trPr>
        <w:tc>
          <w:tcPr>
            <w:tcW w:w="2788" w:type="dxa"/>
            <w:hideMark/>
          </w:tcPr>
          <w:p w:rsidR="00FA1602" w:rsidRPr="00F66CE6" w:rsidRDefault="00FA1602" w:rsidP="00A9382E">
            <w:pPr>
              <w:keepLines/>
              <w:spacing w:before="80" w:after="80" w:line="200" w:lineRule="atLeast"/>
              <w:jc w:val="center"/>
              <w:rPr>
                <w:rFonts w:ascii="Franklin Gothic Medium" w:eastAsia="Times New Roman" w:hAnsi="Franklin Gothic Medium"/>
                <w:b/>
                <w:iCs/>
                <w:sz w:val="17"/>
                <w:szCs w:val="17"/>
                <w:lang w:eastAsia="en-US"/>
              </w:rPr>
            </w:pPr>
            <w:r w:rsidRPr="00F66CE6">
              <w:rPr>
                <w:rFonts w:ascii="Franklin Gothic Medium" w:eastAsia="Times New Roman" w:hAnsi="Franklin Gothic Medium"/>
                <w:b/>
                <w:iCs/>
                <w:sz w:val="17"/>
                <w:szCs w:val="17"/>
                <w:lang w:eastAsia="en-US"/>
              </w:rPr>
              <w:t>Key risks</w:t>
            </w:r>
          </w:p>
        </w:tc>
        <w:tc>
          <w:tcPr>
            <w:tcW w:w="3090" w:type="dxa"/>
          </w:tcPr>
          <w:p w:rsidR="00FA1602" w:rsidRPr="00A9382E" w:rsidRDefault="00FA1602" w:rsidP="00A9382E">
            <w:pPr>
              <w:keepLines/>
              <w:spacing w:before="80" w:after="80" w:line="200" w:lineRule="atLeast"/>
              <w:jc w:val="center"/>
              <w:rPr>
                <w:rFonts w:ascii="Franklin Gothic Medium" w:eastAsia="Times New Roman" w:hAnsi="Franklin Gothic Medium"/>
                <w:b/>
                <w:iCs/>
                <w:sz w:val="17"/>
                <w:szCs w:val="17"/>
                <w:lang w:eastAsia="en-US"/>
              </w:rPr>
            </w:pPr>
            <w:r w:rsidRPr="00A9382E">
              <w:rPr>
                <w:rFonts w:ascii="Franklin Gothic Medium" w:eastAsia="Times New Roman" w:hAnsi="Franklin Gothic Medium"/>
                <w:b/>
                <w:iCs/>
                <w:sz w:val="17"/>
                <w:szCs w:val="17"/>
                <w:lang w:eastAsia="en-US"/>
              </w:rPr>
              <w:t>What actions were taken to manage the risks over the past year?</w:t>
            </w:r>
          </w:p>
          <w:p w:rsidR="00FA1602" w:rsidRPr="00A9382E" w:rsidRDefault="00FA1602" w:rsidP="00A9382E">
            <w:pPr>
              <w:keepLines/>
              <w:spacing w:before="80" w:after="80" w:line="200" w:lineRule="atLeast"/>
              <w:jc w:val="center"/>
              <w:rPr>
                <w:rFonts w:ascii="Franklin Gothic Medium" w:eastAsia="Times New Roman" w:hAnsi="Franklin Gothic Medium"/>
                <w:b/>
                <w:iCs/>
                <w:sz w:val="17"/>
                <w:szCs w:val="17"/>
                <w:lang w:eastAsia="en-US"/>
              </w:rPr>
            </w:pPr>
          </w:p>
        </w:tc>
        <w:tc>
          <w:tcPr>
            <w:tcW w:w="2186" w:type="dxa"/>
          </w:tcPr>
          <w:p w:rsidR="00FA1602" w:rsidRPr="00A9382E" w:rsidRDefault="00FA1602" w:rsidP="00A9382E">
            <w:pPr>
              <w:keepLines/>
              <w:spacing w:before="80" w:after="80" w:line="200" w:lineRule="atLeast"/>
              <w:jc w:val="center"/>
              <w:rPr>
                <w:rFonts w:ascii="Franklin Gothic Medium" w:eastAsia="Times New Roman" w:hAnsi="Franklin Gothic Medium"/>
                <w:b/>
                <w:iCs/>
                <w:sz w:val="17"/>
                <w:szCs w:val="17"/>
                <w:lang w:eastAsia="en-US"/>
              </w:rPr>
            </w:pPr>
            <w:r w:rsidRPr="00A9382E">
              <w:rPr>
                <w:rFonts w:ascii="Franklin Gothic Medium" w:eastAsia="Times New Roman" w:hAnsi="Franklin Gothic Medium"/>
                <w:b/>
                <w:iCs/>
                <w:sz w:val="17"/>
                <w:szCs w:val="17"/>
                <w:lang w:eastAsia="en-US"/>
              </w:rPr>
              <w:t>What further actions will be taken to manage the risks in the coming year?</w:t>
            </w:r>
          </w:p>
        </w:tc>
        <w:tc>
          <w:tcPr>
            <w:tcW w:w="1573" w:type="dxa"/>
          </w:tcPr>
          <w:p w:rsidR="00FA1602" w:rsidRPr="00A9382E" w:rsidRDefault="00FA1602" w:rsidP="00826E87">
            <w:pPr>
              <w:keepLines/>
              <w:spacing w:before="80" w:after="80" w:line="200" w:lineRule="atLeast"/>
              <w:jc w:val="center"/>
              <w:rPr>
                <w:rFonts w:ascii="Franklin Gothic Medium" w:eastAsia="Times New Roman" w:hAnsi="Franklin Gothic Medium"/>
                <w:b/>
                <w:iCs/>
                <w:sz w:val="17"/>
                <w:szCs w:val="17"/>
                <w:lang w:eastAsia="en-US"/>
              </w:rPr>
            </w:pPr>
            <w:r w:rsidRPr="00A9382E">
              <w:rPr>
                <w:rFonts w:ascii="Franklin Gothic Medium" w:eastAsia="Times New Roman" w:hAnsi="Franklin Gothic Medium"/>
                <w:b/>
                <w:iCs/>
                <w:sz w:val="17"/>
                <w:szCs w:val="17"/>
                <w:lang w:eastAsia="en-US"/>
              </w:rPr>
              <w:t xml:space="preserve">Risk Rating </w:t>
            </w:r>
            <w:r w:rsidR="00826E87">
              <w:rPr>
                <w:rFonts w:ascii="Franklin Gothic Medium" w:eastAsia="Times New Roman" w:hAnsi="Franklin Gothic Medium"/>
                <w:b/>
                <w:iCs/>
                <w:sz w:val="17"/>
                <w:szCs w:val="17"/>
                <w:lang w:eastAsia="en-US"/>
              </w:rPr>
              <w:br/>
            </w:r>
            <w:r w:rsidRPr="00A9382E">
              <w:rPr>
                <w:rFonts w:ascii="Franklin Gothic Medium" w:eastAsia="Times New Roman" w:hAnsi="Franklin Gothic Medium"/>
                <w:b/>
                <w:iCs/>
                <w:sz w:val="17"/>
                <w:szCs w:val="17"/>
                <w:lang w:eastAsia="en-US"/>
              </w:rPr>
              <w:t>(low, medium, high, very high)</w:t>
            </w:r>
          </w:p>
        </w:tc>
      </w:tr>
      <w:tr w:rsidR="00602C24" w:rsidRPr="00FA1602" w:rsidTr="00BF6A13">
        <w:tc>
          <w:tcPr>
            <w:tcW w:w="2788" w:type="dxa"/>
          </w:tcPr>
          <w:p w:rsidR="00FA1602" w:rsidRPr="00A9382E" w:rsidRDefault="009A1292" w:rsidP="00826E87">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hAnsi="Franklin Gothic Book"/>
                <w:sz w:val="18"/>
                <w:szCs w:val="18"/>
              </w:rPr>
              <w:t xml:space="preserve">Impacts on resourcing from </w:t>
            </w:r>
            <w:r w:rsidR="00826E87">
              <w:rPr>
                <w:rFonts w:ascii="Franklin Gothic Book" w:hAnsi="Franklin Gothic Book"/>
                <w:sz w:val="18"/>
                <w:szCs w:val="18"/>
              </w:rPr>
              <w:t>significant</w:t>
            </w:r>
            <w:r w:rsidRPr="00F66CE6">
              <w:rPr>
                <w:rFonts w:ascii="Franklin Gothic Book" w:hAnsi="Franklin Gothic Book"/>
                <w:sz w:val="18"/>
                <w:szCs w:val="18"/>
              </w:rPr>
              <w:t xml:space="preserve"> budget cuts, including reduced staffing num</w:t>
            </w:r>
            <w:r w:rsidRPr="00A9382E">
              <w:rPr>
                <w:rFonts w:ascii="Franklin Gothic Book" w:hAnsi="Franklin Gothic Book"/>
                <w:sz w:val="18"/>
                <w:szCs w:val="18"/>
              </w:rPr>
              <w:t>bers both at posts and in Canberra, loss of expertise and transitioning program management from staff who have left DFAT and the demands to do more with less.</w:t>
            </w:r>
          </w:p>
        </w:tc>
        <w:tc>
          <w:tcPr>
            <w:tcW w:w="3090"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hAnsi="Franklin Gothic Book"/>
                <w:sz w:val="18"/>
                <w:szCs w:val="18"/>
              </w:rPr>
              <w:t>Flexible working arrangements for those working in Canberra and at Posts have been adopted to ena</w:t>
            </w:r>
            <w:r w:rsidRPr="00A9382E">
              <w:rPr>
                <w:rFonts w:ascii="Franklin Gothic Book" w:hAnsi="Franklin Gothic Book"/>
                <w:sz w:val="18"/>
                <w:szCs w:val="18"/>
              </w:rPr>
              <w:t>ble this transition.  Careful management and prioritisation of resources have also been vital.</w:t>
            </w:r>
          </w:p>
        </w:tc>
        <w:tc>
          <w:tcPr>
            <w:tcW w:w="2186" w:type="dxa"/>
          </w:tcPr>
          <w:p w:rsidR="00FA1602" w:rsidRPr="00A9382E" w:rsidRDefault="00F66CE6" w:rsidP="00FA1602">
            <w:pPr>
              <w:keepLines/>
              <w:spacing w:before="80" w:after="80" w:line="200" w:lineRule="atLeast"/>
              <w:rPr>
                <w:rFonts w:ascii="Franklin Gothic Book" w:eastAsia="Times New Roman" w:hAnsi="Franklin Gothic Book"/>
                <w:iCs/>
                <w:sz w:val="18"/>
                <w:szCs w:val="18"/>
                <w:lang w:eastAsia="en-US"/>
              </w:rPr>
            </w:pPr>
            <w:r w:rsidRPr="00A9382E">
              <w:rPr>
                <w:rFonts w:ascii="Franklin Gothic Book" w:eastAsia="Times New Roman" w:hAnsi="Franklin Gothic Book"/>
                <w:iCs/>
                <w:sz w:val="18"/>
                <w:szCs w:val="18"/>
                <w:lang w:eastAsia="en-US"/>
              </w:rPr>
              <w:t xml:space="preserve">Regular assessment and communication of resources and priorities </w:t>
            </w:r>
          </w:p>
        </w:tc>
        <w:tc>
          <w:tcPr>
            <w:tcW w:w="1573" w:type="dxa"/>
          </w:tcPr>
          <w:p w:rsidR="00FA1602" w:rsidRPr="00A9382E" w:rsidRDefault="00F67B7D" w:rsidP="00FA1602">
            <w:pPr>
              <w:keepLines/>
              <w:spacing w:before="80" w:after="80" w:line="200" w:lineRule="atLeast"/>
              <w:rPr>
                <w:rFonts w:ascii="Franklin Gothic Medium" w:eastAsia="Times New Roman" w:hAnsi="Franklin Gothic Medium"/>
                <w:iCs/>
                <w:sz w:val="17"/>
                <w:szCs w:val="17"/>
                <w:lang w:eastAsia="en-US"/>
              </w:rPr>
            </w:pPr>
            <w:r>
              <w:rPr>
                <w:rFonts w:ascii="Franklin Gothic Medium" w:eastAsia="Times New Roman" w:hAnsi="Franklin Gothic Medium"/>
                <w:iCs/>
                <w:sz w:val="17"/>
                <w:szCs w:val="17"/>
                <w:lang w:eastAsia="en-US"/>
              </w:rPr>
              <w:t>H</w:t>
            </w:r>
            <w:r w:rsidR="00F66CE6" w:rsidRPr="00A9382E">
              <w:rPr>
                <w:rFonts w:ascii="Franklin Gothic Medium" w:eastAsia="Times New Roman" w:hAnsi="Franklin Gothic Medium"/>
                <w:iCs/>
                <w:sz w:val="17"/>
                <w:szCs w:val="17"/>
                <w:lang w:eastAsia="en-US"/>
              </w:rPr>
              <w:t>igh</w:t>
            </w:r>
          </w:p>
        </w:tc>
      </w:tr>
      <w:tr w:rsidR="00602C24" w:rsidRPr="00FA1602" w:rsidTr="00BF6A13">
        <w:tc>
          <w:tcPr>
            <w:tcW w:w="2788" w:type="dxa"/>
          </w:tcPr>
          <w:p w:rsidR="00FA1602" w:rsidRPr="00A9382E" w:rsidRDefault="009A1292" w:rsidP="00F66CE6">
            <w:pPr>
              <w:pStyle w:val="TableTextEntries"/>
              <w:rPr>
                <w:iCs w:val="0"/>
                <w:sz w:val="18"/>
                <w:szCs w:val="18"/>
              </w:rPr>
            </w:pPr>
            <w:r w:rsidRPr="00F66CE6">
              <w:rPr>
                <w:sz w:val="18"/>
                <w:szCs w:val="18"/>
              </w:rPr>
              <w:t>Deteriorating economic and political situations in countries where we work often present challenges to achieving and monitoring objectives.</w:t>
            </w:r>
          </w:p>
        </w:tc>
        <w:tc>
          <w:tcPr>
            <w:tcW w:w="3090"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hAnsi="Franklin Gothic Book"/>
                <w:sz w:val="18"/>
                <w:szCs w:val="18"/>
              </w:rPr>
              <w:t>Ensuring possible economic and political challenges were factored into assessments of our investments to ensure results were realistic and reasonable within the given contexts.</w:t>
            </w:r>
          </w:p>
        </w:tc>
        <w:tc>
          <w:tcPr>
            <w:tcW w:w="2186" w:type="dxa"/>
          </w:tcPr>
          <w:p w:rsidR="00FA1602" w:rsidRPr="00A9382E" w:rsidRDefault="00F66CE6" w:rsidP="00FA1602">
            <w:pPr>
              <w:keepLines/>
              <w:spacing w:before="80" w:after="80" w:line="200" w:lineRule="atLeast"/>
              <w:rPr>
                <w:rFonts w:ascii="Franklin Gothic Book" w:eastAsia="Times New Roman" w:hAnsi="Franklin Gothic Book"/>
                <w:iCs/>
                <w:sz w:val="18"/>
                <w:szCs w:val="18"/>
                <w:lang w:eastAsia="en-US"/>
              </w:rPr>
            </w:pPr>
            <w:r w:rsidRPr="00A9382E">
              <w:rPr>
                <w:rFonts w:ascii="Franklin Gothic Book" w:eastAsia="Times New Roman" w:hAnsi="Franklin Gothic Book"/>
                <w:iCs/>
                <w:sz w:val="18"/>
                <w:szCs w:val="18"/>
                <w:lang w:eastAsia="en-US"/>
              </w:rPr>
              <w:t>Ongoing assessment and reflection of these conditions in key reporting documents</w:t>
            </w:r>
          </w:p>
        </w:tc>
        <w:tc>
          <w:tcPr>
            <w:tcW w:w="1573" w:type="dxa"/>
          </w:tcPr>
          <w:p w:rsidR="00FA1602" w:rsidRPr="00A9382E" w:rsidRDefault="00F66CE6" w:rsidP="00FA1602">
            <w:pPr>
              <w:keepLines/>
              <w:spacing w:before="80" w:after="80" w:line="200" w:lineRule="atLeast"/>
              <w:rPr>
                <w:rFonts w:ascii="Franklin Gothic Medium" w:eastAsia="Times New Roman" w:hAnsi="Franklin Gothic Medium"/>
                <w:iCs/>
                <w:sz w:val="17"/>
                <w:szCs w:val="17"/>
                <w:lang w:eastAsia="en-US"/>
              </w:rPr>
            </w:pPr>
            <w:r w:rsidRPr="00A9382E">
              <w:rPr>
                <w:rFonts w:ascii="Franklin Gothic Medium" w:eastAsia="Times New Roman" w:hAnsi="Franklin Gothic Medium"/>
                <w:iCs/>
                <w:sz w:val="17"/>
                <w:szCs w:val="17"/>
                <w:lang w:eastAsia="en-US"/>
              </w:rPr>
              <w:t>Medium</w:t>
            </w:r>
          </w:p>
        </w:tc>
      </w:tr>
      <w:tr w:rsidR="00602C24" w:rsidRPr="00FA1602" w:rsidTr="00BF6A13">
        <w:tc>
          <w:tcPr>
            <w:tcW w:w="2788"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A9382E">
              <w:rPr>
                <w:rFonts w:ascii="Franklin Gothic Book" w:hAnsi="Franklin Gothic Book" w:cs="Arial"/>
                <w:sz w:val="18"/>
                <w:szCs w:val="18"/>
              </w:rPr>
              <w:t>Reduced funding footprint in Africa may make it difficult to implement a credible aid program and maintain Australia’s credibility and strategic input with partners.</w:t>
            </w:r>
          </w:p>
        </w:tc>
        <w:tc>
          <w:tcPr>
            <w:tcW w:w="3090"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hAnsi="Franklin Gothic Book"/>
                <w:sz w:val="18"/>
                <w:szCs w:val="18"/>
              </w:rPr>
              <w:t>Posts have worked hard to ensure partnerships are maintained despite a reduced presence.  Australia continues to engage in key forums to maintain our presence and reputation as a valued contributor to development discussion and expertise.</w:t>
            </w:r>
          </w:p>
        </w:tc>
        <w:tc>
          <w:tcPr>
            <w:tcW w:w="2186" w:type="dxa"/>
          </w:tcPr>
          <w:p w:rsidR="00FA1602" w:rsidRPr="00F66CE6" w:rsidRDefault="00F66CE6" w:rsidP="00FA1602">
            <w:pPr>
              <w:keepLines/>
              <w:spacing w:before="80" w:after="80" w:line="200" w:lineRule="atLeast"/>
              <w:rPr>
                <w:rFonts w:ascii="Franklin Gothic Book" w:eastAsia="Times New Roman" w:hAnsi="Franklin Gothic Book"/>
                <w:iCs/>
                <w:sz w:val="18"/>
                <w:szCs w:val="18"/>
                <w:lang w:eastAsia="en-US"/>
              </w:rPr>
            </w:pPr>
            <w:r w:rsidRPr="00A9382E">
              <w:rPr>
                <w:rFonts w:ascii="Franklin Gothic Book" w:eastAsia="Times New Roman" w:hAnsi="Franklin Gothic Book"/>
                <w:iCs/>
                <w:sz w:val="18"/>
                <w:szCs w:val="18"/>
                <w:lang w:eastAsia="en-US"/>
              </w:rPr>
              <w:t>Continued and ongoing strategic engagement in key forums and sectors where Australia’s interests are focused (see AIP)</w:t>
            </w:r>
          </w:p>
        </w:tc>
        <w:tc>
          <w:tcPr>
            <w:tcW w:w="1573" w:type="dxa"/>
          </w:tcPr>
          <w:p w:rsidR="00FA1602" w:rsidRPr="00A9382E" w:rsidRDefault="00F66CE6" w:rsidP="00FA1602">
            <w:pPr>
              <w:keepLines/>
              <w:spacing w:before="80" w:after="80" w:line="200" w:lineRule="atLeast"/>
              <w:rPr>
                <w:rFonts w:ascii="Franklin Gothic Medium" w:eastAsia="Times New Roman" w:hAnsi="Franklin Gothic Medium"/>
                <w:iCs/>
                <w:sz w:val="17"/>
                <w:szCs w:val="17"/>
                <w:lang w:eastAsia="en-US"/>
              </w:rPr>
            </w:pPr>
            <w:r w:rsidRPr="00A9382E">
              <w:rPr>
                <w:rFonts w:ascii="Franklin Gothic Medium" w:eastAsia="Times New Roman" w:hAnsi="Franklin Gothic Medium"/>
                <w:iCs/>
                <w:sz w:val="17"/>
                <w:szCs w:val="17"/>
                <w:lang w:eastAsia="en-US"/>
              </w:rPr>
              <w:t>Medium</w:t>
            </w:r>
          </w:p>
        </w:tc>
      </w:tr>
      <w:tr w:rsidR="00602C24" w:rsidRPr="00FA1602" w:rsidTr="00BF6A13">
        <w:tc>
          <w:tcPr>
            <w:tcW w:w="2788"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A9382E">
              <w:rPr>
                <w:rFonts w:ascii="Franklin Gothic Book" w:hAnsi="Franklin Gothic Book" w:cs="Arial"/>
                <w:sz w:val="18"/>
                <w:szCs w:val="18"/>
              </w:rPr>
              <w:t xml:space="preserve">Timely selection of a new managing contractor for Australia’s major aid investment in Africa in going forward (Australia Awards).  </w:t>
            </w:r>
          </w:p>
        </w:tc>
        <w:tc>
          <w:tcPr>
            <w:tcW w:w="3090" w:type="dxa"/>
          </w:tcPr>
          <w:p w:rsidR="00FA1602" w:rsidRPr="00A9382E" w:rsidRDefault="009A1292" w:rsidP="00FA1602">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hAnsi="Franklin Gothic Book"/>
                <w:sz w:val="18"/>
                <w:szCs w:val="18"/>
              </w:rPr>
              <w:t xml:space="preserve">The tender for the new phase of Australia Awards was released and is expected to be operational by the first half of 2016.  </w:t>
            </w:r>
          </w:p>
        </w:tc>
        <w:tc>
          <w:tcPr>
            <w:tcW w:w="2186" w:type="dxa"/>
          </w:tcPr>
          <w:p w:rsidR="00FA1602" w:rsidRPr="00A9382E" w:rsidRDefault="00F66CE6" w:rsidP="00FA1602">
            <w:pPr>
              <w:keepLines/>
              <w:spacing w:before="80" w:after="80" w:line="200" w:lineRule="atLeast"/>
              <w:rPr>
                <w:rFonts w:ascii="Franklin Gothic Book" w:eastAsia="Times New Roman" w:hAnsi="Franklin Gothic Book"/>
                <w:iCs/>
                <w:sz w:val="18"/>
                <w:szCs w:val="18"/>
                <w:lang w:eastAsia="en-US"/>
              </w:rPr>
            </w:pPr>
            <w:r w:rsidRPr="00F66CE6">
              <w:rPr>
                <w:rFonts w:ascii="Franklin Gothic Book" w:eastAsia="Times New Roman" w:hAnsi="Franklin Gothic Book"/>
                <w:iCs/>
                <w:sz w:val="18"/>
                <w:szCs w:val="18"/>
                <w:lang w:eastAsia="en-US"/>
              </w:rPr>
              <w:t>Close management of selection of tenderer and implementation of new program</w:t>
            </w:r>
          </w:p>
        </w:tc>
        <w:tc>
          <w:tcPr>
            <w:tcW w:w="1573" w:type="dxa"/>
          </w:tcPr>
          <w:p w:rsidR="00FA1602" w:rsidRPr="00A9382E" w:rsidRDefault="00F66CE6" w:rsidP="00FA1602">
            <w:pPr>
              <w:keepLines/>
              <w:spacing w:before="80" w:after="80" w:line="200" w:lineRule="atLeast"/>
              <w:rPr>
                <w:rFonts w:ascii="Franklin Gothic Medium" w:eastAsia="Times New Roman" w:hAnsi="Franklin Gothic Medium"/>
                <w:iCs/>
                <w:sz w:val="17"/>
                <w:szCs w:val="17"/>
                <w:lang w:eastAsia="en-US"/>
              </w:rPr>
            </w:pPr>
            <w:r w:rsidRPr="00A9382E">
              <w:rPr>
                <w:rFonts w:ascii="Franklin Gothic Medium" w:eastAsia="Times New Roman" w:hAnsi="Franklin Gothic Medium"/>
                <w:iCs/>
                <w:sz w:val="17"/>
                <w:szCs w:val="17"/>
                <w:lang w:eastAsia="en-US"/>
              </w:rPr>
              <w:t>Low</w:t>
            </w:r>
          </w:p>
        </w:tc>
      </w:tr>
    </w:tbl>
    <w:p w:rsidR="003C709B" w:rsidRDefault="003C709B" w:rsidP="003C709B">
      <w:pPr>
        <w:pStyle w:val="BodyText"/>
        <w:rPr>
          <w:rFonts w:ascii="Helvetica" w:hAnsi="Helvetica" w:cs="Arial"/>
          <w:color w:val="007FAD"/>
          <w:kern w:val="28"/>
          <w:szCs w:val="28"/>
        </w:rPr>
      </w:pPr>
    </w:p>
    <w:p w:rsidR="000D733F" w:rsidRPr="000950D6" w:rsidRDefault="000D733F" w:rsidP="00F66CE6">
      <w:pPr>
        <w:pStyle w:val="Heading2"/>
        <w:rPr>
          <w:rStyle w:val="BodyTextChar"/>
          <w:rFonts w:eastAsiaTheme="majorEastAsia"/>
          <w:b/>
          <w:iCs/>
          <w:szCs w:val="21"/>
          <w:lang w:eastAsia="en-US"/>
        </w:rPr>
      </w:pPr>
      <w:r w:rsidRPr="009A1292">
        <w:rPr>
          <w:sz w:val="28"/>
        </w:rPr>
        <w:t xml:space="preserve">Management </w:t>
      </w:r>
      <w:r w:rsidR="00805ADD" w:rsidRPr="009A1292">
        <w:rPr>
          <w:sz w:val="28"/>
        </w:rPr>
        <w:t>Responses</w:t>
      </w:r>
    </w:p>
    <w:p w:rsidR="00057D72" w:rsidRDefault="007D42FE" w:rsidP="00B653FE">
      <w:pPr>
        <w:pStyle w:val="ListBullet"/>
        <w:numPr>
          <w:ilvl w:val="0"/>
          <w:numId w:val="0"/>
        </w:numPr>
        <w:tabs>
          <w:tab w:val="clear" w:pos="284"/>
        </w:tabs>
        <w:spacing w:line="276" w:lineRule="auto"/>
      </w:pPr>
      <w:r>
        <w:t xml:space="preserve">Overall, the Africa Aid Program made good progress towards </w:t>
      </w:r>
      <w:r w:rsidR="00723F09">
        <w:t>implementing</w:t>
      </w:r>
      <w:r>
        <w:t xml:space="preserve"> the management responses </w:t>
      </w:r>
      <w:r w:rsidR="00723F09">
        <w:t>identified in the</w:t>
      </w:r>
      <w:r>
        <w:t xml:space="preserve"> 2013-14 APPR during 2014-15.  For example, the development of an AIP for Sub-Saharan Africa has helped to align Australia’s development priorities with its economic diplomacy, trade and political economy goals.  Australia has also continued to consolidate </w:t>
      </w:r>
      <w:r w:rsidR="00057D72">
        <w:t xml:space="preserve">and focus its efforts in </w:t>
      </w:r>
      <w:r w:rsidR="004F2AAF">
        <w:t xml:space="preserve">Southern and Eastern Africa. </w:t>
      </w:r>
      <w:r w:rsidR="0071077A">
        <w:t>G</w:t>
      </w:r>
      <w:r w:rsidR="004F2AAF">
        <w:t xml:space="preserve">ender equality </w:t>
      </w:r>
      <w:r w:rsidR="00057D72">
        <w:t xml:space="preserve">has </w:t>
      </w:r>
      <w:r w:rsidR="004F2AAF">
        <w:t xml:space="preserve">been incorporated into the new phase of </w:t>
      </w:r>
      <w:r w:rsidR="0071077A">
        <w:t>Australia Awards, our</w:t>
      </w:r>
      <w:r w:rsidR="004F2AAF">
        <w:t xml:space="preserve"> flagship program going forward.   The contraction in the budget has meant that the </w:t>
      </w:r>
      <w:r w:rsidR="00057D72">
        <w:t xml:space="preserve">two </w:t>
      </w:r>
      <w:r w:rsidR="004F2AAF">
        <w:t>new program</w:t>
      </w:r>
      <w:r w:rsidR="00057D72">
        <w:t>s</w:t>
      </w:r>
      <w:r w:rsidR="004F2AAF">
        <w:t xml:space="preserve"> planned in </w:t>
      </w:r>
      <w:r w:rsidR="00057D72">
        <w:t xml:space="preserve">the </w:t>
      </w:r>
      <w:r w:rsidR="004F2AAF">
        <w:t xml:space="preserve">extractives and agriculture sectors have not been funded.  </w:t>
      </w:r>
      <w:r w:rsidR="00057D72">
        <w:t xml:space="preserve">Australia </w:t>
      </w:r>
      <w:r w:rsidR="00F628F8">
        <w:t xml:space="preserve">has </w:t>
      </w:r>
      <w:r w:rsidR="00057D72">
        <w:t>made progress on ensuring evaluations and associated management responses were finalised and published in a timely manner</w:t>
      </w:r>
      <w:r w:rsidR="00F628F8">
        <w:t>.</w:t>
      </w:r>
      <w:r w:rsidR="00057D72">
        <w:t xml:space="preserve">  </w:t>
      </w:r>
    </w:p>
    <w:p w:rsidR="00511D26" w:rsidRDefault="00057D72" w:rsidP="00B653FE">
      <w:pPr>
        <w:pStyle w:val="ListBullet"/>
        <w:numPr>
          <w:ilvl w:val="0"/>
          <w:numId w:val="0"/>
        </w:numPr>
        <w:tabs>
          <w:tab w:val="clear" w:pos="284"/>
        </w:tabs>
        <w:spacing w:line="276" w:lineRule="auto"/>
      </w:pPr>
      <w:r>
        <w:t>Based on current priorities, a</w:t>
      </w:r>
      <w:r w:rsidR="00511D26">
        <w:t xml:space="preserve"> number of management responses have been identified throughout th</w:t>
      </w:r>
      <w:r w:rsidR="00101652">
        <w:t>is</w:t>
      </w:r>
      <w:r w:rsidR="00511D26">
        <w:t xml:space="preserve"> report</w:t>
      </w:r>
      <w:r w:rsidR="006557E1">
        <w:t xml:space="preserve"> including:</w:t>
      </w:r>
      <w:r w:rsidR="00511D26">
        <w:t xml:space="preserve">  </w:t>
      </w:r>
    </w:p>
    <w:p w:rsidR="00D823F4" w:rsidRDefault="006557E1" w:rsidP="00723F09">
      <w:pPr>
        <w:pStyle w:val="ListParagraph"/>
        <w:numPr>
          <w:ilvl w:val="0"/>
          <w:numId w:val="19"/>
        </w:numPr>
        <w:spacing w:line="276" w:lineRule="auto"/>
        <w:ind w:left="714" w:hanging="357"/>
        <w:rPr>
          <w:rFonts w:ascii="Franklin Gothic Book" w:hAnsi="Franklin Gothic Book" w:cstheme="minorHAnsi"/>
          <w:sz w:val="21"/>
          <w:szCs w:val="21"/>
        </w:rPr>
      </w:pPr>
      <w:r>
        <w:rPr>
          <w:rFonts w:ascii="Franklin Gothic Book" w:hAnsi="Franklin Gothic Book" w:cstheme="minorHAnsi"/>
          <w:sz w:val="21"/>
          <w:szCs w:val="21"/>
        </w:rPr>
        <w:t xml:space="preserve">A tighter alignment of our development assistance in the human capacity building, agriculture, humanitarian and gender equality sectors with our </w:t>
      </w:r>
      <w:r w:rsidR="00D823F4">
        <w:rPr>
          <w:rFonts w:ascii="Franklin Gothic Book" w:hAnsi="Franklin Gothic Book" w:cstheme="minorHAnsi"/>
          <w:sz w:val="21"/>
          <w:szCs w:val="21"/>
        </w:rPr>
        <w:t>trade, investment and foreign policy objectives</w:t>
      </w:r>
      <w:r w:rsidR="002C04CD">
        <w:rPr>
          <w:rFonts w:ascii="Franklin Gothic Book" w:hAnsi="Franklin Gothic Book" w:cstheme="minorHAnsi"/>
          <w:sz w:val="21"/>
          <w:szCs w:val="21"/>
        </w:rPr>
        <w:t>.</w:t>
      </w:r>
    </w:p>
    <w:p w:rsidR="00861282" w:rsidRPr="00057D72" w:rsidRDefault="00D823F4" w:rsidP="00723F09">
      <w:pPr>
        <w:pStyle w:val="ListParagraph"/>
        <w:numPr>
          <w:ilvl w:val="0"/>
          <w:numId w:val="19"/>
        </w:numPr>
        <w:spacing w:line="276" w:lineRule="auto"/>
        <w:ind w:left="714" w:hanging="357"/>
        <w:rPr>
          <w:rFonts w:ascii="Franklin Gothic Book" w:hAnsi="Franklin Gothic Book" w:cstheme="minorHAnsi"/>
          <w:sz w:val="21"/>
          <w:szCs w:val="21"/>
        </w:rPr>
      </w:pPr>
      <w:r w:rsidRPr="00057D72">
        <w:rPr>
          <w:rFonts w:ascii="Franklin Gothic Book" w:hAnsi="Franklin Gothic Book" w:cstheme="minorHAnsi"/>
          <w:sz w:val="21"/>
          <w:szCs w:val="21"/>
        </w:rPr>
        <w:t xml:space="preserve">Ensuring women’s rights, gender equality and women’s economic empowerment are </w:t>
      </w:r>
      <w:r w:rsidR="009020E7">
        <w:rPr>
          <w:rFonts w:ascii="Franklin Gothic Book" w:hAnsi="Franklin Gothic Book" w:cstheme="minorHAnsi"/>
          <w:sz w:val="21"/>
          <w:szCs w:val="21"/>
        </w:rPr>
        <w:t xml:space="preserve">more effectively </w:t>
      </w:r>
      <w:r w:rsidRPr="00057D72">
        <w:rPr>
          <w:rFonts w:ascii="Franklin Gothic Book" w:hAnsi="Franklin Gothic Book" w:cstheme="minorHAnsi"/>
          <w:sz w:val="21"/>
          <w:szCs w:val="21"/>
        </w:rPr>
        <w:t xml:space="preserve">integrated and promoted as a cornerstone of our aid program.  </w:t>
      </w:r>
    </w:p>
    <w:p w:rsidR="00E467C8" w:rsidRPr="00E467C8" w:rsidRDefault="00EB5629" w:rsidP="00723F09">
      <w:pPr>
        <w:pStyle w:val="ListParagraph"/>
        <w:numPr>
          <w:ilvl w:val="0"/>
          <w:numId w:val="19"/>
        </w:numPr>
        <w:spacing w:line="276" w:lineRule="auto"/>
        <w:ind w:left="714" w:hanging="357"/>
        <w:rPr>
          <w:rFonts w:ascii="Franklin Gothic Book" w:hAnsi="Franklin Gothic Book" w:cstheme="minorHAnsi"/>
          <w:sz w:val="21"/>
          <w:szCs w:val="21"/>
        </w:rPr>
      </w:pPr>
      <w:r>
        <w:rPr>
          <w:rFonts w:ascii="Franklin Gothic Book" w:hAnsi="Franklin Gothic Book"/>
          <w:sz w:val="21"/>
          <w:szCs w:val="21"/>
        </w:rPr>
        <w:t>E</w:t>
      </w:r>
      <w:r w:rsidR="00861282">
        <w:rPr>
          <w:rFonts w:ascii="Franklin Gothic Book" w:hAnsi="Franklin Gothic Book"/>
          <w:sz w:val="21"/>
          <w:szCs w:val="21"/>
        </w:rPr>
        <w:t xml:space="preserve">nsuring </w:t>
      </w:r>
      <w:r w:rsidR="00E467C8">
        <w:rPr>
          <w:rFonts w:ascii="Franklin Gothic Book" w:hAnsi="Franklin Gothic Book"/>
          <w:sz w:val="21"/>
          <w:szCs w:val="21"/>
        </w:rPr>
        <w:t>independent evaluations and management responses are finalised and published in a timelier manner.</w:t>
      </w:r>
    </w:p>
    <w:p w:rsidR="00D823F4" w:rsidRPr="00E00D31" w:rsidRDefault="00E467C8" w:rsidP="00723F09">
      <w:pPr>
        <w:pStyle w:val="ListParagraph"/>
        <w:numPr>
          <w:ilvl w:val="0"/>
          <w:numId w:val="19"/>
        </w:numPr>
        <w:spacing w:line="276" w:lineRule="auto"/>
        <w:ind w:left="714" w:hanging="357"/>
        <w:rPr>
          <w:rFonts w:ascii="Franklin Gothic Book" w:hAnsi="Franklin Gothic Book" w:cstheme="minorHAnsi"/>
          <w:sz w:val="21"/>
          <w:szCs w:val="21"/>
        </w:rPr>
      </w:pPr>
      <w:r>
        <w:rPr>
          <w:rFonts w:ascii="Franklin Gothic Book" w:hAnsi="Franklin Gothic Book"/>
          <w:sz w:val="21"/>
          <w:szCs w:val="21"/>
        </w:rPr>
        <w:t>Continued monitoring of legacy investments in areas outside the scope of the new Sub-Saharan Africa AIP to ensure development results and impacts are realised.</w:t>
      </w:r>
    </w:p>
    <w:p w:rsidR="00D823F4" w:rsidRDefault="006557E1" w:rsidP="00723F09">
      <w:pPr>
        <w:pStyle w:val="ListParagraph"/>
        <w:numPr>
          <w:ilvl w:val="0"/>
          <w:numId w:val="19"/>
        </w:numPr>
        <w:spacing w:line="276" w:lineRule="auto"/>
        <w:ind w:left="714" w:hanging="357"/>
        <w:rPr>
          <w:rFonts w:ascii="Franklin Gothic Book" w:hAnsi="Franklin Gothic Book" w:cstheme="minorHAnsi"/>
          <w:sz w:val="21"/>
          <w:szCs w:val="21"/>
        </w:rPr>
      </w:pPr>
      <w:r>
        <w:rPr>
          <w:rFonts w:ascii="Franklin Gothic Book" w:hAnsi="Franklin Gothic Book" w:cstheme="minorHAnsi"/>
          <w:sz w:val="21"/>
          <w:szCs w:val="21"/>
        </w:rPr>
        <w:t xml:space="preserve">Continued engagement with </w:t>
      </w:r>
      <w:r w:rsidR="00E467C8">
        <w:rPr>
          <w:rFonts w:ascii="Franklin Gothic Book" w:hAnsi="Franklin Gothic Book" w:cstheme="minorHAnsi"/>
          <w:sz w:val="21"/>
          <w:szCs w:val="21"/>
        </w:rPr>
        <w:t>key Whole of Government partners (such as CSIRO and ACIAR</w:t>
      </w:r>
      <w:r w:rsidR="009020E7">
        <w:rPr>
          <w:rFonts w:ascii="Franklin Gothic Book" w:hAnsi="Franklin Gothic Book" w:cstheme="minorHAnsi"/>
          <w:sz w:val="21"/>
          <w:szCs w:val="21"/>
        </w:rPr>
        <w:t>, Department of Environment</w:t>
      </w:r>
      <w:r w:rsidR="00E467C8">
        <w:rPr>
          <w:rFonts w:ascii="Franklin Gothic Book" w:hAnsi="Franklin Gothic Book" w:cstheme="minorHAnsi"/>
          <w:sz w:val="21"/>
          <w:szCs w:val="21"/>
        </w:rPr>
        <w:t xml:space="preserve">) to enhance capacities for </w:t>
      </w:r>
      <w:r>
        <w:rPr>
          <w:rFonts w:ascii="Franklin Gothic Book" w:hAnsi="Franklin Gothic Book" w:cstheme="minorHAnsi"/>
          <w:sz w:val="21"/>
          <w:szCs w:val="21"/>
        </w:rPr>
        <w:t xml:space="preserve">capturing </w:t>
      </w:r>
      <w:r w:rsidR="00E467C8">
        <w:rPr>
          <w:rFonts w:ascii="Franklin Gothic Book" w:hAnsi="Franklin Gothic Book" w:cstheme="minorHAnsi"/>
          <w:sz w:val="21"/>
          <w:szCs w:val="21"/>
        </w:rPr>
        <w:t>development results.</w:t>
      </w:r>
    </w:p>
    <w:p w:rsidR="009020E7" w:rsidRDefault="006557E1" w:rsidP="00723F09">
      <w:pPr>
        <w:pStyle w:val="ListBullet"/>
        <w:numPr>
          <w:ilvl w:val="0"/>
          <w:numId w:val="19"/>
        </w:numPr>
        <w:tabs>
          <w:tab w:val="clear" w:pos="284"/>
        </w:tabs>
        <w:spacing w:line="276" w:lineRule="auto"/>
        <w:ind w:left="714" w:hanging="357"/>
      </w:pPr>
      <w:r>
        <w:t>W</w:t>
      </w:r>
      <w:r w:rsidR="00EB5629">
        <w:t xml:space="preserve">orking closely with our humanitarian partners (such as the UN, WFP and ICRC) and DFAT’s humanitarian colleagues to strengthen reporting on Australia’s humanitarian assistance in Somalia and South Sudan to enable greater tracking of our </w:t>
      </w:r>
      <w:r w:rsidR="00D335DA">
        <w:t xml:space="preserve">humanitarian </w:t>
      </w:r>
      <w:r w:rsidR="00EB5629">
        <w:t>results.</w:t>
      </w:r>
    </w:p>
    <w:p w:rsidR="00873ECD" w:rsidRDefault="009020E7" w:rsidP="00723F09">
      <w:pPr>
        <w:pStyle w:val="ListBullet"/>
        <w:numPr>
          <w:ilvl w:val="0"/>
          <w:numId w:val="19"/>
        </w:numPr>
        <w:tabs>
          <w:tab w:val="clear" w:pos="284"/>
        </w:tabs>
        <w:spacing w:line="276" w:lineRule="auto"/>
        <w:ind w:left="714" w:hanging="357"/>
      </w:pPr>
      <w:r>
        <w:t>Working closely with implementing partners to ensure appropriate exit strategies from those programs which will discontinue in 2015-16</w:t>
      </w:r>
      <w:r w:rsidR="00723F09">
        <w:t>,</w:t>
      </w:r>
      <w:r>
        <w:t xml:space="preserve"> </w:t>
      </w:r>
      <w:proofErr w:type="gramStart"/>
      <w:r>
        <w:t>to support</w:t>
      </w:r>
      <w:proofErr w:type="gramEnd"/>
      <w:r>
        <w:t xml:space="preserve"> program </w:t>
      </w:r>
      <w:r w:rsidR="00723F09">
        <w:t>sustainability</w:t>
      </w:r>
      <w:r>
        <w:t xml:space="preserve"> and ongoing results</w:t>
      </w:r>
      <w:r w:rsidR="00873ECD">
        <w:t>.</w:t>
      </w:r>
    </w:p>
    <w:p w:rsidR="00873ECD" w:rsidRDefault="00873ECD" w:rsidP="00723F09">
      <w:pPr>
        <w:pStyle w:val="ListBullet"/>
        <w:numPr>
          <w:ilvl w:val="0"/>
          <w:numId w:val="19"/>
        </w:numPr>
        <w:tabs>
          <w:tab w:val="clear" w:pos="284"/>
        </w:tabs>
        <w:spacing w:line="276" w:lineRule="auto"/>
        <w:ind w:left="714" w:hanging="357"/>
        <w:sectPr w:rsidR="00873ECD" w:rsidSect="00D46AAF">
          <w:headerReference w:type="even" r:id="rId18"/>
          <w:footerReference w:type="first" r:id="rId19"/>
          <w:footnotePr>
            <w:numRestart w:val="eachPage"/>
          </w:footnotePr>
          <w:pgSz w:w="11906" w:h="16838" w:code="9"/>
          <w:pgMar w:top="1814" w:right="851" w:bottom="851" w:left="1814" w:header="709" w:footer="425" w:gutter="0"/>
          <w:cols w:space="708"/>
          <w:titlePg/>
          <w:docGrid w:linePitch="360"/>
        </w:sectPr>
      </w:pPr>
      <w:r>
        <w:t>Develop a fit for purpose Performance Assessment Framework (PAF) which will enhance the Africa Aid Program’s ability to comment on results against expected targets.</w:t>
      </w:r>
    </w:p>
    <w:p w:rsidR="007D42FE" w:rsidRPr="007D42FE" w:rsidRDefault="007D42FE" w:rsidP="007D42FE">
      <w:pPr>
        <w:keepNext/>
        <w:spacing w:before="360" w:after="120"/>
        <w:outlineLvl w:val="1"/>
        <w:rPr>
          <w:rFonts w:ascii="Helvetica" w:eastAsia="Times New Roman" w:hAnsi="Helvetica" w:cs="Arial"/>
          <w:color w:val="007FAD"/>
          <w:kern w:val="28"/>
          <w:sz w:val="28"/>
          <w:szCs w:val="28"/>
        </w:rPr>
      </w:pPr>
      <w:r w:rsidRPr="007D42FE">
        <w:rPr>
          <w:rFonts w:ascii="Helvetica" w:eastAsia="Times New Roman" w:hAnsi="Helvetica" w:cs="Arial"/>
          <w:color w:val="007FAD"/>
          <w:kern w:val="28"/>
          <w:sz w:val="28"/>
          <w:szCs w:val="28"/>
        </w:rPr>
        <w:t xml:space="preserve">Annex </w:t>
      </w:r>
      <w:proofErr w:type="gramStart"/>
      <w:r w:rsidRPr="007D42FE">
        <w:rPr>
          <w:rFonts w:ascii="Helvetica" w:eastAsia="Times New Roman" w:hAnsi="Helvetica" w:cs="Arial"/>
          <w:color w:val="007FAD"/>
          <w:kern w:val="28"/>
          <w:sz w:val="28"/>
          <w:szCs w:val="28"/>
        </w:rPr>
        <w:t>A</w:t>
      </w:r>
      <w:proofErr w:type="gramEnd"/>
      <w:r w:rsidRPr="007D42FE">
        <w:rPr>
          <w:rFonts w:ascii="Helvetica" w:eastAsia="Times New Roman" w:hAnsi="Helvetica" w:cs="Arial"/>
          <w:color w:val="007FAD"/>
          <w:kern w:val="28"/>
          <w:sz w:val="28"/>
          <w:szCs w:val="28"/>
        </w:rPr>
        <w:t xml:space="preserve"> - Progress in Addressing Management Responses</w:t>
      </w:r>
    </w:p>
    <w:p w:rsidR="007D42FE" w:rsidRPr="007D42FE" w:rsidRDefault="007D42FE" w:rsidP="00B519EB">
      <w:pPr>
        <w:spacing w:after="120" w:line="280" w:lineRule="exact"/>
        <w:rPr>
          <w:rFonts w:ascii="Franklin Gothic Book" w:eastAsia="Times New Roman" w:hAnsi="Franklin Gothic Book"/>
          <w:sz w:val="21"/>
        </w:rPr>
      </w:pPr>
    </w:p>
    <w:tbl>
      <w:tblPr>
        <w:tblStyle w:val="APPR2"/>
        <w:tblpPr w:leftFromText="180" w:rightFromText="180" w:vertAnchor="text" w:tblpY="1"/>
        <w:tblW w:w="5000" w:type="pct"/>
        <w:tblLayout w:type="fixed"/>
        <w:tblLook w:val="0000" w:firstRow="0" w:lastRow="0" w:firstColumn="0" w:lastColumn="0" w:noHBand="0" w:noVBand="0"/>
        <w:tblCaption w:val="How 13-14 management responses have been addressed in 14-15"/>
      </w:tblPr>
      <w:tblGrid>
        <w:gridCol w:w="7206"/>
        <w:gridCol w:w="1095"/>
        <w:gridCol w:w="7675"/>
      </w:tblGrid>
      <w:tr w:rsidR="007D42FE" w:rsidRPr="007D42FE" w:rsidTr="004F2AAF">
        <w:trPr>
          <w:cnfStyle w:val="000000010000" w:firstRow="0" w:lastRow="0" w:firstColumn="0" w:lastColumn="0" w:oddVBand="0" w:evenVBand="0" w:oddHBand="0" w:evenHBand="1" w:firstRowFirstColumn="0" w:firstRowLastColumn="0" w:lastRowFirstColumn="0" w:lastRowLastColumn="0"/>
        </w:trPr>
        <w:tc>
          <w:tcPr>
            <w:tcW w:w="6473" w:type="dxa"/>
          </w:tcPr>
          <w:p w:rsidR="007D42FE" w:rsidRPr="007D42FE" w:rsidRDefault="007D42FE" w:rsidP="007D42FE">
            <w:pPr>
              <w:keepLines/>
              <w:tabs>
                <w:tab w:val="left" w:pos="1185"/>
              </w:tab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Management responses identified in 2013-14 APPR</w:t>
            </w:r>
            <w:r w:rsidRPr="007D42FE">
              <w:rPr>
                <w:rFonts w:ascii="Franklin Gothic Medium" w:eastAsia="Times New Roman" w:hAnsi="Franklin Gothic Medium"/>
                <w:b/>
                <w:iCs/>
                <w:sz w:val="17"/>
                <w:szCs w:val="17"/>
                <w:lang w:eastAsia="en-US"/>
              </w:rPr>
              <w:tab/>
            </w:r>
          </w:p>
        </w:tc>
        <w:tc>
          <w:tcPr>
            <w:tcW w:w="964" w:type="dxa"/>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Rating</w:t>
            </w:r>
          </w:p>
        </w:tc>
        <w:tc>
          <w:tcPr>
            <w:tcW w:w="6896" w:type="dxa"/>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Progress made in 2014-5</w:t>
            </w:r>
          </w:p>
        </w:tc>
      </w:tr>
      <w:tr w:rsidR="007D42FE" w:rsidRPr="007D42FE" w:rsidTr="00D46AAF">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3F3F8D" w:rsidRDefault="009638BD" w:rsidP="009D6527">
            <w:pPr>
              <w:pStyle w:val="TableListNumber"/>
              <w:numPr>
                <w:ilvl w:val="0"/>
                <w:numId w:val="0"/>
              </w:numPr>
              <w:ind w:left="284" w:hanging="284"/>
              <w:rPr>
                <w:rFonts w:ascii="Franklin Gothic Book" w:hAnsi="Franklin Gothic Book"/>
                <w:sz w:val="18"/>
                <w:szCs w:val="18"/>
              </w:rPr>
            </w:pPr>
            <w:r w:rsidRPr="003F3F8D">
              <w:rPr>
                <w:rFonts w:ascii="Franklin Gothic Book" w:hAnsi="Franklin Gothic Book"/>
                <w:sz w:val="18"/>
                <w:szCs w:val="18"/>
              </w:rPr>
              <w:t>Develop a program strategy that will:</w:t>
            </w:r>
          </w:p>
          <w:p w:rsidR="007D42FE" w:rsidRPr="003F3F8D" w:rsidRDefault="009638BD" w:rsidP="009D6527">
            <w:pPr>
              <w:keepLines/>
              <w:spacing w:before="40" w:after="40" w:line="200" w:lineRule="atLeast"/>
              <w:rPr>
                <w:rFonts w:ascii="Franklin Gothic Book" w:eastAsia="Times New Roman" w:hAnsi="Franklin Gothic Book"/>
                <w:iCs/>
                <w:sz w:val="18"/>
                <w:szCs w:val="18"/>
                <w:lang w:eastAsia="en-US"/>
              </w:rPr>
            </w:pPr>
            <w:r w:rsidRPr="003F3F8D">
              <w:rPr>
                <w:rFonts w:ascii="Franklin Gothic Book" w:hAnsi="Franklin Gothic Book"/>
                <w:sz w:val="18"/>
                <w:szCs w:val="18"/>
              </w:rPr>
              <w:t>Senior management at Post and Canberra will ensure that the Australian aid program in Africa is aligned with economic diplomacy goals and that the synergies that exist between aid, trade and political economy are maximised, in line with the Government’s agenda.</w:t>
            </w:r>
          </w:p>
        </w:tc>
        <w:tc>
          <w:tcPr>
            <w:tcW w:w="964" w:type="dxa"/>
            <w:shd w:val="clear" w:color="auto" w:fill="00B050"/>
          </w:tcPr>
          <w:p w:rsidR="007D42FE" w:rsidRPr="003F3F8D" w:rsidRDefault="007D42FE" w:rsidP="00BC75B0">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sidRPr="003F3F8D">
              <w:rPr>
                <w:rFonts w:ascii="Franklin Gothic Book" w:eastAsia="Times New Roman" w:hAnsi="Franklin Gothic Book"/>
                <w:iCs/>
                <w:color w:val="FFFFFF" w:themeColor="background1"/>
                <w:sz w:val="18"/>
                <w:szCs w:val="18"/>
                <w:lang w:eastAsia="en-US"/>
              </w:rPr>
              <w:t>Achieved</w:t>
            </w:r>
          </w:p>
        </w:tc>
        <w:tc>
          <w:tcPr>
            <w:tcW w:w="6896" w:type="dxa"/>
          </w:tcPr>
          <w:p w:rsidR="009638BD" w:rsidRPr="003F3F8D" w:rsidRDefault="009638BD" w:rsidP="003F3F8D">
            <w:pPr>
              <w:pStyle w:val="TableTextEntries"/>
              <w:rPr>
                <w:sz w:val="18"/>
                <w:szCs w:val="18"/>
              </w:rPr>
            </w:pPr>
            <w:r w:rsidRPr="003F3F8D">
              <w:rPr>
                <w:sz w:val="18"/>
                <w:szCs w:val="18"/>
              </w:rPr>
              <w:t>During 2015, the Sub-Saharan Africa Aid Program developed an Aid Investment Plan (AIP).  The AIP (2015-2019) sets out clear linkages between Australia’s aid investments in Africa and its trade and foreign policy objectives.  This document was published on 30 September 2015 and will be used to guide DFAT’s future engagement in aid, with clear links to broader foreign policy and trade objectives.</w:t>
            </w:r>
          </w:p>
          <w:p w:rsidR="007D42FE" w:rsidRPr="003F3F8D" w:rsidRDefault="007D42FE" w:rsidP="003F3F8D">
            <w:pPr>
              <w:keepLines/>
              <w:spacing w:before="40" w:after="40" w:line="200" w:lineRule="atLeast"/>
              <w:rPr>
                <w:rFonts w:ascii="Franklin Gothic Book" w:eastAsia="Times New Roman" w:hAnsi="Franklin Gothic Book"/>
                <w:iCs/>
                <w:color w:val="92D050"/>
                <w:sz w:val="18"/>
                <w:szCs w:val="18"/>
                <w:lang w:eastAsia="en-US"/>
              </w:rPr>
            </w:pPr>
          </w:p>
        </w:tc>
      </w:tr>
      <w:tr w:rsidR="007D42FE" w:rsidRPr="007D42FE" w:rsidTr="00D46AAF">
        <w:trPr>
          <w:cnfStyle w:val="000000010000" w:firstRow="0" w:lastRow="0" w:firstColumn="0" w:lastColumn="0" w:oddVBand="0" w:evenVBand="0" w:oddHBand="0" w:evenHBand="1" w:firstRowFirstColumn="0" w:firstRowLastColumn="0" w:lastRowFirstColumn="0" w:lastRowLastColumn="0"/>
        </w:trPr>
        <w:tc>
          <w:tcPr>
            <w:tcW w:w="6473" w:type="dxa"/>
          </w:tcPr>
          <w:p w:rsidR="007D42FE" w:rsidRPr="003F3F8D" w:rsidRDefault="009638BD" w:rsidP="009D6527">
            <w:pPr>
              <w:keepLines/>
              <w:spacing w:before="40" w:after="40" w:line="200" w:lineRule="atLeast"/>
              <w:rPr>
                <w:rFonts w:ascii="Franklin Gothic Book" w:eastAsia="Times New Roman" w:hAnsi="Franklin Gothic Book"/>
                <w:iCs/>
                <w:sz w:val="18"/>
                <w:szCs w:val="18"/>
                <w:lang w:eastAsia="en-US"/>
              </w:rPr>
            </w:pPr>
            <w:r w:rsidRPr="003F3F8D">
              <w:rPr>
                <w:rFonts w:ascii="Franklin Gothic Book" w:hAnsi="Franklin Gothic Book"/>
                <w:sz w:val="18"/>
                <w:szCs w:val="18"/>
              </w:rPr>
              <w:t>As Australia is a small donor in Africa we will continue to consolidate and focus our efforts to ensure that we are using our resources most efficiently.  This includes more effective use of total ODA flows to Sub-Saharan Africa.</w:t>
            </w:r>
          </w:p>
        </w:tc>
        <w:tc>
          <w:tcPr>
            <w:tcW w:w="964" w:type="dxa"/>
            <w:shd w:val="clear" w:color="auto" w:fill="00B050"/>
          </w:tcPr>
          <w:p w:rsidR="007D42FE" w:rsidRPr="003F3F8D" w:rsidRDefault="007D42FE" w:rsidP="00BC75B0">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sidRPr="003F3F8D">
              <w:rPr>
                <w:rFonts w:ascii="Franklin Gothic Book" w:eastAsia="Times New Roman" w:hAnsi="Franklin Gothic Book"/>
                <w:iCs/>
                <w:color w:val="FFFFFF" w:themeColor="background1"/>
                <w:sz w:val="18"/>
                <w:szCs w:val="18"/>
                <w:lang w:eastAsia="en-US"/>
              </w:rPr>
              <w:t>Achieved</w:t>
            </w:r>
            <w:r w:rsidRPr="003F3F8D">
              <w:rPr>
                <w:rFonts w:ascii="Franklin Gothic Book" w:eastAsia="Times New Roman" w:hAnsi="Franklin Gothic Book"/>
                <w:iCs/>
                <w:color w:val="FFFFFF" w:themeColor="background1"/>
                <w:sz w:val="18"/>
                <w:szCs w:val="18"/>
                <w:lang w:eastAsia="en-US"/>
              </w:rPr>
              <w:fldChar w:fldCharType="begin"/>
            </w:r>
            <w:r w:rsidRPr="003F3F8D">
              <w:rPr>
                <w:rFonts w:ascii="Franklin Gothic Book" w:eastAsia="Times New Roman" w:hAnsi="Franklin Gothic Book"/>
                <w:iCs/>
                <w:color w:val="FFFFFF" w:themeColor="background1"/>
                <w:sz w:val="18"/>
                <w:szCs w:val="18"/>
                <w:lang w:eastAsia="en-US"/>
              </w:rPr>
              <w:instrText xml:space="preserve"> AUTOTEXTLIST  \s "Rating bullet"\t "Right click to choose a rating" \* MERGEFORMAT </w:instrText>
            </w:r>
            <w:r w:rsidRPr="003F3F8D">
              <w:rPr>
                <w:rFonts w:ascii="Franklin Gothic Book" w:eastAsia="Times New Roman" w:hAnsi="Franklin Gothic Book"/>
                <w:iCs/>
                <w:color w:val="FFFFFF" w:themeColor="background1"/>
                <w:sz w:val="18"/>
                <w:szCs w:val="18"/>
                <w:lang w:eastAsia="en-US"/>
              </w:rPr>
              <w:fldChar w:fldCharType="end"/>
            </w:r>
          </w:p>
        </w:tc>
        <w:tc>
          <w:tcPr>
            <w:tcW w:w="6896" w:type="dxa"/>
          </w:tcPr>
          <w:p w:rsidR="007D42FE" w:rsidRPr="003F3F8D" w:rsidRDefault="003F3F8D" w:rsidP="003F3F8D">
            <w:pPr>
              <w:keepLines/>
              <w:spacing w:before="40" w:after="40" w:line="200" w:lineRule="atLeast"/>
              <w:rPr>
                <w:rFonts w:ascii="Franklin Gothic Book" w:eastAsia="Times New Roman" w:hAnsi="Franklin Gothic Book"/>
                <w:iCs/>
                <w:color w:val="92D050"/>
                <w:sz w:val="18"/>
                <w:szCs w:val="18"/>
                <w:lang w:eastAsia="en-US"/>
              </w:rPr>
            </w:pPr>
            <w:r w:rsidRPr="00D46AAF">
              <w:rPr>
                <w:rFonts w:ascii="Franklin Gothic Book" w:hAnsi="Franklin Gothic Book"/>
                <w:sz w:val="18"/>
                <w:szCs w:val="18"/>
              </w:rPr>
              <w:t xml:space="preserve">Over 2014-15 the Africa Aid Program consolidated the number of its investments by more </w:t>
            </w:r>
            <w:r w:rsidRPr="00EA5D48">
              <w:rPr>
                <w:rFonts w:ascii="Franklin Gothic Book" w:hAnsi="Franklin Gothic Book"/>
                <w:sz w:val="18"/>
                <w:szCs w:val="18"/>
              </w:rPr>
              <w:t>than 40 percent.  The</w:t>
            </w:r>
            <w:r w:rsidRPr="003F3F8D">
              <w:rPr>
                <w:rFonts w:ascii="Franklin Gothic Book" w:hAnsi="Franklin Gothic Book"/>
                <w:sz w:val="18"/>
                <w:szCs w:val="18"/>
              </w:rPr>
              <w:t xml:space="preserve"> AIP sets out a clear narrative for further sectoral (with a focus in the agriculture, extractives and public policy areas) and geographic consolidation (in Eastern and Southern Africa) for our aid program.</w:t>
            </w:r>
          </w:p>
        </w:tc>
      </w:tr>
      <w:tr w:rsidR="007D42FE" w:rsidRPr="007D42FE" w:rsidTr="00D46AAF">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3F3F8D" w:rsidRDefault="009638BD" w:rsidP="009D6527">
            <w:pPr>
              <w:pStyle w:val="TableListNumber2"/>
              <w:numPr>
                <w:ilvl w:val="0"/>
                <w:numId w:val="0"/>
              </w:numPr>
              <w:rPr>
                <w:rFonts w:ascii="Franklin Gothic Book" w:hAnsi="Franklin Gothic Book"/>
                <w:sz w:val="18"/>
                <w:szCs w:val="18"/>
              </w:rPr>
            </w:pPr>
            <w:r w:rsidRPr="003F3F8D">
              <w:rPr>
                <w:rFonts w:ascii="Franklin Gothic Book" w:hAnsi="Franklin Gothic Book"/>
                <w:sz w:val="18"/>
                <w:szCs w:val="18"/>
              </w:rPr>
              <w:t>In the last six months of 2014, DFAT and CSIRO will plan deliverables for a new</w:t>
            </w:r>
            <w:r w:rsidR="00D335DA">
              <w:rPr>
                <w:rFonts w:ascii="Franklin Gothic Book" w:hAnsi="Franklin Gothic Book"/>
                <w:sz w:val="18"/>
                <w:szCs w:val="18"/>
              </w:rPr>
              <w:t xml:space="preserve"> </w:t>
            </w:r>
            <w:r w:rsidRPr="003F3F8D">
              <w:rPr>
                <w:rFonts w:ascii="Franklin Gothic Book" w:hAnsi="Franklin Gothic Book"/>
                <w:sz w:val="18"/>
                <w:szCs w:val="18"/>
              </w:rPr>
              <w:t>agricultural productivity investment. This investment will define achievable results; develop partnerships with the private sector and others; and focus on gender.</w:t>
            </w:r>
          </w:p>
          <w:p w:rsidR="007D42FE" w:rsidRPr="003F3F8D" w:rsidRDefault="007D42FE" w:rsidP="009D6527">
            <w:pPr>
              <w:keepLines/>
              <w:spacing w:before="40" w:after="40" w:line="200" w:lineRule="atLeast"/>
              <w:rPr>
                <w:rFonts w:ascii="Franklin Gothic Book" w:eastAsia="Times New Roman" w:hAnsi="Franklin Gothic Book"/>
                <w:iCs/>
                <w:sz w:val="18"/>
                <w:szCs w:val="18"/>
                <w:lang w:eastAsia="en-US"/>
              </w:rPr>
            </w:pPr>
          </w:p>
        </w:tc>
        <w:tc>
          <w:tcPr>
            <w:tcW w:w="964" w:type="dxa"/>
            <w:shd w:val="clear" w:color="auto" w:fill="00B050"/>
          </w:tcPr>
          <w:p w:rsidR="007D42FE" w:rsidRPr="003F3F8D" w:rsidRDefault="007D42FE" w:rsidP="00BC75B0">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sidRPr="003F3F8D">
              <w:rPr>
                <w:rFonts w:ascii="Franklin Gothic Book" w:eastAsia="Times New Roman" w:hAnsi="Franklin Gothic Book"/>
                <w:iCs/>
                <w:color w:val="FFFFFF" w:themeColor="background1"/>
                <w:sz w:val="18"/>
                <w:szCs w:val="18"/>
                <w:lang w:eastAsia="en-US"/>
              </w:rPr>
              <w:t>Achieved</w:t>
            </w:r>
          </w:p>
        </w:tc>
        <w:tc>
          <w:tcPr>
            <w:tcW w:w="6896" w:type="dxa"/>
          </w:tcPr>
          <w:p w:rsidR="003F3F8D" w:rsidRPr="003F3F8D" w:rsidRDefault="003F3F8D" w:rsidP="003F3F8D">
            <w:pPr>
              <w:pStyle w:val="TableTextEntries"/>
              <w:rPr>
                <w:sz w:val="18"/>
                <w:szCs w:val="18"/>
              </w:rPr>
            </w:pPr>
            <w:r w:rsidRPr="003F3F8D">
              <w:rPr>
                <w:sz w:val="18"/>
                <w:szCs w:val="18"/>
              </w:rPr>
              <w:t>The decision was made, as part of the May 2015 budget, not to support this phase of this CSIRO program.  Australia will continue to engage with CSIRO through its support for Phase II of the current program to help strengthen the capturing of development results and gender impacts.</w:t>
            </w:r>
          </w:p>
          <w:p w:rsidR="007D42FE" w:rsidRPr="003F3F8D" w:rsidRDefault="007D42FE" w:rsidP="003F3F8D">
            <w:pPr>
              <w:keepLines/>
              <w:spacing w:before="40" w:after="40" w:line="200" w:lineRule="atLeast"/>
              <w:rPr>
                <w:rFonts w:ascii="Franklin Gothic Book" w:eastAsia="Times New Roman" w:hAnsi="Franklin Gothic Book"/>
                <w:iCs/>
                <w:color w:val="92D050"/>
                <w:sz w:val="18"/>
                <w:szCs w:val="18"/>
                <w:lang w:eastAsia="en-US"/>
              </w:rPr>
            </w:pPr>
          </w:p>
        </w:tc>
      </w:tr>
      <w:tr w:rsidR="007D42FE" w:rsidRPr="007D42FE" w:rsidTr="00B653FE">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D46AAF" w:rsidRDefault="009638BD" w:rsidP="009D6527">
            <w:pPr>
              <w:pStyle w:val="TableListNumber2"/>
              <w:numPr>
                <w:ilvl w:val="0"/>
                <w:numId w:val="0"/>
              </w:numPr>
              <w:rPr>
                <w:rFonts w:ascii="Franklin Gothic Book" w:hAnsi="Franklin Gothic Book"/>
                <w:sz w:val="18"/>
                <w:szCs w:val="18"/>
              </w:rPr>
            </w:pPr>
            <w:r w:rsidRPr="00D46AAF">
              <w:rPr>
                <w:rFonts w:ascii="Franklin Gothic Book" w:hAnsi="Franklin Gothic Book"/>
                <w:sz w:val="18"/>
                <w:szCs w:val="18"/>
              </w:rPr>
              <w:t>With likely ongoing high levels of humanitarian need within a constrained Africa budget environment, Australia will prioritise and consolidate humanitarian funding to ensure effectiveness.</w:t>
            </w:r>
          </w:p>
          <w:p w:rsidR="007D42FE" w:rsidRPr="00D46AAF" w:rsidRDefault="007D42FE" w:rsidP="009D6527">
            <w:pPr>
              <w:keepLines/>
              <w:spacing w:before="40" w:after="40" w:line="200" w:lineRule="atLeast"/>
              <w:rPr>
                <w:rFonts w:ascii="Franklin Gothic Book" w:eastAsia="Times New Roman" w:hAnsi="Franklin Gothic Book"/>
                <w:iCs/>
                <w:sz w:val="18"/>
                <w:szCs w:val="18"/>
                <w:lang w:eastAsia="en-US"/>
              </w:rPr>
            </w:pPr>
          </w:p>
        </w:tc>
        <w:tc>
          <w:tcPr>
            <w:tcW w:w="964" w:type="dxa"/>
            <w:shd w:val="clear" w:color="auto" w:fill="F79646" w:themeFill="accent6"/>
          </w:tcPr>
          <w:p w:rsidR="007D42FE" w:rsidRPr="00D46AAF" w:rsidRDefault="007D42FE" w:rsidP="00904595">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sidRPr="00D46AAF">
              <w:rPr>
                <w:rFonts w:ascii="Franklin Gothic Book" w:eastAsia="Times New Roman" w:hAnsi="Franklin Gothic Book"/>
                <w:iCs/>
                <w:color w:val="FFFFFF" w:themeColor="background1"/>
                <w:sz w:val="18"/>
                <w:szCs w:val="18"/>
                <w:lang w:eastAsia="en-US"/>
              </w:rPr>
              <w:t>Part</w:t>
            </w:r>
            <w:r w:rsidR="00904595">
              <w:rPr>
                <w:rFonts w:ascii="Franklin Gothic Book" w:eastAsia="Times New Roman" w:hAnsi="Franklin Gothic Book"/>
                <w:iCs/>
                <w:color w:val="FFFFFF" w:themeColor="background1"/>
                <w:sz w:val="18"/>
                <w:szCs w:val="18"/>
                <w:lang w:eastAsia="en-US"/>
              </w:rPr>
              <w:t>ially</w:t>
            </w:r>
            <w:r w:rsidRPr="00D46AAF">
              <w:rPr>
                <w:rFonts w:ascii="Franklin Gothic Book" w:eastAsia="Times New Roman" w:hAnsi="Franklin Gothic Book"/>
                <w:iCs/>
                <w:color w:val="FFFFFF" w:themeColor="background1"/>
                <w:sz w:val="18"/>
                <w:szCs w:val="18"/>
                <w:lang w:eastAsia="en-US"/>
              </w:rPr>
              <w:t xml:space="preserve"> achieved</w:t>
            </w:r>
          </w:p>
        </w:tc>
        <w:tc>
          <w:tcPr>
            <w:tcW w:w="6896" w:type="dxa"/>
          </w:tcPr>
          <w:p w:rsidR="009638BD" w:rsidRPr="00D46AAF" w:rsidRDefault="009638BD" w:rsidP="003F3F8D">
            <w:pPr>
              <w:pStyle w:val="TableTextEntries"/>
              <w:rPr>
                <w:sz w:val="18"/>
                <w:szCs w:val="18"/>
              </w:rPr>
            </w:pPr>
            <w:r w:rsidRPr="00D46AAF">
              <w:rPr>
                <w:sz w:val="18"/>
                <w:szCs w:val="18"/>
              </w:rPr>
              <w:t>Over the course of 2014-15, Australia prioritised its humanitarian support for those countries in which it has a long standing presence (Somalia and South Sudan and the DRC).</w:t>
            </w:r>
          </w:p>
          <w:p w:rsidR="007D42FE" w:rsidRPr="00D46AAF" w:rsidRDefault="007D42FE" w:rsidP="003F3F8D">
            <w:pPr>
              <w:keepLines/>
              <w:spacing w:before="40" w:after="40" w:line="200" w:lineRule="atLeast"/>
              <w:rPr>
                <w:rFonts w:ascii="Franklin Gothic Book" w:eastAsia="Times New Roman" w:hAnsi="Franklin Gothic Book"/>
                <w:iCs/>
                <w:color w:val="F79646" w:themeColor="accent6"/>
                <w:sz w:val="18"/>
                <w:szCs w:val="18"/>
                <w:lang w:eastAsia="en-US"/>
              </w:rPr>
            </w:pPr>
          </w:p>
        </w:tc>
      </w:tr>
      <w:tr w:rsidR="007D42FE" w:rsidRPr="007D42FE" w:rsidTr="00904595">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D46AAF" w:rsidRDefault="009638BD" w:rsidP="009D6527">
            <w:pPr>
              <w:pStyle w:val="TableListNumber2"/>
              <w:numPr>
                <w:ilvl w:val="0"/>
                <w:numId w:val="0"/>
              </w:numPr>
              <w:rPr>
                <w:rFonts w:ascii="Franklin Gothic Book" w:hAnsi="Franklin Gothic Book"/>
                <w:sz w:val="18"/>
                <w:szCs w:val="18"/>
              </w:rPr>
            </w:pPr>
            <w:r w:rsidRPr="00D46AAF">
              <w:rPr>
                <w:rFonts w:ascii="Franklin Gothic Book" w:hAnsi="Franklin Gothic Book"/>
                <w:sz w:val="18"/>
                <w:szCs w:val="18"/>
              </w:rPr>
              <w:t>In both South Sudan and Somalia, Australia, together with other donors, will work with</w:t>
            </w:r>
            <w:r w:rsidR="00D335DA">
              <w:rPr>
                <w:rFonts w:ascii="Franklin Gothic Book" w:hAnsi="Franklin Gothic Book"/>
                <w:sz w:val="18"/>
                <w:szCs w:val="18"/>
              </w:rPr>
              <w:t xml:space="preserve"> h</w:t>
            </w:r>
            <w:r w:rsidRPr="00D46AAF">
              <w:rPr>
                <w:rFonts w:ascii="Franklin Gothic Book" w:hAnsi="Franklin Gothic Book"/>
                <w:sz w:val="18"/>
                <w:szCs w:val="18"/>
              </w:rPr>
              <w:t>umanitarian Country Teams to track and aim to speed up disbursements and also assist in forging a better balance between timeliness and risk management.</w:t>
            </w:r>
          </w:p>
          <w:p w:rsidR="007D42FE" w:rsidRPr="00D46AAF" w:rsidRDefault="007D42FE" w:rsidP="009D6527">
            <w:pPr>
              <w:keepLines/>
              <w:spacing w:before="40" w:after="40" w:line="200" w:lineRule="atLeast"/>
              <w:rPr>
                <w:rFonts w:ascii="Franklin Gothic Book" w:eastAsia="Times New Roman" w:hAnsi="Franklin Gothic Book"/>
                <w:iCs/>
                <w:sz w:val="18"/>
                <w:szCs w:val="18"/>
                <w:lang w:eastAsia="en-US"/>
              </w:rPr>
            </w:pPr>
          </w:p>
        </w:tc>
        <w:tc>
          <w:tcPr>
            <w:tcW w:w="964" w:type="dxa"/>
            <w:shd w:val="clear" w:color="auto" w:fill="F79646" w:themeFill="accent6"/>
          </w:tcPr>
          <w:p w:rsidR="007D42FE" w:rsidRPr="00D46AAF" w:rsidRDefault="00904595" w:rsidP="00904595">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Pr>
                <w:rFonts w:ascii="Franklin Gothic Book" w:eastAsia="Times New Roman" w:hAnsi="Franklin Gothic Book"/>
                <w:iCs/>
                <w:color w:val="FFFFFF" w:themeColor="background1"/>
                <w:sz w:val="18"/>
                <w:szCs w:val="18"/>
                <w:lang w:eastAsia="en-US"/>
              </w:rPr>
              <w:t>Partially</w:t>
            </w:r>
            <w:r w:rsidR="007D42FE" w:rsidRPr="00D46AAF">
              <w:rPr>
                <w:rFonts w:ascii="Franklin Gothic Book" w:eastAsia="Times New Roman" w:hAnsi="Franklin Gothic Book"/>
                <w:iCs/>
                <w:color w:val="FFFFFF" w:themeColor="background1"/>
                <w:sz w:val="18"/>
                <w:szCs w:val="18"/>
                <w:lang w:eastAsia="en-US"/>
              </w:rPr>
              <w:t xml:space="preserve"> achieved</w:t>
            </w:r>
          </w:p>
        </w:tc>
        <w:tc>
          <w:tcPr>
            <w:tcW w:w="6896" w:type="dxa"/>
          </w:tcPr>
          <w:p w:rsidR="007D42FE" w:rsidRPr="00D46AAF" w:rsidRDefault="00D335DA" w:rsidP="00D335DA">
            <w:pPr>
              <w:keepLines/>
              <w:spacing w:before="40" w:after="40" w:line="200" w:lineRule="atLeast"/>
              <w:rPr>
                <w:rFonts w:ascii="Franklin Gothic Book" w:eastAsia="Times New Roman" w:hAnsi="Franklin Gothic Book"/>
                <w:iCs/>
                <w:color w:val="F79646" w:themeColor="accent6"/>
                <w:sz w:val="18"/>
                <w:szCs w:val="18"/>
                <w:lang w:eastAsia="en-US"/>
              </w:rPr>
            </w:pPr>
            <w:r>
              <w:rPr>
                <w:rFonts w:ascii="Franklin Gothic Book" w:hAnsi="Franklin Gothic Book"/>
                <w:sz w:val="18"/>
                <w:szCs w:val="18"/>
              </w:rPr>
              <w:t>While efforts were made to improvement disbursement timelines the process is still relatively slow, largely as a result of enhanced due diligence, staff turn-over and late donor contributions.  Australia will continue to advocate for ongoing improvements in disbursement times through our engagement with the Somalia CHF steering committee meetings and Humanitarian Country Team as an alternative donor representative.</w:t>
            </w:r>
          </w:p>
        </w:tc>
      </w:tr>
      <w:tr w:rsidR="009638BD" w:rsidRPr="007D42FE" w:rsidTr="00F628F8">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D46AAF" w:rsidRDefault="009638BD" w:rsidP="009D6527">
            <w:pPr>
              <w:pStyle w:val="TableListNumber2"/>
              <w:numPr>
                <w:ilvl w:val="0"/>
                <w:numId w:val="0"/>
              </w:numPr>
              <w:rPr>
                <w:rFonts w:ascii="Franklin Gothic Book" w:hAnsi="Franklin Gothic Book"/>
                <w:sz w:val="18"/>
                <w:szCs w:val="18"/>
              </w:rPr>
            </w:pPr>
            <w:r w:rsidRPr="003F3F8D">
              <w:rPr>
                <w:rFonts w:ascii="Franklin Gothic Book" w:hAnsi="Franklin Gothic Book"/>
                <w:sz w:val="18"/>
                <w:szCs w:val="18"/>
              </w:rPr>
              <w:t>Sub-Saharan Africa senior management will ensure evaluations and management responses are finalised and published in a timelier manner</w:t>
            </w:r>
            <w:r w:rsidRPr="00D46AAF">
              <w:rPr>
                <w:rFonts w:ascii="Franklin Gothic Book" w:hAnsi="Franklin Gothic Book"/>
                <w:sz w:val="18"/>
                <w:szCs w:val="18"/>
              </w:rPr>
              <w:t>.</w:t>
            </w:r>
          </w:p>
          <w:p w:rsidR="009638BD" w:rsidRPr="00D46AAF" w:rsidRDefault="009638BD" w:rsidP="009D6527">
            <w:pPr>
              <w:pStyle w:val="TableListNumber2"/>
              <w:numPr>
                <w:ilvl w:val="0"/>
                <w:numId w:val="0"/>
              </w:numPr>
              <w:rPr>
                <w:rFonts w:ascii="Franklin Gothic Book" w:hAnsi="Franklin Gothic Book"/>
                <w:sz w:val="18"/>
                <w:szCs w:val="18"/>
              </w:rPr>
            </w:pPr>
          </w:p>
        </w:tc>
        <w:tc>
          <w:tcPr>
            <w:tcW w:w="964" w:type="dxa"/>
            <w:shd w:val="clear" w:color="auto" w:fill="00B050"/>
          </w:tcPr>
          <w:p w:rsidR="009638BD" w:rsidRPr="00D46AAF" w:rsidRDefault="00F628F8" w:rsidP="00F628F8">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Pr>
                <w:rFonts w:ascii="Franklin Gothic Book" w:eastAsia="Times New Roman" w:hAnsi="Franklin Gothic Book"/>
                <w:iCs/>
                <w:color w:val="FFFFFF" w:themeColor="background1"/>
                <w:sz w:val="18"/>
                <w:szCs w:val="18"/>
                <w:lang w:eastAsia="en-US"/>
              </w:rPr>
              <w:t>A</w:t>
            </w:r>
            <w:r w:rsidR="003F3F8D">
              <w:rPr>
                <w:rFonts w:ascii="Franklin Gothic Book" w:eastAsia="Times New Roman" w:hAnsi="Franklin Gothic Book"/>
                <w:iCs/>
                <w:color w:val="FFFFFF" w:themeColor="background1"/>
                <w:sz w:val="18"/>
                <w:szCs w:val="18"/>
                <w:lang w:eastAsia="en-US"/>
              </w:rPr>
              <w:t>chieved</w:t>
            </w:r>
          </w:p>
        </w:tc>
        <w:tc>
          <w:tcPr>
            <w:tcW w:w="6896" w:type="dxa"/>
          </w:tcPr>
          <w:p w:rsidR="009638BD" w:rsidRPr="00D46AAF" w:rsidRDefault="00F628F8" w:rsidP="00F628F8">
            <w:pPr>
              <w:keepLines/>
              <w:spacing w:before="40" w:after="40" w:line="200" w:lineRule="atLeast"/>
              <w:rPr>
                <w:rFonts w:ascii="Franklin Gothic Book" w:eastAsia="Times New Roman" w:hAnsi="Franklin Gothic Book"/>
                <w:iCs/>
                <w:color w:val="F79646" w:themeColor="accent6"/>
                <w:sz w:val="18"/>
                <w:szCs w:val="18"/>
                <w:lang w:eastAsia="en-US"/>
              </w:rPr>
            </w:pPr>
            <w:r>
              <w:rPr>
                <w:rFonts w:ascii="Franklin Gothic Book" w:hAnsi="Franklin Gothic Book"/>
                <w:sz w:val="18"/>
                <w:szCs w:val="18"/>
              </w:rPr>
              <w:t xml:space="preserve">Senior management have supported the timely publishing of documents. Some documents remain outstanding due to </w:t>
            </w:r>
            <w:r w:rsidR="009638BD" w:rsidRPr="00D46AAF">
              <w:rPr>
                <w:rFonts w:ascii="Franklin Gothic Book" w:hAnsi="Franklin Gothic Book"/>
                <w:sz w:val="18"/>
                <w:szCs w:val="18"/>
              </w:rPr>
              <w:t>reduced staff profile both at post and in Canberra.</w:t>
            </w:r>
            <w:r w:rsidR="009638BD" w:rsidRPr="00D46AAF">
              <w:rPr>
                <w:rFonts w:ascii="Franklin Gothic Book" w:hAnsi="Franklin Gothic Book"/>
                <w:sz w:val="18"/>
                <w:szCs w:val="18"/>
              </w:rPr>
              <w:br/>
            </w:r>
          </w:p>
        </w:tc>
      </w:tr>
      <w:tr w:rsidR="009638BD" w:rsidRPr="007D42FE" w:rsidTr="00DE2CA6">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D46AAF" w:rsidRDefault="009638BD" w:rsidP="009D6527">
            <w:pPr>
              <w:pStyle w:val="TableListNumber2"/>
              <w:numPr>
                <w:ilvl w:val="0"/>
                <w:numId w:val="0"/>
              </w:numPr>
              <w:rPr>
                <w:rFonts w:ascii="Franklin Gothic Book" w:hAnsi="Franklin Gothic Book"/>
                <w:sz w:val="18"/>
                <w:szCs w:val="18"/>
              </w:rPr>
            </w:pPr>
            <w:r w:rsidRPr="00D46AAF">
              <w:rPr>
                <w:rFonts w:ascii="Franklin Gothic Book" w:hAnsi="Franklin Gothic Book"/>
                <w:sz w:val="18"/>
                <w:szCs w:val="18"/>
              </w:rPr>
              <w:t>The 2014-15 APPR will provide data on consolidation of the Sub-Saharan Africa Program, both at the investment level and the spread of activities across countries.</w:t>
            </w:r>
          </w:p>
          <w:p w:rsidR="009638BD" w:rsidRPr="00D46AAF" w:rsidRDefault="009638BD" w:rsidP="009D6527">
            <w:pPr>
              <w:pStyle w:val="TableListNumber2"/>
              <w:numPr>
                <w:ilvl w:val="0"/>
                <w:numId w:val="0"/>
              </w:numPr>
              <w:rPr>
                <w:rFonts w:ascii="Franklin Gothic Book" w:hAnsi="Franklin Gothic Book"/>
                <w:sz w:val="18"/>
                <w:szCs w:val="18"/>
              </w:rPr>
            </w:pPr>
          </w:p>
        </w:tc>
        <w:tc>
          <w:tcPr>
            <w:tcW w:w="964" w:type="dxa"/>
            <w:shd w:val="clear" w:color="auto" w:fill="F79646" w:themeFill="accent6"/>
          </w:tcPr>
          <w:p w:rsidR="009638BD" w:rsidRPr="00D46AAF" w:rsidRDefault="003F3F8D" w:rsidP="00BC75B0">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Pr>
                <w:rFonts w:ascii="Franklin Gothic Book" w:eastAsia="Times New Roman" w:hAnsi="Franklin Gothic Book"/>
                <w:iCs/>
                <w:color w:val="FFFFFF" w:themeColor="background1"/>
                <w:sz w:val="18"/>
                <w:szCs w:val="18"/>
                <w:lang w:eastAsia="en-US"/>
              </w:rPr>
              <w:t>Partially achieved</w:t>
            </w:r>
          </w:p>
        </w:tc>
        <w:tc>
          <w:tcPr>
            <w:tcW w:w="6896" w:type="dxa"/>
          </w:tcPr>
          <w:p w:rsidR="009638BD" w:rsidRPr="00D46AAF" w:rsidRDefault="009638BD" w:rsidP="003F3F8D">
            <w:pPr>
              <w:keepLines/>
              <w:spacing w:before="40" w:after="40" w:line="200" w:lineRule="atLeast"/>
              <w:rPr>
                <w:rFonts w:ascii="Franklin Gothic Book" w:eastAsia="Times New Roman" w:hAnsi="Franklin Gothic Book"/>
                <w:iCs/>
                <w:color w:val="F79646" w:themeColor="accent6"/>
                <w:sz w:val="18"/>
                <w:szCs w:val="18"/>
                <w:lang w:eastAsia="en-US"/>
              </w:rPr>
            </w:pPr>
            <w:r w:rsidRPr="003F3F8D">
              <w:rPr>
                <w:rFonts w:ascii="Franklin Gothic Book" w:hAnsi="Franklin Gothic Book"/>
                <w:sz w:val="18"/>
                <w:szCs w:val="18"/>
              </w:rPr>
              <w:t xml:space="preserve">This has been achieved at the investment level but not at the country level.  </w:t>
            </w:r>
          </w:p>
        </w:tc>
      </w:tr>
      <w:tr w:rsidR="009638BD" w:rsidRPr="007D42FE" w:rsidTr="00DE2CA6">
        <w:trPr>
          <w:cnfStyle w:val="000000010000" w:firstRow="0" w:lastRow="0" w:firstColumn="0" w:lastColumn="0" w:oddVBand="0" w:evenVBand="0" w:oddHBand="0" w:evenHBand="1" w:firstRowFirstColumn="0" w:firstRowLastColumn="0" w:lastRowFirstColumn="0" w:lastRowLastColumn="0"/>
        </w:trPr>
        <w:tc>
          <w:tcPr>
            <w:tcW w:w="6473" w:type="dxa"/>
          </w:tcPr>
          <w:p w:rsidR="009638BD" w:rsidRPr="003F3F8D" w:rsidRDefault="009638BD" w:rsidP="009D6527">
            <w:pPr>
              <w:pStyle w:val="TableListNumber2"/>
              <w:numPr>
                <w:ilvl w:val="0"/>
                <w:numId w:val="0"/>
              </w:numPr>
              <w:rPr>
                <w:rFonts w:ascii="Franklin Gothic Book" w:hAnsi="Franklin Gothic Book"/>
                <w:sz w:val="18"/>
                <w:szCs w:val="18"/>
              </w:rPr>
            </w:pPr>
            <w:r w:rsidRPr="003F3F8D">
              <w:rPr>
                <w:rFonts w:ascii="Franklin Gothic Book" w:hAnsi="Franklin Gothic Book"/>
                <w:sz w:val="18"/>
                <w:szCs w:val="18"/>
              </w:rPr>
              <w:t>DFAT managers will ensure that the three major new investments (Australia Awards, extractives governance and CSIRO agriculture) will have a strong focus on gender equality and women’s economic empowerment from design and throughout implementation.</w:t>
            </w:r>
          </w:p>
          <w:p w:rsidR="009638BD" w:rsidRPr="003F3F8D" w:rsidRDefault="009638BD" w:rsidP="009D6527">
            <w:pPr>
              <w:pStyle w:val="TableListNumber2"/>
              <w:numPr>
                <w:ilvl w:val="0"/>
                <w:numId w:val="0"/>
              </w:numPr>
              <w:rPr>
                <w:rFonts w:ascii="Franklin Gothic Book" w:hAnsi="Franklin Gothic Book"/>
                <w:sz w:val="18"/>
                <w:szCs w:val="18"/>
              </w:rPr>
            </w:pPr>
          </w:p>
        </w:tc>
        <w:tc>
          <w:tcPr>
            <w:tcW w:w="964" w:type="dxa"/>
            <w:shd w:val="clear" w:color="auto" w:fill="F79646" w:themeFill="accent6"/>
          </w:tcPr>
          <w:p w:rsidR="009638BD" w:rsidRPr="003F3F8D" w:rsidRDefault="008C114B" w:rsidP="00BC75B0">
            <w:pPr>
              <w:keepLines/>
              <w:spacing w:before="40" w:after="40" w:line="200" w:lineRule="atLeast"/>
              <w:jc w:val="center"/>
              <w:rPr>
                <w:rFonts w:ascii="Franklin Gothic Book" w:eastAsia="Times New Roman" w:hAnsi="Franklin Gothic Book"/>
                <w:iCs/>
                <w:color w:val="FFFFFF" w:themeColor="background1"/>
                <w:sz w:val="18"/>
                <w:szCs w:val="18"/>
                <w:lang w:eastAsia="en-US"/>
              </w:rPr>
            </w:pPr>
            <w:r>
              <w:rPr>
                <w:rFonts w:ascii="Franklin Gothic Book" w:eastAsia="Times New Roman" w:hAnsi="Franklin Gothic Book"/>
                <w:iCs/>
                <w:color w:val="FFFFFF" w:themeColor="background1"/>
                <w:sz w:val="18"/>
                <w:szCs w:val="18"/>
                <w:lang w:eastAsia="en-US"/>
              </w:rPr>
              <w:t xml:space="preserve">Partially </w:t>
            </w:r>
            <w:r w:rsidR="00CE222A" w:rsidRPr="00CE222A">
              <w:rPr>
                <w:rFonts w:ascii="Franklin Gothic Book" w:eastAsia="Times New Roman" w:hAnsi="Franklin Gothic Book"/>
                <w:iCs/>
                <w:color w:val="FFFFFF" w:themeColor="background1"/>
                <w:sz w:val="18"/>
                <w:szCs w:val="18"/>
                <w:lang w:eastAsia="en-US"/>
              </w:rPr>
              <w:t>Achieved</w:t>
            </w:r>
          </w:p>
        </w:tc>
        <w:tc>
          <w:tcPr>
            <w:tcW w:w="6896" w:type="dxa"/>
          </w:tcPr>
          <w:p w:rsidR="009638BD" w:rsidRPr="003F3F8D" w:rsidRDefault="009638BD" w:rsidP="003F3F8D">
            <w:pPr>
              <w:keepLines/>
              <w:spacing w:before="40" w:after="40" w:line="200" w:lineRule="atLeast"/>
              <w:rPr>
                <w:rFonts w:ascii="Franklin Gothic Book" w:eastAsia="Times New Roman" w:hAnsi="Franklin Gothic Book"/>
                <w:iCs/>
                <w:color w:val="F79646" w:themeColor="accent6"/>
                <w:sz w:val="18"/>
                <w:szCs w:val="18"/>
                <w:lang w:eastAsia="en-US"/>
              </w:rPr>
            </w:pPr>
            <w:r w:rsidRPr="00D46AAF">
              <w:rPr>
                <w:rFonts w:ascii="Franklin Gothic Book" w:hAnsi="Franklin Gothic Book"/>
                <w:sz w:val="18"/>
                <w:szCs w:val="18"/>
              </w:rPr>
              <w:t>Due to budget cuts in 2015, only one of the three investments mentioned (Australia Awards) will now proceed.  The Gender Strategy developed and input from Gender Advisers into the design for the new phase of the Australia Awards will ensure a strong focus on gender equality and women’s economic empowerment during all phases of the program.</w:t>
            </w:r>
          </w:p>
        </w:tc>
      </w:tr>
    </w:tbl>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sz w:val="14"/>
          <w:szCs w:val="14"/>
        </w:rPr>
        <w:t xml:space="preserve">Note: </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72AF2F"/>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w:t>
      </w:r>
      <w:proofErr w:type="gramStart"/>
      <w:r w:rsidRPr="007D42FE">
        <w:rPr>
          <w:rFonts w:ascii="Franklin Gothic Book" w:eastAsia="Times New Roman" w:hAnsi="Franklin Gothic Book"/>
          <w:b/>
          <w:sz w:val="14"/>
          <w:szCs w:val="14"/>
        </w:rPr>
        <w:t>Achieved.</w:t>
      </w:r>
      <w:proofErr w:type="gramEnd"/>
      <w:r w:rsidRPr="007D42FE">
        <w:rPr>
          <w:rFonts w:ascii="Franklin Gothic Book" w:eastAsia="Times New Roman" w:hAnsi="Franklin Gothic Book"/>
          <w:b/>
          <w:sz w:val="14"/>
          <w:szCs w:val="14"/>
        </w:rPr>
        <w:t xml:space="preserve">  Significant progress has been made in addressing the issue </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E36C0A"/>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w:t>
      </w:r>
      <w:proofErr w:type="gramStart"/>
      <w:r w:rsidRPr="007D42FE">
        <w:rPr>
          <w:rFonts w:ascii="Franklin Gothic Book" w:eastAsia="Times New Roman" w:hAnsi="Franklin Gothic Book"/>
          <w:b/>
          <w:sz w:val="14"/>
          <w:szCs w:val="14"/>
        </w:rPr>
        <w:t>Part</w:t>
      </w:r>
      <w:r w:rsidR="00904595">
        <w:rPr>
          <w:rFonts w:ascii="Franklin Gothic Book" w:eastAsia="Times New Roman" w:hAnsi="Franklin Gothic Book"/>
          <w:b/>
          <w:sz w:val="14"/>
          <w:szCs w:val="14"/>
        </w:rPr>
        <w:t>ial</w:t>
      </w:r>
      <w:r w:rsidRPr="007D42FE">
        <w:rPr>
          <w:rFonts w:ascii="Franklin Gothic Book" w:eastAsia="Times New Roman" w:hAnsi="Franklin Gothic Book"/>
          <w:b/>
          <w:sz w:val="14"/>
          <w:szCs w:val="14"/>
        </w:rPr>
        <w:t>ly achieved.</w:t>
      </w:r>
      <w:proofErr w:type="gramEnd"/>
      <w:r w:rsidRPr="007D42FE">
        <w:rPr>
          <w:rFonts w:ascii="Franklin Gothic Book" w:eastAsia="Times New Roman" w:hAnsi="Franklin Gothic Book"/>
          <w:b/>
          <w:sz w:val="14"/>
          <w:szCs w:val="14"/>
        </w:rPr>
        <w:t xml:space="preserve">  Some progress has been made in addressing the issue, but the issue has not been resolved</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FF0000"/>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Not achieved. Progress in addressing the issue has been significantly below expectations</w:t>
      </w:r>
    </w:p>
    <w:p w:rsidR="007D42FE" w:rsidRPr="007D42FE" w:rsidRDefault="007D42FE" w:rsidP="007D42FE">
      <w:pPr>
        <w:spacing w:after="160" w:line="280" w:lineRule="exact"/>
        <w:rPr>
          <w:rFonts w:ascii="Franklin Gothic Book" w:eastAsia="Times New Roman" w:hAnsi="Franklin Gothic Book"/>
          <w:sz w:val="21"/>
        </w:rPr>
      </w:pPr>
    </w:p>
    <w:p w:rsidR="007D42FE" w:rsidRPr="007D42FE" w:rsidRDefault="007D42FE" w:rsidP="00F67B7D">
      <w:pPr>
        <w:spacing w:after="200" w:line="276" w:lineRule="auto"/>
        <w:rPr>
          <w:rFonts w:ascii="Helvetica" w:eastAsia="Times New Roman" w:hAnsi="Helvetica" w:cs="Arial"/>
          <w:color w:val="007FAD"/>
          <w:kern w:val="28"/>
          <w:sz w:val="28"/>
          <w:szCs w:val="28"/>
        </w:rPr>
      </w:pPr>
      <w:r w:rsidRPr="007D42FE">
        <w:rPr>
          <w:rFonts w:ascii="Helvetica" w:eastAsia="Times New Roman" w:hAnsi="Helvetica" w:cs="Arial"/>
          <w:color w:val="007FAD"/>
          <w:kern w:val="28"/>
          <w:sz w:val="28"/>
          <w:szCs w:val="28"/>
        </w:rPr>
        <w:t>Annex B - Progress towards Performance Benchmarks in 2014 -15</w:t>
      </w:r>
    </w:p>
    <w:p w:rsidR="007D42FE" w:rsidRPr="007D42FE" w:rsidRDefault="007D42FE" w:rsidP="00B519EB">
      <w:pPr>
        <w:spacing w:after="120" w:line="280" w:lineRule="exact"/>
        <w:rPr>
          <w:rFonts w:ascii="Franklin Gothic Book" w:eastAsia="Times New Roman" w:hAnsi="Franklin Gothic Book"/>
          <w:sz w:val="21"/>
        </w:rPr>
      </w:pPr>
    </w:p>
    <w:tbl>
      <w:tblPr>
        <w:tblStyle w:val="DFATTable"/>
        <w:tblW w:w="4766" w:type="pct"/>
        <w:tblLook w:val="04A0" w:firstRow="1" w:lastRow="0" w:firstColumn="1" w:lastColumn="0" w:noHBand="0" w:noVBand="1"/>
        <w:tblCaption w:val="Progress towards performance benchmarks"/>
      </w:tblPr>
      <w:tblGrid>
        <w:gridCol w:w="3569"/>
        <w:gridCol w:w="5178"/>
        <w:gridCol w:w="1566"/>
        <w:gridCol w:w="4862"/>
      </w:tblGrid>
      <w:tr w:rsidR="009E352F" w:rsidRPr="007D42FE" w:rsidTr="00F67B7D">
        <w:trPr>
          <w:tblHeader/>
        </w:trPr>
        <w:tc>
          <w:tcPr>
            <w:tcW w:w="1176" w:type="pct"/>
            <w:tcMar>
              <w:top w:w="57" w:type="dxa"/>
              <w:bottom w:w="57" w:type="dxa"/>
            </w:tcMar>
          </w:tcPr>
          <w:p w:rsidR="007D42FE" w:rsidRPr="007D42FE" w:rsidRDefault="007D42FE" w:rsidP="007D42FE">
            <w:pPr>
              <w:keepLines/>
              <w:spacing w:before="80" w:after="80" w:line="200" w:lineRule="atLeast"/>
              <w:rPr>
                <w:rFonts w:ascii="Franklin Gothic Book" w:eastAsia="Times New Roman" w:hAnsi="Franklin Gothic Book"/>
                <w:b/>
                <w:iCs/>
                <w:sz w:val="17"/>
                <w:szCs w:val="17"/>
                <w:lang w:eastAsia="en-US"/>
              </w:rPr>
            </w:pPr>
            <w:r w:rsidRPr="007D42FE">
              <w:rPr>
                <w:rFonts w:ascii="Franklin Gothic Book" w:eastAsia="Times New Roman" w:hAnsi="Franklin Gothic Book"/>
                <w:b/>
                <w:iCs/>
                <w:sz w:val="17"/>
                <w:szCs w:val="17"/>
                <w:lang w:eastAsia="en-US"/>
              </w:rPr>
              <w:t>Aid objective</w:t>
            </w:r>
          </w:p>
        </w:tc>
        <w:tc>
          <w:tcPr>
            <w:tcW w:w="1706" w:type="pct"/>
          </w:tcPr>
          <w:p w:rsidR="007D42FE" w:rsidRPr="007D42FE" w:rsidRDefault="007D42FE" w:rsidP="007D42FE">
            <w:pPr>
              <w:keepLines/>
              <w:spacing w:before="80" w:after="80" w:line="200" w:lineRule="atLeast"/>
              <w:rPr>
                <w:rFonts w:ascii="Franklin Gothic Book" w:eastAsia="Times New Roman" w:hAnsi="Franklin Gothic Book"/>
                <w:b/>
                <w:iCs/>
                <w:sz w:val="17"/>
                <w:szCs w:val="17"/>
                <w:lang w:eastAsia="en-US"/>
              </w:rPr>
            </w:pPr>
            <w:r w:rsidRPr="007D42FE">
              <w:rPr>
                <w:rFonts w:ascii="Franklin Gothic Book" w:eastAsia="Times New Roman" w:hAnsi="Franklin Gothic Book"/>
                <w:b/>
                <w:iCs/>
                <w:sz w:val="17"/>
                <w:szCs w:val="17"/>
                <w:lang w:eastAsia="en-US"/>
              </w:rPr>
              <w:t xml:space="preserve">2014-15 benchmark </w:t>
            </w:r>
          </w:p>
        </w:tc>
        <w:tc>
          <w:tcPr>
            <w:tcW w:w="516" w:type="pct"/>
          </w:tcPr>
          <w:p w:rsidR="007D42FE" w:rsidRPr="007D42FE" w:rsidRDefault="007D42FE" w:rsidP="007D42FE">
            <w:pPr>
              <w:keepLines/>
              <w:spacing w:before="80" w:after="80" w:line="200" w:lineRule="atLeast"/>
              <w:rPr>
                <w:rFonts w:ascii="Franklin Gothic Book" w:eastAsia="Times New Roman" w:hAnsi="Franklin Gothic Book"/>
                <w:b/>
                <w:iCs/>
                <w:sz w:val="17"/>
                <w:szCs w:val="17"/>
                <w:lang w:eastAsia="en-US"/>
              </w:rPr>
            </w:pPr>
            <w:r w:rsidRPr="007D42FE">
              <w:rPr>
                <w:rFonts w:ascii="Franklin Gothic Book" w:eastAsia="Times New Roman" w:hAnsi="Franklin Gothic Book"/>
                <w:b/>
                <w:iCs/>
                <w:sz w:val="17"/>
                <w:szCs w:val="17"/>
                <w:lang w:eastAsia="en-US"/>
              </w:rPr>
              <w:t>Rating</w:t>
            </w:r>
          </w:p>
        </w:tc>
        <w:tc>
          <w:tcPr>
            <w:tcW w:w="1602" w:type="pct"/>
          </w:tcPr>
          <w:p w:rsidR="007D42FE" w:rsidRPr="007D42FE" w:rsidRDefault="007D42FE" w:rsidP="007D42FE">
            <w:pPr>
              <w:keepLines/>
              <w:spacing w:before="80" w:after="80" w:line="200" w:lineRule="atLeast"/>
              <w:rPr>
                <w:rFonts w:ascii="Franklin Gothic Book" w:eastAsia="Times New Roman" w:hAnsi="Franklin Gothic Book"/>
                <w:b/>
                <w:iCs/>
                <w:sz w:val="17"/>
                <w:szCs w:val="17"/>
                <w:lang w:eastAsia="en-US"/>
              </w:rPr>
            </w:pPr>
            <w:r w:rsidRPr="007D42FE">
              <w:rPr>
                <w:rFonts w:ascii="Franklin Gothic Book" w:eastAsia="Times New Roman" w:hAnsi="Franklin Gothic Book"/>
                <w:b/>
                <w:iCs/>
                <w:sz w:val="17"/>
                <w:szCs w:val="17"/>
                <w:lang w:eastAsia="en-US"/>
              </w:rPr>
              <w:t>Progress in 2014-15</w:t>
            </w:r>
          </w:p>
        </w:tc>
      </w:tr>
      <w:tr w:rsidR="009E352F" w:rsidRPr="00D46AAF" w:rsidTr="00F67B7D">
        <w:tc>
          <w:tcPr>
            <w:tcW w:w="1176" w:type="pct"/>
            <w:tcMar>
              <w:top w:w="57" w:type="dxa"/>
              <w:bottom w:w="57" w:type="dxa"/>
            </w:tcMar>
          </w:tcPr>
          <w:p w:rsidR="00CB4A1A" w:rsidRPr="009D6527" w:rsidRDefault="00CB4A1A" w:rsidP="007D42FE">
            <w:pPr>
              <w:keepLines/>
              <w:spacing w:before="40" w:after="40" w:line="200" w:lineRule="atLeast"/>
              <w:rPr>
                <w:rFonts w:ascii="Franklin Gothic Book" w:eastAsia="Times New Roman" w:hAnsi="Franklin Gothic Book"/>
                <w:iCs/>
                <w:szCs w:val="20"/>
                <w:lang w:eastAsia="en-US"/>
              </w:rPr>
            </w:pPr>
            <w:r w:rsidRPr="009D6527">
              <w:rPr>
                <w:rFonts w:ascii="Franklin Gothic Book" w:hAnsi="Franklin Gothic Book"/>
                <w:szCs w:val="20"/>
              </w:rPr>
              <w:t>All objectives</w:t>
            </w:r>
          </w:p>
        </w:tc>
        <w:tc>
          <w:tcPr>
            <w:tcW w:w="1706" w:type="pct"/>
          </w:tcPr>
          <w:p w:rsidR="00CB4A1A" w:rsidRPr="009D6527" w:rsidRDefault="00CB4A1A" w:rsidP="007D42FE">
            <w:pPr>
              <w:keepLines/>
              <w:spacing w:before="40" w:after="40" w:line="200" w:lineRule="atLeast"/>
              <w:rPr>
                <w:rFonts w:ascii="Franklin Gothic Book" w:eastAsia="Times New Roman" w:hAnsi="Franklin Gothic Book"/>
                <w:iCs/>
                <w:szCs w:val="20"/>
                <w:lang w:eastAsia="en-US"/>
              </w:rPr>
            </w:pPr>
            <w:r w:rsidRPr="009D6527">
              <w:rPr>
                <w:rFonts w:ascii="Franklin Gothic Book" w:hAnsi="Franklin Gothic Book"/>
                <w:szCs w:val="20"/>
              </w:rPr>
              <w:t>Investments which contribute to, or are completely focused on Aid for Trade outcomes will be 20 per cent of the total Africa Program aid budget for 2014-15</w:t>
            </w:r>
          </w:p>
        </w:tc>
        <w:tc>
          <w:tcPr>
            <w:tcW w:w="516" w:type="pct"/>
            <w:shd w:val="clear" w:color="auto" w:fill="FF0000"/>
          </w:tcPr>
          <w:p w:rsidR="00CB4A1A" w:rsidRPr="00446883" w:rsidRDefault="00CE222A" w:rsidP="00F67B7D">
            <w:pPr>
              <w:keepLines/>
              <w:spacing w:before="40" w:after="40" w:line="200" w:lineRule="atLeast"/>
              <w:jc w:val="center"/>
              <w:rPr>
                <w:rFonts w:ascii="Franklin Gothic Book" w:eastAsia="Times New Roman" w:hAnsi="Franklin Gothic Book"/>
                <w:iCs/>
                <w:szCs w:val="20"/>
                <w:lang w:eastAsia="en-US"/>
              </w:rPr>
            </w:pPr>
            <w:r w:rsidRPr="00DE2CA6">
              <w:rPr>
                <w:rFonts w:ascii="Franklin Gothic Book" w:eastAsia="Times New Roman" w:hAnsi="Franklin Gothic Book"/>
                <w:iCs/>
                <w:color w:val="FFFFFF" w:themeColor="background1"/>
                <w:szCs w:val="20"/>
                <w:lang w:eastAsia="en-US"/>
              </w:rPr>
              <w:t>Not achieved</w:t>
            </w:r>
          </w:p>
        </w:tc>
        <w:tc>
          <w:tcPr>
            <w:tcW w:w="1602" w:type="pct"/>
          </w:tcPr>
          <w:p w:rsidR="00CB4A1A" w:rsidRPr="00446883" w:rsidRDefault="002D6619" w:rsidP="002D6619">
            <w:pPr>
              <w:keepLines/>
              <w:spacing w:before="40" w:after="40" w:line="200" w:lineRule="atLeast"/>
              <w:rPr>
                <w:rFonts w:ascii="Franklin Gothic Book" w:eastAsia="Times New Roman" w:hAnsi="Franklin Gothic Book"/>
                <w:iCs/>
                <w:szCs w:val="20"/>
                <w:lang w:eastAsia="en-US"/>
              </w:rPr>
            </w:pPr>
            <w:r>
              <w:rPr>
                <w:rFonts w:ascii="Franklin Gothic Book" w:eastAsia="Times New Roman" w:hAnsi="Franklin Gothic Book"/>
                <w:iCs/>
                <w:szCs w:val="20"/>
                <w:lang w:eastAsia="en-US"/>
              </w:rPr>
              <w:t>This objective has not been met – just five percent of Africa’s aid budget was classified as Aid For Trade in 2014-15.</w:t>
            </w:r>
          </w:p>
        </w:tc>
      </w:tr>
      <w:tr w:rsidR="009E352F" w:rsidRPr="00D46AAF" w:rsidTr="00F67B7D">
        <w:tc>
          <w:tcPr>
            <w:tcW w:w="1176" w:type="pct"/>
            <w:tcMar>
              <w:top w:w="57" w:type="dxa"/>
              <w:bottom w:w="57" w:type="dxa"/>
            </w:tcMar>
          </w:tcPr>
          <w:p w:rsidR="00CB4A1A" w:rsidRPr="009D6527" w:rsidRDefault="00CB4A1A" w:rsidP="007D42FE">
            <w:pPr>
              <w:keepLines/>
              <w:spacing w:before="40" w:after="40" w:line="200" w:lineRule="atLeast"/>
              <w:rPr>
                <w:rFonts w:ascii="Franklin Gothic Book" w:eastAsia="Times New Roman" w:hAnsi="Franklin Gothic Book"/>
                <w:iCs/>
                <w:szCs w:val="20"/>
                <w:lang w:eastAsia="en-US"/>
              </w:rPr>
            </w:pPr>
            <w:r w:rsidRPr="009D6527">
              <w:rPr>
                <w:rFonts w:ascii="Franklin Gothic Book" w:hAnsi="Franklin Gothic Book"/>
                <w:szCs w:val="20"/>
              </w:rPr>
              <w:t>All objectives</w:t>
            </w:r>
          </w:p>
        </w:tc>
        <w:tc>
          <w:tcPr>
            <w:tcW w:w="1706" w:type="pct"/>
          </w:tcPr>
          <w:p w:rsidR="00CB4A1A" w:rsidRPr="009D6527" w:rsidRDefault="00CB4A1A" w:rsidP="007D42FE">
            <w:pPr>
              <w:keepLines/>
              <w:spacing w:before="40" w:after="40" w:line="200" w:lineRule="atLeast"/>
              <w:rPr>
                <w:rFonts w:ascii="Franklin Gothic Book" w:eastAsia="Times New Roman" w:hAnsi="Franklin Gothic Book"/>
                <w:iCs/>
                <w:szCs w:val="20"/>
                <w:lang w:eastAsia="en-US"/>
              </w:rPr>
            </w:pPr>
            <w:r w:rsidRPr="009D6527">
              <w:rPr>
                <w:rFonts w:ascii="Franklin Gothic Book" w:hAnsi="Franklin Gothic Book"/>
                <w:szCs w:val="20"/>
              </w:rPr>
              <w:t>70 per cent of the total Sub-Saharan Africa budget (including humanitarian funding) will be spent in countries in Eastern and Southern Africa</w:t>
            </w:r>
          </w:p>
        </w:tc>
        <w:tc>
          <w:tcPr>
            <w:tcW w:w="516" w:type="pct"/>
            <w:shd w:val="clear" w:color="auto" w:fill="00B050"/>
          </w:tcPr>
          <w:p w:rsidR="00CB4A1A" w:rsidRPr="00DE2CA6" w:rsidRDefault="00CE222A" w:rsidP="00F67B7D">
            <w:pPr>
              <w:keepLines/>
              <w:spacing w:before="40" w:after="40" w:line="200" w:lineRule="atLeast"/>
              <w:jc w:val="center"/>
              <w:rPr>
                <w:rFonts w:ascii="Franklin Gothic Book" w:eastAsia="Times New Roman" w:hAnsi="Franklin Gothic Book"/>
                <w:iCs/>
                <w:color w:val="FFFFFF" w:themeColor="background1"/>
                <w:szCs w:val="20"/>
                <w:lang w:eastAsia="en-US"/>
              </w:rPr>
            </w:pPr>
            <w:r w:rsidRPr="00DE2CA6">
              <w:rPr>
                <w:rFonts w:ascii="Franklin Gothic Book" w:eastAsia="Times New Roman" w:hAnsi="Franklin Gothic Book"/>
                <w:iCs/>
                <w:color w:val="FFFFFF" w:themeColor="background1"/>
                <w:szCs w:val="20"/>
                <w:lang w:eastAsia="en-US"/>
              </w:rPr>
              <w:t>Achieved</w:t>
            </w:r>
          </w:p>
        </w:tc>
        <w:tc>
          <w:tcPr>
            <w:tcW w:w="1602" w:type="pct"/>
          </w:tcPr>
          <w:p w:rsidR="00CB4A1A" w:rsidRPr="003E1B39" w:rsidRDefault="002D6619" w:rsidP="007D42FE">
            <w:pPr>
              <w:keepLines/>
              <w:spacing w:before="40" w:after="40" w:line="200" w:lineRule="atLeast"/>
              <w:rPr>
                <w:rFonts w:ascii="Franklin Gothic Book" w:eastAsia="Times New Roman" w:hAnsi="Franklin Gothic Book"/>
                <w:iCs/>
                <w:szCs w:val="20"/>
                <w:lang w:eastAsia="en-US"/>
              </w:rPr>
            </w:pPr>
            <w:r>
              <w:rPr>
                <w:rFonts w:ascii="Franklin Gothic Book" w:eastAsia="Times New Roman" w:hAnsi="Franklin Gothic Book"/>
                <w:iCs/>
                <w:szCs w:val="20"/>
                <w:lang w:eastAsia="en-US"/>
              </w:rPr>
              <w:t>This objective was fully met during 2014-15</w:t>
            </w:r>
          </w:p>
        </w:tc>
      </w:tr>
      <w:tr w:rsidR="009E352F" w:rsidRPr="00D46AAF" w:rsidTr="00F67B7D">
        <w:trPr>
          <w:trHeight w:val="705"/>
        </w:trPr>
        <w:tc>
          <w:tcPr>
            <w:tcW w:w="1176" w:type="pct"/>
            <w:tcMar>
              <w:top w:w="57" w:type="dxa"/>
              <w:bottom w:w="57" w:type="dxa"/>
            </w:tcMar>
          </w:tcPr>
          <w:p w:rsidR="00CB4A1A" w:rsidRPr="009D6527" w:rsidRDefault="00CB4A1A" w:rsidP="001C3017">
            <w:pPr>
              <w:pStyle w:val="TableTextEntries"/>
              <w:rPr>
                <w:sz w:val="20"/>
                <w:szCs w:val="20"/>
              </w:rPr>
            </w:pPr>
          </w:p>
          <w:p w:rsidR="00DE2CA6" w:rsidRPr="009D6527" w:rsidRDefault="00CB4A1A" w:rsidP="002E63B5">
            <w:pPr>
              <w:keepLines/>
              <w:spacing w:before="40" w:after="40" w:line="200" w:lineRule="atLeast"/>
              <w:rPr>
                <w:rFonts w:ascii="Franklin Gothic Book" w:hAnsi="Franklin Gothic Book"/>
                <w:szCs w:val="20"/>
              </w:rPr>
            </w:pPr>
            <w:r w:rsidRPr="009D6527">
              <w:rPr>
                <w:rFonts w:ascii="Franklin Gothic Book" w:hAnsi="Franklin Gothic Book"/>
                <w:szCs w:val="20"/>
              </w:rPr>
              <w:t>Improve agriculture productivity and decision-making through support for developing and adopting new technologies and innovations in the agricultural sector</w:t>
            </w:r>
            <w:r w:rsidR="009E352F" w:rsidRPr="009D6527">
              <w:rPr>
                <w:rFonts w:ascii="Franklin Gothic Book" w:hAnsi="Franklin Gothic Book"/>
                <w:szCs w:val="20"/>
              </w:rPr>
              <w:t>.</w:t>
            </w:r>
          </w:p>
          <w:p w:rsidR="002E63B5" w:rsidRPr="009D6527" w:rsidRDefault="002E63B5" w:rsidP="002E63B5">
            <w:pPr>
              <w:keepLines/>
              <w:spacing w:before="40" w:after="40" w:line="200" w:lineRule="atLeast"/>
              <w:rPr>
                <w:rFonts w:ascii="Franklin Gothic Book" w:hAnsi="Franklin Gothic Book"/>
                <w:szCs w:val="20"/>
              </w:rPr>
            </w:pPr>
          </w:p>
        </w:tc>
        <w:tc>
          <w:tcPr>
            <w:tcW w:w="1706" w:type="pct"/>
          </w:tcPr>
          <w:p w:rsidR="00CB4A1A" w:rsidRPr="009D6527" w:rsidRDefault="00CB4A1A" w:rsidP="00FB6BE8">
            <w:pPr>
              <w:spacing w:after="120"/>
              <w:rPr>
                <w:rFonts w:ascii="Franklin Gothic Book" w:hAnsi="Franklin Gothic Book"/>
                <w:szCs w:val="20"/>
              </w:rPr>
            </w:pPr>
          </w:p>
          <w:p w:rsidR="00CB4A1A" w:rsidRPr="009D6527" w:rsidRDefault="00AE38AB" w:rsidP="00FB6BE8">
            <w:pPr>
              <w:spacing w:after="120"/>
              <w:rPr>
                <w:rFonts w:ascii="Franklin Gothic Book" w:hAnsi="Franklin Gothic Book"/>
                <w:szCs w:val="20"/>
              </w:rPr>
            </w:pPr>
            <w:r w:rsidRPr="009D6527">
              <w:rPr>
                <w:rFonts w:ascii="Franklin Gothic Book" w:hAnsi="Franklin Gothic Book"/>
                <w:szCs w:val="20"/>
              </w:rPr>
              <w:t xml:space="preserve">26,000 poor women and men benefit from access to and use of new agricultural technologies </w:t>
            </w:r>
          </w:p>
          <w:p w:rsidR="00AE38AB" w:rsidRPr="009D6527" w:rsidRDefault="00AE38AB" w:rsidP="00F67B7D">
            <w:pPr>
              <w:spacing w:after="120"/>
              <w:rPr>
                <w:rFonts w:ascii="Franklin Gothic Book" w:hAnsi="Franklin Gothic Book"/>
                <w:szCs w:val="20"/>
              </w:rPr>
            </w:pPr>
          </w:p>
        </w:tc>
        <w:tc>
          <w:tcPr>
            <w:tcW w:w="516" w:type="pct"/>
            <w:shd w:val="clear" w:color="auto" w:fill="FFC000"/>
          </w:tcPr>
          <w:p w:rsidR="00CB4A1A" w:rsidRDefault="00CB4A1A" w:rsidP="00FB6BE8">
            <w:pPr>
              <w:pStyle w:val="TableTextEntries"/>
              <w:rPr>
                <w:sz w:val="20"/>
                <w:szCs w:val="20"/>
              </w:rPr>
            </w:pPr>
          </w:p>
          <w:p w:rsidR="002E63B5" w:rsidRDefault="00CE222A" w:rsidP="00F67B7D">
            <w:pPr>
              <w:pStyle w:val="TableTextEntries"/>
              <w:jc w:val="center"/>
              <w:rPr>
                <w:sz w:val="20"/>
                <w:szCs w:val="20"/>
              </w:rPr>
            </w:pPr>
            <w:r w:rsidRPr="00CE222A">
              <w:rPr>
                <w:color w:val="FFFFFF" w:themeColor="background1"/>
                <w:sz w:val="20"/>
                <w:szCs w:val="20"/>
              </w:rPr>
              <w:t>Partially achieved</w:t>
            </w:r>
          </w:p>
          <w:p w:rsidR="002D6619" w:rsidRPr="00D46AAF" w:rsidRDefault="002D6619" w:rsidP="00FB6BE8">
            <w:pPr>
              <w:pStyle w:val="TableTextEntries"/>
              <w:rPr>
                <w:sz w:val="20"/>
                <w:szCs w:val="20"/>
              </w:rPr>
            </w:pPr>
          </w:p>
        </w:tc>
        <w:tc>
          <w:tcPr>
            <w:tcW w:w="1602" w:type="pct"/>
          </w:tcPr>
          <w:p w:rsidR="002E63B5" w:rsidRDefault="002D6619" w:rsidP="002E63B5">
            <w:pPr>
              <w:keepLines/>
              <w:spacing w:before="40" w:after="40" w:line="200" w:lineRule="atLeast"/>
              <w:rPr>
                <w:rFonts w:ascii="Franklin Gothic Book" w:eastAsia="Times New Roman" w:hAnsi="Franklin Gothic Book"/>
                <w:iCs/>
                <w:szCs w:val="20"/>
                <w:lang w:eastAsia="en-US"/>
              </w:rPr>
            </w:pPr>
            <w:r>
              <w:rPr>
                <w:rFonts w:ascii="Franklin Gothic Book" w:eastAsia="Times New Roman" w:hAnsi="Franklin Gothic Book"/>
                <w:iCs/>
                <w:szCs w:val="20"/>
                <w:lang w:eastAsia="en-US"/>
              </w:rPr>
              <w:t xml:space="preserve">This objective was only partially met.  Due to the contraction in the aid budget, the third phase of the CSIRO </w:t>
            </w:r>
            <w:proofErr w:type="spellStart"/>
            <w:r>
              <w:rPr>
                <w:rFonts w:ascii="Franklin Gothic Book" w:eastAsia="Times New Roman" w:hAnsi="Franklin Gothic Book"/>
                <w:iCs/>
                <w:szCs w:val="20"/>
                <w:lang w:eastAsia="en-US"/>
              </w:rPr>
              <w:t>BeCA</w:t>
            </w:r>
            <w:proofErr w:type="spellEnd"/>
            <w:r>
              <w:rPr>
                <w:rFonts w:ascii="Franklin Gothic Book" w:eastAsia="Times New Roman" w:hAnsi="Franklin Gothic Book"/>
                <w:iCs/>
                <w:szCs w:val="20"/>
                <w:lang w:eastAsia="en-US"/>
              </w:rPr>
              <w:t xml:space="preserve"> partnership, which was set to contribute a large portion of this projected benefit, was not funded.  Therefore, results were less than expected.</w:t>
            </w:r>
          </w:p>
          <w:p w:rsidR="002E63B5" w:rsidRPr="00D46AAF" w:rsidRDefault="002E63B5" w:rsidP="002E63B5">
            <w:pPr>
              <w:keepLines/>
              <w:spacing w:before="40" w:after="40" w:line="200" w:lineRule="atLeast"/>
              <w:rPr>
                <w:rFonts w:ascii="Franklin Gothic Book" w:eastAsia="Times New Roman" w:hAnsi="Franklin Gothic Book"/>
                <w:iCs/>
                <w:szCs w:val="20"/>
                <w:lang w:eastAsia="en-US"/>
              </w:rPr>
            </w:pPr>
          </w:p>
        </w:tc>
      </w:tr>
      <w:tr w:rsidR="009E352F" w:rsidRPr="00D46AAF" w:rsidTr="00F67B7D">
        <w:tc>
          <w:tcPr>
            <w:tcW w:w="1176" w:type="pct"/>
            <w:tcMar>
              <w:top w:w="57" w:type="dxa"/>
              <w:bottom w:w="57" w:type="dxa"/>
            </w:tcMar>
          </w:tcPr>
          <w:p w:rsidR="009E352F" w:rsidRPr="009D6527" w:rsidRDefault="009E352F" w:rsidP="009E352F">
            <w:pPr>
              <w:keepLines/>
              <w:spacing w:before="40" w:after="40" w:line="200" w:lineRule="atLeast"/>
              <w:rPr>
                <w:rFonts w:ascii="Franklin Gothic Book" w:hAnsi="Franklin Gothic Book"/>
                <w:szCs w:val="20"/>
              </w:rPr>
            </w:pPr>
            <w:r w:rsidRPr="009D6527">
              <w:rPr>
                <w:rFonts w:ascii="Franklin Gothic Book" w:hAnsi="Franklin Gothic Book"/>
                <w:szCs w:val="20"/>
              </w:rPr>
              <w:t>Improve extractives sector management and its contribution to inclusive economic growth through developing skills, increasing government capacity and empowering local communities</w:t>
            </w:r>
          </w:p>
          <w:p w:rsidR="009E352F" w:rsidRPr="009D6527" w:rsidRDefault="009E352F" w:rsidP="001C3017">
            <w:pPr>
              <w:pStyle w:val="TableTextEntries"/>
              <w:rPr>
                <w:sz w:val="20"/>
                <w:szCs w:val="20"/>
              </w:rPr>
            </w:pPr>
          </w:p>
        </w:tc>
        <w:tc>
          <w:tcPr>
            <w:tcW w:w="1706" w:type="pct"/>
          </w:tcPr>
          <w:p w:rsidR="009E352F" w:rsidRPr="009D6527" w:rsidRDefault="009E352F" w:rsidP="009E352F">
            <w:pPr>
              <w:pStyle w:val="TableTextEntries"/>
              <w:rPr>
                <w:sz w:val="20"/>
                <w:szCs w:val="20"/>
              </w:rPr>
            </w:pPr>
            <w:r w:rsidRPr="009D6527">
              <w:rPr>
                <w:sz w:val="20"/>
                <w:szCs w:val="20"/>
              </w:rPr>
              <w:t>The Africa Program will complete the design and procurement of the Extractives for Growth investment in time for mobilisation  June 2015</w:t>
            </w:r>
          </w:p>
          <w:p w:rsidR="009E352F" w:rsidRPr="009D6527" w:rsidRDefault="009E352F" w:rsidP="00FB6BE8">
            <w:pPr>
              <w:spacing w:after="120"/>
              <w:rPr>
                <w:rFonts w:ascii="Franklin Gothic Book" w:hAnsi="Franklin Gothic Book"/>
                <w:szCs w:val="20"/>
              </w:rPr>
            </w:pPr>
          </w:p>
        </w:tc>
        <w:tc>
          <w:tcPr>
            <w:tcW w:w="516" w:type="pct"/>
            <w:shd w:val="clear" w:color="auto" w:fill="FFC000"/>
          </w:tcPr>
          <w:p w:rsidR="009E352F" w:rsidRPr="00CE222A" w:rsidRDefault="009E352F" w:rsidP="00F67B7D">
            <w:pPr>
              <w:pStyle w:val="TableTextEntries"/>
              <w:jc w:val="center"/>
              <w:rPr>
                <w:color w:val="FFFFFF" w:themeColor="background1"/>
                <w:sz w:val="20"/>
                <w:szCs w:val="20"/>
              </w:rPr>
            </w:pPr>
            <w:r w:rsidRPr="00CE222A">
              <w:rPr>
                <w:color w:val="FFFFFF" w:themeColor="background1"/>
                <w:sz w:val="20"/>
                <w:szCs w:val="20"/>
              </w:rPr>
              <w:t>Partially achieved</w:t>
            </w:r>
          </w:p>
          <w:p w:rsidR="009E352F" w:rsidRDefault="009E352F" w:rsidP="00F67B7D">
            <w:pPr>
              <w:pStyle w:val="TableTextEntries"/>
              <w:jc w:val="center"/>
              <w:rPr>
                <w:sz w:val="20"/>
                <w:szCs w:val="20"/>
              </w:rPr>
            </w:pPr>
          </w:p>
        </w:tc>
        <w:tc>
          <w:tcPr>
            <w:tcW w:w="1602" w:type="pct"/>
          </w:tcPr>
          <w:p w:rsidR="009E352F" w:rsidRDefault="009E352F" w:rsidP="009E352F">
            <w:pPr>
              <w:keepLines/>
              <w:spacing w:before="40" w:after="40" w:line="200" w:lineRule="atLeast"/>
              <w:rPr>
                <w:rFonts w:ascii="Franklin Gothic Book" w:eastAsia="Times New Roman" w:hAnsi="Franklin Gothic Book"/>
                <w:iCs/>
                <w:szCs w:val="20"/>
                <w:lang w:eastAsia="en-US"/>
              </w:rPr>
            </w:pPr>
            <w:r>
              <w:rPr>
                <w:rFonts w:ascii="Franklin Gothic Book" w:eastAsia="Times New Roman" w:hAnsi="Franklin Gothic Book"/>
                <w:iCs/>
                <w:szCs w:val="20"/>
                <w:lang w:eastAsia="en-US"/>
              </w:rPr>
              <w:t xml:space="preserve">The program was designed but budget decisions prevented it from going to procurement. </w:t>
            </w:r>
          </w:p>
          <w:p w:rsidR="009E352F" w:rsidRDefault="009E352F" w:rsidP="00FB6BE8">
            <w:pPr>
              <w:keepLines/>
              <w:spacing w:before="40" w:after="40" w:line="200" w:lineRule="atLeast"/>
              <w:rPr>
                <w:rFonts w:ascii="Franklin Gothic Book" w:eastAsia="Times New Roman" w:hAnsi="Franklin Gothic Book"/>
                <w:iCs/>
                <w:szCs w:val="20"/>
                <w:lang w:eastAsia="en-US"/>
              </w:rPr>
            </w:pPr>
          </w:p>
        </w:tc>
      </w:tr>
      <w:tr w:rsidR="009E352F" w:rsidRPr="00D46AAF" w:rsidTr="00F67B7D">
        <w:tc>
          <w:tcPr>
            <w:tcW w:w="1176" w:type="pct"/>
            <w:tcMar>
              <w:top w:w="57" w:type="dxa"/>
              <w:bottom w:w="57" w:type="dxa"/>
            </w:tcMar>
          </w:tcPr>
          <w:p w:rsidR="009E352F" w:rsidRPr="002D6619" w:rsidRDefault="009E352F" w:rsidP="009E352F">
            <w:pPr>
              <w:keepLines/>
              <w:spacing w:before="40" w:after="40" w:line="200" w:lineRule="atLeast"/>
              <w:rPr>
                <w:rFonts w:ascii="Franklin Gothic Book" w:hAnsi="Franklin Gothic Book"/>
                <w:szCs w:val="20"/>
              </w:rPr>
            </w:pPr>
            <w:r w:rsidRPr="002E63B5">
              <w:rPr>
                <w:rFonts w:ascii="Franklin Gothic Book" w:hAnsi="Franklin Gothic Book"/>
                <w:szCs w:val="20"/>
              </w:rPr>
              <w:t>Respond appropriately to humanitarian crises in Africa through working with effective humanitarian partners</w:t>
            </w:r>
            <w:r w:rsidRPr="002E63B5">
              <w:rPr>
                <w:rFonts w:ascii="Franklin Gothic Book" w:hAnsi="Franklin Gothic Book"/>
                <w:szCs w:val="20"/>
              </w:rPr>
              <w:tab/>
            </w:r>
          </w:p>
        </w:tc>
        <w:tc>
          <w:tcPr>
            <w:tcW w:w="1706" w:type="pct"/>
          </w:tcPr>
          <w:p w:rsidR="009E352F" w:rsidRPr="002E63B5" w:rsidRDefault="009E352F" w:rsidP="009E352F">
            <w:pPr>
              <w:spacing w:after="120"/>
              <w:rPr>
                <w:rFonts w:ascii="Franklin Gothic Book" w:hAnsi="Franklin Gothic Book"/>
                <w:szCs w:val="20"/>
              </w:rPr>
            </w:pPr>
            <w:r w:rsidRPr="002E63B5">
              <w:rPr>
                <w:rFonts w:ascii="Franklin Gothic Book" w:hAnsi="Franklin Gothic Book"/>
                <w:szCs w:val="20"/>
              </w:rPr>
              <w:t>The Africa Program will provide 1.2 million instances of life-saving support through its humanitarian program</w:t>
            </w:r>
          </w:p>
          <w:p w:rsidR="009E352F" w:rsidRPr="002D6619" w:rsidRDefault="009E352F" w:rsidP="009E352F">
            <w:pPr>
              <w:pStyle w:val="TableTextEntries"/>
              <w:rPr>
                <w:sz w:val="20"/>
                <w:szCs w:val="20"/>
              </w:rPr>
            </w:pPr>
          </w:p>
        </w:tc>
        <w:tc>
          <w:tcPr>
            <w:tcW w:w="516" w:type="pct"/>
            <w:shd w:val="clear" w:color="auto" w:fill="00B050"/>
          </w:tcPr>
          <w:p w:rsidR="009E352F" w:rsidRPr="00CE222A" w:rsidRDefault="009E352F" w:rsidP="00F67B7D">
            <w:pPr>
              <w:pStyle w:val="TableTextEntries"/>
              <w:jc w:val="center"/>
              <w:rPr>
                <w:color w:val="FFFFFF" w:themeColor="background1"/>
                <w:sz w:val="20"/>
                <w:szCs w:val="20"/>
              </w:rPr>
            </w:pPr>
            <w:r>
              <w:rPr>
                <w:color w:val="FFFFFF" w:themeColor="background1"/>
                <w:sz w:val="20"/>
                <w:szCs w:val="20"/>
              </w:rPr>
              <w:t>Achieved</w:t>
            </w:r>
          </w:p>
        </w:tc>
        <w:tc>
          <w:tcPr>
            <w:tcW w:w="1602" w:type="pct"/>
          </w:tcPr>
          <w:p w:rsidR="009E352F" w:rsidRDefault="009E352F" w:rsidP="009E352F">
            <w:pPr>
              <w:keepLines/>
              <w:spacing w:before="40" w:after="40" w:line="200" w:lineRule="atLeast"/>
              <w:rPr>
                <w:rFonts w:ascii="Franklin Gothic Book" w:eastAsia="Times New Roman" w:hAnsi="Franklin Gothic Book"/>
                <w:iCs/>
                <w:szCs w:val="20"/>
                <w:lang w:eastAsia="en-US"/>
              </w:rPr>
            </w:pPr>
            <w:r w:rsidRPr="00F67B7D">
              <w:rPr>
                <w:rFonts w:ascii="Franklin Gothic Book" w:eastAsia="Times New Roman" w:hAnsi="Franklin Gothic Book"/>
                <w:iCs/>
                <w:szCs w:val="20"/>
                <w:lang w:eastAsia="en-US"/>
              </w:rPr>
              <w:t>This objective was fully achieved.</w:t>
            </w:r>
          </w:p>
        </w:tc>
      </w:tr>
      <w:tr w:rsidR="002E63B5" w:rsidRPr="002749B6" w:rsidTr="00F67B7D">
        <w:trPr>
          <w:gridAfter w:val="2"/>
          <w:wAfter w:w="2118" w:type="pct"/>
        </w:trPr>
        <w:tc>
          <w:tcPr>
            <w:tcW w:w="1176" w:type="pct"/>
          </w:tcPr>
          <w:p w:rsidR="002E63B5" w:rsidRPr="002D6619" w:rsidRDefault="002E63B5" w:rsidP="001C3017">
            <w:pPr>
              <w:pStyle w:val="TableTextEntries"/>
              <w:rPr>
                <w:sz w:val="20"/>
                <w:szCs w:val="20"/>
              </w:rPr>
            </w:pPr>
          </w:p>
        </w:tc>
        <w:tc>
          <w:tcPr>
            <w:tcW w:w="1706" w:type="pct"/>
          </w:tcPr>
          <w:p w:rsidR="002E63B5" w:rsidRPr="002D6619" w:rsidRDefault="002E63B5" w:rsidP="001C3017">
            <w:pPr>
              <w:pStyle w:val="TableTextEntries"/>
              <w:rPr>
                <w:sz w:val="20"/>
                <w:szCs w:val="20"/>
              </w:rPr>
            </w:pPr>
          </w:p>
        </w:tc>
      </w:tr>
    </w:tbl>
    <w:p w:rsidR="007D42FE" w:rsidRPr="00D46AAF" w:rsidRDefault="007D42FE" w:rsidP="007D42FE">
      <w:pPr>
        <w:spacing w:before="20" w:after="20" w:line="180" w:lineRule="atLeast"/>
        <w:jc w:val="both"/>
        <w:rPr>
          <w:rFonts w:ascii="Franklin Gothic Book" w:eastAsia="Times New Roman" w:hAnsi="Franklin Gothic Book"/>
          <w:b/>
          <w:szCs w:val="20"/>
        </w:rPr>
      </w:pPr>
      <w:r w:rsidRPr="00D46AAF">
        <w:rPr>
          <w:rFonts w:ascii="Franklin Gothic Book" w:eastAsia="Times New Roman" w:hAnsi="Franklin Gothic Book"/>
          <w:b/>
          <w:szCs w:val="20"/>
        </w:rPr>
        <w:t xml:space="preserve">Note: </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72AF2F"/>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w:t>
      </w:r>
      <w:proofErr w:type="gramStart"/>
      <w:r w:rsidRPr="007D42FE">
        <w:rPr>
          <w:rFonts w:ascii="Franklin Gothic Book" w:eastAsia="Times New Roman" w:hAnsi="Franklin Gothic Book"/>
          <w:b/>
          <w:sz w:val="14"/>
          <w:szCs w:val="14"/>
        </w:rPr>
        <w:t>Achieved.</w:t>
      </w:r>
      <w:proofErr w:type="gramEnd"/>
      <w:r w:rsidRPr="007D42FE">
        <w:rPr>
          <w:rFonts w:ascii="Franklin Gothic Book" w:eastAsia="Times New Roman" w:hAnsi="Franklin Gothic Book"/>
          <w:b/>
          <w:sz w:val="14"/>
          <w:szCs w:val="14"/>
        </w:rPr>
        <w:t xml:space="preserve">  Significant progress has been made and the performance benchmark was achieved </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E36C0A"/>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w:t>
      </w:r>
      <w:proofErr w:type="gramStart"/>
      <w:r w:rsidRPr="007D42FE">
        <w:rPr>
          <w:rFonts w:ascii="Franklin Gothic Book" w:eastAsia="Times New Roman" w:hAnsi="Franklin Gothic Book"/>
          <w:b/>
          <w:sz w:val="14"/>
          <w:szCs w:val="14"/>
        </w:rPr>
        <w:t>Partly achieved.</w:t>
      </w:r>
      <w:proofErr w:type="gramEnd"/>
      <w:r w:rsidRPr="007D42FE">
        <w:rPr>
          <w:rFonts w:ascii="Franklin Gothic Book" w:eastAsia="Times New Roman" w:hAnsi="Franklin Gothic Book"/>
          <w:b/>
          <w:sz w:val="14"/>
          <w:szCs w:val="14"/>
        </w:rPr>
        <w:t xml:space="preserve">  Some progress has been made towards achieving the performance benchmark, but progress was less than anticipated. </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FF0000"/>
          <w:sz w:val="14"/>
          <w:szCs w:val="14"/>
        </w:rPr>
        <w:sym w:font="Webdings" w:char="F067"/>
      </w:r>
      <w:r w:rsidRPr="007D42FE">
        <w:rPr>
          <w:rFonts w:ascii="Franklin Gothic Book" w:eastAsia="Times New Roman" w:hAnsi="Franklin Gothic Book"/>
          <w:b/>
          <w:sz w:val="14"/>
          <w:szCs w:val="14"/>
        </w:rPr>
        <w:t> </w:t>
      </w:r>
      <w:r w:rsidRPr="007D42FE">
        <w:rPr>
          <w:rFonts w:ascii="Franklin Gothic Book" w:eastAsia="Times New Roman" w:hAnsi="Franklin Gothic Book"/>
          <w:b/>
          <w:sz w:val="14"/>
          <w:szCs w:val="14"/>
        </w:rPr>
        <w:t xml:space="preserve"> Not achieved. Progress towards the performance benchmark has been significantly below expectations</w:t>
      </w:r>
    </w:p>
    <w:p w:rsidR="007D42FE" w:rsidRPr="007D42FE" w:rsidRDefault="007D42FE" w:rsidP="007D42FE">
      <w:pPr>
        <w:spacing w:after="160" w:line="280" w:lineRule="exact"/>
        <w:rPr>
          <w:rFonts w:ascii="Franklin Gothic Book" w:eastAsia="Times New Roman" w:hAnsi="Franklin Gothic Book"/>
          <w:sz w:val="21"/>
        </w:rPr>
      </w:pPr>
    </w:p>
    <w:p w:rsidR="002E63B5" w:rsidRDefault="002E63B5">
      <w:pPr>
        <w:spacing w:after="200" w:line="276" w:lineRule="auto"/>
        <w:rPr>
          <w:rFonts w:ascii="Helvetica" w:eastAsia="Times New Roman" w:hAnsi="Helvetica" w:cs="Arial"/>
          <w:color w:val="007FAD"/>
          <w:kern w:val="28"/>
          <w:sz w:val="28"/>
          <w:szCs w:val="28"/>
        </w:rPr>
      </w:pPr>
      <w:r>
        <w:rPr>
          <w:rFonts w:ascii="Helvetica" w:eastAsia="Times New Roman" w:hAnsi="Helvetica" w:cs="Arial"/>
          <w:color w:val="007FAD"/>
          <w:kern w:val="28"/>
          <w:sz w:val="28"/>
          <w:szCs w:val="28"/>
        </w:rPr>
        <w:br w:type="page"/>
      </w:r>
    </w:p>
    <w:p w:rsidR="007D42FE" w:rsidRPr="007D42FE" w:rsidRDefault="007D42FE" w:rsidP="007D42FE">
      <w:pPr>
        <w:keepNext/>
        <w:spacing w:before="360" w:after="120"/>
        <w:outlineLvl w:val="1"/>
        <w:rPr>
          <w:rFonts w:ascii="Helvetica" w:eastAsia="Times New Roman" w:hAnsi="Helvetica" w:cs="Arial"/>
          <w:color w:val="007FAD"/>
          <w:kern w:val="28"/>
          <w:sz w:val="28"/>
          <w:szCs w:val="28"/>
        </w:rPr>
      </w:pPr>
      <w:r w:rsidRPr="007D42FE">
        <w:rPr>
          <w:rFonts w:ascii="Helvetica" w:eastAsia="Times New Roman" w:hAnsi="Helvetica" w:cs="Arial"/>
          <w:color w:val="007FAD"/>
          <w:kern w:val="28"/>
          <w:sz w:val="28"/>
          <w:szCs w:val="28"/>
        </w:rPr>
        <w:t>Annex C - Evaluation and Review Pipeline Planning</w:t>
      </w:r>
    </w:p>
    <w:p w:rsidR="007D42FE" w:rsidRPr="007D42FE" w:rsidRDefault="007D42FE" w:rsidP="007D42F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42FE">
        <w:rPr>
          <w:rFonts w:ascii="Helvetica" w:eastAsia="Times New Roman" w:hAnsi="Helvetica" w:cs="Arial"/>
          <w:b/>
          <w:color w:val="124486"/>
          <w:kern w:val="28"/>
          <w:sz w:val="22"/>
          <w:szCs w:val="22"/>
          <w:lang w:eastAsia="zh-CN"/>
        </w:rPr>
        <w:t xml:space="preserve">List of evaluations completed in the reporting period </w:t>
      </w:r>
    </w:p>
    <w:p w:rsidR="00432B04" w:rsidRPr="00071B95" w:rsidRDefault="00432B04" w:rsidP="00432B04">
      <w:pPr>
        <w:pStyle w:val="Caption"/>
      </w:pPr>
    </w:p>
    <w:tbl>
      <w:tblPr>
        <w:tblStyle w:val="APPR"/>
        <w:tblW w:w="0" w:type="auto"/>
        <w:tblLook w:val="04A0" w:firstRow="1" w:lastRow="0" w:firstColumn="1" w:lastColumn="0" w:noHBand="0" w:noVBand="1"/>
        <w:tblCaption w:val="List of evaluations completed in 14-15"/>
      </w:tblPr>
      <w:tblGrid>
        <w:gridCol w:w="1944"/>
        <w:gridCol w:w="1961"/>
        <w:gridCol w:w="2059"/>
        <w:gridCol w:w="1967"/>
        <w:gridCol w:w="1949"/>
        <w:gridCol w:w="1771"/>
        <w:gridCol w:w="1545"/>
      </w:tblGrid>
      <w:tr w:rsidR="00432B04" w:rsidRPr="00071B95" w:rsidTr="000B5F65">
        <w:trPr>
          <w:cnfStyle w:val="100000000000" w:firstRow="1" w:lastRow="0" w:firstColumn="0" w:lastColumn="0" w:oddVBand="0" w:evenVBand="0" w:oddHBand="0" w:evenHBand="0" w:firstRowFirstColumn="0" w:firstRowLastColumn="0" w:lastRowFirstColumn="0" w:lastRowLastColumn="0"/>
        </w:trPr>
        <w:tc>
          <w:tcPr>
            <w:tcW w:w="1902" w:type="dxa"/>
          </w:tcPr>
          <w:p w:rsidR="00432B04" w:rsidRPr="002E40F4" w:rsidRDefault="00432B04" w:rsidP="000B5F65">
            <w:pPr>
              <w:pStyle w:val="TableTextColumnHeading"/>
              <w:rPr>
                <w:b/>
              </w:rPr>
            </w:pPr>
            <w:r w:rsidRPr="002E40F4">
              <w:rPr>
                <w:b/>
              </w:rPr>
              <w:t>Name of Investment</w:t>
            </w:r>
          </w:p>
        </w:tc>
        <w:tc>
          <w:tcPr>
            <w:tcW w:w="1933" w:type="dxa"/>
          </w:tcPr>
          <w:p w:rsidR="00432B04" w:rsidRPr="002E40F4" w:rsidRDefault="00432B04" w:rsidP="000B5F65">
            <w:pPr>
              <w:pStyle w:val="TableTextColumnHeading"/>
              <w:rPr>
                <w:b/>
              </w:rPr>
            </w:pPr>
            <w:proofErr w:type="spellStart"/>
            <w:r w:rsidRPr="002E40F4">
              <w:rPr>
                <w:b/>
              </w:rPr>
              <w:t>Aidworks</w:t>
            </w:r>
            <w:proofErr w:type="spellEnd"/>
            <w:r w:rsidRPr="002E40F4">
              <w:rPr>
                <w:b/>
              </w:rPr>
              <w:t xml:space="preserve"> number</w:t>
            </w:r>
          </w:p>
        </w:tc>
        <w:tc>
          <w:tcPr>
            <w:tcW w:w="2031" w:type="dxa"/>
          </w:tcPr>
          <w:p w:rsidR="00432B04" w:rsidRPr="002E40F4" w:rsidRDefault="00432B04" w:rsidP="000B5F65">
            <w:pPr>
              <w:pStyle w:val="TableTextColumnHeading"/>
              <w:rPr>
                <w:b/>
              </w:rPr>
            </w:pPr>
            <w:r w:rsidRPr="002E40F4">
              <w:rPr>
                <w:b/>
              </w:rPr>
              <w:t>Name of evaluation</w:t>
            </w:r>
          </w:p>
        </w:tc>
        <w:tc>
          <w:tcPr>
            <w:tcW w:w="1939" w:type="dxa"/>
          </w:tcPr>
          <w:p w:rsidR="00432B04" w:rsidRPr="002E40F4" w:rsidRDefault="00432B04" w:rsidP="000B5F65">
            <w:pPr>
              <w:pStyle w:val="TableTextColumnHeading"/>
              <w:rPr>
                <w:b/>
              </w:rPr>
            </w:pPr>
            <w:r w:rsidRPr="002E40F4">
              <w:rPr>
                <w:b/>
              </w:rPr>
              <w:t>Date finalised</w:t>
            </w:r>
          </w:p>
        </w:tc>
        <w:tc>
          <w:tcPr>
            <w:tcW w:w="1921" w:type="dxa"/>
          </w:tcPr>
          <w:p w:rsidR="00432B04" w:rsidRPr="002E40F4" w:rsidRDefault="00432B04" w:rsidP="000B5F65">
            <w:pPr>
              <w:pStyle w:val="TableTextColumnHeading"/>
              <w:rPr>
                <w:b/>
              </w:rPr>
            </w:pPr>
            <w:r w:rsidRPr="002E40F4">
              <w:rPr>
                <w:b/>
              </w:rPr>
              <w:t xml:space="preserve">Date Evaluation report Uploaded into </w:t>
            </w:r>
            <w:proofErr w:type="spellStart"/>
            <w:r w:rsidRPr="002E40F4">
              <w:rPr>
                <w:b/>
              </w:rPr>
              <w:t>Aidworks</w:t>
            </w:r>
            <w:proofErr w:type="spellEnd"/>
          </w:p>
        </w:tc>
        <w:tc>
          <w:tcPr>
            <w:tcW w:w="1743" w:type="dxa"/>
          </w:tcPr>
          <w:p w:rsidR="00432B04" w:rsidRPr="002E40F4" w:rsidRDefault="00432B04" w:rsidP="000B5F65">
            <w:pPr>
              <w:pStyle w:val="TableTextColumnHeading"/>
              <w:rPr>
                <w:b/>
              </w:rPr>
            </w:pPr>
            <w:r w:rsidRPr="002E40F4">
              <w:rPr>
                <w:b/>
              </w:rPr>
              <w:t xml:space="preserve">Date Management response uploaded into </w:t>
            </w:r>
            <w:proofErr w:type="spellStart"/>
            <w:r w:rsidRPr="002E40F4">
              <w:rPr>
                <w:b/>
              </w:rPr>
              <w:t>Aidworks</w:t>
            </w:r>
            <w:proofErr w:type="spellEnd"/>
          </w:p>
        </w:tc>
        <w:tc>
          <w:tcPr>
            <w:tcW w:w="1503" w:type="dxa"/>
          </w:tcPr>
          <w:p w:rsidR="00432B04" w:rsidRPr="002E40F4" w:rsidRDefault="00432B04" w:rsidP="000B5F65">
            <w:pPr>
              <w:pStyle w:val="TableTextColumnHeading"/>
              <w:rPr>
                <w:b/>
              </w:rPr>
            </w:pPr>
            <w:r w:rsidRPr="002E40F4">
              <w:rPr>
                <w:b/>
              </w:rPr>
              <w:t>Published on website</w:t>
            </w:r>
          </w:p>
        </w:tc>
      </w:tr>
      <w:tr w:rsidR="00432B04" w:rsidRPr="00071B95" w:rsidTr="000B5F65">
        <w:trPr>
          <w:cnfStyle w:val="100000000000" w:firstRow="1" w:lastRow="0" w:firstColumn="0" w:lastColumn="0" w:oddVBand="0" w:evenVBand="0" w:oddHBand="0" w:evenHBand="0" w:firstRowFirstColumn="0" w:firstRowLastColumn="0" w:lastRowFirstColumn="0" w:lastRowLastColumn="0"/>
        </w:trPr>
        <w:tc>
          <w:tcPr>
            <w:tcW w:w="1902" w:type="dxa"/>
          </w:tcPr>
          <w:p w:rsidR="00432B04" w:rsidRPr="00CC719B" w:rsidRDefault="00432B04" w:rsidP="000B5F65">
            <w:pPr>
              <w:pStyle w:val="TableTextEntries"/>
              <w:rPr>
                <w:b w:val="0"/>
              </w:rPr>
            </w:pPr>
            <w:r w:rsidRPr="00CC719B">
              <w:rPr>
                <w:b w:val="0"/>
              </w:rPr>
              <w:t>Australia Africa Community Engagement Scheme</w:t>
            </w:r>
          </w:p>
        </w:tc>
        <w:tc>
          <w:tcPr>
            <w:tcW w:w="1933" w:type="dxa"/>
          </w:tcPr>
          <w:p w:rsidR="00432B04" w:rsidRPr="00CC719B" w:rsidRDefault="00432B04" w:rsidP="000B5F65">
            <w:pPr>
              <w:pStyle w:val="TableTextEntries"/>
              <w:rPr>
                <w:b w:val="0"/>
              </w:rPr>
            </w:pPr>
            <w:r w:rsidRPr="00CC719B">
              <w:rPr>
                <w:b w:val="0"/>
              </w:rPr>
              <w:t>INJ318</w:t>
            </w:r>
          </w:p>
        </w:tc>
        <w:tc>
          <w:tcPr>
            <w:tcW w:w="2031" w:type="dxa"/>
          </w:tcPr>
          <w:p w:rsidR="00432B04" w:rsidRPr="00CC719B" w:rsidRDefault="00432B04" w:rsidP="000B5F65">
            <w:pPr>
              <w:pStyle w:val="TableTextEntries"/>
              <w:rPr>
                <w:b w:val="0"/>
              </w:rPr>
            </w:pPr>
            <w:r w:rsidRPr="00CC719B">
              <w:rPr>
                <w:b w:val="0"/>
              </w:rPr>
              <w:t>Australia Africa Community Engagement Scheme Mid Term Review</w:t>
            </w:r>
          </w:p>
        </w:tc>
        <w:tc>
          <w:tcPr>
            <w:tcW w:w="1939" w:type="dxa"/>
          </w:tcPr>
          <w:p w:rsidR="00432B04" w:rsidRPr="00CC719B" w:rsidRDefault="00432B04" w:rsidP="000B5F65">
            <w:pPr>
              <w:pStyle w:val="TableTextEntries"/>
              <w:rPr>
                <w:b w:val="0"/>
              </w:rPr>
            </w:pPr>
            <w:r w:rsidRPr="00CC719B">
              <w:rPr>
                <w:b w:val="0"/>
              </w:rPr>
              <w:t>27 June 2014</w:t>
            </w:r>
          </w:p>
        </w:tc>
        <w:tc>
          <w:tcPr>
            <w:tcW w:w="1921" w:type="dxa"/>
          </w:tcPr>
          <w:p w:rsidR="00432B04" w:rsidRPr="00CC719B" w:rsidRDefault="00432B04" w:rsidP="000B5F65">
            <w:pPr>
              <w:pStyle w:val="TableTextEntries"/>
              <w:rPr>
                <w:b w:val="0"/>
              </w:rPr>
            </w:pPr>
            <w:r>
              <w:rPr>
                <w:b w:val="0"/>
              </w:rPr>
              <w:t>1 August</w:t>
            </w:r>
            <w:r w:rsidRPr="00CC719B">
              <w:rPr>
                <w:b w:val="0"/>
              </w:rPr>
              <w:t xml:space="preserve"> 2014</w:t>
            </w:r>
          </w:p>
        </w:tc>
        <w:tc>
          <w:tcPr>
            <w:tcW w:w="1743" w:type="dxa"/>
          </w:tcPr>
          <w:p w:rsidR="00432B04" w:rsidRPr="00CC719B" w:rsidRDefault="00432B04" w:rsidP="000B5F65">
            <w:pPr>
              <w:pStyle w:val="TableTextEntries"/>
              <w:rPr>
                <w:b w:val="0"/>
              </w:rPr>
            </w:pPr>
          </w:p>
        </w:tc>
        <w:tc>
          <w:tcPr>
            <w:tcW w:w="1503" w:type="dxa"/>
          </w:tcPr>
          <w:p w:rsidR="00432B04" w:rsidRPr="00CC719B" w:rsidRDefault="00432B04" w:rsidP="000B5F65">
            <w:pPr>
              <w:pStyle w:val="TableTextEntries"/>
              <w:rPr>
                <w:b w:val="0"/>
              </w:rPr>
            </w:pPr>
            <w:r>
              <w:rPr>
                <w:b w:val="0"/>
              </w:rPr>
              <w:t>February 2015</w:t>
            </w:r>
          </w:p>
        </w:tc>
      </w:tr>
      <w:tr w:rsidR="00432B04" w:rsidRPr="00071B95" w:rsidTr="000B5F65">
        <w:trPr>
          <w:cnfStyle w:val="100000000000" w:firstRow="1" w:lastRow="0" w:firstColumn="0" w:lastColumn="0" w:oddVBand="0" w:evenVBand="0" w:oddHBand="0" w:evenHBand="0" w:firstRowFirstColumn="0" w:firstRowLastColumn="0" w:lastRowFirstColumn="0" w:lastRowLastColumn="0"/>
        </w:trPr>
        <w:tc>
          <w:tcPr>
            <w:tcW w:w="1902" w:type="dxa"/>
          </w:tcPr>
          <w:p w:rsidR="00432B04" w:rsidRPr="00CC719B" w:rsidRDefault="00432B04" w:rsidP="000B5F65">
            <w:pPr>
              <w:pStyle w:val="TableTextEntries"/>
              <w:rPr>
                <w:b w:val="0"/>
              </w:rPr>
            </w:pPr>
            <w:r>
              <w:rPr>
                <w:b w:val="0"/>
              </w:rPr>
              <w:t xml:space="preserve">WASH in </w:t>
            </w:r>
            <w:proofErr w:type="spellStart"/>
            <w:r>
              <w:rPr>
                <w:b w:val="0"/>
              </w:rPr>
              <w:t>Nampula</w:t>
            </w:r>
            <w:proofErr w:type="spellEnd"/>
            <w:r>
              <w:rPr>
                <w:b w:val="0"/>
              </w:rPr>
              <w:t xml:space="preserve"> Province, Mozambique (NAMWASH)</w:t>
            </w:r>
          </w:p>
        </w:tc>
        <w:tc>
          <w:tcPr>
            <w:tcW w:w="1933" w:type="dxa"/>
          </w:tcPr>
          <w:p w:rsidR="00432B04" w:rsidRPr="00CC719B" w:rsidRDefault="00432B04" w:rsidP="000B5F65">
            <w:pPr>
              <w:pStyle w:val="TableTextEntries"/>
              <w:rPr>
                <w:b w:val="0"/>
              </w:rPr>
            </w:pPr>
            <w:r>
              <w:rPr>
                <w:b w:val="0"/>
              </w:rPr>
              <w:t>INK348</w:t>
            </w:r>
          </w:p>
        </w:tc>
        <w:tc>
          <w:tcPr>
            <w:tcW w:w="2031" w:type="dxa"/>
          </w:tcPr>
          <w:p w:rsidR="00432B04" w:rsidRPr="00A2707E" w:rsidRDefault="00432B04" w:rsidP="000B5F65">
            <w:pPr>
              <w:pStyle w:val="TableTextEntries"/>
              <w:rPr>
                <w:b w:val="0"/>
              </w:rPr>
            </w:pPr>
            <w:r>
              <w:rPr>
                <w:b w:val="0"/>
              </w:rPr>
              <w:t>Evaluation of NAMWASH</w:t>
            </w:r>
          </w:p>
        </w:tc>
        <w:tc>
          <w:tcPr>
            <w:tcW w:w="1939" w:type="dxa"/>
          </w:tcPr>
          <w:p w:rsidR="00432B04" w:rsidRPr="00CC719B" w:rsidRDefault="00432B04" w:rsidP="000B5F65">
            <w:pPr>
              <w:pStyle w:val="TableTextEntries"/>
              <w:rPr>
                <w:b w:val="0"/>
              </w:rPr>
            </w:pPr>
            <w:r>
              <w:rPr>
                <w:b w:val="0"/>
              </w:rPr>
              <w:t>31 July 2013</w:t>
            </w:r>
          </w:p>
        </w:tc>
        <w:tc>
          <w:tcPr>
            <w:tcW w:w="1921" w:type="dxa"/>
          </w:tcPr>
          <w:p w:rsidR="00432B04" w:rsidRPr="00CC719B" w:rsidRDefault="00432B04" w:rsidP="000B5F65">
            <w:pPr>
              <w:pStyle w:val="TableTextEntries"/>
              <w:rPr>
                <w:b w:val="0"/>
              </w:rPr>
            </w:pPr>
            <w:r>
              <w:rPr>
                <w:b w:val="0"/>
              </w:rPr>
              <w:t>1 September 2014</w:t>
            </w:r>
          </w:p>
        </w:tc>
        <w:tc>
          <w:tcPr>
            <w:tcW w:w="1743" w:type="dxa"/>
          </w:tcPr>
          <w:p w:rsidR="00432B04" w:rsidRPr="00CC719B" w:rsidRDefault="00432B04" w:rsidP="000B5F65">
            <w:pPr>
              <w:pStyle w:val="TableTextEntries"/>
              <w:rPr>
                <w:b w:val="0"/>
              </w:rPr>
            </w:pPr>
            <w:r>
              <w:rPr>
                <w:b w:val="0"/>
              </w:rPr>
              <w:t xml:space="preserve">1 September 2014 </w:t>
            </w:r>
          </w:p>
        </w:tc>
        <w:tc>
          <w:tcPr>
            <w:tcW w:w="1503" w:type="dxa"/>
          </w:tcPr>
          <w:p w:rsidR="00432B04" w:rsidRPr="00CC719B" w:rsidRDefault="00432B04" w:rsidP="000B5F65">
            <w:pPr>
              <w:pStyle w:val="TableTextEntries"/>
              <w:rPr>
                <w:b w:val="0"/>
              </w:rPr>
            </w:pPr>
            <w:r>
              <w:rPr>
                <w:b w:val="0"/>
              </w:rPr>
              <w:t>October 2014</w:t>
            </w:r>
          </w:p>
        </w:tc>
      </w:tr>
      <w:tr w:rsidR="00432B04" w:rsidRPr="00071B95" w:rsidTr="000B5F65">
        <w:trPr>
          <w:cnfStyle w:val="100000000000" w:firstRow="1" w:lastRow="0" w:firstColumn="0" w:lastColumn="0" w:oddVBand="0" w:evenVBand="0" w:oddHBand="0" w:evenHBand="0" w:firstRowFirstColumn="0" w:firstRowLastColumn="0" w:lastRowFirstColumn="0" w:lastRowLastColumn="0"/>
          <w:trHeight w:val="1283"/>
        </w:trPr>
        <w:tc>
          <w:tcPr>
            <w:tcW w:w="1902" w:type="dxa"/>
          </w:tcPr>
          <w:p w:rsidR="00432B04" w:rsidRDefault="00432B04" w:rsidP="000B5F65">
            <w:pPr>
              <w:pStyle w:val="TableTextEntries"/>
              <w:rPr>
                <w:b w:val="0"/>
              </w:rPr>
            </w:pPr>
            <w:r>
              <w:rPr>
                <w:b w:val="0"/>
              </w:rPr>
              <w:t>Sustaining and Scaling Pro-Poor Urban Water and Sanitation in Maputo, Mozambique</w:t>
            </w:r>
          </w:p>
        </w:tc>
        <w:tc>
          <w:tcPr>
            <w:tcW w:w="1933" w:type="dxa"/>
          </w:tcPr>
          <w:p w:rsidR="00432B04" w:rsidRDefault="00432B04" w:rsidP="000B5F65">
            <w:pPr>
              <w:pStyle w:val="TableTextEntries"/>
              <w:rPr>
                <w:b w:val="0"/>
              </w:rPr>
            </w:pPr>
            <w:r>
              <w:rPr>
                <w:b w:val="0"/>
              </w:rPr>
              <w:t>INK348</w:t>
            </w:r>
          </w:p>
        </w:tc>
        <w:tc>
          <w:tcPr>
            <w:tcW w:w="2031" w:type="dxa"/>
          </w:tcPr>
          <w:p w:rsidR="00432B04" w:rsidRDefault="00432B04" w:rsidP="000B5F65">
            <w:pPr>
              <w:pStyle w:val="TableTextEntries"/>
              <w:rPr>
                <w:b w:val="0"/>
              </w:rPr>
            </w:pPr>
            <w:r>
              <w:rPr>
                <w:b w:val="0"/>
              </w:rPr>
              <w:t>Phase 1 Review of Sustaining and Scaling Pro-poor Urban Water and Sanitation Services in Maputo</w:t>
            </w:r>
          </w:p>
        </w:tc>
        <w:tc>
          <w:tcPr>
            <w:tcW w:w="1939" w:type="dxa"/>
          </w:tcPr>
          <w:p w:rsidR="00432B04" w:rsidRDefault="00432B04" w:rsidP="000B5F65">
            <w:pPr>
              <w:pStyle w:val="TableTextEntries"/>
              <w:rPr>
                <w:b w:val="0"/>
              </w:rPr>
            </w:pPr>
            <w:r>
              <w:rPr>
                <w:b w:val="0"/>
              </w:rPr>
              <w:t>6 February 2014</w:t>
            </w:r>
          </w:p>
        </w:tc>
        <w:tc>
          <w:tcPr>
            <w:tcW w:w="1921" w:type="dxa"/>
          </w:tcPr>
          <w:p w:rsidR="00432B04" w:rsidRDefault="00432B04" w:rsidP="000B5F65">
            <w:pPr>
              <w:pStyle w:val="TableTextEntries"/>
              <w:rPr>
                <w:b w:val="0"/>
              </w:rPr>
            </w:pPr>
            <w:r>
              <w:rPr>
                <w:b w:val="0"/>
              </w:rPr>
              <w:t>1 September 2014</w:t>
            </w:r>
          </w:p>
        </w:tc>
        <w:tc>
          <w:tcPr>
            <w:tcW w:w="1743" w:type="dxa"/>
          </w:tcPr>
          <w:p w:rsidR="00432B04" w:rsidRDefault="00432B04" w:rsidP="000B5F65">
            <w:pPr>
              <w:pStyle w:val="TableTextEntries"/>
              <w:rPr>
                <w:b w:val="0"/>
              </w:rPr>
            </w:pPr>
            <w:r>
              <w:rPr>
                <w:b w:val="0"/>
              </w:rPr>
              <w:t>1 September 2014</w:t>
            </w:r>
          </w:p>
        </w:tc>
        <w:tc>
          <w:tcPr>
            <w:tcW w:w="1503" w:type="dxa"/>
          </w:tcPr>
          <w:p w:rsidR="00432B04" w:rsidRDefault="00432B04" w:rsidP="000B5F65">
            <w:pPr>
              <w:pStyle w:val="TableTextEntries"/>
              <w:rPr>
                <w:b w:val="0"/>
              </w:rPr>
            </w:pPr>
            <w:r>
              <w:rPr>
                <w:b w:val="0"/>
              </w:rPr>
              <w:t>October 2014</w:t>
            </w:r>
          </w:p>
        </w:tc>
      </w:tr>
      <w:tr w:rsidR="00432B04" w:rsidRPr="00071B95" w:rsidTr="000B5F65">
        <w:trPr>
          <w:cnfStyle w:val="100000000000" w:firstRow="1" w:lastRow="0" w:firstColumn="0" w:lastColumn="0" w:oddVBand="0" w:evenVBand="0" w:oddHBand="0" w:evenHBand="0" w:firstRowFirstColumn="0" w:firstRowLastColumn="0" w:lastRowFirstColumn="0" w:lastRowLastColumn="0"/>
        </w:trPr>
        <w:tc>
          <w:tcPr>
            <w:tcW w:w="1902" w:type="dxa"/>
          </w:tcPr>
          <w:p w:rsidR="00432B04" w:rsidRDefault="00432B04" w:rsidP="000B5F65">
            <w:pPr>
              <w:pStyle w:val="TableTextEntries"/>
              <w:rPr>
                <w:b w:val="0"/>
              </w:rPr>
            </w:pPr>
            <w:r>
              <w:rPr>
                <w:b w:val="0"/>
              </w:rPr>
              <w:t>Australia Africa</w:t>
            </w:r>
          </w:p>
          <w:p w:rsidR="00432B04" w:rsidRDefault="00432B04" w:rsidP="000B5F65">
            <w:pPr>
              <w:pStyle w:val="TableTextEntries"/>
              <w:rPr>
                <w:b w:val="0"/>
              </w:rPr>
            </w:pPr>
            <w:r>
              <w:rPr>
                <w:b w:val="0"/>
              </w:rPr>
              <w:t>Partnership Facility</w:t>
            </w:r>
          </w:p>
        </w:tc>
        <w:tc>
          <w:tcPr>
            <w:tcW w:w="1933" w:type="dxa"/>
          </w:tcPr>
          <w:p w:rsidR="00432B04" w:rsidRDefault="00432B04" w:rsidP="000B5F65">
            <w:pPr>
              <w:pStyle w:val="TableTextEntries"/>
              <w:rPr>
                <w:b w:val="0"/>
              </w:rPr>
            </w:pPr>
            <w:r>
              <w:rPr>
                <w:b w:val="0"/>
              </w:rPr>
              <w:t>INJ018</w:t>
            </w:r>
          </w:p>
        </w:tc>
        <w:tc>
          <w:tcPr>
            <w:tcW w:w="2031" w:type="dxa"/>
          </w:tcPr>
          <w:p w:rsidR="00432B04" w:rsidRDefault="00432B04" w:rsidP="000B5F65">
            <w:pPr>
              <w:pStyle w:val="TableTextEntries"/>
              <w:rPr>
                <w:b w:val="0"/>
              </w:rPr>
            </w:pPr>
            <w:r>
              <w:rPr>
                <w:b w:val="0"/>
              </w:rPr>
              <w:t>Independent Progress Review</w:t>
            </w:r>
          </w:p>
        </w:tc>
        <w:tc>
          <w:tcPr>
            <w:tcW w:w="1939" w:type="dxa"/>
          </w:tcPr>
          <w:p w:rsidR="00432B04" w:rsidRDefault="00432B04" w:rsidP="000B5F65">
            <w:pPr>
              <w:pStyle w:val="TableTextEntries"/>
              <w:rPr>
                <w:b w:val="0"/>
              </w:rPr>
            </w:pPr>
            <w:r>
              <w:rPr>
                <w:b w:val="0"/>
              </w:rPr>
              <w:t>June 2013</w:t>
            </w:r>
          </w:p>
        </w:tc>
        <w:tc>
          <w:tcPr>
            <w:tcW w:w="1921" w:type="dxa"/>
          </w:tcPr>
          <w:p w:rsidR="00432B04" w:rsidRDefault="00432B04" w:rsidP="000B5F65">
            <w:pPr>
              <w:pStyle w:val="TableTextEntries"/>
              <w:rPr>
                <w:b w:val="0"/>
              </w:rPr>
            </w:pPr>
          </w:p>
        </w:tc>
        <w:tc>
          <w:tcPr>
            <w:tcW w:w="1743" w:type="dxa"/>
          </w:tcPr>
          <w:p w:rsidR="00432B04" w:rsidRDefault="00432B04" w:rsidP="000B5F65">
            <w:pPr>
              <w:pStyle w:val="TableTextEntries"/>
              <w:rPr>
                <w:b w:val="0"/>
              </w:rPr>
            </w:pPr>
            <w:r>
              <w:rPr>
                <w:b w:val="0"/>
              </w:rPr>
              <w:t>6 October 2013</w:t>
            </w:r>
          </w:p>
        </w:tc>
        <w:tc>
          <w:tcPr>
            <w:tcW w:w="1503" w:type="dxa"/>
          </w:tcPr>
          <w:p w:rsidR="00432B04" w:rsidRDefault="00432B04" w:rsidP="000B5F65">
            <w:pPr>
              <w:pStyle w:val="TableTextEntries"/>
              <w:rPr>
                <w:b w:val="0"/>
              </w:rPr>
            </w:pPr>
            <w:r>
              <w:rPr>
                <w:b w:val="0"/>
              </w:rPr>
              <w:t>Estimated to be published in late October 2014</w:t>
            </w:r>
          </w:p>
        </w:tc>
      </w:tr>
      <w:tr w:rsidR="00432B04" w:rsidRPr="00071B95" w:rsidTr="000B5F65">
        <w:trPr>
          <w:cnfStyle w:val="100000000000" w:firstRow="1" w:lastRow="0" w:firstColumn="0" w:lastColumn="0" w:oddVBand="0" w:evenVBand="0" w:oddHBand="0" w:evenHBand="0" w:firstRowFirstColumn="0" w:firstRowLastColumn="0" w:lastRowFirstColumn="0" w:lastRowLastColumn="0"/>
        </w:trPr>
        <w:tc>
          <w:tcPr>
            <w:tcW w:w="1902" w:type="dxa"/>
          </w:tcPr>
          <w:p w:rsidR="00432B04" w:rsidRDefault="00432B04" w:rsidP="000B5F65">
            <w:pPr>
              <w:pStyle w:val="TableTextEntries"/>
              <w:rPr>
                <w:b w:val="0"/>
              </w:rPr>
            </w:pPr>
          </w:p>
        </w:tc>
        <w:tc>
          <w:tcPr>
            <w:tcW w:w="1933" w:type="dxa"/>
          </w:tcPr>
          <w:p w:rsidR="00432B04" w:rsidRDefault="00432B04" w:rsidP="000B5F65">
            <w:pPr>
              <w:pStyle w:val="TableTextEntries"/>
              <w:rPr>
                <w:b w:val="0"/>
              </w:rPr>
            </w:pPr>
          </w:p>
        </w:tc>
        <w:tc>
          <w:tcPr>
            <w:tcW w:w="2031" w:type="dxa"/>
          </w:tcPr>
          <w:p w:rsidR="00432B04" w:rsidRDefault="00432B04" w:rsidP="000B5F65">
            <w:pPr>
              <w:pStyle w:val="TableTextEntries"/>
              <w:rPr>
                <w:b w:val="0"/>
              </w:rPr>
            </w:pPr>
          </w:p>
        </w:tc>
        <w:tc>
          <w:tcPr>
            <w:tcW w:w="1939" w:type="dxa"/>
          </w:tcPr>
          <w:p w:rsidR="00432B04" w:rsidRDefault="00432B04" w:rsidP="000B5F65">
            <w:pPr>
              <w:pStyle w:val="TableTextEntries"/>
              <w:rPr>
                <w:b w:val="0"/>
              </w:rPr>
            </w:pPr>
          </w:p>
        </w:tc>
        <w:tc>
          <w:tcPr>
            <w:tcW w:w="1921" w:type="dxa"/>
          </w:tcPr>
          <w:p w:rsidR="00432B04" w:rsidRDefault="00432B04" w:rsidP="000B5F65">
            <w:pPr>
              <w:pStyle w:val="TableTextEntries"/>
              <w:rPr>
                <w:b w:val="0"/>
              </w:rPr>
            </w:pPr>
          </w:p>
        </w:tc>
        <w:tc>
          <w:tcPr>
            <w:tcW w:w="1743" w:type="dxa"/>
          </w:tcPr>
          <w:p w:rsidR="00432B04" w:rsidRPr="00DE594E" w:rsidRDefault="00432B04" w:rsidP="000B5F65">
            <w:pPr>
              <w:pStyle w:val="TableTextEntries"/>
              <w:rPr>
                <w:b w:val="0"/>
                <w:highlight w:val="yellow"/>
              </w:rPr>
            </w:pPr>
          </w:p>
        </w:tc>
        <w:tc>
          <w:tcPr>
            <w:tcW w:w="1503" w:type="dxa"/>
          </w:tcPr>
          <w:p w:rsidR="00432B04" w:rsidRPr="00A7796F" w:rsidRDefault="00432B04" w:rsidP="000B5F65">
            <w:pPr>
              <w:pStyle w:val="TableTextEntries"/>
              <w:rPr>
                <w:b w:val="0"/>
              </w:rPr>
            </w:pPr>
          </w:p>
        </w:tc>
      </w:tr>
    </w:tbl>
    <w:p w:rsidR="00432B04" w:rsidRDefault="00432B04" w:rsidP="007D42FE">
      <w:pPr>
        <w:rPr>
          <w:b/>
        </w:rPr>
      </w:pPr>
    </w:p>
    <w:p w:rsidR="00432B04" w:rsidRPr="007D42FE" w:rsidRDefault="00432B04" w:rsidP="007D42FE">
      <w:pPr>
        <w:rPr>
          <w:b/>
        </w:rPr>
      </w:pPr>
    </w:p>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sectPr w:rsidR="007D42FE" w:rsidRPr="007D42FE" w:rsidSect="00F67B7D">
          <w:headerReference w:type="even" r:id="rId20"/>
          <w:footerReference w:type="first" r:id="rId21"/>
          <w:pgSz w:w="16838" w:h="11906" w:orient="landscape" w:code="9"/>
          <w:pgMar w:top="567" w:right="567" w:bottom="567" w:left="567" w:header="709" w:footer="425" w:gutter="0"/>
          <w:cols w:space="708"/>
          <w:docGrid w:linePitch="360"/>
        </w:sectPr>
      </w:pPr>
    </w:p>
    <w:p w:rsidR="00432B04" w:rsidRPr="007D42FE" w:rsidRDefault="00432B04" w:rsidP="00432B04">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42FE">
        <w:rPr>
          <w:rFonts w:ascii="Helvetica" w:eastAsia="Times New Roman" w:hAnsi="Helvetica" w:cs="Arial"/>
          <w:b/>
          <w:color w:val="124486"/>
          <w:kern w:val="28"/>
          <w:sz w:val="22"/>
          <w:szCs w:val="22"/>
          <w:lang w:eastAsia="zh-CN"/>
        </w:rPr>
        <w:t xml:space="preserve">List of evaluations planned in the next 12 months </w:t>
      </w:r>
    </w:p>
    <w:p w:rsidR="00432B04" w:rsidRPr="00570EBB" w:rsidRDefault="00432B04" w:rsidP="00432B04">
      <w:pPr>
        <w:pStyle w:val="TableTextColumnHeading"/>
      </w:pPr>
      <w:r w:rsidRPr="001A2A1A">
        <w:br/>
      </w:r>
    </w:p>
    <w:tbl>
      <w:tblPr>
        <w:tblStyle w:val="DFATTable1"/>
        <w:tblW w:w="5000" w:type="pct"/>
        <w:tblLayout w:type="fixed"/>
        <w:tblLook w:val="04A0" w:firstRow="1" w:lastRow="0" w:firstColumn="1" w:lastColumn="0" w:noHBand="0" w:noVBand="1"/>
        <w:tblCaption w:val="List of planned evaluations"/>
      </w:tblPr>
      <w:tblGrid>
        <w:gridCol w:w="1248"/>
        <w:gridCol w:w="1090"/>
        <w:gridCol w:w="1115"/>
        <w:gridCol w:w="1871"/>
        <w:gridCol w:w="276"/>
        <w:gridCol w:w="128"/>
        <w:gridCol w:w="1645"/>
        <w:gridCol w:w="316"/>
        <w:gridCol w:w="2993"/>
      </w:tblGrid>
      <w:tr w:rsidR="00432B04" w:rsidRPr="00615781" w:rsidTr="000471FD">
        <w:trPr>
          <w:tblHeader/>
        </w:trPr>
        <w:tc>
          <w:tcPr>
            <w:tcW w:w="584" w:type="pct"/>
          </w:tcPr>
          <w:p w:rsidR="00432B04" w:rsidRPr="002E40F4" w:rsidRDefault="00432B04" w:rsidP="000B5F65">
            <w:pPr>
              <w:pStyle w:val="TableTextEntries"/>
              <w:rPr>
                <w:b/>
              </w:rPr>
            </w:pPr>
            <w:r w:rsidRPr="002E40F4">
              <w:rPr>
                <w:b/>
              </w:rPr>
              <w:t>Name of Investments</w:t>
            </w:r>
          </w:p>
          <w:p w:rsidR="00432B04" w:rsidRDefault="00432B04" w:rsidP="000B5F65">
            <w:pPr>
              <w:pStyle w:val="TableTextEntries"/>
            </w:pPr>
          </w:p>
          <w:p w:rsidR="00432B04" w:rsidRPr="002C113F" w:rsidRDefault="00432B04" w:rsidP="000B5F65">
            <w:pPr>
              <w:pStyle w:val="TableTextEntries"/>
            </w:pPr>
            <w:r w:rsidRPr="004F1FAF">
              <w:t>Africa</w:t>
            </w:r>
            <w:r>
              <w:t>n Enterprise Challenge Fund</w:t>
            </w:r>
          </w:p>
        </w:tc>
        <w:tc>
          <w:tcPr>
            <w:tcW w:w="510" w:type="pct"/>
          </w:tcPr>
          <w:p w:rsidR="00432B04" w:rsidRPr="00615781" w:rsidRDefault="00432B04" w:rsidP="000B5F65">
            <w:pPr>
              <w:pStyle w:val="TableTextEntries"/>
              <w:jc w:val="center"/>
            </w:pPr>
          </w:p>
        </w:tc>
        <w:tc>
          <w:tcPr>
            <w:tcW w:w="522" w:type="pct"/>
          </w:tcPr>
          <w:p w:rsidR="00432B04" w:rsidRPr="002E40F4" w:rsidRDefault="00432B04" w:rsidP="000B5F65">
            <w:pPr>
              <w:pStyle w:val="TableTextEntries"/>
              <w:rPr>
                <w:b/>
              </w:rPr>
            </w:pPr>
            <w:proofErr w:type="spellStart"/>
            <w:r w:rsidRPr="002E40F4">
              <w:rPr>
                <w:b/>
              </w:rPr>
              <w:t>Aidworks</w:t>
            </w:r>
            <w:proofErr w:type="spellEnd"/>
            <w:r w:rsidRPr="002E40F4">
              <w:rPr>
                <w:b/>
              </w:rPr>
              <w:t xml:space="preserve"> Number</w:t>
            </w:r>
          </w:p>
          <w:p w:rsidR="00432B04" w:rsidRDefault="00432B04" w:rsidP="000B5F65">
            <w:pPr>
              <w:pStyle w:val="TableTextEntries"/>
            </w:pPr>
          </w:p>
          <w:p w:rsidR="00432B04" w:rsidRPr="00615781" w:rsidRDefault="00432B04" w:rsidP="000B5F65">
            <w:pPr>
              <w:pStyle w:val="TableTextEntries"/>
            </w:pPr>
            <w:r w:rsidRPr="004F1FAF">
              <w:t>IN</w:t>
            </w:r>
            <w:r>
              <w:t>I879</w:t>
            </w:r>
          </w:p>
        </w:tc>
        <w:tc>
          <w:tcPr>
            <w:tcW w:w="876" w:type="pct"/>
          </w:tcPr>
          <w:p w:rsidR="00432B04" w:rsidRPr="002E40F4" w:rsidRDefault="00432B04" w:rsidP="000B5F65">
            <w:pPr>
              <w:pStyle w:val="TableTextEntries"/>
              <w:rPr>
                <w:b/>
              </w:rPr>
            </w:pPr>
            <w:r w:rsidRPr="002E40F4">
              <w:rPr>
                <w:b/>
              </w:rPr>
              <w:t>Type of evaluation</w:t>
            </w:r>
          </w:p>
          <w:p w:rsidR="00432B04" w:rsidRDefault="00432B04" w:rsidP="000B5F65">
            <w:pPr>
              <w:pStyle w:val="TableTextEntries"/>
            </w:pPr>
          </w:p>
          <w:p w:rsidR="00432B04" w:rsidRPr="00615781" w:rsidRDefault="00432B04" w:rsidP="000B5F65">
            <w:pPr>
              <w:pStyle w:val="TableTextEntries"/>
            </w:pPr>
            <w:r>
              <w:t>Partner-led evaluation</w:t>
            </w:r>
          </w:p>
        </w:tc>
        <w:tc>
          <w:tcPr>
            <w:tcW w:w="189" w:type="pct"/>
            <w:gridSpan w:val="2"/>
          </w:tcPr>
          <w:p w:rsidR="00432B04" w:rsidRPr="00615781" w:rsidRDefault="00432B04" w:rsidP="000B5F65">
            <w:pPr>
              <w:pStyle w:val="TableTextEntries"/>
            </w:pPr>
          </w:p>
        </w:tc>
        <w:tc>
          <w:tcPr>
            <w:tcW w:w="770" w:type="pct"/>
          </w:tcPr>
          <w:p w:rsidR="00432B04" w:rsidRPr="002E40F4" w:rsidRDefault="00432B04" w:rsidP="000B5F65">
            <w:pPr>
              <w:pStyle w:val="TableTextEntries"/>
              <w:rPr>
                <w:b/>
              </w:rPr>
            </w:pPr>
            <w:r w:rsidRPr="002E40F4">
              <w:rPr>
                <w:b/>
              </w:rPr>
              <w:t>Purpose of Evaluation</w:t>
            </w:r>
          </w:p>
          <w:p w:rsidR="00432B04" w:rsidRDefault="00432B04" w:rsidP="000B5F65">
            <w:pPr>
              <w:pStyle w:val="TableTextEntries"/>
            </w:pPr>
          </w:p>
          <w:p w:rsidR="00432B04" w:rsidRPr="00615781" w:rsidRDefault="00432B04" w:rsidP="000B5F65">
            <w:pPr>
              <w:pStyle w:val="TableTextEntries"/>
            </w:pPr>
            <w:r w:rsidRPr="00615781">
              <w:t xml:space="preserve">To assess the </w:t>
            </w:r>
            <w:r>
              <w:t xml:space="preserve">success </w:t>
            </w:r>
            <w:r w:rsidRPr="00615781">
              <w:t>of the investment in achieving its objectives</w:t>
            </w:r>
          </w:p>
        </w:tc>
        <w:tc>
          <w:tcPr>
            <w:tcW w:w="148" w:type="pct"/>
          </w:tcPr>
          <w:p w:rsidR="00432B04" w:rsidRPr="00615781" w:rsidRDefault="00432B04" w:rsidP="000B5F65">
            <w:pPr>
              <w:pStyle w:val="TableTextEntries"/>
            </w:pPr>
          </w:p>
        </w:tc>
        <w:tc>
          <w:tcPr>
            <w:tcW w:w="1401" w:type="pct"/>
          </w:tcPr>
          <w:p w:rsidR="00432B04" w:rsidRDefault="00432B04" w:rsidP="000B5F65">
            <w:pPr>
              <w:pStyle w:val="TableTextEntries"/>
            </w:pPr>
            <w:r w:rsidRPr="002E40F4">
              <w:rPr>
                <w:b/>
              </w:rPr>
              <w:t>Expected completion</w:t>
            </w:r>
            <w:r>
              <w:t xml:space="preserve"> </w:t>
            </w:r>
          </w:p>
          <w:p w:rsidR="00432B04" w:rsidRDefault="00432B04" w:rsidP="000B5F65">
            <w:pPr>
              <w:pStyle w:val="TableTextEntries"/>
            </w:pPr>
          </w:p>
          <w:p w:rsidR="00432B04" w:rsidRPr="00615781" w:rsidRDefault="00432B04" w:rsidP="000B5F65">
            <w:pPr>
              <w:pStyle w:val="TableTextEntries"/>
            </w:pPr>
            <w:r w:rsidRPr="00615781">
              <w:t>Dec 2015</w:t>
            </w:r>
          </w:p>
        </w:tc>
      </w:tr>
      <w:tr w:rsidR="00432B04" w:rsidRPr="002C113F" w:rsidTr="002D6619">
        <w:tc>
          <w:tcPr>
            <w:tcW w:w="584" w:type="pct"/>
          </w:tcPr>
          <w:p w:rsidR="00432B04" w:rsidRDefault="00432B04" w:rsidP="000B5F65">
            <w:pPr>
              <w:pStyle w:val="TableTextEntries"/>
            </w:pPr>
            <w:r w:rsidRPr="004F1FAF">
              <w:t>System for Land-Based Emissions Estimation in Kenya</w:t>
            </w:r>
          </w:p>
          <w:p w:rsidR="00432B04" w:rsidRDefault="00432B04" w:rsidP="000B5F65">
            <w:pPr>
              <w:pStyle w:val="TableTextEntries"/>
            </w:pPr>
          </w:p>
          <w:p w:rsidR="00432B04" w:rsidRDefault="00432B04" w:rsidP="000B5F65">
            <w:pPr>
              <w:pStyle w:val="TableTextEntries"/>
            </w:pPr>
            <w:r w:rsidRPr="004F1FAF">
              <w:t>Hunger Safety Net Program (HSNP) and Index Based Livestock Insurance (IBLI)</w:t>
            </w:r>
          </w:p>
          <w:p w:rsidR="00432B04" w:rsidRDefault="00432B04" w:rsidP="000B5F65">
            <w:pPr>
              <w:pStyle w:val="TableTextEntries"/>
            </w:pPr>
          </w:p>
          <w:p w:rsidR="00432B04" w:rsidRDefault="00432B04" w:rsidP="000B5F65">
            <w:pPr>
              <w:pStyle w:val="TableTextEntries"/>
            </w:pPr>
            <w:r>
              <w:t>Somalia Resilience Program (</w:t>
            </w:r>
            <w:proofErr w:type="spellStart"/>
            <w:r>
              <w:t>SomReP</w:t>
            </w:r>
            <w:proofErr w:type="spellEnd"/>
            <w:r>
              <w:t>)</w:t>
            </w:r>
          </w:p>
          <w:p w:rsidR="00432B04" w:rsidRDefault="00432B04" w:rsidP="000B5F65">
            <w:pPr>
              <w:pStyle w:val="TableTextEntries"/>
            </w:pPr>
          </w:p>
          <w:p w:rsidR="00432B04" w:rsidRDefault="00432B04" w:rsidP="000B5F65">
            <w:pPr>
              <w:pStyle w:val="TableTextEntries"/>
            </w:pPr>
            <w:r w:rsidRPr="00137F31">
              <w:t>Zimbabwe Multi-Donor Trust Fund (WASH)</w:t>
            </w:r>
          </w:p>
          <w:p w:rsidR="00432B04" w:rsidRDefault="00432B04" w:rsidP="000B5F65">
            <w:pPr>
              <w:pStyle w:val="TableTextEntries"/>
            </w:pPr>
          </w:p>
          <w:p w:rsidR="00432B04" w:rsidRDefault="00432B04" w:rsidP="000B5F65">
            <w:pPr>
              <w:pStyle w:val="TableTextEntries"/>
            </w:pPr>
            <w:r w:rsidRPr="00337023">
              <w:t>Australia Africa Community Engagement Scheme (AACES)</w:t>
            </w:r>
          </w:p>
          <w:p w:rsidR="00432B04" w:rsidRPr="002C113F" w:rsidRDefault="00432B04" w:rsidP="000B5F65">
            <w:pPr>
              <w:pStyle w:val="TableTextEntries"/>
            </w:pPr>
          </w:p>
        </w:tc>
        <w:tc>
          <w:tcPr>
            <w:tcW w:w="510" w:type="pct"/>
          </w:tcPr>
          <w:p w:rsidR="00432B04" w:rsidRPr="002C113F" w:rsidRDefault="00432B04" w:rsidP="000B5F65">
            <w:pPr>
              <w:pStyle w:val="TableTextEntries"/>
              <w:jc w:val="center"/>
            </w:pPr>
          </w:p>
        </w:tc>
        <w:tc>
          <w:tcPr>
            <w:tcW w:w="522" w:type="pct"/>
          </w:tcPr>
          <w:p w:rsidR="00904595" w:rsidRDefault="00904595" w:rsidP="000B5F65">
            <w:pPr>
              <w:pStyle w:val="TableTextEntries"/>
            </w:pPr>
          </w:p>
          <w:p w:rsidR="00432B04" w:rsidRDefault="00432B04" w:rsidP="000B5F65">
            <w:pPr>
              <w:pStyle w:val="TableTextEntries"/>
            </w:pPr>
            <w:r w:rsidRPr="004F1FAF">
              <w:t>INK531</w:t>
            </w: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pPr>
            <w:r>
              <w:t>INK050</w:t>
            </w: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jc w:val="center"/>
            </w:pPr>
          </w:p>
          <w:p w:rsidR="00904595" w:rsidRDefault="00904595" w:rsidP="000B5F65">
            <w:pPr>
              <w:pStyle w:val="TableTextEntries"/>
              <w:jc w:val="center"/>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INL378</w:t>
            </w: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pPr>
            <w:r w:rsidRPr="00137F31">
              <w:t>INJ532</w:t>
            </w: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jc w:val="center"/>
            </w:pPr>
          </w:p>
          <w:p w:rsidR="00432B04" w:rsidRDefault="00432B04" w:rsidP="000B5F65">
            <w:pPr>
              <w:pStyle w:val="TableTextEntries"/>
            </w:pPr>
            <w:r w:rsidRPr="00337023">
              <w:t>INJ318</w:t>
            </w:r>
          </w:p>
          <w:p w:rsidR="00432B04" w:rsidRDefault="00432B04" w:rsidP="000B5F65">
            <w:pPr>
              <w:pStyle w:val="TableTextEntries"/>
              <w:jc w:val="center"/>
            </w:pPr>
          </w:p>
          <w:p w:rsidR="00432B04" w:rsidRDefault="00432B04" w:rsidP="000B5F65">
            <w:pPr>
              <w:pStyle w:val="TableTextEntries"/>
              <w:jc w:val="center"/>
            </w:pPr>
          </w:p>
          <w:p w:rsidR="00432B04" w:rsidRPr="002C113F" w:rsidRDefault="00432B04" w:rsidP="000B5F65">
            <w:pPr>
              <w:pStyle w:val="TableTextEntries"/>
            </w:pPr>
          </w:p>
        </w:tc>
        <w:tc>
          <w:tcPr>
            <w:tcW w:w="876" w:type="pct"/>
          </w:tcPr>
          <w:p w:rsidR="00432B04" w:rsidRDefault="00432B04" w:rsidP="000B5F65">
            <w:pPr>
              <w:pStyle w:val="TableTextEntries"/>
            </w:pPr>
            <w:r>
              <w:t xml:space="preserve">Partner-led </w:t>
            </w:r>
          </w:p>
          <w:p w:rsidR="00432B04" w:rsidRDefault="00432B04" w:rsidP="000B5F65">
            <w:pPr>
              <w:pStyle w:val="TableTextEntries"/>
            </w:pPr>
            <w:r>
              <w:t>mid-term review</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 xml:space="preserve">Possible partner-led independent progress review </w:t>
            </w:r>
          </w:p>
          <w:p w:rsidR="00432B04" w:rsidRDefault="00432B04" w:rsidP="000B5F65">
            <w:pPr>
              <w:pStyle w:val="TableTextEntries"/>
            </w:pPr>
          </w:p>
          <w:p w:rsidR="00432B04" w:rsidRDefault="00432B04" w:rsidP="000B5F65">
            <w:pPr>
              <w:pStyle w:val="TableTextEntries"/>
            </w:pPr>
          </w:p>
          <w:p w:rsidR="00904595" w:rsidRDefault="00904595" w:rsidP="000B5F65">
            <w:pPr>
              <w:pStyle w:val="TableTextEntries"/>
            </w:pPr>
          </w:p>
          <w:p w:rsidR="00904595" w:rsidRDefault="00904595" w:rsidP="000B5F65">
            <w:pPr>
              <w:pStyle w:val="TableTextEntries"/>
            </w:pPr>
          </w:p>
          <w:p w:rsidR="00904595" w:rsidRDefault="00904595" w:rsidP="000B5F65">
            <w:pPr>
              <w:pStyle w:val="TableTextEntries"/>
            </w:pPr>
          </w:p>
          <w:p w:rsidR="00432B04" w:rsidRDefault="00432B04" w:rsidP="000B5F65">
            <w:pPr>
              <w:pStyle w:val="TableTextEntries"/>
            </w:pPr>
            <w:r>
              <w:t xml:space="preserve">Possible partner-led independent progress review </w:t>
            </w:r>
          </w:p>
          <w:p w:rsidR="00432B04" w:rsidRDefault="00432B04" w:rsidP="000B5F65">
            <w:pPr>
              <w:pStyle w:val="TableTextEntries"/>
            </w:pPr>
          </w:p>
          <w:p w:rsidR="00432B04" w:rsidRDefault="00432B04" w:rsidP="000B5F65">
            <w:pPr>
              <w:pStyle w:val="TableTextEntries"/>
            </w:pPr>
            <w:r>
              <w:t xml:space="preserve">Independent completion review led by </w:t>
            </w:r>
            <w:proofErr w:type="spellStart"/>
            <w:r>
              <w:t>AfDB</w:t>
            </w:r>
            <w:proofErr w:type="spellEnd"/>
          </w:p>
          <w:p w:rsidR="00432B04" w:rsidRDefault="00432B04" w:rsidP="000B5F65">
            <w:pPr>
              <w:pStyle w:val="TableTextEntries"/>
            </w:pPr>
          </w:p>
          <w:p w:rsidR="00432B04" w:rsidRDefault="00432B04" w:rsidP="000B5F65">
            <w:pPr>
              <w:pStyle w:val="TableTextEntries"/>
            </w:pPr>
            <w:r>
              <w:t>Independent Completion Review</w:t>
            </w:r>
          </w:p>
          <w:p w:rsidR="00432B04" w:rsidRDefault="00432B04" w:rsidP="000B5F65">
            <w:pPr>
              <w:pStyle w:val="TableTextEntries"/>
            </w:pPr>
          </w:p>
          <w:p w:rsidR="00432B04" w:rsidRPr="002C113F" w:rsidRDefault="00432B04" w:rsidP="000B5F65">
            <w:pPr>
              <w:pStyle w:val="TableTextEntries"/>
            </w:pPr>
          </w:p>
        </w:tc>
        <w:tc>
          <w:tcPr>
            <w:tcW w:w="129" w:type="pct"/>
          </w:tcPr>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Pr="002C113F" w:rsidRDefault="00432B04" w:rsidP="000B5F65">
            <w:pPr>
              <w:pStyle w:val="TableTextEntries"/>
            </w:pPr>
          </w:p>
        </w:tc>
        <w:tc>
          <w:tcPr>
            <w:tcW w:w="830" w:type="pct"/>
            <w:gridSpan w:val="2"/>
          </w:tcPr>
          <w:p w:rsidR="00432B04" w:rsidRDefault="00432B04" w:rsidP="000B5F65">
            <w:pPr>
              <w:pStyle w:val="TableTextEntries"/>
            </w:pPr>
            <w:r>
              <w:t>To assess progress of the investment in achieving its objectives</w:t>
            </w:r>
          </w:p>
          <w:p w:rsidR="00432B04" w:rsidRDefault="00432B04" w:rsidP="000B5F65">
            <w:pPr>
              <w:pStyle w:val="TableTextEntries"/>
            </w:pPr>
          </w:p>
          <w:p w:rsidR="00432B04" w:rsidRDefault="00432B04" w:rsidP="000B5F65">
            <w:pPr>
              <w:pStyle w:val="TableTextEntries"/>
            </w:pPr>
            <w:r>
              <w:t>To assess the success of the investment in achieving its objectives</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To assess the progress of the investment in achieving its objectives</w:t>
            </w:r>
          </w:p>
          <w:p w:rsidR="00432B04" w:rsidRDefault="00432B04" w:rsidP="000B5F65">
            <w:pPr>
              <w:pStyle w:val="TableTextEntries"/>
            </w:pPr>
          </w:p>
          <w:p w:rsidR="00432B04" w:rsidRDefault="00432B04" w:rsidP="000B5F65">
            <w:pPr>
              <w:pStyle w:val="TableTextEntries"/>
            </w:pPr>
            <w:r>
              <w:t>To assess the success of the investment in achieving its objectives</w:t>
            </w:r>
          </w:p>
          <w:p w:rsidR="00432B04" w:rsidRDefault="00432B04" w:rsidP="000B5F65">
            <w:pPr>
              <w:pStyle w:val="TableTextEntries"/>
            </w:pPr>
          </w:p>
          <w:p w:rsidR="00432B04" w:rsidRPr="002C113F" w:rsidRDefault="00432B04" w:rsidP="000B5F65">
            <w:pPr>
              <w:pStyle w:val="TableTextEntries"/>
            </w:pPr>
            <w:r>
              <w:t>To assess the success of the investment in achieving its objectives</w:t>
            </w:r>
          </w:p>
        </w:tc>
        <w:tc>
          <w:tcPr>
            <w:tcW w:w="148" w:type="pct"/>
          </w:tcPr>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Pr="002C113F" w:rsidRDefault="00432B04" w:rsidP="000B5F65">
            <w:pPr>
              <w:pStyle w:val="TableTextEntries"/>
            </w:pPr>
          </w:p>
        </w:tc>
        <w:tc>
          <w:tcPr>
            <w:tcW w:w="1401" w:type="pct"/>
          </w:tcPr>
          <w:p w:rsidR="00432B04" w:rsidRDefault="00432B04" w:rsidP="000B5F65">
            <w:pPr>
              <w:pStyle w:val="TableTextEntries"/>
            </w:pPr>
            <w:r>
              <w:t>Dec 2015</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June 2016</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2016</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 xml:space="preserve">June 2016 </w:t>
            </w: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p>
          <w:p w:rsidR="00432B04" w:rsidRDefault="00432B04" w:rsidP="000B5F65">
            <w:pPr>
              <w:pStyle w:val="TableTextEntries"/>
            </w:pPr>
            <w:r>
              <w:t>Sept/Oct 2015</w:t>
            </w:r>
          </w:p>
          <w:p w:rsidR="00432B04" w:rsidRDefault="00432B04" w:rsidP="000B5F65">
            <w:pPr>
              <w:pStyle w:val="TableTextEntries"/>
            </w:pPr>
          </w:p>
          <w:p w:rsidR="00432B04" w:rsidRDefault="00432B04" w:rsidP="000B5F65">
            <w:pPr>
              <w:pStyle w:val="TableTextEntries"/>
            </w:pPr>
          </w:p>
          <w:p w:rsidR="00432B04" w:rsidRPr="002C113F" w:rsidRDefault="00432B04" w:rsidP="000B5F65">
            <w:pPr>
              <w:pStyle w:val="TableTextEntries"/>
            </w:pPr>
          </w:p>
        </w:tc>
      </w:tr>
    </w:tbl>
    <w:p w:rsidR="00432B04" w:rsidRDefault="00432B04" w:rsidP="00432B04">
      <w:pPr>
        <w:rPr>
          <w:b/>
        </w:rPr>
        <w:sectPr w:rsidR="00432B04" w:rsidSect="00F67B7D">
          <w:footnotePr>
            <w:numRestart w:val="eachPage"/>
          </w:footnotePr>
          <w:pgSz w:w="11906" w:h="16838" w:code="9"/>
          <w:pgMar w:top="720" w:right="720" w:bottom="720" w:left="720" w:header="709" w:footer="425" w:gutter="0"/>
          <w:cols w:space="708"/>
          <w:titlePg/>
          <w:docGrid w:linePitch="360"/>
        </w:sectPr>
      </w:pPr>
    </w:p>
    <w:p w:rsidR="007D42FE" w:rsidRPr="007D42FE" w:rsidRDefault="007D42FE" w:rsidP="007D42F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42FE">
        <w:rPr>
          <w:rFonts w:ascii="Helvetica" w:eastAsia="Times New Roman" w:hAnsi="Helvetica" w:cs="Arial"/>
          <w:color w:val="007FAD"/>
          <w:kern w:val="28"/>
          <w:sz w:val="28"/>
          <w:szCs w:val="28"/>
        </w:rPr>
        <w:t>Annex D - Aid Quality Check ratings</w:t>
      </w:r>
      <w:r w:rsidR="00F67B7D">
        <w:rPr>
          <w:rFonts w:ascii="Franklin Gothic Book" w:eastAsia="Times New Roman" w:hAnsi="Franklin Gothic Book"/>
          <w:sz w:val="21"/>
        </w:rPr>
        <w:br/>
      </w:r>
      <w:proofErr w:type="gramStart"/>
      <w:r w:rsidR="00E628A5">
        <w:rPr>
          <w:rFonts w:ascii="Franklin Gothic Book" w:eastAsia="Times New Roman" w:hAnsi="Franklin Gothic Book"/>
          <w:sz w:val="21"/>
        </w:rPr>
        <w:t>T</w:t>
      </w:r>
      <w:r w:rsidR="00E628A5" w:rsidRPr="00E628A5">
        <w:rPr>
          <w:rFonts w:ascii="Franklin Gothic Book" w:eastAsia="Times New Roman" w:hAnsi="Franklin Gothic Book"/>
          <w:sz w:val="21"/>
        </w:rPr>
        <w:t>here</w:t>
      </w:r>
      <w:proofErr w:type="gramEnd"/>
      <w:r w:rsidR="00E628A5" w:rsidRPr="00E628A5">
        <w:rPr>
          <w:rFonts w:ascii="Franklin Gothic Book" w:eastAsia="Times New Roman" w:hAnsi="Franklin Gothic Book"/>
          <w:sz w:val="21"/>
        </w:rPr>
        <w:t xml:space="preserve"> have been significant changes in AQC reporting this year. </w:t>
      </w:r>
      <w:r w:rsidRPr="007D42FE">
        <w:rPr>
          <w:rFonts w:ascii="Franklin Gothic Book" w:eastAsia="Times New Roman" w:hAnsi="Franklin Gothic Book"/>
          <w:sz w:val="21"/>
        </w:rPr>
        <w:t>The previous investment level performance assessment system utilised Quality at Implementation (QAI) reports. Two criteria, Risks and Safeguards and Innovation and Private sector were not assessed in QAI reports and Innovation and Private Sector is not a quality standard.</w:t>
      </w:r>
      <w:r w:rsidR="00F67B7D">
        <w:rPr>
          <w:rFonts w:ascii="Helvetica" w:eastAsia="Times New Roman" w:hAnsi="Helvetica" w:cs="Arial"/>
          <w:b/>
          <w:color w:val="124486"/>
          <w:kern w:val="28"/>
          <w:sz w:val="22"/>
          <w:szCs w:val="22"/>
          <w:lang w:eastAsia="zh-CN"/>
        </w:rPr>
        <w:br/>
      </w:r>
      <w:r w:rsidRPr="007D42FE">
        <w:rPr>
          <w:rFonts w:ascii="Helvetica" w:eastAsia="Times New Roman" w:hAnsi="Helvetica" w:cs="Arial"/>
          <w:b/>
          <w:color w:val="124486"/>
          <w:kern w:val="28"/>
          <w:sz w:val="22"/>
          <w:szCs w:val="22"/>
          <w:lang w:eastAsia="zh-CN"/>
        </w:rPr>
        <w:t>AQC ratings</w:t>
      </w:r>
    </w:p>
    <w:tbl>
      <w:tblPr>
        <w:tblStyle w:val="APPR2"/>
        <w:tblW w:w="5013" w:type="pct"/>
        <w:tblInd w:w="-6" w:type="dxa"/>
        <w:tblBorders>
          <w:left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Caption w:val="aid quality check ratings"/>
      </w:tblPr>
      <w:tblGrid>
        <w:gridCol w:w="3665"/>
        <w:gridCol w:w="1844"/>
        <w:gridCol w:w="986"/>
        <w:gridCol w:w="1354"/>
        <w:gridCol w:w="1342"/>
        <w:gridCol w:w="1351"/>
        <w:gridCol w:w="1351"/>
        <w:gridCol w:w="1373"/>
        <w:gridCol w:w="1373"/>
        <w:gridCol w:w="1381"/>
      </w:tblGrid>
      <w:tr w:rsidR="00F67B7D" w:rsidRPr="007D42FE" w:rsidTr="00B653FE">
        <w:trPr>
          <w:cnfStyle w:val="000000010000" w:firstRow="0" w:lastRow="0" w:firstColumn="0" w:lastColumn="0" w:oddVBand="0" w:evenVBand="0" w:oddHBand="0" w:evenHBand="1" w:firstRowFirstColumn="0" w:firstRowLastColumn="0" w:lastRowFirstColumn="0" w:lastRowLastColumn="0"/>
          <w:trHeight w:val="722"/>
        </w:trPr>
        <w:tc>
          <w:tcPr>
            <w:tcW w:w="1131" w:type="pct"/>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noProof/>
                <w:sz w:val="17"/>
                <w:szCs w:val="17"/>
              </w:rPr>
              <w:drawing>
                <wp:anchor distT="0" distB="0" distL="114300" distR="114300" simplePos="0" relativeHeight="251665408" behindDoc="0" locked="0" layoutInCell="1" allowOverlap="1" wp14:anchorId="65FB48C7" wp14:editId="7423E0B8">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2FE">
              <w:rPr>
                <w:rFonts w:ascii="Franklin Gothic Medium" w:eastAsia="Times New Roman" w:hAnsi="Franklin Gothic Medium"/>
                <w:b/>
                <w:iCs/>
                <w:sz w:val="17"/>
                <w:szCs w:val="17"/>
                <w:lang w:eastAsia="en-US"/>
              </w:rPr>
              <w:t>Investment name</w:t>
            </w:r>
          </w:p>
        </w:tc>
        <w:tc>
          <w:tcPr>
            <w:tcW w:w="567"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Approved budget and duration</w:t>
            </w:r>
          </w:p>
        </w:tc>
        <w:tc>
          <w:tcPr>
            <w:tcW w:w="299"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AQC/QAI year</w:t>
            </w:r>
          </w:p>
        </w:tc>
        <w:tc>
          <w:tcPr>
            <w:tcW w:w="414"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Relevance</w:t>
            </w:r>
          </w:p>
        </w:tc>
        <w:tc>
          <w:tcPr>
            <w:tcW w:w="410"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Effectiveness</w:t>
            </w:r>
          </w:p>
        </w:tc>
        <w:tc>
          <w:tcPr>
            <w:tcW w:w="413"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Efficiency</w:t>
            </w:r>
          </w:p>
        </w:tc>
        <w:tc>
          <w:tcPr>
            <w:tcW w:w="413"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Monitoring and Evaluation</w:t>
            </w:r>
          </w:p>
        </w:tc>
        <w:tc>
          <w:tcPr>
            <w:tcW w:w="420"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Sustainability</w:t>
            </w:r>
          </w:p>
        </w:tc>
        <w:tc>
          <w:tcPr>
            <w:tcW w:w="420"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Gender equality</w:t>
            </w:r>
          </w:p>
        </w:tc>
        <w:tc>
          <w:tcPr>
            <w:tcW w:w="418"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Risks  and Safeguards</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503"/>
        </w:trPr>
        <w:tc>
          <w:tcPr>
            <w:tcW w:w="1131" w:type="pct"/>
            <w:vMerge w:val="restart"/>
          </w:tcPr>
          <w:p w:rsidR="00EA12B0" w:rsidRPr="009A4893" w:rsidRDefault="00091342" w:rsidP="00DE2CA6">
            <w:pPr>
              <w:rPr>
                <w:rFonts w:ascii="Franklin Gothic Book" w:hAnsi="Franklin Gothic Book" w:cs="Calibri"/>
                <w:sz w:val="17"/>
                <w:szCs w:val="17"/>
                <w:u w:val="single"/>
              </w:rPr>
            </w:pPr>
            <w:hyperlink r:id="rId22" w:history="1">
              <w:r w:rsidR="00EA12B0" w:rsidRPr="009A4893">
                <w:rPr>
                  <w:rStyle w:val="Hyperlink"/>
                  <w:rFonts w:ascii="Franklin Gothic Book" w:hAnsi="Franklin Gothic Book" w:cs="Calibri"/>
                  <w:color w:val="auto"/>
                  <w:sz w:val="17"/>
                  <w:szCs w:val="17"/>
                </w:rPr>
                <w:t>Australia Awards in Africa</w:t>
              </w:r>
            </w:hyperlink>
          </w:p>
          <w:p w:rsidR="00EA12B0" w:rsidRPr="009A4893" w:rsidRDefault="00EA12B0" w:rsidP="007D42FE">
            <w:pPr>
              <w:keepLines/>
              <w:spacing w:before="40" w:after="40" w:line="200" w:lineRule="atLeast"/>
              <w:rPr>
                <w:rFonts w:ascii="Franklin Gothic Book" w:eastAsia="Times New Roman" w:hAnsi="Franklin Gothic Book"/>
                <w:iCs/>
                <w:sz w:val="17"/>
                <w:szCs w:val="17"/>
                <w:lang w:eastAsia="en-US"/>
              </w:rPr>
            </w:pPr>
          </w:p>
        </w:tc>
        <w:tc>
          <w:tcPr>
            <w:tcW w:w="567" w:type="pct"/>
            <w:vMerge w:val="restart"/>
          </w:tcPr>
          <w:p w:rsidR="00EA12B0" w:rsidRPr="00B653FE" w:rsidRDefault="00E13BBB" w:rsidP="00EC6C43">
            <w:pPr>
              <w:rPr>
                <w:rFonts w:ascii="Franklin Gothic Book" w:eastAsia="Times New Roman" w:hAnsi="Franklin Gothic Book"/>
                <w:iCs/>
                <w:sz w:val="17"/>
                <w:szCs w:val="17"/>
                <w:lang w:eastAsia="en-US"/>
              </w:rPr>
            </w:pPr>
            <w:r>
              <w:rPr>
                <w:rFonts w:ascii="Franklin Gothic Book" w:hAnsi="Franklin Gothic Book" w:cs="Tahoma"/>
                <w:color w:val="000000"/>
                <w:sz w:val="17"/>
                <w:szCs w:val="17"/>
              </w:rPr>
              <w:t>$1</w:t>
            </w:r>
            <w:r w:rsidR="00EC6C43">
              <w:rPr>
                <w:rFonts w:ascii="Franklin Gothic Book" w:hAnsi="Franklin Gothic Book" w:cs="Tahoma"/>
                <w:color w:val="000000"/>
                <w:sz w:val="17"/>
                <w:szCs w:val="17"/>
              </w:rPr>
              <w:t>72</w:t>
            </w:r>
            <w:r>
              <w:rPr>
                <w:rFonts w:ascii="Franklin Gothic Book" w:hAnsi="Franklin Gothic Book" w:cs="Tahoma"/>
                <w:color w:val="000000"/>
                <w:sz w:val="17"/>
                <w:szCs w:val="17"/>
              </w:rPr>
              <w:t xml:space="preserve"> million</w:t>
            </w:r>
            <w:r w:rsidR="00EA12B0" w:rsidRPr="00B653FE">
              <w:rPr>
                <w:rFonts w:ascii="Franklin Gothic Book" w:hAnsi="Franklin Gothic Book" w:cs="Tahoma"/>
                <w:color w:val="000000"/>
                <w:sz w:val="17"/>
                <w:szCs w:val="17"/>
              </w:rPr>
              <w:br/>
              <w:t xml:space="preserve">15 Oct 2009 - </w:t>
            </w:r>
            <w:r w:rsidR="00EA12B0" w:rsidRPr="00B653FE">
              <w:rPr>
                <w:rFonts w:ascii="Franklin Gothic Book" w:hAnsi="Franklin Gothic Book" w:cs="Tahoma"/>
                <w:color w:val="000000"/>
                <w:sz w:val="17"/>
                <w:szCs w:val="17"/>
              </w:rPr>
              <w:br/>
              <w:t xml:space="preserve">31 </w:t>
            </w:r>
            <w:r w:rsidR="00EC6C43">
              <w:rPr>
                <w:rFonts w:ascii="Franklin Gothic Book" w:hAnsi="Franklin Gothic Book" w:cs="Tahoma"/>
                <w:color w:val="000000"/>
                <w:sz w:val="17"/>
                <w:szCs w:val="17"/>
              </w:rPr>
              <w:t>Mar 2016</w:t>
            </w:r>
          </w:p>
        </w:tc>
        <w:tc>
          <w:tcPr>
            <w:tcW w:w="299" w:type="pct"/>
          </w:tcPr>
          <w:p w:rsidR="00EA12B0" w:rsidRPr="00B653FE" w:rsidRDefault="00EA12B0"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0"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3"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3"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20"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20" w:type="pct"/>
            <w:vMerge w:val="restar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8" w:type="pct"/>
            <w:vMerge w:val="restart"/>
            <w:shd w:val="clear" w:color="auto" w:fill="92D050"/>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r>
      <w:tr w:rsidR="00F67B7D" w:rsidRPr="007D42FE" w:rsidTr="005D2D63">
        <w:trPr>
          <w:cnfStyle w:val="000000010000" w:firstRow="0" w:lastRow="0" w:firstColumn="0" w:lastColumn="0" w:oddVBand="0" w:evenVBand="0" w:oddHBand="0" w:evenHBand="1" w:firstRowFirstColumn="0" w:firstRowLastColumn="0" w:lastRowFirstColumn="0" w:lastRowLastColumn="0"/>
          <w:trHeight w:val="229"/>
        </w:trPr>
        <w:tc>
          <w:tcPr>
            <w:tcW w:w="1131" w:type="pct"/>
            <w:vMerge/>
          </w:tcPr>
          <w:p w:rsidR="00EA12B0" w:rsidRPr="009A4893" w:rsidRDefault="00EA12B0" w:rsidP="00DE2CA6">
            <w:pPr>
              <w:rPr>
                <w:rFonts w:ascii="Franklin Gothic Book" w:hAnsi="Franklin Gothic Book" w:cs="Calibri"/>
                <w:sz w:val="17"/>
                <w:szCs w:val="17"/>
                <w:u w:val="single"/>
              </w:rPr>
            </w:pPr>
          </w:p>
        </w:tc>
        <w:tc>
          <w:tcPr>
            <w:tcW w:w="567" w:type="pct"/>
            <w:vMerge/>
          </w:tcPr>
          <w:p w:rsidR="00EA12B0" w:rsidRPr="00B653FE" w:rsidRDefault="00EA12B0" w:rsidP="00DE2CA6">
            <w:pPr>
              <w:rPr>
                <w:rFonts w:ascii="Franklin Gothic Book" w:hAnsi="Franklin Gothic Book" w:cs="Tahoma"/>
                <w:color w:val="000000"/>
                <w:sz w:val="17"/>
                <w:szCs w:val="17"/>
              </w:rPr>
            </w:pPr>
          </w:p>
        </w:tc>
        <w:tc>
          <w:tcPr>
            <w:tcW w:w="299" w:type="pct"/>
          </w:tcPr>
          <w:p w:rsidR="00EA12B0" w:rsidRPr="00B653FE" w:rsidRDefault="00EA12B0" w:rsidP="007D42FE">
            <w:pPr>
              <w:keepLines/>
              <w:spacing w:before="40" w:after="40" w:line="200" w:lineRule="atLeast"/>
              <w:rPr>
                <w:rFonts w:ascii="Franklin Gothic Book" w:eastAsia="Times New Roman" w:hAnsi="Franklin Gothic Book"/>
                <w:iCs/>
                <w:sz w:val="17"/>
                <w:szCs w:val="17"/>
                <w:lang w:eastAsia="en-US"/>
              </w:rPr>
            </w:pPr>
          </w:p>
        </w:tc>
        <w:tc>
          <w:tcPr>
            <w:tcW w:w="414"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10"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13"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13"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20"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20" w:type="pct"/>
            <w:vMerge/>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c>
          <w:tcPr>
            <w:tcW w:w="418" w:type="pct"/>
            <w:vMerge/>
            <w:shd w:val="clear" w:color="auto" w:fill="92D050"/>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A12B0" w:rsidRPr="009A4893" w:rsidRDefault="00EA12B0" w:rsidP="00DE2CA6">
            <w:pPr>
              <w:rPr>
                <w:rFonts w:ascii="Franklin Gothic Book" w:hAnsi="Franklin Gothic Book" w:cs="Calibri"/>
                <w:sz w:val="17"/>
                <w:szCs w:val="17"/>
              </w:rPr>
            </w:pPr>
            <w:r w:rsidRPr="009A4893">
              <w:rPr>
                <w:rFonts w:ascii="Franklin Gothic Book" w:hAnsi="Franklin Gothic Book" w:cs="Calibri"/>
                <w:sz w:val="17"/>
                <w:szCs w:val="17"/>
              </w:rPr>
              <w:t>Zimbabwe Food Security - AECF Zimbabwe Window</w:t>
            </w:r>
          </w:p>
        </w:tc>
        <w:tc>
          <w:tcPr>
            <w:tcW w:w="567" w:type="pct"/>
          </w:tcPr>
          <w:p w:rsidR="00EA12B0" w:rsidRPr="00B653FE" w:rsidRDefault="008C114B"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$33 million</w:t>
            </w:r>
            <w:r w:rsidRPr="00B653FE">
              <w:rPr>
                <w:rFonts w:ascii="Franklin Gothic Book" w:hAnsi="Franklin Gothic Book" w:cs="Tahoma"/>
                <w:color w:val="000000"/>
                <w:sz w:val="17"/>
                <w:szCs w:val="17"/>
              </w:rPr>
              <w:br/>
            </w:r>
            <w:r w:rsidRPr="00B653FE">
              <w:rPr>
                <w:rFonts w:ascii="Franklin Gothic Book" w:hAnsi="Franklin Gothic Book"/>
                <w:sz w:val="17"/>
                <w:szCs w:val="17"/>
                <w:lang w:eastAsia="zh-CN"/>
              </w:rPr>
              <w:t>2010-2019</w:t>
            </w:r>
          </w:p>
        </w:tc>
        <w:tc>
          <w:tcPr>
            <w:tcW w:w="299" w:type="pct"/>
          </w:tcPr>
          <w:p w:rsidR="00EA12B0" w:rsidRPr="00B653FE" w:rsidRDefault="00EA12B0"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C00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20" w:type="pct"/>
            <w:shd w:val="clear" w:color="auto" w:fill="FFC000"/>
            <w:noWrap/>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8" w:type="pct"/>
            <w:shd w:val="clear" w:color="auto" w:fill="92D050"/>
            <w:vAlign w:val="center"/>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A12B0" w:rsidRPr="009A4893" w:rsidRDefault="00EA12B0" w:rsidP="00DE2CA6">
            <w:pPr>
              <w:rPr>
                <w:rFonts w:ascii="Franklin Gothic Book" w:hAnsi="Franklin Gothic Book" w:cs="Calibri"/>
                <w:sz w:val="17"/>
                <w:szCs w:val="17"/>
              </w:rPr>
            </w:pPr>
          </w:p>
        </w:tc>
        <w:tc>
          <w:tcPr>
            <w:tcW w:w="567" w:type="pct"/>
          </w:tcPr>
          <w:p w:rsidR="00EA12B0" w:rsidRPr="00B653FE" w:rsidRDefault="00EA12B0" w:rsidP="00DE2CA6">
            <w:pPr>
              <w:rPr>
                <w:rFonts w:ascii="Franklin Gothic Book" w:hAnsi="Franklin Gothic Book" w:cs="Tahoma"/>
                <w:color w:val="000000"/>
                <w:sz w:val="17"/>
                <w:szCs w:val="17"/>
              </w:rPr>
            </w:pPr>
          </w:p>
        </w:tc>
        <w:tc>
          <w:tcPr>
            <w:tcW w:w="299" w:type="pct"/>
          </w:tcPr>
          <w:p w:rsidR="00EA12B0" w:rsidRPr="00B653FE" w:rsidRDefault="00A25446"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0" w:type="pct"/>
            <w:shd w:val="clear" w:color="auto" w:fill="FFFF0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3" w:type="pct"/>
            <w:shd w:val="clear" w:color="auto" w:fill="FFFF0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3" w:type="pct"/>
            <w:shd w:val="clear" w:color="auto" w:fill="FFFF0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20" w:type="pct"/>
            <w:shd w:val="clear" w:color="auto" w:fill="FFFF0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20" w:type="pct"/>
            <w:shd w:val="clear" w:color="auto" w:fill="FFC000"/>
            <w:noWrap/>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8" w:type="pct"/>
            <w:shd w:val="clear" w:color="auto" w:fill="FFFFFF" w:themeFill="background1"/>
          </w:tcPr>
          <w:p w:rsidR="00EA12B0" w:rsidRPr="00B653FE" w:rsidRDefault="00EA12B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A25446" w:rsidRPr="009A4893" w:rsidRDefault="00A25446" w:rsidP="00DE2CA6">
            <w:pPr>
              <w:rPr>
                <w:rFonts w:ascii="Franklin Gothic Book" w:hAnsi="Franklin Gothic Book" w:cs="Calibri"/>
                <w:sz w:val="17"/>
                <w:szCs w:val="17"/>
              </w:rPr>
            </w:pPr>
            <w:r w:rsidRPr="009A4893">
              <w:rPr>
                <w:rFonts w:ascii="Franklin Gothic Book" w:hAnsi="Franklin Gothic Book" w:cs="Calibri"/>
                <w:sz w:val="17"/>
                <w:szCs w:val="17"/>
              </w:rPr>
              <w:t>Support for democratic reform in Zimbabwe</w:t>
            </w:r>
          </w:p>
        </w:tc>
        <w:tc>
          <w:tcPr>
            <w:tcW w:w="567" w:type="pct"/>
          </w:tcPr>
          <w:p w:rsidR="00A25446" w:rsidRPr="00B653FE" w:rsidRDefault="008C114B"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$4.4 million</w:t>
            </w:r>
            <w:r w:rsidRPr="00B653FE">
              <w:rPr>
                <w:rFonts w:ascii="Franklin Gothic Book" w:hAnsi="Franklin Gothic Book" w:cs="Tahoma"/>
                <w:color w:val="000000"/>
                <w:sz w:val="17"/>
                <w:szCs w:val="17"/>
              </w:rPr>
              <w:br/>
              <w:t>2010-Dec 2016</w:t>
            </w:r>
          </w:p>
        </w:tc>
        <w:tc>
          <w:tcPr>
            <w:tcW w:w="299" w:type="pct"/>
          </w:tcPr>
          <w:p w:rsidR="00A25446" w:rsidRPr="00B653FE" w:rsidRDefault="00A25446"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C0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3" w:type="pct"/>
            <w:shd w:val="clear" w:color="auto" w:fill="92D05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20" w:type="pct"/>
            <w:shd w:val="clear" w:color="auto" w:fill="FFFF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8" w:type="pct"/>
            <w:shd w:val="clear" w:color="auto" w:fill="FFFFFF" w:themeFill="background1"/>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p>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A12B0" w:rsidRPr="009A4893" w:rsidRDefault="00EA12B0" w:rsidP="00DE2CA6">
            <w:pPr>
              <w:rPr>
                <w:rFonts w:ascii="Franklin Gothic Book" w:hAnsi="Franklin Gothic Book" w:cs="Calibri"/>
                <w:sz w:val="17"/>
                <w:szCs w:val="17"/>
              </w:rPr>
            </w:pPr>
          </w:p>
        </w:tc>
        <w:tc>
          <w:tcPr>
            <w:tcW w:w="567" w:type="pct"/>
          </w:tcPr>
          <w:p w:rsidR="00EA12B0" w:rsidRPr="00B653FE" w:rsidRDefault="00EA12B0" w:rsidP="00DE2CA6">
            <w:pPr>
              <w:rPr>
                <w:rFonts w:ascii="Franklin Gothic Book" w:hAnsi="Franklin Gothic Book" w:cs="Tahoma"/>
                <w:color w:val="000000"/>
                <w:sz w:val="17"/>
                <w:szCs w:val="17"/>
              </w:rPr>
            </w:pPr>
          </w:p>
        </w:tc>
        <w:tc>
          <w:tcPr>
            <w:tcW w:w="299" w:type="pct"/>
          </w:tcPr>
          <w:p w:rsidR="00EA12B0" w:rsidRPr="00B653FE" w:rsidRDefault="00A25446"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0" w:type="pct"/>
            <w:shd w:val="clear" w:color="auto" w:fill="FFFF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3" w:type="pct"/>
            <w:shd w:val="clear" w:color="auto" w:fill="FFC0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3" w:type="pct"/>
            <w:shd w:val="clear" w:color="auto" w:fill="92D05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20" w:type="pct"/>
            <w:shd w:val="clear" w:color="auto" w:fill="FFFF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20" w:type="pct"/>
            <w:shd w:val="clear" w:color="auto" w:fill="FFFF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8" w:type="pct"/>
            <w:shd w:val="clear" w:color="auto" w:fill="FFFFFF" w:themeFill="background1"/>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751164" w:rsidRPr="009A4893" w:rsidRDefault="00751164" w:rsidP="00DE2CA6">
            <w:pPr>
              <w:rPr>
                <w:rFonts w:ascii="Franklin Gothic Book" w:hAnsi="Franklin Gothic Book" w:cs="Calibri"/>
                <w:sz w:val="17"/>
                <w:szCs w:val="17"/>
              </w:rPr>
            </w:pPr>
            <w:r w:rsidRPr="009A4893">
              <w:rPr>
                <w:rFonts w:ascii="Franklin Gothic Book" w:hAnsi="Franklin Gothic Book" w:cs="Calibri"/>
                <w:sz w:val="17"/>
                <w:szCs w:val="17"/>
              </w:rPr>
              <w:t>Support to Ethiopia HSDP IV</w:t>
            </w:r>
          </w:p>
        </w:tc>
        <w:tc>
          <w:tcPr>
            <w:tcW w:w="567" w:type="pct"/>
          </w:tcPr>
          <w:p w:rsidR="00751164" w:rsidRPr="00B653FE" w:rsidRDefault="008C114B"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$26 million</w:t>
            </w:r>
            <w:r w:rsidRPr="00B653FE">
              <w:rPr>
                <w:rFonts w:ascii="Franklin Gothic Book" w:hAnsi="Franklin Gothic Book" w:cs="Tahoma"/>
                <w:color w:val="000000"/>
                <w:sz w:val="17"/>
                <w:szCs w:val="17"/>
              </w:rPr>
              <w:br/>
              <w:t>2011 – June 2015</w:t>
            </w:r>
          </w:p>
        </w:tc>
        <w:tc>
          <w:tcPr>
            <w:tcW w:w="299" w:type="pct"/>
          </w:tcPr>
          <w:p w:rsidR="00751164" w:rsidRPr="00B653FE" w:rsidRDefault="00751164"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3"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C0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shd w:val="clear" w:color="auto" w:fill="FFC000"/>
              </w:rPr>
              <w:t>3</w:t>
            </w:r>
          </w:p>
        </w:tc>
        <w:tc>
          <w:tcPr>
            <w:tcW w:w="418" w:type="pct"/>
            <w:shd w:val="clear" w:color="auto" w:fill="FFFF00"/>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A12B0" w:rsidRPr="009A4893" w:rsidRDefault="00EA12B0" w:rsidP="00DE2CA6">
            <w:pPr>
              <w:rPr>
                <w:rFonts w:ascii="Franklin Gothic Book" w:hAnsi="Franklin Gothic Book" w:cs="Calibri"/>
                <w:sz w:val="17"/>
                <w:szCs w:val="17"/>
              </w:rPr>
            </w:pPr>
          </w:p>
        </w:tc>
        <w:tc>
          <w:tcPr>
            <w:tcW w:w="567" w:type="pct"/>
          </w:tcPr>
          <w:p w:rsidR="00EA12B0" w:rsidRPr="00B653FE" w:rsidRDefault="00EA12B0" w:rsidP="00DE2CA6">
            <w:pPr>
              <w:rPr>
                <w:rFonts w:ascii="Franklin Gothic Book" w:hAnsi="Franklin Gothic Book" w:cs="Tahoma"/>
                <w:color w:val="000000"/>
                <w:sz w:val="17"/>
                <w:szCs w:val="17"/>
              </w:rPr>
            </w:pPr>
          </w:p>
        </w:tc>
        <w:tc>
          <w:tcPr>
            <w:tcW w:w="299" w:type="pct"/>
          </w:tcPr>
          <w:p w:rsidR="00EA12B0" w:rsidRPr="00B653FE" w:rsidRDefault="00EA12B0" w:rsidP="007D42FE">
            <w:pPr>
              <w:keepLines/>
              <w:spacing w:before="40" w:after="40" w:line="200" w:lineRule="atLeast"/>
              <w:rPr>
                <w:rFonts w:ascii="Franklin Gothic Book" w:eastAsia="Times New Roman" w:hAnsi="Franklin Gothic Book"/>
                <w:iCs/>
                <w:sz w:val="17"/>
                <w:szCs w:val="17"/>
                <w:lang w:eastAsia="en-US"/>
              </w:rPr>
            </w:pPr>
          </w:p>
        </w:tc>
        <w:tc>
          <w:tcPr>
            <w:tcW w:w="414" w:type="pct"/>
            <w:shd w:val="clear" w:color="auto" w:fill="92D050"/>
            <w:noWrap/>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0" w:type="pct"/>
            <w:shd w:val="clear" w:color="auto" w:fill="FFC000"/>
            <w:noWrap/>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3" w:type="pct"/>
            <w:shd w:val="clear" w:color="auto" w:fill="FFC000"/>
            <w:noWrap/>
          </w:tcPr>
          <w:p w:rsidR="00EA12B0" w:rsidRPr="00B653FE" w:rsidRDefault="00751164" w:rsidP="00751164">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3" w:type="pct"/>
            <w:shd w:val="clear" w:color="auto" w:fill="FFC000"/>
            <w:noWrap/>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20" w:type="pct"/>
            <w:shd w:val="clear" w:color="auto" w:fill="FFFF00"/>
            <w:noWrap/>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20" w:type="pct"/>
            <w:shd w:val="clear" w:color="auto" w:fill="FFFF00"/>
            <w:noWrap/>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8" w:type="pct"/>
            <w:shd w:val="clear" w:color="auto" w:fill="FFFFFF" w:themeFill="background1"/>
          </w:tcPr>
          <w:p w:rsidR="00EA12B0"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A25446" w:rsidRPr="009A4893" w:rsidRDefault="00A25446" w:rsidP="00DE2CA6">
            <w:pPr>
              <w:rPr>
                <w:rFonts w:ascii="Franklin Gothic Book" w:hAnsi="Franklin Gothic Book" w:cs="Calibri"/>
                <w:sz w:val="17"/>
                <w:szCs w:val="17"/>
              </w:rPr>
            </w:pPr>
            <w:r w:rsidRPr="009A4893">
              <w:rPr>
                <w:rFonts w:ascii="Franklin Gothic Book" w:hAnsi="Franklin Gothic Book" w:cs="Calibri"/>
                <w:sz w:val="17"/>
                <w:szCs w:val="17"/>
              </w:rPr>
              <w:t>Zimbabwe Multi-Donor Trust Fund</w:t>
            </w:r>
          </w:p>
        </w:tc>
        <w:tc>
          <w:tcPr>
            <w:tcW w:w="567" w:type="pct"/>
          </w:tcPr>
          <w:p w:rsidR="00A25446" w:rsidRPr="00B653FE" w:rsidRDefault="008C114B"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$20 million</w:t>
            </w:r>
            <w:r w:rsidRPr="00B653FE">
              <w:rPr>
                <w:rFonts w:ascii="Franklin Gothic Book" w:hAnsi="Franklin Gothic Book" w:cs="Tahoma"/>
                <w:color w:val="000000"/>
                <w:sz w:val="17"/>
                <w:szCs w:val="17"/>
              </w:rPr>
              <w:br/>
              <w:t>2011 – June 2017</w:t>
            </w:r>
          </w:p>
        </w:tc>
        <w:tc>
          <w:tcPr>
            <w:tcW w:w="299" w:type="pct"/>
          </w:tcPr>
          <w:p w:rsidR="00A25446" w:rsidRPr="00B653FE" w:rsidRDefault="00A25446"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C0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3" w:type="pct"/>
            <w:shd w:val="clear" w:color="auto" w:fill="FFC0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20" w:type="pct"/>
            <w:shd w:val="clear" w:color="auto" w:fill="FFFF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C000"/>
            <w:noWrap/>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8" w:type="pct"/>
            <w:shd w:val="clear" w:color="auto" w:fill="FFFF00"/>
            <w:vAlign w:val="center"/>
          </w:tcPr>
          <w:p w:rsidR="00A25446"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A12B0" w:rsidRPr="009A4893" w:rsidRDefault="00EA12B0" w:rsidP="00DE2CA6">
            <w:pPr>
              <w:rPr>
                <w:rFonts w:ascii="Franklin Gothic Book" w:hAnsi="Franklin Gothic Book" w:cs="Calibri"/>
                <w:sz w:val="17"/>
                <w:szCs w:val="17"/>
              </w:rPr>
            </w:pPr>
          </w:p>
        </w:tc>
        <w:tc>
          <w:tcPr>
            <w:tcW w:w="567" w:type="pct"/>
          </w:tcPr>
          <w:p w:rsidR="00EA12B0" w:rsidRPr="00B653FE" w:rsidRDefault="00EA12B0" w:rsidP="00DE2CA6">
            <w:pPr>
              <w:rPr>
                <w:rFonts w:ascii="Franklin Gothic Book" w:hAnsi="Franklin Gothic Book" w:cs="Tahoma"/>
                <w:color w:val="000000"/>
                <w:sz w:val="17"/>
                <w:szCs w:val="17"/>
              </w:rPr>
            </w:pPr>
          </w:p>
        </w:tc>
        <w:tc>
          <w:tcPr>
            <w:tcW w:w="299" w:type="pct"/>
          </w:tcPr>
          <w:p w:rsidR="00EA12B0" w:rsidRPr="00B653FE" w:rsidRDefault="00A25446"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0" w:type="pct"/>
            <w:shd w:val="clear" w:color="auto" w:fill="FFFF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3" w:type="pct"/>
            <w:shd w:val="clear" w:color="auto" w:fill="FFC0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3" w:type="pct"/>
            <w:shd w:val="clear" w:color="auto" w:fill="FF00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w:t>
            </w:r>
          </w:p>
        </w:tc>
        <w:tc>
          <w:tcPr>
            <w:tcW w:w="420" w:type="pct"/>
            <w:shd w:val="clear" w:color="auto" w:fill="FFFF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20" w:type="pct"/>
            <w:shd w:val="clear" w:color="auto" w:fill="FF0000"/>
            <w:noWrap/>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w:t>
            </w:r>
          </w:p>
        </w:tc>
        <w:tc>
          <w:tcPr>
            <w:tcW w:w="418" w:type="pct"/>
            <w:shd w:val="clear" w:color="auto" w:fill="FFFFFF" w:themeFill="background1"/>
          </w:tcPr>
          <w:p w:rsidR="00EA12B0" w:rsidRPr="00B653FE" w:rsidRDefault="00A25446"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450980" w:rsidRPr="009A4893" w:rsidRDefault="00450980" w:rsidP="00DE2CA6">
            <w:pPr>
              <w:rPr>
                <w:rFonts w:ascii="Franklin Gothic Book" w:hAnsi="Franklin Gothic Book" w:cs="Calibri"/>
                <w:sz w:val="17"/>
                <w:szCs w:val="17"/>
              </w:rPr>
            </w:pPr>
            <w:r w:rsidRPr="009A4893">
              <w:rPr>
                <w:rFonts w:ascii="Franklin Gothic Book" w:hAnsi="Franklin Gothic Book" w:cs="Calibri"/>
                <w:sz w:val="17"/>
                <w:szCs w:val="17"/>
              </w:rPr>
              <w:t>Small Towns Water Sanitation and Hygiene Program</w:t>
            </w:r>
            <w:r w:rsidR="005974E9">
              <w:rPr>
                <w:rFonts w:ascii="Franklin Gothic Book" w:hAnsi="Franklin Gothic Book" w:cs="Calibri"/>
                <w:sz w:val="17"/>
                <w:szCs w:val="17"/>
              </w:rPr>
              <w:t xml:space="preserve"> (Zimbabwe)</w:t>
            </w:r>
          </w:p>
        </w:tc>
        <w:tc>
          <w:tcPr>
            <w:tcW w:w="567" w:type="pct"/>
          </w:tcPr>
          <w:p w:rsidR="00450980" w:rsidRPr="00B653FE" w:rsidRDefault="00B653FE"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$28.9 million</w:t>
            </w:r>
            <w:r w:rsidR="00EF5807" w:rsidRPr="00B653FE">
              <w:rPr>
                <w:rFonts w:ascii="Franklin Gothic Book" w:hAnsi="Franklin Gothic Book" w:cs="Tahoma"/>
                <w:color w:val="000000"/>
                <w:sz w:val="17"/>
                <w:szCs w:val="17"/>
              </w:rPr>
              <w:br/>
              <w:t>2013 – June 2017</w:t>
            </w:r>
          </w:p>
        </w:tc>
        <w:tc>
          <w:tcPr>
            <w:tcW w:w="299" w:type="pct"/>
          </w:tcPr>
          <w:p w:rsidR="00450980" w:rsidRPr="00B653FE" w:rsidRDefault="00450980"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8" w:type="pct"/>
            <w:shd w:val="clear" w:color="auto" w:fill="92D050"/>
            <w:vAlign w:val="center"/>
          </w:tcPr>
          <w:p w:rsidR="00450980" w:rsidRPr="00B653FE" w:rsidRDefault="00450980"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r>
      <w:tr w:rsidR="00F67B7D" w:rsidRPr="007D42FE" w:rsidTr="00B653FE">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450980" w:rsidRPr="009A4893" w:rsidRDefault="00450980" w:rsidP="00DE2CA6">
            <w:pPr>
              <w:rPr>
                <w:rFonts w:ascii="Franklin Gothic Book" w:hAnsi="Franklin Gothic Book" w:cs="Calibri"/>
                <w:sz w:val="17"/>
                <w:szCs w:val="17"/>
              </w:rPr>
            </w:pPr>
          </w:p>
        </w:tc>
        <w:tc>
          <w:tcPr>
            <w:tcW w:w="567" w:type="pct"/>
          </w:tcPr>
          <w:p w:rsidR="00450980" w:rsidRPr="00B653FE" w:rsidRDefault="00450980" w:rsidP="00DE2CA6">
            <w:pPr>
              <w:rPr>
                <w:rFonts w:ascii="Franklin Gothic Book" w:hAnsi="Franklin Gothic Book" w:cs="Tahoma"/>
                <w:color w:val="000000"/>
                <w:sz w:val="17"/>
                <w:szCs w:val="17"/>
              </w:rPr>
            </w:pPr>
          </w:p>
        </w:tc>
        <w:tc>
          <w:tcPr>
            <w:tcW w:w="299" w:type="pct"/>
          </w:tcPr>
          <w:p w:rsidR="00450980" w:rsidRPr="00B653FE" w:rsidRDefault="00450980"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92D05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20" w:type="pct"/>
            <w:shd w:val="clear" w:color="auto" w:fill="FFFF0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20" w:type="pct"/>
            <w:shd w:val="clear" w:color="auto" w:fill="92D050"/>
            <w:noWrap/>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8" w:type="pct"/>
            <w:shd w:val="clear" w:color="auto" w:fill="FFFFFF" w:themeFill="background1"/>
            <w:vAlign w:val="center"/>
          </w:tcPr>
          <w:p w:rsidR="00450980" w:rsidRPr="00B653FE" w:rsidRDefault="00450980"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N</w:t>
            </w:r>
            <w:r w:rsidRPr="00B653FE">
              <w:rPr>
                <w:rFonts w:ascii="Franklin Gothic Book" w:hAnsi="Franklin Gothic Book" w:cs="Tahoma"/>
                <w:color w:val="000000"/>
                <w:sz w:val="17"/>
                <w:szCs w:val="17"/>
                <w:shd w:val="clear" w:color="auto" w:fill="FFFFFF" w:themeFill="background1"/>
              </w:rPr>
              <w:t>/A</w:t>
            </w:r>
          </w:p>
        </w:tc>
      </w:tr>
      <w:tr w:rsidR="000F18E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0F18EA" w:rsidRPr="009A4893" w:rsidRDefault="000F18EA" w:rsidP="00DE2CA6">
            <w:pPr>
              <w:rPr>
                <w:rFonts w:ascii="Franklin Gothic Book" w:hAnsi="Franklin Gothic Book" w:cs="Calibri"/>
                <w:sz w:val="17"/>
                <w:szCs w:val="17"/>
              </w:rPr>
            </w:pPr>
            <w:r w:rsidRPr="009A4893">
              <w:rPr>
                <w:rFonts w:ascii="Franklin Gothic Book" w:hAnsi="Franklin Gothic Book" w:cs="Calibri"/>
                <w:sz w:val="17"/>
                <w:szCs w:val="17"/>
              </w:rPr>
              <w:t>Improving Agricultural Productivity in Africa (P1)</w:t>
            </w:r>
          </w:p>
        </w:tc>
        <w:tc>
          <w:tcPr>
            <w:tcW w:w="567" w:type="pct"/>
          </w:tcPr>
          <w:p w:rsidR="000F18EA" w:rsidRPr="00B653FE" w:rsidRDefault="00B653FE"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$42.8 million</w:t>
            </w:r>
            <w:r w:rsidRPr="00B653FE">
              <w:rPr>
                <w:rFonts w:ascii="Franklin Gothic Book" w:hAnsi="Franklin Gothic Book" w:cs="Tahoma"/>
                <w:color w:val="000000"/>
                <w:sz w:val="17"/>
                <w:szCs w:val="17"/>
              </w:rPr>
              <w:br/>
              <w:t>2010 – June 2017</w:t>
            </w:r>
          </w:p>
        </w:tc>
        <w:tc>
          <w:tcPr>
            <w:tcW w:w="299"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20" w:type="pct"/>
            <w:shd w:val="clear" w:color="auto" w:fill="FFC0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3</w:t>
            </w:r>
          </w:p>
        </w:tc>
        <w:tc>
          <w:tcPr>
            <w:tcW w:w="418" w:type="pct"/>
            <w:shd w:val="clear" w:color="auto" w:fill="FFFFFF" w:themeFill="background1"/>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r>
      <w:tr w:rsidR="000F18E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0F18EA" w:rsidRPr="009A4893" w:rsidRDefault="000F18EA" w:rsidP="00DE2CA6">
            <w:pPr>
              <w:rPr>
                <w:rFonts w:ascii="Franklin Gothic Book" w:hAnsi="Franklin Gothic Book" w:cs="Calibri"/>
                <w:sz w:val="17"/>
                <w:szCs w:val="17"/>
              </w:rPr>
            </w:pPr>
          </w:p>
        </w:tc>
        <w:tc>
          <w:tcPr>
            <w:tcW w:w="567" w:type="pct"/>
          </w:tcPr>
          <w:p w:rsidR="000F18EA" w:rsidRPr="00B653FE" w:rsidRDefault="000F18EA" w:rsidP="00DE2CA6">
            <w:pPr>
              <w:rPr>
                <w:rFonts w:ascii="Franklin Gothic Book" w:hAnsi="Franklin Gothic Book" w:cs="Tahoma"/>
                <w:color w:val="000000"/>
                <w:sz w:val="17"/>
                <w:szCs w:val="17"/>
              </w:rPr>
            </w:pPr>
          </w:p>
        </w:tc>
        <w:tc>
          <w:tcPr>
            <w:tcW w:w="299"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13"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20" w:type="pct"/>
            <w:shd w:val="clear" w:color="auto" w:fill="FFFF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4</w:t>
            </w:r>
          </w:p>
        </w:tc>
        <w:tc>
          <w:tcPr>
            <w:tcW w:w="420" w:type="pct"/>
            <w:shd w:val="clear" w:color="auto" w:fill="FFC00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3</w:t>
            </w:r>
          </w:p>
        </w:tc>
        <w:tc>
          <w:tcPr>
            <w:tcW w:w="418" w:type="pct"/>
            <w:shd w:val="clear" w:color="auto" w:fill="FFFFFF" w:themeFill="background1"/>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N/A</w:t>
            </w:r>
          </w:p>
        </w:tc>
      </w:tr>
      <w:tr w:rsidR="000F18E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0F18EA" w:rsidRPr="009A4893" w:rsidRDefault="000F18EA" w:rsidP="00DE2CA6">
            <w:pPr>
              <w:rPr>
                <w:rFonts w:ascii="Franklin Gothic Book" w:hAnsi="Franklin Gothic Book" w:cs="Calibri"/>
                <w:sz w:val="17"/>
                <w:szCs w:val="17"/>
              </w:rPr>
            </w:pPr>
            <w:r w:rsidRPr="009A4893">
              <w:rPr>
                <w:rFonts w:ascii="Franklin Gothic Book" w:hAnsi="Franklin Gothic Book" w:cs="Calibri"/>
                <w:sz w:val="17"/>
                <w:szCs w:val="17"/>
              </w:rPr>
              <w:t>Australia Africa Community</w:t>
            </w:r>
            <w:r w:rsidR="00B653FE" w:rsidRPr="009A4893">
              <w:rPr>
                <w:rFonts w:ascii="Franklin Gothic Book" w:hAnsi="Franklin Gothic Book" w:cs="Calibri"/>
                <w:sz w:val="17"/>
                <w:szCs w:val="17"/>
              </w:rPr>
              <w:t xml:space="preserve"> Engagement Scheme</w:t>
            </w:r>
          </w:p>
        </w:tc>
        <w:tc>
          <w:tcPr>
            <w:tcW w:w="567" w:type="pct"/>
          </w:tcPr>
          <w:p w:rsidR="000F18EA" w:rsidRPr="00B653FE" w:rsidRDefault="00B653FE"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$90 million</w:t>
            </w:r>
          </w:p>
          <w:p w:rsidR="00B653FE" w:rsidRPr="00B653FE" w:rsidRDefault="00B653FE"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2010 – June 2016</w:t>
            </w:r>
          </w:p>
        </w:tc>
        <w:tc>
          <w:tcPr>
            <w:tcW w:w="299"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 AQC</w:t>
            </w:r>
          </w:p>
        </w:tc>
        <w:tc>
          <w:tcPr>
            <w:tcW w:w="414"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6</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6</w:t>
            </w:r>
          </w:p>
        </w:tc>
        <w:tc>
          <w:tcPr>
            <w:tcW w:w="418" w:type="pct"/>
            <w:shd w:val="clear" w:color="auto" w:fill="FFFFFF" w:themeFill="background1"/>
            <w:vAlign w:val="center"/>
          </w:tcPr>
          <w:p w:rsidR="000F18EA" w:rsidRPr="00B653FE" w:rsidRDefault="00E13BBB"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N/A</w:t>
            </w:r>
          </w:p>
        </w:tc>
      </w:tr>
      <w:tr w:rsidR="000F18E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0F18EA" w:rsidRPr="009A4893" w:rsidRDefault="000F18EA" w:rsidP="00DE2CA6">
            <w:pPr>
              <w:rPr>
                <w:rFonts w:ascii="Franklin Gothic Book" w:hAnsi="Franklin Gothic Book" w:cs="Calibri"/>
                <w:sz w:val="17"/>
                <w:szCs w:val="17"/>
              </w:rPr>
            </w:pPr>
          </w:p>
        </w:tc>
        <w:tc>
          <w:tcPr>
            <w:tcW w:w="567" w:type="pct"/>
          </w:tcPr>
          <w:p w:rsidR="000F18EA" w:rsidRPr="00B653FE" w:rsidRDefault="000F18EA" w:rsidP="00DE2CA6">
            <w:pPr>
              <w:rPr>
                <w:rFonts w:ascii="Franklin Gothic Book" w:hAnsi="Franklin Gothic Book" w:cs="Tahoma"/>
                <w:color w:val="000000"/>
                <w:sz w:val="17"/>
                <w:szCs w:val="17"/>
              </w:rPr>
            </w:pPr>
          </w:p>
        </w:tc>
        <w:tc>
          <w:tcPr>
            <w:tcW w:w="299"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4"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6</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8" w:type="pct"/>
            <w:shd w:val="clear" w:color="auto" w:fill="FFFFFF" w:themeFill="background1"/>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N/A</w:t>
            </w:r>
          </w:p>
        </w:tc>
      </w:tr>
      <w:tr w:rsidR="000F18E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0F18EA" w:rsidRPr="009A4893" w:rsidRDefault="000F18EA" w:rsidP="00DE2CA6">
            <w:pPr>
              <w:rPr>
                <w:rFonts w:ascii="Franklin Gothic Book" w:hAnsi="Franklin Gothic Book" w:cs="Calibri"/>
                <w:sz w:val="17"/>
                <w:szCs w:val="17"/>
              </w:rPr>
            </w:pPr>
            <w:r w:rsidRPr="009A4893">
              <w:rPr>
                <w:rFonts w:ascii="Franklin Gothic Book" w:hAnsi="Franklin Gothic Book" w:cs="Calibri"/>
                <w:sz w:val="17"/>
                <w:szCs w:val="17"/>
              </w:rPr>
              <w:t>Clinton Climate Initiative</w:t>
            </w:r>
          </w:p>
        </w:tc>
        <w:tc>
          <w:tcPr>
            <w:tcW w:w="567" w:type="pct"/>
          </w:tcPr>
          <w:p w:rsidR="000F18EA" w:rsidRPr="00B653FE" w:rsidRDefault="001D7EC5" w:rsidP="00DE2CA6">
            <w:pPr>
              <w:rPr>
                <w:rFonts w:ascii="Franklin Gothic Book" w:hAnsi="Franklin Gothic Book" w:cs="Tahoma"/>
                <w:color w:val="000000"/>
                <w:sz w:val="17"/>
                <w:szCs w:val="17"/>
              </w:rPr>
            </w:pPr>
            <w:r w:rsidRPr="00B653FE">
              <w:rPr>
                <w:rFonts w:ascii="Franklin Gothic Book" w:hAnsi="Franklin Gothic Book" w:cs="Tahoma"/>
                <w:color w:val="000000"/>
                <w:sz w:val="17"/>
                <w:szCs w:val="17"/>
              </w:rPr>
              <w:t>$13 million</w:t>
            </w:r>
            <w:r w:rsidRPr="00B653FE">
              <w:rPr>
                <w:rFonts w:ascii="Franklin Gothic Book" w:hAnsi="Franklin Gothic Book" w:cs="Tahoma"/>
                <w:color w:val="000000"/>
                <w:sz w:val="17"/>
                <w:szCs w:val="17"/>
              </w:rPr>
              <w:br/>
              <w:t>2012 – June 2017</w:t>
            </w:r>
          </w:p>
        </w:tc>
        <w:tc>
          <w:tcPr>
            <w:tcW w:w="299"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2014</w:t>
            </w:r>
          </w:p>
        </w:tc>
        <w:tc>
          <w:tcPr>
            <w:tcW w:w="414"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3"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20" w:type="pct"/>
            <w:shd w:val="clear" w:color="auto" w:fill="92D050"/>
            <w:noWrap/>
            <w:vAlign w:val="center"/>
          </w:tcPr>
          <w:p w:rsidR="000F18EA" w:rsidRPr="00B653FE" w:rsidRDefault="000F18EA" w:rsidP="007D42FE">
            <w:pPr>
              <w:keepLines/>
              <w:spacing w:before="40" w:after="40" w:line="200" w:lineRule="atLeast"/>
              <w:jc w:val="center"/>
              <w:rPr>
                <w:rFonts w:ascii="Franklin Gothic Book" w:hAnsi="Franklin Gothic Book" w:cs="Tahoma"/>
                <w:color w:val="000000"/>
                <w:sz w:val="17"/>
                <w:szCs w:val="17"/>
              </w:rPr>
            </w:pPr>
            <w:r w:rsidRPr="00B653FE">
              <w:rPr>
                <w:rFonts w:ascii="Franklin Gothic Book" w:hAnsi="Franklin Gothic Book" w:cs="Tahoma"/>
                <w:color w:val="000000"/>
                <w:sz w:val="17"/>
                <w:szCs w:val="17"/>
              </w:rPr>
              <w:t>5</w:t>
            </w:r>
          </w:p>
        </w:tc>
        <w:tc>
          <w:tcPr>
            <w:tcW w:w="418" w:type="pct"/>
            <w:shd w:val="clear" w:color="auto" w:fill="FFFFFF" w:themeFill="background1"/>
            <w:vAlign w:val="center"/>
          </w:tcPr>
          <w:p w:rsidR="000F18EA" w:rsidRPr="00B653FE" w:rsidRDefault="00E13BBB"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N/A</w:t>
            </w:r>
          </w:p>
        </w:tc>
      </w:tr>
      <w:tr w:rsidR="00C67B12"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C67B12" w:rsidRPr="009A4893" w:rsidRDefault="00C67B12" w:rsidP="00DE2CA6">
            <w:pPr>
              <w:rPr>
                <w:rFonts w:ascii="Franklin Gothic Book" w:hAnsi="Franklin Gothic Book" w:cs="Calibri"/>
                <w:sz w:val="17"/>
                <w:szCs w:val="17"/>
              </w:rPr>
            </w:pPr>
            <w:r w:rsidRPr="009A4893">
              <w:rPr>
                <w:rFonts w:ascii="Franklin Gothic Book" w:hAnsi="Franklin Gothic Book" w:cs="Calibri"/>
                <w:sz w:val="17"/>
                <w:szCs w:val="17"/>
              </w:rPr>
              <w:t>M4D: Africa - African Minerals Development Centre</w:t>
            </w:r>
          </w:p>
        </w:tc>
        <w:tc>
          <w:tcPr>
            <w:tcW w:w="567" w:type="pct"/>
          </w:tcPr>
          <w:p w:rsidR="00C67B12" w:rsidRDefault="00C67B12" w:rsidP="00DE2CA6">
            <w:pPr>
              <w:rPr>
                <w:rFonts w:ascii="Franklin Gothic Book" w:hAnsi="Franklin Gothic Book" w:cs="Tahoma"/>
                <w:color w:val="000000"/>
                <w:sz w:val="17"/>
                <w:szCs w:val="17"/>
              </w:rPr>
            </w:pPr>
            <w:r>
              <w:rPr>
                <w:rFonts w:ascii="Franklin Gothic Book" w:hAnsi="Franklin Gothic Book" w:cs="Tahoma"/>
                <w:color w:val="000000"/>
                <w:sz w:val="17"/>
                <w:szCs w:val="17"/>
              </w:rPr>
              <w:t>$5 million</w:t>
            </w:r>
          </w:p>
          <w:p w:rsidR="00C67B12" w:rsidRPr="00B653FE" w:rsidRDefault="00C67B12" w:rsidP="00DE2CA6">
            <w:pPr>
              <w:rPr>
                <w:rFonts w:ascii="Franklin Gothic Book" w:hAnsi="Franklin Gothic Book" w:cs="Tahoma"/>
                <w:color w:val="000000"/>
                <w:sz w:val="17"/>
                <w:szCs w:val="17"/>
              </w:rPr>
            </w:pPr>
            <w:r>
              <w:rPr>
                <w:rFonts w:ascii="Franklin Gothic Book" w:hAnsi="Franklin Gothic Book" w:cs="Tahoma"/>
                <w:color w:val="000000"/>
                <w:sz w:val="17"/>
                <w:szCs w:val="17"/>
              </w:rPr>
              <w:t>2013 – June 2016</w:t>
            </w:r>
          </w:p>
        </w:tc>
        <w:tc>
          <w:tcPr>
            <w:tcW w:w="299" w:type="pct"/>
          </w:tcPr>
          <w:p w:rsidR="00C67B12" w:rsidRPr="00B653FE" w:rsidRDefault="00C67B12"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2014</w:t>
            </w:r>
          </w:p>
        </w:tc>
        <w:tc>
          <w:tcPr>
            <w:tcW w:w="414" w:type="pct"/>
            <w:shd w:val="clear" w:color="auto" w:fill="92D05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6</w:t>
            </w:r>
          </w:p>
        </w:tc>
        <w:tc>
          <w:tcPr>
            <w:tcW w:w="410" w:type="pct"/>
            <w:shd w:val="clear" w:color="auto" w:fill="FFFF0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c>
          <w:tcPr>
            <w:tcW w:w="413" w:type="pct"/>
            <w:shd w:val="clear" w:color="auto" w:fill="FFFF0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c>
          <w:tcPr>
            <w:tcW w:w="413" w:type="pct"/>
            <w:shd w:val="clear" w:color="auto" w:fill="FFFF0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c>
          <w:tcPr>
            <w:tcW w:w="420" w:type="pct"/>
            <w:shd w:val="clear" w:color="auto" w:fill="FFFF0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c>
          <w:tcPr>
            <w:tcW w:w="420" w:type="pct"/>
            <w:shd w:val="clear" w:color="auto" w:fill="FFFF00"/>
            <w:noWrap/>
            <w:vAlign w:val="center"/>
          </w:tcPr>
          <w:p w:rsidR="00C67B12" w:rsidRPr="00B653FE" w:rsidRDefault="00C67B12"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c>
          <w:tcPr>
            <w:tcW w:w="418" w:type="pct"/>
            <w:shd w:val="clear" w:color="auto" w:fill="FFFFFF" w:themeFill="background1"/>
            <w:vAlign w:val="center"/>
          </w:tcPr>
          <w:p w:rsidR="00C67B12"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5</w:t>
            </w:r>
          </w:p>
        </w:tc>
      </w:tr>
      <w:tr w:rsidR="003C3AC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3C3ACA" w:rsidRPr="009A4893" w:rsidRDefault="003C3ACA" w:rsidP="00DE2CA6">
            <w:pPr>
              <w:rPr>
                <w:rFonts w:ascii="Franklin Gothic Book" w:hAnsi="Franklin Gothic Book" w:cs="Calibri"/>
                <w:sz w:val="17"/>
                <w:szCs w:val="17"/>
              </w:rPr>
            </w:pPr>
          </w:p>
        </w:tc>
        <w:tc>
          <w:tcPr>
            <w:tcW w:w="567" w:type="pct"/>
          </w:tcPr>
          <w:p w:rsidR="003C3ACA" w:rsidRPr="00B653FE" w:rsidRDefault="003C3ACA" w:rsidP="00DE2CA6">
            <w:pPr>
              <w:rPr>
                <w:rFonts w:ascii="Franklin Gothic Book" w:hAnsi="Franklin Gothic Book" w:cs="Tahoma"/>
                <w:color w:val="000000"/>
                <w:sz w:val="17"/>
                <w:szCs w:val="17"/>
              </w:rPr>
            </w:pPr>
          </w:p>
        </w:tc>
        <w:tc>
          <w:tcPr>
            <w:tcW w:w="299" w:type="pct"/>
          </w:tcPr>
          <w:p w:rsidR="003C3ACA" w:rsidRPr="00B653FE" w:rsidRDefault="003C3ACA"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2013</w:t>
            </w:r>
          </w:p>
        </w:tc>
        <w:tc>
          <w:tcPr>
            <w:tcW w:w="414" w:type="pct"/>
            <w:shd w:val="clear" w:color="auto" w:fill="92D05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10" w:type="pct"/>
            <w:shd w:val="clear" w:color="auto" w:fill="FFC00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3</w:t>
            </w:r>
          </w:p>
        </w:tc>
        <w:tc>
          <w:tcPr>
            <w:tcW w:w="413" w:type="pct"/>
            <w:shd w:val="clear" w:color="auto" w:fill="FFC00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3</w:t>
            </w:r>
          </w:p>
        </w:tc>
        <w:tc>
          <w:tcPr>
            <w:tcW w:w="413" w:type="pct"/>
            <w:shd w:val="clear" w:color="auto" w:fill="FFC00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3</w:t>
            </w:r>
          </w:p>
        </w:tc>
        <w:tc>
          <w:tcPr>
            <w:tcW w:w="420" w:type="pct"/>
            <w:shd w:val="clear" w:color="auto" w:fill="92D05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4</w:t>
            </w:r>
          </w:p>
        </w:tc>
        <w:tc>
          <w:tcPr>
            <w:tcW w:w="420" w:type="pct"/>
            <w:shd w:val="clear" w:color="auto" w:fill="92D050"/>
            <w:noWrap/>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4</w:t>
            </w:r>
          </w:p>
        </w:tc>
        <w:tc>
          <w:tcPr>
            <w:tcW w:w="418" w:type="pct"/>
            <w:shd w:val="clear" w:color="auto" w:fill="FFFFFF" w:themeFill="background1"/>
            <w:vAlign w:val="center"/>
          </w:tcPr>
          <w:p w:rsidR="003C3ACA" w:rsidRPr="00B653FE" w:rsidRDefault="00E13BBB"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N/A</w:t>
            </w:r>
          </w:p>
        </w:tc>
      </w:tr>
      <w:tr w:rsidR="003C3ACA"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3C3ACA" w:rsidRPr="009A4893" w:rsidRDefault="003C3ACA" w:rsidP="00DE2CA6">
            <w:pPr>
              <w:rPr>
                <w:rFonts w:ascii="Franklin Gothic Book" w:hAnsi="Franklin Gothic Book" w:cs="Calibri"/>
                <w:sz w:val="17"/>
                <w:szCs w:val="17"/>
              </w:rPr>
            </w:pPr>
            <w:r w:rsidRPr="009A4893">
              <w:rPr>
                <w:rFonts w:ascii="Franklin Gothic Book" w:hAnsi="Franklin Gothic Book" w:cs="Calibri"/>
                <w:sz w:val="17"/>
                <w:szCs w:val="17"/>
              </w:rPr>
              <w:t>Kenya Food Security Community Resilience</w:t>
            </w:r>
          </w:p>
        </w:tc>
        <w:tc>
          <w:tcPr>
            <w:tcW w:w="567" w:type="pct"/>
          </w:tcPr>
          <w:p w:rsidR="003C3ACA" w:rsidRPr="00B653FE" w:rsidRDefault="003C3ACA" w:rsidP="00DE2CA6">
            <w:pPr>
              <w:rPr>
                <w:rFonts w:ascii="Franklin Gothic Book" w:hAnsi="Franklin Gothic Book" w:cs="Tahoma"/>
                <w:color w:val="000000"/>
                <w:sz w:val="17"/>
                <w:szCs w:val="17"/>
              </w:rPr>
            </w:pPr>
            <w:r>
              <w:rPr>
                <w:rFonts w:ascii="Franklin Gothic Book" w:hAnsi="Franklin Gothic Book" w:cs="Tahoma"/>
                <w:color w:val="000000"/>
                <w:sz w:val="17"/>
                <w:szCs w:val="17"/>
              </w:rPr>
              <w:t>$24.75</w:t>
            </w:r>
            <w:r>
              <w:rPr>
                <w:rFonts w:ascii="Franklin Gothic Book" w:hAnsi="Franklin Gothic Book" w:cs="Tahoma"/>
                <w:color w:val="000000"/>
                <w:sz w:val="17"/>
                <w:szCs w:val="17"/>
              </w:rPr>
              <w:br/>
              <w:t>2011 – June 2016</w:t>
            </w:r>
          </w:p>
        </w:tc>
        <w:tc>
          <w:tcPr>
            <w:tcW w:w="299" w:type="pct"/>
          </w:tcPr>
          <w:p w:rsidR="003C3ACA" w:rsidRPr="00B653FE" w:rsidRDefault="003C3ACA"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2014</w:t>
            </w:r>
          </w:p>
        </w:tc>
        <w:tc>
          <w:tcPr>
            <w:tcW w:w="414" w:type="pct"/>
            <w:shd w:val="clear" w:color="auto" w:fill="92D05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5</w:t>
            </w:r>
          </w:p>
        </w:tc>
        <w:tc>
          <w:tcPr>
            <w:tcW w:w="410" w:type="pct"/>
            <w:shd w:val="clear" w:color="auto" w:fill="FFFF0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4</w:t>
            </w:r>
          </w:p>
        </w:tc>
        <w:tc>
          <w:tcPr>
            <w:tcW w:w="413" w:type="pct"/>
            <w:shd w:val="clear" w:color="auto" w:fill="FFFF0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4</w:t>
            </w:r>
          </w:p>
        </w:tc>
        <w:tc>
          <w:tcPr>
            <w:tcW w:w="413" w:type="pct"/>
            <w:shd w:val="clear" w:color="auto" w:fill="92D05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5</w:t>
            </w:r>
          </w:p>
        </w:tc>
        <w:tc>
          <w:tcPr>
            <w:tcW w:w="420" w:type="pct"/>
            <w:shd w:val="clear" w:color="auto" w:fill="92D05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5</w:t>
            </w:r>
          </w:p>
        </w:tc>
        <w:tc>
          <w:tcPr>
            <w:tcW w:w="420" w:type="pct"/>
            <w:shd w:val="clear" w:color="auto" w:fill="FFFF00"/>
            <w:noWrap/>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Tahoma" w:hAnsi="Tahoma" w:cs="Tahoma"/>
                <w:color w:val="000000"/>
                <w:szCs w:val="20"/>
              </w:rPr>
              <w:t>4</w:t>
            </w:r>
          </w:p>
        </w:tc>
        <w:tc>
          <w:tcPr>
            <w:tcW w:w="418" w:type="pct"/>
            <w:shd w:val="clear" w:color="auto" w:fill="FFFF00"/>
            <w:vAlign w:val="center"/>
          </w:tcPr>
          <w:p w:rsidR="003C3ACA" w:rsidRPr="00B653FE" w:rsidRDefault="003C3ACA"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4</w:t>
            </w:r>
          </w:p>
        </w:tc>
      </w:tr>
      <w:tr w:rsidR="00E13BBB" w:rsidRPr="007D42FE" w:rsidTr="00E13BBB">
        <w:trPr>
          <w:cnfStyle w:val="000000010000" w:firstRow="0" w:lastRow="0" w:firstColumn="0" w:lastColumn="0" w:oddVBand="0" w:evenVBand="0" w:oddHBand="0" w:evenHBand="1" w:firstRowFirstColumn="0" w:firstRowLastColumn="0" w:lastRowFirstColumn="0" w:lastRowLastColumn="0"/>
          <w:trHeight w:val="284"/>
        </w:trPr>
        <w:tc>
          <w:tcPr>
            <w:tcW w:w="1131" w:type="pct"/>
          </w:tcPr>
          <w:p w:rsidR="00E13BBB" w:rsidRPr="00B653FE" w:rsidRDefault="00E13BBB" w:rsidP="00DE2CA6">
            <w:pPr>
              <w:rPr>
                <w:rFonts w:ascii="Franklin Gothic Book" w:hAnsi="Franklin Gothic Book" w:cs="Calibri"/>
                <w:color w:val="0000FF"/>
                <w:sz w:val="17"/>
                <w:szCs w:val="17"/>
                <w:u w:val="single"/>
              </w:rPr>
            </w:pPr>
          </w:p>
        </w:tc>
        <w:tc>
          <w:tcPr>
            <w:tcW w:w="567" w:type="pct"/>
          </w:tcPr>
          <w:p w:rsidR="00E13BBB" w:rsidRPr="00B653FE" w:rsidRDefault="00E13BBB" w:rsidP="00DE2CA6">
            <w:pPr>
              <w:rPr>
                <w:rFonts w:ascii="Franklin Gothic Book" w:hAnsi="Franklin Gothic Book" w:cs="Tahoma"/>
                <w:color w:val="000000"/>
                <w:sz w:val="17"/>
                <w:szCs w:val="17"/>
              </w:rPr>
            </w:pPr>
          </w:p>
        </w:tc>
        <w:tc>
          <w:tcPr>
            <w:tcW w:w="299" w:type="pct"/>
          </w:tcPr>
          <w:p w:rsidR="00E13BBB" w:rsidRPr="00B653FE" w:rsidRDefault="00E13BBB"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2013</w:t>
            </w:r>
          </w:p>
        </w:tc>
        <w:tc>
          <w:tcPr>
            <w:tcW w:w="414" w:type="pct"/>
            <w:shd w:val="clear" w:color="auto" w:fill="92D05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10" w:type="pct"/>
            <w:shd w:val="clear" w:color="auto" w:fill="92D05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13" w:type="pct"/>
            <w:shd w:val="clear" w:color="auto" w:fill="92D05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13" w:type="pct"/>
            <w:shd w:val="clear" w:color="auto" w:fill="92D05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20" w:type="pct"/>
            <w:shd w:val="clear" w:color="auto" w:fill="92D05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5</w:t>
            </w:r>
          </w:p>
        </w:tc>
        <w:tc>
          <w:tcPr>
            <w:tcW w:w="420" w:type="pct"/>
            <w:shd w:val="clear" w:color="auto" w:fill="FFFF00"/>
            <w:noWrap/>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sidRPr="0066472E">
              <w:rPr>
                <w:rFonts w:ascii="Franklin Gothic Book" w:eastAsia="Times New Roman" w:hAnsi="Franklin Gothic Book" w:cs="Arial"/>
                <w:sz w:val="17"/>
                <w:szCs w:val="17"/>
              </w:rPr>
              <w:t>4</w:t>
            </w:r>
          </w:p>
        </w:tc>
        <w:tc>
          <w:tcPr>
            <w:tcW w:w="418" w:type="pct"/>
            <w:shd w:val="clear" w:color="auto" w:fill="FFFFFF" w:themeFill="background1"/>
            <w:vAlign w:val="center"/>
          </w:tcPr>
          <w:p w:rsidR="00E13BBB" w:rsidRPr="00B653FE" w:rsidRDefault="00E13BBB" w:rsidP="007D42FE">
            <w:pPr>
              <w:keepLines/>
              <w:spacing w:before="40" w:after="40" w:line="200" w:lineRule="atLeast"/>
              <w:jc w:val="center"/>
              <w:rPr>
                <w:rFonts w:ascii="Franklin Gothic Book" w:hAnsi="Franklin Gothic Book" w:cs="Tahoma"/>
                <w:color w:val="000000"/>
                <w:sz w:val="17"/>
                <w:szCs w:val="17"/>
              </w:rPr>
            </w:pPr>
            <w:r>
              <w:rPr>
                <w:rFonts w:ascii="Franklin Gothic Book" w:hAnsi="Franklin Gothic Book" w:cs="Tahoma"/>
                <w:color w:val="000000"/>
                <w:sz w:val="17"/>
                <w:szCs w:val="17"/>
              </w:rPr>
              <w:t>N/A</w:t>
            </w:r>
          </w:p>
        </w:tc>
      </w:tr>
    </w:tbl>
    <w:p w:rsidR="007D42FE" w:rsidRPr="007D42FE" w:rsidRDefault="007D42FE" w:rsidP="007D42F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42FE">
        <w:rPr>
          <w:rFonts w:ascii="Helvetica" w:eastAsia="Times New Roman" w:hAnsi="Helvetica" w:cs="Arial"/>
          <w:b/>
          <w:color w:val="124486"/>
          <w:kern w:val="28"/>
          <w:sz w:val="22"/>
          <w:szCs w:val="22"/>
          <w:lang w:eastAsia="zh-CN"/>
        </w:rPr>
        <w:t xml:space="preserve">HAQC ratings </w:t>
      </w:r>
    </w:p>
    <w:tbl>
      <w:tblPr>
        <w:tblStyle w:val="APPR2"/>
        <w:tblW w:w="5000" w:type="pct"/>
        <w:tblLook w:val="0000" w:firstRow="0" w:lastRow="0" w:firstColumn="0" w:lastColumn="0" w:noHBand="0" w:noVBand="0"/>
        <w:tblCaption w:val="Humanitarian aid quality check ratings"/>
      </w:tblPr>
      <w:tblGrid>
        <w:gridCol w:w="2945"/>
        <w:gridCol w:w="2138"/>
        <w:gridCol w:w="1361"/>
        <w:gridCol w:w="1358"/>
        <w:gridCol w:w="1364"/>
        <w:gridCol w:w="1361"/>
        <w:gridCol w:w="1364"/>
        <w:gridCol w:w="1361"/>
        <w:gridCol w:w="1364"/>
        <w:gridCol w:w="1362"/>
      </w:tblGrid>
      <w:tr w:rsidR="007D42FE" w:rsidRPr="007D42FE" w:rsidTr="009F4CB3">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noProof/>
                <w:sz w:val="17"/>
                <w:szCs w:val="17"/>
              </w:rPr>
              <w:drawing>
                <wp:anchor distT="0" distB="0" distL="114300" distR="114300" simplePos="0" relativeHeight="251666432" behindDoc="0" locked="0" layoutInCell="1" allowOverlap="1" wp14:anchorId="43E069B2" wp14:editId="1343B4F2">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2FE">
              <w:rPr>
                <w:rFonts w:ascii="Franklin Gothic Medium" w:eastAsia="Times New Roman" w:hAnsi="Franklin Gothic Medium"/>
                <w:b/>
                <w:iCs/>
                <w:sz w:val="17"/>
                <w:szCs w:val="17"/>
                <w:lang w:eastAsia="en-US"/>
              </w:rPr>
              <w:t>Investment name</w:t>
            </w:r>
          </w:p>
        </w:tc>
        <w:tc>
          <w:tcPr>
            <w:tcW w:w="658"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Approved budget and duration</w:t>
            </w:r>
          </w:p>
        </w:tc>
        <w:tc>
          <w:tcPr>
            <w:tcW w:w="416"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Relevance</w:t>
            </w:r>
          </w:p>
        </w:tc>
        <w:tc>
          <w:tcPr>
            <w:tcW w:w="415"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Effectiveness</w:t>
            </w:r>
          </w:p>
        </w:tc>
        <w:tc>
          <w:tcPr>
            <w:tcW w:w="417"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Efficiency</w:t>
            </w:r>
          </w:p>
        </w:tc>
        <w:tc>
          <w:tcPr>
            <w:tcW w:w="416"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Monitoring and Evaluation</w:t>
            </w:r>
          </w:p>
        </w:tc>
        <w:tc>
          <w:tcPr>
            <w:tcW w:w="417"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Connectedness</w:t>
            </w:r>
          </w:p>
        </w:tc>
        <w:tc>
          <w:tcPr>
            <w:tcW w:w="416"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 xml:space="preserve">Protection </w:t>
            </w:r>
          </w:p>
        </w:tc>
        <w:tc>
          <w:tcPr>
            <w:tcW w:w="417"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 xml:space="preserve">Gender equality </w:t>
            </w:r>
          </w:p>
        </w:tc>
        <w:tc>
          <w:tcPr>
            <w:tcW w:w="412"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Risks  and Safeguards</w:t>
            </w:r>
          </w:p>
        </w:tc>
      </w:tr>
      <w:tr w:rsidR="007D42FE" w:rsidRPr="007D42FE" w:rsidTr="009F4CB3">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r w:rsidRPr="007D42FE">
              <w:rPr>
                <w:rFonts w:ascii="Franklin Gothic Book" w:eastAsia="Times New Roman" w:hAnsi="Franklin Gothic Book"/>
                <w:iCs/>
                <w:sz w:val="17"/>
                <w:szCs w:val="17"/>
                <w:lang w:eastAsia="en-US"/>
              </w:rPr>
              <w:t>Investment 3</w:t>
            </w:r>
          </w:p>
        </w:tc>
        <w:tc>
          <w:tcPr>
            <w:tcW w:w="658"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2"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r>
      <w:tr w:rsidR="007D42FE" w:rsidRPr="007D42FE" w:rsidTr="009F4CB3">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r w:rsidRPr="007D42FE">
              <w:rPr>
                <w:rFonts w:ascii="Franklin Gothic Book" w:eastAsia="Times New Roman" w:hAnsi="Franklin Gothic Book"/>
                <w:iCs/>
                <w:sz w:val="17"/>
                <w:szCs w:val="17"/>
                <w:lang w:eastAsia="en-US"/>
              </w:rPr>
              <w:t>Investment 4</w:t>
            </w:r>
          </w:p>
        </w:tc>
        <w:tc>
          <w:tcPr>
            <w:tcW w:w="658"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2"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r>
      <w:tr w:rsidR="009F4CB3" w:rsidRPr="007D42FE" w:rsidTr="0075116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9F4CB3" w:rsidRPr="007D42FE" w:rsidRDefault="009F4CB3" w:rsidP="007D42FE">
            <w:pPr>
              <w:keepLines/>
              <w:spacing w:before="40" w:after="40" w:line="200" w:lineRule="atLeast"/>
              <w:rPr>
                <w:rFonts w:ascii="Franklin Gothic Book" w:eastAsia="Times New Roman" w:hAnsi="Franklin Gothic Book"/>
                <w:iCs/>
                <w:sz w:val="17"/>
                <w:szCs w:val="17"/>
                <w:lang w:eastAsia="en-US"/>
              </w:rPr>
            </w:pPr>
            <w:r w:rsidRPr="009F4CB3">
              <w:rPr>
                <w:rFonts w:ascii="Franklin Gothic Book" w:eastAsia="Times New Roman" w:hAnsi="Franklin Gothic Book"/>
                <w:iCs/>
                <w:sz w:val="17"/>
                <w:szCs w:val="17"/>
                <w:lang w:eastAsia="en-US"/>
              </w:rPr>
              <w:t xml:space="preserve">South Sudan </w:t>
            </w:r>
            <w:r>
              <w:rPr>
                <w:rFonts w:ascii="Franklin Gothic Book" w:eastAsia="Times New Roman" w:hAnsi="Franklin Gothic Book"/>
                <w:iCs/>
                <w:sz w:val="17"/>
                <w:szCs w:val="17"/>
                <w:lang w:eastAsia="en-US"/>
              </w:rPr>
              <w:t xml:space="preserve">and South </w:t>
            </w:r>
            <w:r w:rsidRPr="009F4CB3">
              <w:rPr>
                <w:rFonts w:ascii="Franklin Gothic Book" w:eastAsia="Times New Roman" w:hAnsi="Franklin Gothic Book"/>
                <w:iCs/>
                <w:sz w:val="17"/>
                <w:szCs w:val="17"/>
                <w:lang w:eastAsia="en-US"/>
              </w:rPr>
              <w:t>Humanitarian Assistance</w:t>
            </w:r>
          </w:p>
        </w:tc>
        <w:tc>
          <w:tcPr>
            <w:tcW w:w="658" w:type="pct"/>
          </w:tcPr>
          <w:p w:rsidR="009F4CB3" w:rsidRDefault="009F4CB3"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31 January 2014 – 30 January 2015</w:t>
            </w:r>
          </w:p>
          <w:p w:rsidR="009F4CB3" w:rsidRDefault="009F4CB3" w:rsidP="007D42FE">
            <w:pPr>
              <w:keepLines/>
              <w:spacing w:before="40" w:after="40" w:line="200" w:lineRule="atLeast"/>
              <w:rPr>
                <w:rFonts w:ascii="Franklin Gothic Book" w:eastAsia="Times New Roman" w:hAnsi="Franklin Gothic Book"/>
                <w:iCs/>
                <w:sz w:val="17"/>
                <w:szCs w:val="17"/>
                <w:lang w:eastAsia="en-US"/>
              </w:rPr>
            </w:pPr>
          </w:p>
          <w:p w:rsidR="009F4CB3" w:rsidRPr="007D42FE" w:rsidRDefault="009F4CB3"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$22.4 million (clustered HAQC)</w:t>
            </w:r>
          </w:p>
        </w:tc>
        <w:tc>
          <w:tcPr>
            <w:tcW w:w="416" w:type="pct"/>
            <w:shd w:val="clear" w:color="auto" w:fill="92D05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5</w:t>
            </w:r>
          </w:p>
        </w:tc>
        <w:tc>
          <w:tcPr>
            <w:tcW w:w="415" w:type="pct"/>
            <w:shd w:val="clear" w:color="auto" w:fill="92D05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5</w:t>
            </w:r>
          </w:p>
        </w:tc>
        <w:tc>
          <w:tcPr>
            <w:tcW w:w="417" w:type="pct"/>
            <w:shd w:val="clear" w:color="auto" w:fill="92D05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5</w:t>
            </w:r>
          </w:p>
        </w:tc>
        <w:tc>
          <w:tcPr>
            <w:tcW w:w="416" w:type="pct"/>
            <w:shd w:val="clear" w:color="auto" w:fill="FFC00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3</w:t>
            </w:r>
          </w:p>
        </w:tc>
        <w:tc>
          <w:tcPr>
            <w:tcW w:w="417" w:type="pct"/>
            <w:shd w:val="clear" w:color="auto" w:fill="FFC00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3</w:t>
            </w:r>
          </w:p>
        </w:tc>
        <w:tc>
          <w:tcPr>
            <w:tcW w:w="416" w:type="pct"/>
            <w:shd w:val="clear" w:color="auto" w:fill="FFFF00"/>
            <w:noWrap/>
            <w:vAlign w:val="center"/>
          </w:tcPr>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4</w:t>
            </w:r>
          </w:p>
        </w:tc>
        <w:tc>
          <w:tcPr>
            <w:tcW w:w="417" w:type="pct"/>
            <w:shd w:val="clear" w:color="auto" w:fill="FFFF00"/>
          </w:tcPr>
          <w:p w:rsidR="009F4CB3" w:rsidRDefault="009F4CB3" w:rsidP="007D42FE">
            <w:pPr>
              <w:keepLines/>
              <w:spacing w:before="40" w:after="40" w:line="200" w:lineRule="atLeast"/>
              <w:jc w:val="center"/>
              <w:rPr>
                <w:rFonts w:ascii="Franklin Gothic Book" w:eastAsia="Times New Roman" w:hAnsi="Franklin Gothic Book"/>
                <w:iCs/>
                <w:sz w:val="17"/>
                <w:szCs w:val="17"/>
                <w:lang w:eastAsia="en-US"/>
              </w:rPr>
            </w:pPr>
          </w:p>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c>
          <w:tcPr>
            <w:tcW w:w="412" w:type="pct"/>
            <w:shd w:val="clear" w:color="auto" w:fill="FFFF00"/>
          </w:tcPr>
          <w:p w:rsidR="009F4CB3" w:rsidRDefault="009F4CB3" w:rsidP="007D42FE">
            <w:pPr>
              <w:keepLines/>
              <w:spacing w:before="40" w:after="40" w:line="200" w:lineRule="atLeast"/>
              <w:jc w:val="center"/>
              <w:rPr>
                <w:rFonts w:ascii="Franklin Gothic Book" w:eastAsia="Times New Roman" w:hAnsi="Franklin Gothic Book"/>
                <w:iCs/>
                <w:sz w:val="17"/>
                <w:szCs w:val="17"/>
                <w:lang w:eastAsia="en-US"/>
              </w:rPr>
            </w:pPr>
          </w:p>
          <w:p w:rsidR="009F4CB3" w:rsidRPr="007D42FE" w:rsidRDefault="009F4CB3" w:rsidP="007D42F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4</w:t>
            </w:r>
          </w:p>
        </w:tc>
      </w:tr>
      <w:tr w:rsidR="00DF6E59" w:rsidRPr="007D42FE" w:rsidTr="0075116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DF6E59" w:rsidRPr="007D42FE" w:rsidRDefault="00DF6E59"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CAR and Somalia Humanitarian Assistance</w:t>
            </w:r>
          </w:p>
        </w:tc>
        <w:tc>
          <w:tcPr>
            <w:tcW w:w="658" w:type="pct"/>
          </w:tcPr>
          <w:p w:rsidR="00DF6E59" w:rsidRPr="007D42FE" w:rsidRDefault="00DF6E59" w:rsidP="007D42FE">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1 July 2014 – 30 June 2015</w:t>
            </w:r>
            <w:r>
              <w:rPr>
                <w:rFonts w:ascii="Franklin Gothic Book" w:eastAsia="Times New Roman" w:hAnsi="Franklin Gothic Book"/>
                <w:iCs/>
                <w:sz w:val="17"/>
                <w:szCs w:val="17"/>
                <w:lang w:eastAsia="en-US"/>
              </w:rPr>
              <w:br/>
            </w:r>
            <w:r>
              <w:rPr>
                <w:rFonts w:ascii="Franklin Gothic Book" w:eastAsia="Times New Roman" w:hAnsi="Franklin Gothic Book"/>
                <w:iCs/>
                <w:sz w:val="17"/>
                <w:szCs w:val="17"/>
                <w:lang w:eastAsia="en-US"/>
              </w:rPr>
              <w:br/>
              <w:t>$14.5 million</w:t>
            </w:r>
          </w:p>
        </w:tc>
        <w:tc>
          <w:tcPr>
            <w:tcW w:w="416" w:type="pct"/>
            <w:shd w:val="clear" w:color="auto" w:fill="92D05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5</w:t>
            </w:r>
          </w:p>
        </w:tc>
        <w:tc>
          <w:tcPr>
            <w:tcW w:w="415" w:type="pct"/>
            <w:shd w:val="clear" w:color="auto" w:fill="FFFF0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4</w:t>
            </w:r>
          </w:p>
        </w:tc>
        <w:tc>
          <w:tcPr>
            <w:tcW w:w="417" w:type="pct"/>
            <w:shd w:val="clear" w:color="auto" w:fill="FFFF0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4</w:t>
            </w:r>
          </w:p>
        </w:tc>
        <w:tc>
          <w:tcPr>
            <w:tcW w:w="416" w:type="pct"/>
            <w:shd w:val="clear" w:color="auto" w:fill="FFFF0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4</w:t>
            </w:r>
          </w:p>
        </w:tc>
        <w:tc>
          <w:tcPr>
            <w:tcW w:w="417" w:type="pct"/>
            <w:shd w:val="clear" w:color="auto" w:fill="FFFF0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4</w:t>
            </w:r>
          </w:p>
        </w:tc>
        <w:tc>
          <w:tcPr>
            <w:tcW w:w="416" w:type="pct"/>
            <w:shd w:val="clear" w:color="auto" w:fill="FFC000"/>
            <w:noWrap/>
            <w:vAlign w:val="center"/>
          </w:tcPr>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Tahoma" w:hAnsi="Tahoma" w:cs="Tahoma"/>
                <w:color w:val="000000"/>
                <w:sz w:val="22"/>
                <w:szCs w:val="22"/>
              </w:rPr>
              <w:t>3</w:t>
            </w:r>
          </w:p>
        </w:tc>
        <w:tc>
          <w:tcPr>
            <w:tcW w:w="417" w:type="pct"/>
            <w:shd w:val="clear" w:color="auto" w:fill="FFC000"/>
          </w:tcPr>
          <w:p w:rsidR="00DF6E59" w:rsidRDefault="00DF6E59" w:rsidP="007D42FE">
            <w:pPr>
              <w:keepLines/>
              <w:spacing w:before="40" w:after="40" w:line="200" w:lineRule="atLeast"/>
              <w:jc w:val="center"/>
              <w:rPr>
                <w:rFonts w:ascii="Franklin Gothic Book" w:eastAsia="Times New Roman" w:hAnsi="Franklin Gothic Book"/>
                <w:iCs/>
                <w:sz w:val="17"/>
                <w:szCs w:val="17"/>
                <w:lang w:eastAsia="en-US"/>
              </w:rPr>
            </w:pPr>
          </w:p>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w:t>
            </w:r>
          </w:p>
        </w:tc>
        <w:tc>
          <w:tcPr>
            <w:tcW w:w="412" w:type="pct"/>
            <w:shd w:val="clear" w:color="auto" w:fill="FFFF00"/>
          </w:tcPr>
          <w:p w:rsidR="00DF6E59" w:rsidRDefault="00DF6E59" w:rsidP="007D42FE">
            <w:pPr>
              <w:keepLines/>
              <w:spacing w:before="40" w:after="40" w:line="200" w:lineRule="atLeast"/>
              <w:jc w:val="center"/>
              <w:rPr>
                <w:rFonts w:ascii="Franklin Gothic Book" w:eastAsia="Times New Roman" w:hAnsi="Franklin Gothic Book"/>
                <w:iCs/>
                <w:sz w:val="17"/>
                <w:szCs w:val="17"/>
                <w:lang w:eastAsia="en-US"/>
              </w:rPr>
            </w:pPr>
          </w:p>
          <w:p w:rsidR="00DF6E59" w:rsidRPr="007D42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DF6E59">
              <w:rPr>
                <w:rFonts w:ascii="Franklin Gothic Book" w:eastAsia="Times New Roman" w:hAnsi="Franklin Gothic Book"/>
                <w:iCs/>
                <w:sz w:val="17"/>
                <w:szCs w:val="17"/>
                <w:shd w:val="clear" w:color="auto" w:fill="FFFF00"/>
                <w:lang w:eastAsia="en-US"/>
              </w:rPr>
              <w:t>4</w:t>
            </w:r>
          </w:p>
        </w:tc>
      </w:tr>
    </w:tbl>
    <w:p w:rsidR="007D42FE" w:rsidRPr="007D42FE" w:rsidRDefault="007D42FE" w:rsidP="007D42FE">
      <w:pPr>
        <w:rPr>
          <w:iCs/>
        </w:rPr>
      </w:pPr>
    </w:p>
    <w:p w:rsidR="007D42FE" w:rsidRPr="007D42FE" w:rsidRDefault="007D42FE" w:rsidP="007D42FE">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7D42FE">
        <w:rPr>
          <w:rFonts w:ascii="Helvetica" w:eastAsia="Times New Roman" w:hAnsi="Helvetica" w:cs="Arial"/>
          <w:b/>
          <w:color w:val="124486"/>
          <w:kern w:val="28"/>
          <w:sz w:val="22"/>
          <w:szCs w:val="22"/>
          <w:lang w:eastAsia="zh-CN"/>
        </w:rPr>
        <w:t xml:space="preserve">FAQC ratings </w:t>
      </w:r>
    </w:p>
    <w:p w:rsidR="007D42FE" w:rsidRPr="007D42FE" w:rsidRDefault="007D42FE" w:rsidP="007D42FE">
      <w:pPr>
        <w:spacing w:after="160" w:line="280" w:lineRule="exact"/>
        <w:rPr>
          <w:rFonts w:ascii="Franklin Gothic Book" w:eastAsia="Times New Roman" w:hAnsi="Franklin Gothic Book"/>
          <w:sz w:val="21"/>
        </w:rPr>
      </w:pPr>
      <w:r w:rsidRPr="007D42FE">
        <w:rPr>
          <w:rFonts w:ascii="Franklin Gothic Book" w:eastAsia="Times New Roman" w:hAnsi="Franklin Gothic Book"/>
          <w:sz w:val="21"/>
        </w:rPr>
        <w:t>FAQC scores assess performance over the lifetime of the investment and should not be compared to the previous year’s QAI ratings.</w:t>
      </w:r>
    </w:p>
    <w:tbl>
      <w:tblPr>
        <w:tblStyle w:val="APPR2"/>
        <w:tblW w:w="5000" w:type="pct"/>
        <w:tblLook w:val="0000" w:firstRow="0" w:lastRow="0" w:firstColumn="0" w:lastColumn="0" w:noHBand="0" w:noVBand="0"/>
        <w:tblCaption w:val="Final aid quality check ratings"/>
      </w:tblPr>
      <w:tblGrid>
        <w:gridCol w:w="2942"/>
        <w:gridCol w:w="2138"/>
        <w:gridCol w:w="1364"/>
        <w:gridCol w:w="1361"/>
        <w:gridCol w:w="1364"/>
        <w:gridCol w:w="1361"/>
        <w:gridCol w:w="1364"/>
        <w:gridCol w:w="1360"/>
        <w:gridCol w:w="1363"/>
        <w:gridCol w:w="1361"/>
      </w:tblGrid>
      <w:tr w:rsidR="007D42FE" w:rsidRPr="007D42FE" w:rsidTr="00DF6E59">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noProof/>
                <w:sz w:val="17"/>
                <w:szCs w:val="17"/>
              </w:rPr>
              <w:drawing>
                <wp:anchor distT="0" distB="0" distL="114300" distR="114300" simplePos="0" relativeHeight="251667456" behindDoc="0" locked="0" layoutInCell="1" allowOverlap="1" wp14:anchorId="2707786F" wp14:editId="64A3F07F">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2FE">
              <w:rPr>
                <w:rFonts w:ascii="Franklin Gothic Medium" w:eastAsia="Times New Roman" w:hAnsi="Franklin Gothic Medium"/>
                <w:b/>
                <w:iCs/>
                <w:sz w:val="17"/>
                <w:szCs w:val="17"/>
                <w:lang w:eastAsia="en-US"/>
              </w:rPr>
              <w:t>Investment name</w:t>
            </w:r>
          </w:p>
        </w:tc>
        <w:tc>
          <w:tcPr>
            <w:tcW w:w="658"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Approved budget and duration</w:t>
            </w:r>
          </w:p>
        </w:tc>
        <w:tc>
          <w:tcPr>
            <w:tcW w:w="417"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Overall rating</w:t>
            </w:r>
          </w:p>
        </w:tc>
        <w:tc>
          <w:tcPr>
            <w:tcW w:w="416"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Relevance</w:t>
            </w:r>
          </w:p>
        </w:tc>
        <w:tc>
          <w:tcPr>
            <w:tcW w:w="417"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Effectiveness</w:t>
            </w:r>
          </w:p>
        </w:tc>
        <w:tc>
          <w:tcPr>
            <w:tcW w:w="416"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Efficiency</w:t>
            </w:r>
          </w:p>
        </w:tc>
        <w:tc>
          <w:tcPr>
            <w:tcW w:w="417"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Monitoring and Evaluation</w:t>
            </w:r>
          </w:p>
        </w:tc>
        <w:tc>
          <w:tcPr>
            <w:tcW w:w="416" w:type="pct"/>
            <w:noWrap/>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Sustainability</w:t>
            </w:r>
          </w:p>
        </w:tc>
        <w:tc>
          <w:tcPr>
            <w:tcW w:w="417"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Gender equality</w:t>
            </w:r>
          </w:p>
        </w:tc>
        <w:tc>
          <w:tcPr>
            <w:tcW w:w="412" w:type="pct"/>
            <w:textDirection w:val="btLr"/>
          </w:tcPr>
          <w:p w:rsidR="007D42FE" w:rsidRPr="007D42FE" w:rsidRDefault="007D42FE" w:rsidP="007D42FE">
            <w:pPr>
              <w:keepLines/>
              <w:spacing w:before="80" w:after="80" w:line="200" w:lineRule="atLeast"/>
              <w:rPr>
                <w:rFonts w:ascii="Franklin Gothic Medium" w:eastAsia="Times New Roman" w:hAnsi="Franklin Gothic Medium"/>
                <w:b/>
                <w:iCs/>
                <w:sz w:val="17"/>
                <w:szCs w:val="17"/>
                <w:lang w:eastAsia="en-US"/>
              </w:rPr>
            </w:pPr>
            <w:r w:rsidRPr="007D42FE">
              <w:rPr>
                <w:rFonts w:ascii="Franklin Gothic Medium" w:eastAsia="Times New Roman" w:hAnsi="Franklin Gothic Medium"/>
                <w:b/>
                <w:iCs/>
                <w:sz w:val="17"/>
                <w:szCs w:val="17"/>
                <w:lang w:eastAsia="en-US"/>
              </w:rPr>
              <w:t>Risks  and Safeguards</w:t>
            </w:r>
          </w:p>
        </w:tc>
      </w:tr>
      <w:tr w:rsidR="007D42FE" w:rsidRPr="007D42FE" w:rsidTr="00DF6E59">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2"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r>
      <w:tr w:rsidR="007D42FE" w:rsidRPr="007D42FE" w:rsidTr="00DF6E59">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7D42FE" w:rsidRPr="007D42FE" w:rsidRDefault="007D42FE"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7"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c>
          <w:tcPr>
            <w:tcW w:w="412" w:type="pct"/>
          </w:tcPr>
          <w:p w:rsidR="007D42FE" w:rsidRPr="007D42FE" w:rsidRDefault="007D42FE" w:rsidP="007D42FE">
            <w:pPr>
              <w:keepLines/>
              <w:spacing w:before="40" w:after="40" w:line="200" w:lineRule="atLeast"/>
              <w:jc w:val="center"/>
              <w:rPr>
                <w:rFonts w:ascii="Franklin Gothic Book" w:eastAsia="Times New Roman" w:hAnsi="Franklin Gothic Book"/>
                <w:iCs/>
                <w:sz w:val="17"/>
                <w:szCs w:val="17"/>
                <w:lang w:eastAsia="en-US"/>
              </w:rPr>
            </w:pP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roofErr w:type="spellStart"/>
            <w:r w:rsidRPr="009A4893">
              <w:rPr>
                <w:rFonts w:ascii="Franklin Gothic Book" w:hAnsi="Franklin Gothic Book" w:cs="Calibri"/>
                <w:sz w:val="17"/>
                <w:szCs w:val="17"/>
              </w:rPr>
              <w:t>SWaSSA</w:t>
            </w:r>
            <w:proofErr w:type="spellEnd"/>
            <w:r w:rsidRPr="009A4893">
              <w:rPr>
                <w:rFonts w:ascii="Franklin Gothic Book" w:hAnsi="Franklin Gothic Book" w:cs="Calibri"/>
                <w:sz w:val="17"/>
                <w:szCs w:val="17"/>
              </w:rPr>
              <w:t xml:space="preserve"> Regional: GIZ SADC </w:t>
            </w:r>
            <w:proofErr w:type="spellStart"/>
            <w:r w:rsidRPr="009A4893">
              <w:rPr>
                <w:rFonts w:ascii="Franklin Gothic Book" w:hAnsi="Franklin Gothic Book" w:cs="Calibri"/>
                <w:sz w:val="17"/>
                <w:szCs w:val="17"/>
              </w:rPr>
              <w:t>Transboundary</w:t>
            </w:r>
            <w:proofErr w:type="spellEnd"/>
            <w:r w:rsidRPr="009A4893">
              <w:rPr>
                <w:rFonts w:ascii="Franklin Gothic Book" w:hAnsi="Franklin Gothic Book" w:cs="Calibri"/>
                <w:sz w:val="17"/>
                <w:szCs w:val="17"/>
              </w:rPr>
              <w:t xml:space="preserve"> Water </w:t>
            </w:r>
            <w:proofErr w:type="spellStart"/>
            <w:r w:rsidRPr="009A4893">
              <w:rPr>
                <w:rFonts w:ascii="Franklin Gothic Book" w:hAnsi="Franklin Gothic Book" w:cs="Calibri"/>
                <w:sz w:val="17"/>
                <w:szCs w:val="17"/>
              </w:rPr>
              <w:t>Mgt</w:t>
            </w:r>
            <w:proofErr w:type="spellEnd"/>
          </w:p>
        </w:tc>
        <w:tc>
          <w:tcPr>
            <w:tcW w:w="658" w:type="pct"/>
          </w:tcPr>
          <w:p w:rsidR="00DF6E59" w:rsidRPr="00B653FE" w:rsidRDefault="008C114B"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$17.5 million</w:t>
            </w:r>
            <w:r w:rsidRPr="00B653FE">
              <w:rPr>
                <w:rFonts w:ascii="Franklin Gothic Book" w:eastAsia="Times New Roman" w:hAnsi="Franklin Gothic Book"/>
                <w:iCs/>
                <w:sz w:val="17"/>
                <w:szCs w:val="17"/>
                <w:lang w:eastAsia="en-US"/>
              </w:rPr>
              <w:br/>
              <w:t>2010 – Dec 2015</w:t>
            </w:r>
            <w:r w:rsidRPr="00B653FE">
              <w:rPr>
                <w:rFonts w:ascii="Franklin Gothic Book" w:eastAsia="Times New Roman" w:hAnsi="Franklin Gothic Book"/>
                <w:iCs/>
                <w:sz w:val="17"/>
                <w:szCs w:val="17"/>
                <w:lang w:eastAsia="en-US"/>
              </w:rPr>
              <w:br/>
            </w: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6</w:t>
            </w:r>
          </w:p>
        </w:tc>
        <w:tc>
          <w:tcPr>
            <w:tcW w:w="417"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DF6E59" w:rsidRPr="00B653FE"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6"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7"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7" w:type="pct"/>
            <w:shd w:val="clear" w:color="auto" w:fill="FFFF00"/>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2" w:type="pct"/>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r w:rsidRPr="009A4893">
              <w:rPr>
                <w:rFonts w:ascii="Franklin Gothic Book" w:hAnsi="Franklin Gothic Book" w:cs="Calibri"/>
                <w:sz w:val="17"/>
                <w:szCs w:val="17"/>
              </w:rPr>
              <w:t>Zimbabwe Water, Sanitation and Hygiene Program</w:t>
            </w:r>
          </w:p>
        </w:tc>
        <w:tc>
          <w:tcPr>
            <w:tcW w:w="658" w:type="pct"/>
          </w:tcPr>
          <w:p w:rsidR="00DF6E59" w:rsidRPr="00B653FE" w:rsidRDefault="008C114B"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$25 million</w:t>
            </w:r>
            <w:r w:rsidRPr="00B653FE">
              <w:rPr>
                <w:rFonts w:ascii="Franklin Gothic Book" w:eastAsia="Times New Roman" w:hAnsi="Franklin Gothic Book"/>
                <w:iCs/>
                <w:sz w:val="17"/>
                <w:szCs w:val="17"/>
                <w:lang w:eastAsia="en-US"/>
              </w:rPr>
              <w:br/>
              <w:t>2011 – June 2015</w:t>
            </w: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6</w:t>
            </w:r>
          </w:p>
        </w:tc>
        <w:tc>
          <w:tcPr>
            <w:tcW w:w="417"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tcPr>
          <w:p w:rsidR="00DF6E59" w:rsidRPr="00B653FE" w:rsidRDefault="00DF6E59" w:rsidP="00DF6E59">
            <w:pPr>
              <w:keepLines/>
              <w:spacing w:before="40" w:after="40" w:line="200" w:lineRule="atLeast"/>
              <w:rPr>
                <w:rFonts w:ascii="Franklin Gothic Book" w:eastAsia="Times New Roman" w:hAnsi="Franklin Gothic Book"/>
                <w:iCs/>
                <w:sz w:val="17"/>
                <w:szCs w:val="17"/>
                <w:lang w:eastAsia="en-US"/>
              </w:rPr>
            </w:pPr>
          </w:p>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DF6E59" w:rsidRPr="00B653FE"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6</w:t>
            </w:r>
          </w:p>
        </w:tc>
        <w:tc>
          <w:tcPr>
            <w:tcW w:w="417"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6</w:t>
            </w:r>
          </w:p>
        </w:tc>
        <w:tc>
          <w:tcPr>
            <w:tcW w:w="417"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92D050"/>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2" w:type="pct"/>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roofErr w:type="spellStart"/>
            <w:r w:rsidRPr="009A4893">
              <w:rPr>
                <w:rFonts w:ascii="Franklin Gothic Book" w:hAnsi="Franklin Gothic Book" w:cs="Calibri"/>
                <w:sz w:val="17"/>
                <w:szCs w:val="17"/>
              </w:rPr>
              <w:t>SWaSSA</w:t>
            </w:r>
            <w:proofErr w:type="spellEnd"/>
            <w:r w:rsidRPr="009A4893">
              <w:rPr>
                <w:rFonts w:ascii="Franklin Gothic Book" w:hAnsi="Franklin Gothic Book" w:cs="Calibri"/>
                <w:sz w:val="17"/>
                <w:szCs w:val="17"/>
              </w:rPr>
              <w:t xml:space="preserve"> Mozambique</w:t>
            </w:r>
          </w:p>
        </w:tc>
        <w:tc>
          <w:tcPr>
            <w:tcW w:w="658" w:type="pct"/>
          </w:tcPr>
          <w:p w:rsidR="00DF6E59"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$11.3 million</w:t>
            </w:r>
          </w:p>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2012 – June 2015</w:t>
            </w: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DF6E59" w:rsidRPr="00B653FE"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7" w:type="pct"/>
            <w:shd w:val="clear" w:color="auto" w:fill="FFFF0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92D050"/>
            <w:noWrap/>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FFFF00"/>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2" w:type="pct"/>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751164" w:rsidP="007D42FE">
            <w:pPr>
              <w:keepLines/>
              <w:spacing w:before="40" w:after="40" w:line="200" w:lineRule="atLeast"/>
              <w:rPr>
                <w:rFonts w:ascii="Franklin Gothic Book" w:eastAsia="Times New Roman" w:hAnsi="Franklin Gothic Book"/>
                <w:iCs/>
                <w:sz w:val="17"/>
                <w:szCs w:val="17"/>
                <w:lang w:eastAsia="en-US"/>
              </w:rPr>
            </w:pPr>
            <w:r w:rsidRPr="009A4893">
              <w:rPr>
                <w:rFonts w:ascii="Franklin Gothic Book" w:eastAsia="Times New Roman" w:hAnsi="Franklin Gothic Book"/>
                <w:iCs/>
                <w:sz w:val="17"/>
                <w:szCs w:val="17"/>
                <w:lang w:eastAsia="en-US"/>
              </w:rPr>
              <w:t>Australia-Africa Partnerships Facility</w:t>
            </w:r>
          </w:p>
        </w:tc>
        <w:tc>
          <w:tcPr>
            <w:tcW w:w="658"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$107 million</w:t>
            </w:r>
          </w:p>
          <w:p w:rsidR="00DF6E59"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2009 – Dec 2015</w:t>
            </w:r>
          </w:p>
        </w:tc>
        <w:tc>
          <w:tcPr>
            <w:tcW w:w="417" w:type="pct"/>
            <w:noWrap/>
          </w:tcPr>
          <w:p w:rsidR="00DF6E59" w:rsidRPr="00B653FE" w:rsidRDefault="00DF6E59" w:rsidP="00DF6E59">
            <w:pPr>
              <w:keepLines/>
              <w:spacing w:before="40" w:after="40" w:line="200" w:lineRule="atLeast"/>
              <w:rPr>
                <w:rFonts w:ascii="Franklin Gothic Book" w:eastAsia="Times New Roman" w:hAnsi="Franklin Gothic Book"/>
                <w:iCs/>
                <w:sz w:val="17"/>
                <w:szCs w:val="17"/>
                <w:lang w:eastAsia="en-US"/>
              </w:rPr>
            </w:pPr>
          </w:p>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FFFF0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r>
      <w:tr w:rsidR="00DF6E59"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DF6E59" w:rsidRPr="009A4893"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DF6E59" w:rsidRPr="00B653FE" w:rsidRDefault="00DF6E59"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DF6E59" w:rsidRPr="00B653FE" w:rsidRDefault="00751164" w:rsidP="00DF6E59">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  </w:t>
            </w:r>
            <w:r w:rsidR="000F18EA" w:rsidRPr="00B653FE">
              <w:rPr>
                <w:rFonts w:ascii="Franklin Gothic Book" w:eastAsia="Times New Roman" w:hAnsi="Franklin Gothic Book"/>
                <w:iCs/>
                <w:sz w:val="17"/>
                <w:szCs w:val="17"/>
                <w:lang w:eastAsia="en-US"/>
              </w:rPr>
              <w:t xml:space="preserve">   </w:t>
            </w:r>
            <w:r w:rsidR="00DF6E59" w:rsidRPr="00B653FE">
              <w:rPr>
                <w:rFonts w:ascii="Franklin Gothic Book" w:eastAsia="Times New Roman" w:hAnsi="Franklin Gothic Book"/>
                <w:iCs/>
                <w:sz w:val="17"/>
                <w:szCs w:val="17"/>
                <w:lang w:eastAsia="en-US"/>
              </w:rPr>
              <w:t>2013 QAI</w:t>
            </w:r>
          </w:p>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92D05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FFFF00"/>
            <w:noWrap/>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92D050"/>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2" w:type="pct"/>
            <w:vAlign w:val="center"/>
          </w:tcPr>
          <w:p w:rsidR="00DF6E59" w:rsidRPr="00B653FE" w:rsidRDefault="00DF6E59"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N/A</w:t>
            </w:r>
          </w:p>
        </w:tc>
      </w:tr>
      <w:tr w:rsidR="00751164"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51164" w:rsidRPr="009A4893" w:rsidRDefault="00751164" w:rsidP="007D42FE">
            <w:pPr>
              <w:keepLines/>
              <w:spacing w:before="40" w:after="40" w:line="200" w:lineRule="atLeast"/>
              <w:rPr>
                <w:rFonts w:ascii="Franklin Gothic Book" w:eastAsia="Times New Roman" w:hAnsi="Franklin Gothic Book"/>
                <w:iCs/>
                <w:sz w:val="17"/>
                <w:szCs w:val="17"/>
                <w:lang w:eastAsia="en-US"/>
              </w:rPr>
            </w:pPr>
            <w:r w:rsidRPr="009A4893">
              <w:rPr>
                <w:rFonts w:ascii="Franklin Gothic Book" w:hAnsi="Franklin Gothic Book" w:cs="Calibri"/>
                <w:sz w:val="17"/>
                <w:szCs w:val="17"/>
              </w:rPr>
              <w:t>Zimbabwe Food Security - Agricultural Recovery</w:t>
            </w:r>
          </w:p>
        </w:tc>
        <w:tc>
          <w:tcPr>
            <w:tcW w:w="658"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$30.8 million</w:t>
            </w:r>
          </w:p>
          <w:p w:rsidR="00751164"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2009 – June 2015</w:t>
            </w:r>
          </w:p>
        </w:tc>
        <w:tc>
          <w:tcPr>
            <w:tcW w:w="417" w:type="pct"/>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6"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7" w:type="pct"/>
            <w:shd w:val="clear" w:color="auto" w:fill="FFFF00"/>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tcPr>
          <w:p w:rsidR="00751164" w:rsidRPr="00B653FE" w:rsidRDefault="00751164" w:rsidP="00751164">
            <w:pPr>
              <w:keepLines/>
              <w:spacing w:before="40" w:after="40" w:line="200" w:lineRule="atLeast"/>
              <w:jc w:val="center"/>
              <w:rPr>
                <w:rFonts w:ascii="Franklin Gothic Book" w:eastAsia="Times New Roman" w:hAnsi="Franklin Gothic Book"/>
                <w:iCs/>
                <w:sz w:val="17"/>
                <w:szCs w:val="17"/>
                <w:lang w:eastAsia="en-US"/>
              </w:rPr>
            </w:pPr>
          </w:p>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751164"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51164" w:rsidRPr="009A4893" w:rsidRDefault="00751164"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751164" w:rsidRPr="00B653FE" w:rsidRDefault="00751164"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6" w:type="pct"/>
            <w:shd w:val="clear" w:color="auto" w:fill="92D05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FFFF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FFFF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7" w:type="pct"/>
            <w:shd w:val="clear" w:color="auto" w:fill="FFFF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FFC0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7" w:type="pct"/>
            <w:shd w:val="clear" w:color="auto" w:fill="FFC000"/>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2" w:type="pct"/>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r w:rsidR="00751164"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51164" w:rsidRPr="009A4893" w:rsidRDefault="00751164" w:rsidP="007D42FE">
            <w:pPr>
              <w:keepLines/>
              <w:spacing w:before="40" w:after="40" w:line="200" w:lineRule="atLeast"/>
              <w:rPr>
                <w:rFonts w:ascii="Franklin Gothic Book" w:eastAsia="Times New Roman" w:hAnsi="Franklin Gothic Book"/>
                <w:iCs/>
                <w:sz w:val="17"/>
                <w:szCs w:val="17"/>
                <w:lang w:eastAsia="en-US"/>
              </w:rPr>
            </w:pPr>
            <w:r w:rsidRPr="009A4893">
              <w:rPr>
                <w:rFonts w:ascii="Franklin Gothic Book" w:hAnsi="Franklin Gothic Book" w:cs="Calibri"/>
                <w:sz w:val="17"/>
                <w:szCs w:val="17"/>
              </w:rPr>
              <w:t>Zimbabwe - Civil Society Support</w:t>
            </w:r>
          </w:p>
        </w:tc>
        <w:tc>
          <w:tcPr>
            <w:tcW w:w="658" w:type="pct"/>
          </w:tcPr>
          <w:p w:rsidR="000F18EA"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$12.3 million</w:t>
            </w:r>
          </w:p>
          <w:p w:rsidR="00751164" w:rsidRPr="00B653FE" w:rsidRDefault="000F18EA" w:rsidP="007D42FE">
            <w:pPr>
              <w:keepLines/>
              <w:spacing w:before="40" w:after="40" w:line="200" w:lineRule="atLeast"/>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2010 – April 2015</w:t>
            </w:r>
          </w:p>
        </w:tc>
        <w:tc>
          <w:tcPr>
            <w:tcW w:w="417" w:type="pct"/>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 xml:space="preserve">2014 </w:t>
            </w:r>
            <w:r w:rsidR="003C3ACA">
              <w:rPr>
                <w:rFonts w:ascii="Franklin Gothic Book" w:eastAsia="Times New Roman" w:hAnsi="Franklin Gothic Book"/>
                <w:iCs/>
                <w:sz w:val="17"/>
                <w:szCs w:val="17"/>
                <w:lang w:eastAsia="en-US"/>
              </w:rPr>
              <w:t>F</w:t>
            </w:r>
            <w:r w:rsidRPr="00B653FE">
              <w:rPr>
                <w:rFonts w:ascii="Franklin Gothic Book" w:eastAsia="Times New Roman" w:hAnsi="Franklin Gothic Book"/>
                <w:iCs/>
                <w:sz w:val="17"/>
                <w:szCs w:val="17"/>
                <w:lang w:eastAsia="en-US"/>
              </w:rPr>
              <w:t>AQC</w:t>
            </w:r>
          </w:p>
        </w:tc>
        <w:tc>
          <w:tcPr>
            <w:tcW w:w="416"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FF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6" w:type="pct"/>
            <w:shd w:val="clear" w:color="auto" w:fill="92D05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5</w:t>
            </w:r>
          </w:p>
        </w:tc>
        <w:tc>
          <w:tcPr>
            <w:tcW w:w="417" w:type="pct"/>
            <w:shd w:val="clear" w:color="auto" w:fill="FFC0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6" w:type="pct"/>
            <w:shd w:val="clear" w:color="auto" w:fill="FFC000"/>
            <w:noWrap/>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3</w:t>
            </w:r>
          </w:p>
        </w:tc>
        <w:tc>
          <w:tcPr>
            <w:tcW w:w="417" w:type="pct"/>
            <w:shd w:val="clear" w:color="auto" w:fill="FFFF00"/>
            <w:vAlign w:val="center"/>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hAnsi="Franklin Gothic Book" w:cs="Tahoma"/>
                <w:color w:val="000000"/>
                <w:sz w:val="17"/>
                <w:szCs w:val="17"/>
              </w:rPr>
              <w:t>4</w:t>
            </w:r>
          </w:p>
        </w:tc>
        <w:tc>
          <w:tcPr>
            <w:tcW w:w="412" w:type="pct"/>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r>
      <w:tr w:rsidR="00751164" w:rsidRPr="007D42FE" w:rsidTr="00C3512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751164" w:rsidRPr="00B653FE" w:rsidRDefault="00751164" w:rsidP="007D42FE">
            <w:pPr>
              <w:keepLines/>
              <w:spacing w:before="40" w:after="40" w:line="200" w:lineRule="atLeast"/>
              <w:rPr>
                <w:rFonts w:ascii="Franklin Gothic Book" w:eastAsia="Times New Roman" w:hAnsi="Franklin Gothic Book"/>
                <w:iCs/>
                <w:sz w:val="17"/>
                <w:szCs w:val="17"/>
                <w:lang w:eastAsia="en-US"/>
              </w:rPr>
            </w:pPr>
          </w:p>
        </w:tc>
        <w:tc>
          <w:tcPr>
            <w:tcW w:w="658" w:type="pct"/>
          </w:tcPr>
          <w:p w:rsidR="00751164" w:rsidRPr="00B653FE" w:rsidRDefault="00751164" w:rsidP="007D42FE">
            <w:pPr>
              <w:keepLines/>
              <w:spacing w:before="40" w:after="40" w:line="200" w:lineRule="atLeast"/>
              <w:rPr>
                <w:rFonts w:ascii="Franklin Gothic Book" w:eastAsia="Times New Roman" w:hAnsi="Franklin Gothic Book"/>
                <w:iCs/>
                <w:sz w:val="17"/>
                <w:szCs w:val="17"/>
                <w:lang w:eastAsia="en-US"/>
              </w:rPr>
            </w:pPr>
          </w:p>
        </w:tc>
        <w:tc>
          <w:tcPr>
            <w:tcW w:w="417" w:type="pct"/>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2013 QAI</w:t>
            </w:r>
          </w:p>
        </w:tc>
        <w:tc>
          <w:tcPr>
            <w:tcW w:w="416" w:type="pct"/>
            <w:shd w:val="clear" w:color="auto" w:fill="92D05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FFFF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92D05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5</w:t>
            </w:r>
          </w:p>
        </w:tc>
        <w:tc>
          <w:tcPr>
            <w:tcW w:w="417" w:type="pct"/>
            <w:shd w:val="clear" w:color="auto" w:fill="FFFF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6" w:type="pct"/>
            <w:shd w:val="clear" w:color="auto" w:fill="FFC000"/>
            <w:noWrap/>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3</w:t>
            </w:r>
          </w:p>
        </w:tc>
        <w:tc>
          <w:tcPr>
            <w:tcW w:w="417" w:type="pct"/>
            <w:shd w:val="clear" w:color="auto" w:fill="FFFF00"/>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4</w:t>
            </w:r>
          </w:p>
        </w:tc>
        <w:tc>
          <w:tcPr>
            <w:tcW w:w="412" w:type="pct"/>
          </w:tcPr>
          <w:p w:rsidR="00751164" w:rsidRPr="00B653FE" w:rsidRDefault="00751164" w:rsidP="007D42FE">
            <w:pPr>
              <w:keepLines/>
              <w:spacing w:before="40" w:after="40" w:line="200" w:lineRule="atLeast"/>
              <w:jc w:val="center"/>
              <w:rPr>
                <w:rFonts w:ascii="Franklin Gothic Book" w:eastAsia="Times New Roman" w:hAnsi="Franklin Gothic Book"/>
                <w:iCs/>
                <w:sz w:val="17"/>
                <w:szCs w:val="17"/>
                <w:lang w:eastAsia="en-US"/>
              </w:rPr>
            </w:pPr>
            <w:r w:rsidRPr="00B653FE">
              <w:rPr>
                <w:rFonts w:ascii="Franklin Gothic Book" w:eastAsia="Times New Roman" w:hAnsi="Franklin Gothic Book"/>
                <w:iCs/>
                <w:sz w:val="17"/>
                <w:szCs w:val="17"/>
                <w:lang w:eastAsia="en-US"/>
              </w:rPr>
              <w:t>N/A</w:t>
            </w:r>
          </w:p>
        </w:tc>
      </w:tr>
    </w:tbl>
    <w:p w:rsidR="007D42FE" w:rsidRPr="007D42FE" w:rsidRDefault="007D42FE" w:rsidP="007D42FE">
      <w:pPr>
        <w:spacing w:before="20" w:after="20" w:line="180" w:lineRule="atLeast"/>
        <w:jc w:val="both"/>
        <w:rPr>
          <w:rFonts w:ascii="Franklin Gothic Book" w:eastAsia="Times New Roman" w:hAnsi="Franklin Gothic Book"/>
          <w:b/>
          <w:sz w:val="14"/>
          <w:szCs w:val="14"/>
        </w:rPr>
      </w:pP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sz w:val="14"/>
          <w:szCs w:val="14"/>
        </w:rPr>
        <w:t>Definitions of rating scale:</w:t>
      </w:r>
      <w:r w:rsidRPr="007D42FE">
        <w:rPr>
          <w:rFonts w:ascii="Franklin Gothic Book" w:eastAsia="Times New Roman" w:hAnsi="Franklin Gothic Book"/>
          <w:b/>
          <w:sz w:val="14"/>
          <w:szCs w:val="14"/>
        </w:rPr>
        <w:tab/>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sz w:val="14"/>
          <w:szCs w:val="14"/>
        </w:rPr>
        <w:t>Satisfactory (4, 5 and 6)</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72AF2F"/>
          <w:sz w:val="14"/>
          <w:szCs w:val="14"/>
        </w:rPr>
        <w:sym w:font="Webdings" w:char="F067"/>
      </w:r>
      <w:r w:rsidRPr="007D42FE">
        <w:rPr>
          <w:rFonts w:ascii="Franklin Gothic Book" w:eastAsia="Times New Roman" w:hAnsi="Franklin Gothic Book"/>
          <w:b/>
          <w:sz w:val="14"/>
          <w:szCs w:val="14"/>
        </w:rPr>
        <w:t xml:space="preserve"> = 6 = Very good; satisfies criteria in all or almost all areas</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72AF2F"/>
          <w:sz w:val="14"/>
          <w:szCs w:val="14"/>
        </w:rPr>
        <w:sym w:font="Webdings" w:char="F067"/>
      </w:r>
      <w:r w:rsidRPr="007D42FE">
        <w:rPr>
          <w:rFonts w:ascii="Franklin Gothic Book" w:eastAsia="Times New Roman" w:hAnsi="Franklin Gothic Book"/>
          <w:b/>
          <w:sz w:val="14"/>
          <w:szCs w:val="14"/>
        </w:rPr>
        <w:t xml:space="preserve"> = 5 = Good; satisfies criteria in most areas</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FFFF00"/>
          <w:sz w:val="14"/>
          <w:szCs w:val="14"/>
        </w:rPr>
        <w:sym w:font="Webdings" w:char="F067"/>
      </w:r>
      <w:r w:rsidRPr="007D42FE">
        <w:rPr>
          <w:rFonts w:ascii="Franklin Gothic Book" w:eastAsia="Times New Roman" w:hAnsi="Franklin Gothic Book"/>
          <w:b/>
          <w:sz w:val="14"/>
          <w:szCs w:val="14"/>
        </w:rPr>
        <w:t xml:space="preserve"> = 4 = Adequate; on balance, satisfies criteria; does not fail in any major area</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sz w:val="14"/>
          <w:szCs w:val="14"/>
        </w:rPr>
        <w:t>Less than satisfactory (1, 2 and 3)</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E36C0A"/>
          <w:sz w:val="14"/>
          <w:szCs w:val="14"/>
        </w:rPr>
        <w:sym w:font="Webdings" w:char="F067"/>
      </w:r>
      <w:r w:rsidRPr="007D42FE">
        <w:rPr>
          <w:rFonts w:ascii="Franklin Gothic Book" w:eastAsia="Times New Roman" w:hAnsi="Franklin Gothic Book"/>
          <w:b/>
          <w:color w:val="E36C0A"/>
          <w:sz w:val="14"/>
          <w:szCs w:val="14"/>
        </w:rPr>
        <w:t xml:space="preserve"> </w:t>
      </w:r>
      <w:r w:rsidRPr="007D42FE">
        <w:rPr>
          <w:rFonts w:ascii="Franklin Gothic Book" w:eastAsia="Times New Roman" w:hAnsi="Franklin Gothic Book"/>
          <w:b/>
          <w:sz w:val="14"/>
          <w:szCs w:val="14"/>
        </w:rPr>
        <w:t>= 3 = Less than adequate; on balance does not satisfy criteria but does not fail in any major area</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FF0000"/>
          <w:sz w:val="14"/>
          <w:szCs w:val="14"/>
        </w:rPr>
        <w:sym w:font="Webdings" w:char="F067"/>
      </w:r>
      <w:r w:rsidRPr="007D42FE">
        <w:rPr>
          <w:rFonts w:ascii="Franklin Gothic Book" w:eastAsia="Times New Roman" w:hAnsi="Franklin Gothic Book"/>
          <w:b/>
          <w:sz w:val="14"/>
          <w:szCs w:val="14"/>
        </w:rPr>
        <w:t xml:space="preserve"> = 2 = Poor; does not satisfy criteria in major areas</w:t>
      </w:r>
    </w:p>
    <w:p w:rsidR="007D42FE" w:rsidRPr="007D42FE" w:rsidRDefault="007D42FE" w:rsidP="007D42FE">
      <w:pPr>
        <w:spacing w:before="20" w:after="20" w:line="180" w:lineRule="atLeast"/>
        <w:jc w:val="both"/>
        <w:rPr>
          <w:rFonts w:ascii="Franklin Gothic Book" w:eastAsia="Times New Roman" w:hAnsi="Franklin Gothic Book"/>
          <w:b/>
          <w:sz w:val="14"/>
          <w:szCs w:val="14"/>
        </w:rPr>
      </w:pPr>
      <w:r w:rsidRPr="007D42FE">
        <w:rPr>
          <w:rFonts w:ascii="Franklin Gothic Book" w:eastAsia="Times New Roman" w:hAnsi="Franklin Gothic Book"/>
          <w:b/>
          <w:color w:val="FF0000"/>
          <w:sz w:val="14"/>
          <w:szCs w:val="14"/>
        </w:rPr>
        <w:sym w:font="Webdings" w:char="F067"/>
      </w:r>
      <w:r w:rsidRPr="007D42FE">
        <w:rPr>
          <w:rFonts w:ascii="Franklin Gothic Book" w:eastAsia="Times New Roman" w:hAnsi="Franklin Gothic Book"/>
          <w:b/>
          <w:sz w:val="14"/>
          <w:szCs w:val="14"/>
        </w:rPr>
        <w:t xml:space="preserve"> = 1 = Very poor; does not satisfy criteria in many major areas</w:t>
      </w:r>
    </w:p>
    <w:p w:rsidR="00ED4B2A" w:rsidRDefault="00ED4B2A" w:rsidP="000D733F">
      <w:pPr>
        <w:pStyle w:val="Note"/>
      </w:pPr>
    </w:p>
    <w:bookmarkEnd w:id="1"/>
    <w:p w:rsidR="000D733F" w:rsidRPr="00D95DDC" w:rsidRDefault="000D733F" w:rsidP="00C3512D">
      <w:pPr>
        <w:spacing w:after="200" w:line="276" w:lineRule="auto"/>
      </w:pPr>
    </w:p>
    <w:sectPr w:rsidR="000D733F" w:rsidRPr="00D95DDC" w:rsidSect="00F67B7D">
      <w:headerReference w:type="even" r:id="rId23"/>
      <w:footerReference w:type="first" r:id="rId24"/>
      <w:pgSz w:w="16840" w:h="11907" w:orient="landscape" w:code="9"/>
      <w:pgMar w:top="567" w:right="567" w:bottom="567" w:left="56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44" w:rsidRDefault="00206844" w:rsidP="0050529F">
      <w:r>
        <w:separator/>
      </w:r>
    </w:p>
    <w:p w:rsidR="00206844" w:rsidRDefault="00206844"/>
    <w:p w:rsidR="00206844" w:rsidRDefault="00206844"/>
    <w:p w:rsidR="00206844" w:rsidRDefault="00206844"/>
    <w:p w:rsidR="00206844" w:rsidRDefault="00206844"/>
    <w:p w:rsidR="00206844" w:rsidRDefault="00206844"/>
    <w:p w:rsidR="00206844" w:rsidRDefault="00206844"/>
  </w:endnote>
  <w:endnote w:type="continuationSeparator" w:id="0">
    <w:p w:rsidR="00206844" w:rsidRDefault="00206844" w:rsidP="0050529F">
      <w:r>
        <w:continuationSeparator/>
      </w:r>
    </w:p>
    <w:p w:rsidR="00206844" w:rsidRDefault="00206844"/>
    <w:p w:rsidR="00206844" w:rsidRDefault="00206844"/>
    <w:p w:rsidR="00206844" w:rsidRDefault="00206844"/>
    <w:p w:rsidR="00206844" w:rsidRDefault="00206844"/>
    <w:p w:rsidR="00206844" w:rsidRDefault="00206844"/>
    <w:p w:rsidR="00206844" w:rsidRDefault="00206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Pr="0091071F" w:rsidRDefault="00206844" w:rsidP="000D733F">
    <w:pPr>
      <w:pStyle w:val="Footer"/>
    </w:pPr>
    <w:r>
      <w:fldChar w:fldCharType="begin"/>
    </w:r>
    <w:r>
      <w:instrText xml:space="preserve"> PAGE </w:instrText>
    </w:r>
    <w:r>
      <w:fldChar w:fldCharType="separate"/>
    </w:r>
    <w:r>
      <w:rPr>
        <w:noProof/>
      </w:rPr>
      <w:t>4</w:t>
    </w:r>
    <w:r>
      <w:rPr>
        <w:noProof/>
      </w:rPr>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Default="00206844" w:rsidP="000D733F">
    <w:pPr>
      <w:pStyle w:val="Footer"/>
    </w:pPr>
  </w:p>
  <w:p w:rsidR="00206844" w:rsidRPr="0091071F" w:rsidRDefault="00206844" w:rsidP="000D733F">
    <w:pPr>
      <w:pStyle w:val="Footer"/>
    </w:pPr>
    <w:r>
      <w:tab/>
    </w:r>
    <w:fldSimple w:instr=" STYLEREF Title \* MERGEFORMAT ">
      <w:r w:rsidR="00091342">
        <w:rPr>
          <w:noProof/>
        </w:rPr>
        <w:t>Aid Program Performance Report 2014-15</w:t>
      </w:r>
    </w:fldSimple>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091342">
      <w:rPr>
        <w:rStyle w:val="PageNumber"/>
        <w:noProof/>
        <w:color w:val="3E3935"/>
      </w:rPr>
      <w:t>23</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Pr="004C4A3E" w:rsidRDefault="00206844"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3B88C257" wp14:editId="08945402">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091342">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091342">
      <w:rPr>
        <w:rFonts w:ascii="Franklin Gothic Medium" w:hAnsi="Franklin Gothic Medium"/>
        <w:noProof/>
        <w:color w:val="54534A"/>
        <w:sz w:val="14"/>
        <w:szCs w:val="14"/>
      </w:rPr>
      <w:t>2</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46B4F728" wp14:editId="277AA54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27237647" wp14:editId="167D4156">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Pr="004C4A3E" w:rsidRDefault="00206844"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7872" behindDoc="1" locked="1" layoutInCell="1" allowOverlap="1" wp14:anchorId="603AE972" wp14:editId="4F1A9E98">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091342">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091342">
      <w:rPr>
        <w:rFonts w:ascii="Franklin Gothic Medium" w:hAnsi="Franklin Gothic Medium"/>
        <w:noProof/>
        <w:color w:val="54534A"/>
        <w:sz w:val="14"/>
        <w:szCs w:val="14"/>
      </w:rPr>
      <w:t>20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6848" behindDoc="1" locked="0" layoutInCell="1" allowOverlap="1" wp14:anchorId="649B05D2" wp14:editId="2A3B24DA">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5824" behindDoc="1" locked="0" layoutInCell="1" allowOverlap="1" wp14:anchorId="3A0197B0" wp14:editId="6A250244">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Pr="004C4A3E" w:rsidRDefault="00206844"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AD19D21" wp14:editId="2685B968">
              <wp:simplePos x="0" y="0"/>
              <wp:positionH relativeFrom="page">
                <wp:posOffset>0</wp:posOffset>
              </wp:positionH>
              <wp:positionV relativeFrom="page">
                <wp:posOffset>8533130</wp:posOffset>
              </wp:positionV>
              <wp:extent cx="7379970" cy="2181860"/>
              <wp:effectExtent l="0" t="0" r="1905" b="635"/>
              <wp:wrapNone/>
              <wp:docPr id="3"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hIh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PJ4SI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091342">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2889C759" wp14:editId="48B1599A">
              <wp:simplePos x="0" y="0"/>
              <wp:positionH relativeFrom="column">
                <wp:posOffset>0</wp:posOffset>
              </wp:positionH>
              <wp:positionV relativeFrom="paragraph">
                <wp:posOffset>8498840</wp:posOffset>
              </wp:positionV>
              <wp:extent cx="7379970" cy="2181860"/>
              <wp:effectExtent l="0" t="2540" r="1905" b="0"/>
              <wp:wrapNone/>
              <wp:docPr id="2"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pzV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hPac1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56C75298" wp14:editId="37B86F68">
              <wp:simplePos x="0" y="0"/>
              <wp:positionH relativeFrom="column">
                <wp:posOffset>0</wp:posOffset>
              </wp:positionH>
              <wp:positionV relativeFrom="paragraph">
                <wp:posOffset>8498840</wp:posOffset>
              </wp:positionV>
              <wp:extent cx="7379970" cy="2181860"/>
              <wp:effectExtent l="0" t="2540" r="1905" b="0"/>
              <wp:wrapNone/>
              <wp:docPr id="1"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syl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SFLMp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44" w:rsidRDefault="00206844" w:rsidP="0050529F">
      <w:r>
        <w:separator/>
      </w:r>
    </w:p>
  </w:footnote>
  <w:footnote w:type="continuationSeparator" w:id="0">
    <w:p w:rsidR="00206844" w:rsidRDefault="00206844" w:rsidP="0050529F">
      <w:r>
        <w:continuationSeparator/>
      </w:r>
    </w:p>
    <w:p w:rsidR="00206844" w:rsidRDefault="00206844"/>
    <w:p w:rsidR="00206844" w:rsidRDefault="00206844"/>
    <w:p w:rsidR="00206844" w:rsidRDefault="00206844"/>
    <w:p w:rsidR="00206844" w:rsidRDefault="00206844"/>
    <w:p w:rsidR="00206844" w:rsidRDefault="00206844"/>
    <w:p w:rsidR="00206844" w:rsidRDefault="00206844"/>
  </w:footnote>
  <w:footnote w:id="1">
    <w:p w:rsidR="00206844" w:rsidRPr="00B519EB" w:rsidRDefault="00206844" w:rsidP="00B31B4E">
      <w:pPr>
        <w:pStyle w:val="FootnoteText"/>
      </w:pPr>
      <w:r w:rsidRPr="00B519EB">
        <w:rPr>
          <w:rStyle w:val="FootnoteReference"/>
          <w:rFonts w:ascii="Franklin Gothic Book" w:hAnsi="Franklin Gothic Book"/>
        </w:rPr>
        <w:footnoteRef/>
      </w:r>
      <w:r w:rsidRPr="00B519EB">
        <w:t xml:space="preserve"> https://www.imf.org/external/pubs/ft/reo/2015/afr/eng/pdf/sreo0415.pdf</w:t>
      </w:r>
    </w:p>
  </w:footnote>
  <w:footnote w:id="2">
    <w:p w:rsidR="00206844" w:rsidRPr="00B519EB" w:rsidRDefault="00206844" w:rsidP="00B31B4E">
      <w:pPr>
        <w:pStyle w:val="FootnoteText"/>
      </w:pPr>
      <w:r w:rsidRPr="00B519EB">
        <w:rPr>
          <w:rStyle w:val="FootnoteReference"/>
          <w:rFonts w:ascii="Franklin Gothic Book" w:hAnsi="Franklin Gothic Book"/>
        </w:rPr>
        <w:footnoteRef/>
      </w:r>
      <w:r w:rsidRPr="00B519EB">
        <w:t xml:space="preserve"> http://www.transparency.org/cpi2014/results</w:t>
      </w:r>
    </w:p>
  </w:footnote>
  <w:footnote w:id="3">
    <w:p w:rsidR="00206844" w:rsidRPr="00B519EB" w:rsidRDefault="00206844" w:rsidP="00B31B4E">
      <w:pPr>
        <w:pStyle w:val="FootnoteText"/>
      </w:pPr>
      <w:r w:rsidRPr="00B519EB">
        <w:rPr>
          <w:rStyle w:val="FootnoteReference"/>
          <w:rFonts w:ascii="Franklin Gothic Book" w:hAnsi="Franklin Gothic Book"/>
        </w:rPr>
        <w:footnoteRef/>
      </w:r>
      <w:r w:rsidRPr="00B519EB">
        <w:t xml:space="preserve"> http://www.undp.org/content/undp/en/home/librarypage/mdg/mdg-reports/africa-collection.html</w:t>
      </w:r>
    </w:p>
  </w:footnote>
  <w:footnote w:id="4">
    <w:p w:rsidR="00206844" w:rsidRPr="00B519EB" w:rsidRDefault="00206844" w:rsidP="00B31B4E">
      <w:pPr>
        <w:pStyle w:val="FootnoteText"/>
        <w:rPr>
          <w:szCs w:val="16"/>
          <w:lang w:val="en-GB"/>
        </w:rPr>
      </w:pPr>
      <w:r w:rsidRPr="00B519EB">
        <w:rPr>
          <w:rStyle w:val="FootnoteReference"/>
          <w:rFonts w:ascii="Franklin Gothic Book" w:hAnsi="Franklin Gothic Book"/>
          <w:szCs w:val="16"/>
        </w:rPr>
        <w:footnoteRef/>
      </w:r>
      <w:r w:rsidRPr="00B519EB">
        <w:rPr>
          <w:szCs w:val="16"/>
        </w:rPr>
        <w:t xml:space="preserve"> </w:t>
      </w:r>
      <w:hyperlink r:id="rId1" w:history="1">
        <w:r w:rsidRPr="00B519EB">
          <w:rPr>
            <w:rStyle w:val="Hyperlink"/>
            <w:color w:val="auto"/>
            <w:sz w:val="16"/>
            <w:szCs w:val="16"/>
          </w:rPr>
          <w:t>http://www3.weforum.org/docs/WEF_ACR_2015/Africa_Competitiveness_Report_2015.pdf</w:t>
        </w:r>
      </w:hyperlink>
    </w:p>
  </w:footnote>
  <w:footnote w:id="5">
    <w:p w:rsidR="00206844" w:rsidRPr="0057519C" w:rsidRDefault="00206844" w:rsidP="00B31B4E">
      <w:pPr>
        <w:pStyle w:val="FootnoteText"/>
        <w:rPr>
          <w:szCs w:val="16"/>
          <w:lang w:val="en-GB"/>
        </w:rPr>
      </w:pPr>
      <w:r w:rsidRPr="00B519EB">
        <w:rPr>
          <w:rStyle w:val="FootnoteReference"/>
          <w:rFonts w:ascii="Franklin Gothic Book" w:hAnsi="Franklin Gothic Book"/>
          <w:szCs w:val="16"/>
        </w:rPr>
        <w:footnoteRef/>
      </w:r>
      <w:r w:rsidRPr="00B519EB">
        <w:rPr>
          <w:szCs w:val="16"/>
        </w:rPr>
        <w:t xml:space="preserve"> </w:t>
      </w:r>
      <w:hyperlink r:id="rId2" w:history="1">
        <w:r w:rsidRPr="00B519EB">
          <w:rPr>
            <w:rStyle w:val="Hyperlink"/>
            <w:color w:val="auto"/>
            <w:sz w:val="16"/>
            <w:szCs w:val="16"/>
          </w:rPr>
          <w:t>http://www.pwc.co.za/en/assets/pdf/agribusinesses-insights-survey-2014-2015.pdf</w:t>
        </w:r>
      </w:hyperlink>
    </w:p>
  </w:footnote>
  <w:footnote w:id="6">
    <w:p w:rsidR="00206844" w:rsidRDefault="00206844" w:rsidP="004D73F2">
      <w:pPr>
        <w:pStyle w:val="FootnoteText"/>
      </w:pPr>
      <w:r w:rsidRPr="00B519EB">
        <w:rPr>
          <w:rStyle w:val="FootnoteReference"/>
          <w:rFonts w:ascii="Franklin Gothic Book" w:hAnsi="Franklin Gothic Book"/>
        </w:rPr>
        <w:footnoteRef/>
      </w:r>
      <w:r>
        <w:t xml:space="preserve"> Development Aid at a glance (2015), Statistics by Region - Africa</w:t>
      </w:r>
    </w:p>
  </w:footnote>
  <w:footnote w:id="7">
    <w:p w:rsidR="00206844" w:rsidRDefault="00206844" w:rsidP="009A48CC">
      <w:pPr>
        <w:pStyle w:val="FootnoteText"/>
        <w:spacing w:line="240" w:lineRule="auto"/>
      </w:pPr>
      <w:r w:rsidRPr="00B519EB">
        <w:rPr>
          <w:rStyle w:val="FootnoteReference"/>
          <w:rFonts w:ascii="Franklin Gothic Book" w:hAnsi="Franklin Gothic Book"/>
        </w:rPr>
        <w:footnoteRef/>
      </w:r>
      <w:r w:rsidRPr="00B519EB">
        <w:t xml:space="preserve"> </w:t>
      </w:r>
      <w:r>
        <w:t>All information sourced in this report on investment performance is drawn from Quality at Implementation reports, Annual Reports from implementing partners, Evaluations (where these were conducted over the relevant period) and monitoring visits unless otherwise stated.</w:t>
      </w:r>
    </w:p>
  </w:footnote>
  <w:footnote w:id="8">
    <w:p w:rsidR="00206844" w:rsidRPr="006C3542" w:rsidRDefault="00206844" w:rsidP="00B87BE6">
      <w:pPr>
        <w:pStyle w:val="FootnoteText"/>
      </w:pPr>
      <w:r w:rsidRPr="00B519EB">
        <w:rPr>
          <w:rStyle w:val="FootnoteReference"/>
          <w:rFonts w:ascii="Franklin Gothic Book" w:hAnsi="Franklin Gothic Book"/>
        </w:rPr>
        <w:footnoteRef/>
      </w:r>
      <w:r w:rsidRPr="00B519EB">
        <w:t xml:space="preserve"> </w:t>
      </w:r>
      <w:r>
        <w:t xml:space="preserve">GRM International, </w:t>
      </w:r>
      <w:r>
        <w:rPr>
          <w:i/>
        </w:rPr>
        <w:t>Australia Awards Africa – 2014 Outcomes Study</w:t>
      </w:r>
      <w:r>
        <w:t>.</w:t>
      </w:r>
    </w:p>
  </w:footnote>
  <w:footnote w:id="9">
    <w:p w:rsidR="00206844" w:rsidRDefault="00206844" w:rsidP="00234488">
      <w:pPr>
        <w:pStyle w:val="FootnoteText"/>
      </w:pPr>
      <w:r w:rsidRPr="00B519EB">
        <w:rPr>
          <w:rStyle w:val="FootnoteReference"/>
          <w:rFonts w:ascii="Franklin Gothic Book" w:hAnsi="Franklin Gothic Book"/>
        </w:rPr>
        <w:footnoteRef/>
      </w:r>
      <w:r>
        <w:t xml:space="preserve"> OCHA: Somalia Humanitarian Snapshot – 9 October 2015</w:t>
      </w:r>
    </w:p>
  </w:footnote>
  <w:footnote w:id="10">
    <w:p w:rsidR="00206844" w:rsidRPr="00E8023F" w:rsidRDefault="00206844">
      <w:pPr>
        <w:pStyle w:val="FootnoteText"/>
      </w:pPr>
      <w:r w:rsidRPr="00E8023F">
        <w:rPr>
          <w:rStyle w:val="FootnoteReference"/>
          <w:rFonts w:ascii="Franklin Gothic Book" w:hAnsi="Franklin Gothic Book"/>
        </w:rPr>
        <w:footnoteRef/>
      </w:r>
      <w:r w:rsidRPr="00E8023F">
        <w:t xml:space="preserve"> </w:t>
      </w:r>
      <w:r w:rsidRPr="00E8023F">
        <w:rPr>
          <w:lang w:eastAsia="zh-CN"/>
        </w:rPr>
        <w:t xml:space="preserve"> 100 per</w:t>
      </w:r>
      <w:r>
        <w:rPr>
          <w:lang w:eastAsia="zh-CN"/>
        </w:rPr>
        <w:t xml:space="preserve"> </w:t>
      </w:r>
      <w:r w:rsidRPr="00E8023F">
        <w:rPr>
          <w:lang w:eastAsia="zh-CN"/>
        </w:rPr>
        <w:t xml:space="preserve">cent of investments rated as satisfactory and above for effectiveness (compared with 81.48 percent in 2014) and 92 percent scored satisfactory and above for efficiency (compared with 77.78 percent in 2014). </w:t>
      </w:r>
    </w:p>
  </w:footnote>
  <w:footnote w:id="11">
    <w:p w:rsidR="00206844" w:rsidRPr="00E8023F" w:rsidRDefault="00206844">
      <w:pPr>
        <w:pStyle w:val="FootnoteText"/>
      </w:pPr>
      <w:r w:rsidRPr="00E8023F">
        <w:rPr>
          <w:rStyle w:val="FootnoteReference"/>
          <w:rFonts w:ascii="Franklin Gothic Book" w:hAnsi="Franklin Gothic Book"/>
        </w:rPr>
        <w:footnoteRef/>
      </w:r>
      <w:r w:rsidRPr="00E8023F">
        <w:t xml:space="preserve"> </w:t>
      </w:r>
      <w:r w:rsidRPr="00E8023F">
        <w:rPr>
          <w:lang w:eastAsia="zh-CN"/>
        </w:rPr>
        <w:t>The Africa Aid Program has exceeded the Government’s target to reduce the number of individual investments by 20 percent by 2016-17</w:t>
      </w:r>
      <w:r>
        <w:rPr>
          <w:lang w:eastAsia="zh-CN"/>
        </w:rPr>
        <w:t>, and</w:t>
      </w:r>
      <w:r w:rsidRPr="00E8023F">
        <w:rPr>
          <w:lang w:eastAsia="zh-CN"/>
        </w:rPr>
        <w:t xml:space="preserve"> consolidated the number of its investments by more than 40 per</w:t>
      </w:r>
      <w:r>
        <w:rPr>
          <w:lang w:eastAsia="zh-CN"/>
        </w:rPr>
        <w:t xml:space="preserve"> </w:t>
      </w:r>
      <w:r w:rsidRPr="00E8023F">
        <w:rPr>
          <w:lang w:eastAsia="zh-CN"/>
        </w:rPr>
        <w:t xml:space="preserve">cent in 2014-15 from 1 July 2013.  </w:t>
      </w:r>
    </w:p>
  </w:footnote>
  <w:footnote w:id="12">
    <w:p w:rsidR="00206844" w:rsidRPr="00E8023F" w:rsidRDefault="00206844">
      <w:pPr>
        <w:pStyle w:val="FootnoteText"/>
      </w:pPr>
      <w:r w:rsidRPr="00E8023F">
        <w:rPr>
          <w:rStyle w:val="FootnoteReference"/>
          <w:rFonts w:ascii="Franklin Gothic Book" w:hAnsi="Franklin Gothic Book"/>
        </w:rPr>
        <w:footnoteRef/>
      </w:r>
      <w:r w:rsidRPr="00E8023F">
        <w:t xml:space="preserve"> </w:t>
      </w:r>
      <w:r w:rsidRPr="00E8023F">
        <w:rPr>
          <w:lang w:eastAsia="zh-CN"/>
        </w:rPr>
        <w:t xml:space="preserve">The Africa Aid Program however, failed to meet the strategic objective that, ‘more than 80 percent of investments, regardless of their objectives, will effectively address gender issues in their implementation’ (with a score of 73.08).  </w:t>
      </w:r>
    </w:p>
  </w:footnote>
  <w:footnote w:id="13">
    <w:p w:rsidR="00206844" w:rsidRPr="00E8023F" w:rsidRDefault="00206844">
      <w:pPr>
        <w:pStyle w:val="FootnoteText"/>
      </w:pPr>
      <w:r w:rsidRPr="00E8023F">
        <w:rPr>
          <w:rStyle w:val="FootnoteReference"/>
          <w:rFonts w:ascii="Franklin Gothic Book" w:hAnsi="Franklin Gothic Book"/>
        </w:rPr>
        <w:footnoteRef/>
      </w:r>
      <w:r w:rsidRPr="00E8023F">
        <w:t xml:space="preserve"> </w:t>
      </w:r>
      <w:r>
        <w:rPr>
          <w:lang w:eastAsia="zh-CN"/>
        </w:rPr>
        <w:t>O</w:t>
      </w:r>
      <w:r w:rsidRPr="00E8023F">
        <w:rPr>
          <w:lang w:eastAsia="zh-CN"/>
        </w:rPr>
        <w:t>nly five per</w:t>
      </w:r>
      <w:r>
        <w:rPr>
          <w:lang w:eastAsia="zh-CN"/>
        </w:rPr>
        <w:t xml:space="preserve"> </w:t>
      </w:r>
      <w:r w:rsidRPr="00E8023F">
        <w:rPr>
          <w:lang w:eastAsia="zh-CN"/>
        </w:rPr>
        <w:t>cent of our programming is considered aid for trade so we are not likely to meet the target to increase our aid for trade investments by 20 percent by 2020.  However, this is an overall DFAT rather than specific geographic target.</w:t>
      </w:r>
      <w:r w:rsidRPr="00E8023F">
        <w:t xml:space="preserve"> </w:t>
      </w:r>
      <w:r w:rsidRPr="00E8023F">
        <w:rPr>
          <w:lang w:eastAsia="zh-CN"/>
        </w:rPr>
        <w:t>Note all scholarships are classified as education support, rather than capacity building support to the trade sector, where relevant.</w:t>
      </w:r>
    </w:p>
  </w:footnote>
  <w:footnote w:id="14">
    <w:p w:rsidR="00206844" w:rsidRDefault="00206844" w:rsidP="00DC0BD7">
      <w:pPr>
        <w:pStyle w:val="FootnoteText"/>
        <w:spacing w:line="240" w:lineRule="auto"/>
      </w:pPr>
      <w:r w:rsidRPr="00B519EB">
        <w:rPr>
          <w:rStyle w:val="FootnoteReference"/>
          <w:rFonts w:ascii="Franklin Gothic Book" w:hAnsi="Franklin Gothic Book"/>
        </w:rPr>
        <w:footnoteRef/>
      </w:r>
      <w:r>
        <w:t xml:space="preserve"> Including UNICEF, United Nations Economic Commission for Africa (UNECA), UNDP, World Food Program (WFP), Office for the Coordination of Humanitarian Affairs (OCHA).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Default="0020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Default="00206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4" w:rsidRDefault="00206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8250E1"/>
    <w:multiLevelType w:val="hybridMultilevel"/>
    <w:tmpl w:val="481A620C"/>
    <w:lvl w:ilvl="0" w:tplc="02A0F3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A130F7"/>
    <w:multiLevelType w:val="hybridMultilevel"/>
    <w:tmpl w:val="1BFA9C48"/>
    <w:lvl w:ilvl="0" w:tplc="26387B46">
      <w:start w:val="1"/>
      <w:numFmt w:val="bullet"/>
      <w:pStyle w:val="DotPoint"/>
      <w:lvlText w:val="o"/>
      <w:lvlJc w:val="left"/>
      <w:pPr>
        <w:ind w:left="3196" w:hanging="360"/>
      </w:pPr>
      <w:rPr>
        <w:rFonts w:ascii="Courier New" w:hAnsi="Courier New" w:cs="Times New Roman" w:hint="default"/>
        <w:color w:val="000000"/>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6F8CD632"/>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8EC5E58"/>
    <w:multiLevelType w:val="multilevel"/>
    <w:tmpl w:val="5386C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58D53CA"/>
    <w:multiLevelType w:val="multilevel"/>
    <w:tmpl w:val="A016E23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28575EB3"/>
    <w:multiLevelType w:val="hybridMultilevel"/>
    <w:tmpl w:val="53B60844"/>
    <w:lvl w:ilvl="0" w:tplc="C4B290E6">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2B3277"/>
    <w:multiLevelType w:val="multilevel"/>
    <w:tmpl w:val="DAD80D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EC572DE"/>
    <w:multiLevelType w:val="multilevel"/>
    <w:tmpl w:val="A5A2D6B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9885DA9"/>
    <w:multiLevelType w:val="hybridMultilevel"/>
    <w:tmpl w:val="BFBA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6"/>
  </w:num>
  <w:num w:numId="4">
    <w:abstractNumId w:val="18"/>
  </w:num>
  <w:num w:numId="5">
    <w:abstractNumId w:val="17"/>
  </w:num>
  <w:num w:numId="6">
    <w:abstractNumId w:val="15"/>
  </w:num>
  <w:num w:numId="7">
    <w:abstractNumId w:val="23"/>
  </w:num>
  <w:num w:numId="8">
    <w:abstractNumId w:val="5"/>
  </w:num>
  <w:num w:numId="9">
    <w:abstractNumId w:val="9"/>
  </w:num>
  <w:num w:numId="10">
    <w:abstractNumId w:val="25"/>
  </w:num>
  <w:num w:numId="11">
    <w:abstractNumId w:val="26"/>
  </w:num>
  <w:num w:numId="12">
    <w:abstractNumId w:val="0"/>
  </w:num>
  <w:num w:numId="13">
    <w:abstractNumId w:val="3"/>
  </w:num>
  <w:num w:numId="14">
    <w:abstractNumId w:val="22"/>
  </w:num>
  <w:num w:numId="15">
    <w:abstractNumId w:val="1"/>
  </w:num>
  <w:num w:numId="16">
    <w:abstractNumId w:val="13"/>
  </w:num>
  <w:num w:numId="17">
    <w:abstractNumId w:val="10"/>
  </w:num>
  <w:num w:numId="18">
    <w:abstractNumId w:val="8"/>
  </w:num>
  <w:num w:numId="19">
    <w:abstractNumId w:val="24"/>
  </w:num>
  <w:num w:numId="20">
    <w:abstractNumId w:val="14"/>
  </w:num>
  <w:num w:numId="21">
    <w:abstractNumId w:val="7"/>
  </w:num>
  <w:num w:numId="22">
    <w:abstractNumId w:val="2"/>
  </w:num>
  <w:num w:numId="23">
    <w:abstractNumId w:val="4"/>
  </w:num>
  <w:num w:numId="24">
    <w:abstractNumId w:val="11"/>
  </w:num>
  <w:num w:numId="25">
    <w:abstractNumId w:val="16"/>
  </w:num>
  <w:num w:numId="26">
    <w:abstractNumId w:val="20"/>
  </w:num>
  <w:num w:numId="27">
    <w:abstractNumId w:val="26"/>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2A9"/>
    <w:rsid w:val="00002161"/>
    <w:rsid w:val="0000242A"/>
    <w:rsid w:val="00002A92"/>
    <w:rsid w:val="00002E28"/>
    <w:rsid w:val="0000347B"/>
    <w:rsid w:val="000039CF"/>
    <w:rsid w:val="00004E18"/>
    <w:rsid w:val="00007E94"/>
    <w:rsid w:val="00010F00"/>
    <w:rsid w:val="000142A2"/>
    <w:rsid w:val="000143D9"/>
    <w:rsid w:val="00020121"/>
    <w:rsid w:val="00021A9E"/>
    <w:rsid w:val="00022946"/>
    <w:rsid w:val="00026855"/>
    <w:rsid w:val="00027629"/>
    <w:rsid w:val="00030111"/>
    <w:rsid w:val="00031100"/>
    <w:rsid w:val="00031EB5"/>
    <w:rsid w:val="0003231A"/>
    <w:rsid w:val="00033298"/>
    <w:rsid w:val="00036FD5"/>
    <w:rsid w:val="00037B5A"/>
    <w:rsid w:val="00040AF6"/>
    <w:rsid w:val="000426DF"/>
    <w:rsid w:val="00046F52"/>
    <w:rsid w:val="00046FB2"/>
    <w:rsid w:val="000471FD"/>
    <w:rsid w:val="00047252"/>
    <w:rsid w:val="000529AD"/>
    <w:rsid w:val="0005506B"/>
    <w:rsid w:val="000550B0"/>
    <w:rsid w:val="00055E78"/>
    <w:rsid w:val="00057589"/>
    <w:rsid w:val="00057D09"/>
    <w:rsid w:val="00057D72"/>
    <w:rsid w:val="0006038E"/>
    <w:rsid w:val="000605CB"/>
    <w:rsid w:val="00063D8D"/>
    <w:rsid w:val="0006409C"/>
    <w:rsid w:val="00071B95"/>
    <w:rsid w:val="000726B3"/>
    <w:rsid w:val="0007395B"/>
    <w:rsid w:val="000745E2"/>
    <w:rsid w:val="0007703B"/>
    <w:rsid w:val="000774FD"/>
    <w:rsid w:val="000818C0"/>
    <w:rsid w:val="00081F4E"/>
    <w:rsid w:val="00082CA9"/>
    <w:rsid w:val="000837D5"/>
    <w:rsid w:val="000874FE"/>
    <w:rsid w:val="00087869"/>
    <w:rsid w:val="00090115"/>
    <w:rsid w:val="000905A8"/>
    <w:rsid w:val="00091342"/>
    <w:rsid w:val="00091607"/>
    <w:rsid w:val="00091878"/>
    <w:rsid w:val="00092ECE"/>
    <w:rsid w:val="000938B8"/>
    <w:rsid w:val="000950D6"/>
    <w:rsid w:val="000957FC"/>
    <w:rsid w:val="00095CF5"/>
    <w:rsid w:val="00095F69"/>
    <w:rsid w:val="000979A0"/>
    <w:rsid w:val="00097B02"/>
    <w:rsid w:val="000A0471"/>
    <w:rsid w:val="000A1618"/>
    <w:rsid w:val="000A4247"/>
    <w:rsid w:val="000A5D7C"/>
    <w:rsid w:val="000B3121"/>
    <w:rsid w:val="000B5F65"/>
    <w:rsid w:val="000B6538"/>
    <w:rsid w:val="000B68F6"/>
    <w:rsid w:val="000B6BE5"/>
    <w:rsid w:val="000B6FEA"/>
    <w:rsid w:val="000B75E8"/>
    <w:rsid w:val="000C21D6"/>
    <w:rsid w:val="000C258A"/>
    <w:rsid w:val="000C29BF"/>
    <w:rsid w:val="000C46E6"/>
    <w:rsid w:val="000C4A7A"/>
    <w:rsid w:val="000C5FDC"/>
    <w:rsid w:val="000C6080"/>
    <w:rsid w:val="000C60A8"/>
    <w:rsid w:val="000C69B2"/>
    <w:rsid w:val="000C7861"/>
    <w:rsid w:val="000C78F7"/>
    <w:rsid w:val="000C7BFB"/>
    <w:rsid w:val="000D151B"/>
    <w:rsid w:val="000D1993"/>
    <w:rsid w:val="000D4D0D"/>
    <w:rsid w:val="000D5C4C"/>
    <w:rsid w:val="000D733F"/>
    <w:rsid w:val="000D7952"/>
    <w:rsid w:val="000E1213"/>
    <w:rsid w:val="000E19C7"/>
    <w:rsid w:val="000E4573"/>
    <w:rsid w:val="000E5907"/>
    <w:rsid w:val="000E7297"/>
    <w:rsid w:val="000E7A8D"/>
    <w:rsid w:val="000F18EA"/>
    <w:rsid w:val="000F2D94"/>
    <w:rsid w:val="000F6159"/>
    <w:rsid w:val="000F6EFF"/>
    <w:rsid w:val="00100485"/>
    <w:rsid w:val="00100AA2"/>
    <w:rsid w:val="00101652"/>
    <w:rsid w:val="00101F57"/>
    <w:rsid w:val="001021BB"/>
    <w:rsid w:val="001039BB"/>
    <w:rsid w:val="00105D44"/>
    <w:rsid w:val="00106185"/>
    <w:rsid w:val="00106BDC"/>
    <w:rsid w:val="0010729C"/>
    <w:rsid w:val="00107624"/>
    <w:rsid w:val="001077A3"/>
    <w:rsid w:val="00107949"/>
    <w:rsid w:val="00112E97"/>
    <w:rsid w:val="00113977"/>
    <w:rsid w:val="001139DE"/>
    <w:rsid w:val="00114751"/>
    <w:rsid w:val="00114CF4"/>
    <w:rsid w:val="001154CA"/>
    <w:rsid w:val="00115D5D"/>
    <w:rsid w:val="001171DE"/>
    <w:rsid w:val="00120958"/>
    <w:rsid w:val="00120C22"/>
    <w:rsid w:val="00120FC7"/>
    <w:rsid w:val="00121EAD"/>
    <w:rsid w:val="00122038"/>
    <w:rsid w:val="001227C3"/>
    <w:rsid w:val="001229AC"/>
    <w:rsid w:val="001229C3"/>
    <w:rsid w:val="0012429A"/>
    <w:rsid w:val="00124DC8"/>
    <w:rsid w:val="001258C6"/>
    <w:rsid w:val="00126887"/>
    <w:rsid w:val="0012793C"/>
    <w:rsid w:val="00130C2E"/>
    <w:rsid w:val="0013153B"/>
    <w:rsid w:val="00131FF0"/>
    <w:rsid w:val="00132003"/>
    <w:rsid w:val="00133AAD"/>
    <w:rsid w:val="00135806"/>
    <w:rsid w:val="001366B4"/>
    <w:rsid w:val="001375E3"/>
    <w:rsid w:val="00141A30"/>
    <w:rsid w:val="00143053"/>
    <w:rsid w:val="0014411B"/>
    <w:rsid w:val="001448E7"/>
    <w:rsid w:val="00144C34"/>
    <w:rsid w:val="00145659"/>
    <w:rsid w:val="001460DB"/>
    <w:rsid w:val="00147846"/>
    <w:rsid w:val="0015001B"/>
    <w:rsid w:val="0015043E"/>
    <w:rsid w:val="00152DFD"/>
    <w:rsid w:val="00154EF9"/>
    <w:rsid w:val="00157565"/>
    <w:rsid w:val="00157858"/>
    <w:rsid w:val="001612CE"/>
    <w:rsid w:val="001619EE"/>
    <w:rsid w:val="001624FB"/>
    <w:rsid w:val="0016544D"/>
    <w:rsid w:val="001657F1"/>
    <w:rsid w:val="001659FA"/>
    <w:rsid w:val="00167331"/>
    <w:rsid w:val="0016740F"/>
    <w:rsid w:val="00167D26"/>
    <w:rsid w:val="001710EA"/>
    <w:rsid w:val="00171BB2"/>
    <w:rsid w:val="00171E80"/>
    <w:rsid w:val="0017211B"/>
    <w:rsid w:val="001733AE"/>
    <w:rsid w:val="00173C6E"/>
    <w:rsid w:val="001740D3"/>
    <w:rsid w:val="00175E4C"/>
    <w:rsid w:val="00180B19"/>
    <w:rsid w:val="0018196F"/>
    <w:rsid w:val="001829BB"/>
    <w:rsid w:val="0018305E"/>
    <w:rsid w:val="0018353A"/>
    <w:rsid w:val="00183CEC"/>
    <w:rsid w:val="0018442E"/>
    <w:rsid w:val="00186AAA"/>
    <w:rsid w:val="00186DB7"/>
    <w:rsid w:val="00190CAD"/>
    <w:rsid w:val="00190DBD"/>
    <w:rsid w:val="00192498"/>
    <w:rsid w:val="001943B6"/>
    <w:rsid w:val="00194806"/>
    <w:rsid w:val="001A08D5"/>
    <w:rsid w:val="001A236C"/>
    <w:rsid w:val="001A2A1A"/>
    <w:rsid w:val="001A374B"/>
    <w:rsid w:val="001A400B"/>
    <w:rsid w:val="001A4262"/>
    <w:rsid w:val="001A7032"/>
    <w:rsid w:val="001B118D"/>
    <w:rsid w:val="001B1A0C"/>
    <w:rsid w:val="001B2948"/>
    <w:rsid w:val="001B4037"/>
    <w:rsid w:val="001B41CD"/>
    <w:rsid w:val="001B714C"/>
    <w:rsid w:val="001B7AD8"/>
    <w:rsid w:val="001C0554"/>
    <w:rsid w:val="001C1EA0"/>
    <w:rsid w:val="001C3017"/>
    <w:rsid w:val="001C31B9"/>
    <w:rsid w:val="001C507E"/>
    <w:rsid w:val="001C5254"/>
    <w:rsid w:val="001C700E"/>
    <w:rsid w:val="001C7117"/>
    <w:rsid w:val="001C745A"/>
    <w:rsid w:val="001C7DDD"/>
    <w:rsid w:val="001D00DE"/>
    <w:rsid w:val="001D12B0"/>
    <w:rsid w:val="001D20FC"/>
    <w:rsid w:val="001D210A"/>
    <w:rsid w:val="001D276B"/>
    <w:rsid w:val="001D6059"/>
    <w:rsid w:val="001D6A75"/>
    <w:rsid w:val="001D7E98"/>
    <w:rsid w:val="001D7EC5"/>
    <w:rsid w:val="001E2EC2"/>
    <w:rsid w:val="001E4BDE"/>
    <w:rsid w:val="001E65BD"/>
    <w:rsid w:val="001E6635"/>
    <w:rsid w:val="001E77F4"/>
    <w:rsid w:val="001E7BB5"/>
    <w:rsid w:val="001F12A2"/>
    <w:rsid w:val="001F1AAE"/>
    <w:rsid w:val="001F2468"/>
    <w:rsid w:val="001F2600"/>
    <w:rsid w:val="001F3852"/>
    <w:rsid w:val="001F5CB1"/>
    <w:rsid w:val="001F61A8"/>
    <w:rsid w:val="001F6EDA"/>
    <w:rsid w:val="001F7480"/>
    <w:rsid w:val="00201174"/>
    <w:rsid w:val="00202871"/>
    <w:rsid w:val="00202880"/>
    <w:rsid w:val="00202E4E"/>
    <w:rsid w:val="00203BCC"/>
    <w:rsid w:val="00203CE0"/>
    <w:rsid w:val="00205E0B"/>
    <w:rsid w:val="00205F2B"/>
    <w:rsid w:val="00206844"/>
    <w:rsid w:val="002115BD"/>
    <w:rsid w:val="002126BA"/>
    <w:rsid w:val="002129CA"/>
    <w:rsid w:val="00212B27"/>
    <w:rsid w:val="002138D9"/>
    <w:rsid w:val="0021515C"/>
    <w:rsid w:val="00217421"/>
    <w:rsid w:val="00221D56"/>
    <w:rsid w:val="002227A9"/>
    <w:rsid w:val="002243A9"/>
    <w:rsid w:val="00224B9A"/>
    <w:rsid w:val="00226901"/>
    <w:rsid w:val="00226D88"/>
    <w:rsid w:val="00226DEE"/>
    <w:rsid w:val="002304C9"/>
    <w:rsid w:val="002319A6"/>
    <w:rsid w:val="00231D45"/>
    <w:rsid w:val="002335A9"/>
    <w:rsid w:val="002343CF"/>
    <w:rsid w:val="00234488"/>
    <w:rsid w:val="002350FD"/>
    <w:rsid w:val="00235D29"/>
    <w:rsid w:val="002363D9"/>
    <w:rsid w:val="00236B8C"/>
    <w:rsid w:val="00237C4B"/>
    <w:rsid w:val="00237F5D"/>
    <w:rsid w:val="00240D59"/>
    <w:rsid w:val="00241FB9"/>
    <w:rsid w:val="0024369B"/>
    <w:rsid w:val="002441D5"/>
    <w:rsid w:val="00246A95"/>
    <w:rsid w:val="00246DE0"/>
    <w:rsid w:val="00246E5F"/>
    <w:rsid w:val="00250FF8"/>
    <w:rsid w:val="00255B59"/>
    <w:rsid w:val="00256589"/>
    <w:rsid w:val="002570C7"/>
    <w:rsid w:val="00260133"/>
    <w:rsid w:val="00260C11"/>
    <w:rsid w:val="00261E78"/>
    <w:rsid w:val="002630F0"/>
    <w:rsid w:val="00263F5F"/>
    <w:rsid w:val="00264B33"/>
    <w:rsid w:val="002664F6"/>
    <w:rsid w:val="00270898"/>
    <w:rsid w:val="00270AD2"/>
    <w:rsid w:val="00272AF0"/>
    <w:rsid w:val="00273C6F"/>
    <w:rsid w:val="00275C42"/>
    <w:rsid w:val="00283269"/>
    <w:rsid w:val="00283394"/>
    <w:rsid w:val="002849B4"/>
    <w:rsid w:val="002911A4"/>
    <w:rsid w:val="00291F1C"/>
    <w:rsid w:val="00294EEA"/>
    <w:rsid w:val="00297FA7"/>
    <w:rsid w:val="002A15F4"/>
    <w:rsid w:val="002A1935"/>
    <w:rsid w:val="002A1A79"/>
    <w:rsid w:val="002A20CA"/>
    <w:rsid w:val="002A21D1"/>
    <w:rsid w:val="002A22F7"/>
    <w:rsid w:val="002A2946"/>
    <w:rsid w:val="002A4D70"/>
    <w:rsid w:val="002B1CB1"/>
    <w:rsid w:val="002B1F66"/>
    <w:rsid w:val="002B25C1"/>
    <w:rsid w:val="002B31B3"/>
    <w:rsid w:val="002B433A"/>
    <w:rsid w:val="002B61A8"/>
    <w:rsid w:val="002B6EBE"/>
    <w:rsid w:val="002B79D4"/>
    <w:rsid w:val="002C04CD"/>
    <w:rsid w:val="002C06D2"/>
    <w:rsid w:val="002C1264"/>
    <w:rsid w:val="002C1E00"/>
    <w:rsid w:val="002C639B"/>
    <w:rsid w:val="002D1328"/>
    <w:rsid w:val="002D5293"/>
    <w:rsid w:val="002D5D7B"/>
    <w:rsid w:val="002D6619"/>
    <w:rsid w:val="002D6914"/>
    <w:rsid w:val="002D6D9F"/>
    <w:rsid w:val="002D6DF0"/>
    <w:rsid w:val="002D7451"/>
    <w:rsid w:val="002D7FFA"/>
    <w:rsid w:val="002E0F0F"/>
    <w:rsid w:val="002E40F4"/>
    <w:rsid w:val="002E55EA"/>
    <w:rsid w:val="002E5604"/>
    <w:rsid w:val="002E63B5"/>
    <w:rsid w:val="002E6A21"/>
    <w:rsid w:val="002F0B9E"/>
    <w:rsid w:val="002F2820"/>
    <w:rsid w:val="002F479A"/>
    <w:rsid w:val="002F54F3"/>
    <w:rsid w:val="002F5A14"/>
    <w:rsid w:val="002F7653"/>
    <w:rsid w:val="00303038"/>
    <w:rsid w:val="0030318A"/>
    <w:rsid w:val="003056EB"/>
    <w:rsid w:val="00306329"/>
    <w:rsid w:val="00306474"/>
    <w:rsid w:val="00306734"/>
    <w:rsid w:val="00310426"/>
    <w:rsid w:val="00310974"/>
    <w:rsid w:val="00310D8A"/>
    <w:rsid w:val="00315135"/>
    <w:rsid w:val="00315D13"/>
    <w:rsid w:val="003167E5"/>
    <w:rsid w:val="00320FCE"/>
    <w:rsid w:val="00321177"/>
    <w:rsid w:val="003223F8"/>
    <w:rsid w:val="0032292A"/>
    <w:rsid w:val="00322D92"/>
    <w:rsid w:val="0032486D"/>
    <w:rsid w:val="00325B23"/>
    <w:rsid w:val="003260C0"/>
    <w:rsid w:val="003266E1"/>
    <w:rsid w:val="00326B5A"/>
    <w:rsid w:val="003275D0"/>
    <w:rsid w:val="003279FD"/>
    <w:rsid w:val="003305E3"/>
    <w:rsid w:val="003326BE"/>
    <w:rsid w:val="003327F8"/>
    <w:rsid w:val="00335F19"/>
    <w:rsid w:val="003363C7"/>
    <w:rsid w:val="00340DA9"/>
    <w:rsid w:val="00341177"/>
    <w:rsid w:val="00341311"/>
    <w:rsid w:val="00342BF7"/>
    <w:rsid w:val="00343B25"/>
    <w:rsid w:val="00344C70"/>
    <w:rsid w:val="00345B8E"/>
    <w:rsid w:val="00351ACA"/>
    <w:rsid w:val="00351CF4"/>
    <w:rsid w:val="00352AE5"/>
    <w:rsid w:val="003534A1"/>
    <w:rsid w:val="00357648"/>
    <w:rsid w:val="00357AF7"/>
    <w:rsid w:val="00360662"/>
    <w:rsid w:val="003609D5"/>
    <w:rsid w:val="00360B16"/>
    <w:rsid w:val="0036198E"/>
    <w:rsid w:val="00362714"/>
    <w:rsid w:val="00362BB6"/>
    <w:rsid w:val="00362BC4"/>
    <w:rsid w:val="0036646E"/>
    <w:rsid w:val="003709CC"/>
    <w:rsid w:val="00370C28"/>
    <w:rsid w:val="00371A3E"/>
    <w:rsid w:val="00371F53"/>
    <w:rsid w:val="003725BD"/>
    <w:rsid w:val="00372E1B"/>
    <w:rsid w:val="00373AC5"/>
    <w:rsid w:val="003743C8"/>
    <w:rsid w:val="00381DBE"/>
    <w:rsid w:val="0038214A"/>
    <w:rsid w:val="00383294"/>
    <w:rsid w:val="00383F3F"/>
    <w:rsid w:val="00384342"/>
    <w:rsid w:val="003843B0"/>
    <w:rsid w:val="003849ED"/>
    <w:rsid w:val="00385187"/>
    <w:rsid w:val="0038551C"/>
    <w:rsid w:val="00385A4C"/>
    <w:rsid w:val="00387E02"/>
    <w:rsid w:val="00390A25"/>
    <w:rsid w:val="00392981"/>
    <w:rsid w:val="00393373"/>
    <w:rsid w:val="0039368D"/>
    <w:rsid w:val="00394193"/>
    <w:rsid w:val="003947D1"/>
    <w:rsid w:val="00395CFA"/>
    <w:rsid w:val="00395FB6"/>
    <w:rsid w:val="003A1CD3"/>
    <w:rsid w:val="003A27D2"/>
    <w:rsid w:val="003A2D7B"/>
    <w:rsid w:val="003A344F"/>
    <w:rsid w:val="003A4417"/>
    <w:rsid w:val="003A7378"/>
    <w:rsid w:val="003A74BF"/>
    <w:rsid w:val="003B122C"/>
    <w:rsid w:val="003B2756"/>
    <w:rsid w:val="003B5F7E"/>
    <w:rsid w:val="003C288C"/>
    <w:rsid w:val="003C31EE"/>
    <w:rsid w:val="003C3ACA"/>
    <w:rsid w:val="003C6BDF"/>
    <w:rsid w:val="003C709B"/>
    <w:rsid w:val="003C7721"/>
    <w:rsid w:val="003D022E"/>
    <w:rsid w:val="003D081D"/>
    <w:rsid w:val="003D1366"/>
    <w:rsid w:val="003D2E2F"/>
    <w:rsid w:val="003D44F4"/>
    <w:rsid w:val="003D5453"/>
    <w:rsid w:val="003D6F9B"/>
    <w:rsid w:val="003E0AF6"/>
    <w:rsid w:val="003E0CF2"/>
    <w:rsid w:val="003E0E66"/>
    <w:rsid w:val="003E1B39"/>
    <w:rsid w:val="003E4982"/>
    <w:rsid w:val="003E55F1"/>
    <w:rsid w:val="003E5641"/>
    <w:rsid w:val="003E63B3"/>
    <w:rsid w:val="003E7AA9"/>
    <w:rsid w:val="003F3F8D"/>
    <w:rsid w:val="004009BD"/>
    <w:rsid w:val="00403152"/>
    <w:rsid w:val="00403AAA"/>
    <w:rsid w:val="00406000"/>
    <w:rsid w:val="00412707"/>
    <w:rsid w:val="00413539"/>
    <w:rsid w:val="0041396D"/>
    <w:rsid w:val="00415A92"/>
    <w:rsid w:val="0041730D"/>
    <w:rsid w:val="00420E02"/>
    <w:rsid w:val="0042137D"/>
    <w:rsid w:val="00421598"/>
    <w:rsid w:val="004228CD"/>
    <w:rsid w:val="0042447A"/>
    <w:rsid w:val="0042527A"/>
    <w:rsid w:val="00426354"/>
    <w:rsid w:val="00426E33"/>
    <w:rsid w:val="004309E9"/>
    <w:rsid w:val="00431914"/>
    <w:rsid w:val="00432B04"/>
    <w:rsid w:val="00432CCF"/>
    <w:rsid w:val="0043369F"/>
    <w:rsid w:val="00436297"/>
    <w:rsid w:val="00436FE3"/>
    <w:rsid w:val="00437C95"/>
    <w:rsid w:val="00437DF1"/>
    <w:rsid w:val="00441E77"/>
    <w:rsid w:val="00443639"/>
    <w:rsid w:val="004450BD"/>
    <w:rsid w:val="004453CE"/>
    <w:rsid w:val="00445A3B"/>
    <w:rsid w:val="00445C4E"/>
    <w:rsid w:val="00446742"/>
    <w:rsid w:val="00446883"/>
    <w:rsid w:val="00446F65"/>
    <w:rsid w:val="00450980"/>
    <w:rsid w:val="00451562"/>
    <w:rsid w:val="004529E0"/>
    <w:rsid w:val="00452B1E"/>
    <w:rsid w:val="0045475F"/>
    <w:rsid w:val="00455665"/>
    <w:rsid w:val="00457C1D"/>
    <w:rsid w:val="00462000"/>
    <w:rsid w:val="0046225A"/>
    <w:rsid w:val="00462305"/>
    <w:rsid w:val="00465257"/>
    <w:rsid w:val="00466C98"/>
    <w:rsid w:val="00467C3F"/>
    <w:rsid w:val="00467CE4"/>
    <w:rsid w:val="00472CA3"/>
    <w:rsid w:val="00475C3B"/>
    <w:rsid w:val="0047710F"/>
    <w:rsid w:val="00481777"/>
    <w:rsid w:val="00481BE4"/>
    <w:rsid w:val="00484B63"/>
    <w:rsid w:val="004855F8"/>
    <w:rsid w:val="00490BDE"/>
    <w:rsid w:val="00492D9F"/>
    <w:rsid w:val="0049336D"/>
    <w:rsid w:val="00494504"/>
    <w:rsid w:val="00494C0D"/>
    <w:rsid w:val="004957EC"/>
    <w:rsid w:val="00496F8D"/>
    <w:rsid w:val="004A2EC3"/>
    <w:rsid w:val="004A568F"/>
    <w:rsid w:val="004A7400"/>
    <w:rsid w:val="004B201A"/>
    <w:rsid w:val="004B26F7"/>
    <w:rsid w:val="004B41B9"/>
    <w:rsid w:val="004B4A44"/>
    <w:rsid w:val="004B4BCA"/>
    <w:rsid w:val="004B4C41"/>
    <w:rsid w:val="004B64F3"/>
    <w:rsid w:val="004C33EA"/>
    <w:rsid w:val="004C36CF"/>
    <w:rsid w:val="004C4A3E"/>
    <w:rsid w:val="004C57C8"/>
    <w:rsid w:val="004C59EA"/>
    <w:rsid w:val="004C65C6"/>
    <w:rsid w:val="004C660D"/>
    <w:rsid w:val="004C7E92"/>
    <w:rsid w:val="004D01E4"/>
    <w:rsid w:val="004D0699"/>
    <w:rsid w:val="004D1529"/>
    <w:rsid w:val="004D1563"/>
    <w:rsid w:val="004D19CE"/>
    <w:rsid w:val="004D23F6"/>
    <w:rsid w:val="004D2ED0"/>
    <w:rsid w:val="004D3E06"/>
    <w:rsid w:val="004D4522"/>
    <w:rsid w:val="004D4CE8"/>
    <w:rsid w:val="004D73F2"/>
    <w:rsid w:val="004E01E9"/>
    <w:rsid w:val="004E3E40"/>
    <w:rsid w:val="004E570D"/>
    <w:rsid w:val="004E6400"/>
    <w:rsid w:val="004E642E"/>
    <w:rsid w:val="004E6924"/>
    <w:rsid w:val="004E6A61"/>
    <w:rsid w:val="004E6E33"/>
    <w:rsid w:val="004E702A"/>
    <w:rsid w:val="004E7D35"/>
    <w:rsid w:val="004F0C2D"/>
    <w:rsid w:val="004F2AAF"/>
    <w:rsid w:val="004F3D7E"/>
    <w:rsid w:val="004F4630"/>
    <w:rsid w:val="004F521E"/>
    <w:rsid w:val="004F6649"/>
    <w:rsid w:val="004F6FEE"/>
    <w:rsid w:val="005008AA"/>
    <w:rsid w:val="00500EB4"/>
    <w:rsid w:val="00501CD2"/>
    <w:rsid w:val="00502111"/>
    <w:rsid w:val="005023E4"/>
    <w:rsid w:val="00503974"/>
    <w:rsid w:val="0050439B"/>
    <w:rsid w:val="0050529F"/>
    <w:rsid w:val="005058C3"/>
    <w:rsid w:val="00506A51"/>
    <w:rsid w:val="0051012C"/>
    <w:rsid w:val="00510651"/>
    <w:rsid w:val="005110C3"/>
    <w:rsid w:val="00511D26"/>
    <w:rsid w:val="00511F72"/>
    <w:rsid w:val="00512015"/>
    <w:rsid w:val="005137F5"/>
    <w:rsid w:val="00514B5E"/>
    <w:rsid w:val="005153B1"/>
    <w:rsid w:val="005157C1"/>
    <w:rsid w:val="00515954"/>
    <w:rsid w:val="00515E3D"/>
    <w:rsid w:val="00520380"/>
    <w:rsid w:val="005208AC"/>
    <w:rsid w:val="005214A9"/>
    <w:rsid w:val="0052286C"/>
    <w:rsid w:val="00522AB9"/>
    <w:rsid w:val="00523616"/>
    <w:rsid w:val="005265B9"/>
    <w:rsid w:val="005265FE"/>
    <w:rsid w:val="00526B62"/>
    <w:rsid w:val="005307E8"/>
    <w:rsid w:val="00531420"/>
    <w:rsid w:val="0053175E"/>
    <w:rsid w:val="00532BB3"/>
    <w:rsid w:val="00533533"/>
    <w:rsid w:val="00534CCB"/>
    <w:rsid w:val="00535C99"/>
    <w:rsid w:val="00535E24"/>
    <w:rsid w:val="00536440"/>
    <w:rsid w:val="00537E02"/>
    <w:rsid w:val="0054088C"/>
    <w:rsid w:val="00542718"/>
    <w:rsid w:val="00542E43"/>
    <w:rsid w:val="00543224"/>
    <w:rsid w:val="005440F6"/>
    <w:rsid w:val="00544CCD"/>
    <w:rsid w:val="0054557A"/>
    <w:rsid w:val="00546DD6"/>
    <w:rsid w:val="00546EBC"/>
    <w:rsid w:val="0055172C"/>
    <w:rsid w:val="00551D06"/>
    <w:rsid w:val="00553E52"/>
    <w:rsid w:val="0055771D"/>
    <w:rsid w:val="00557B94"/>
    <w:rsid w:val="00565055"/>
    <w:rsid w:val="00565635"/>
    <w:rsid w:val="005657C2"/>
    <w:rsid w:val="00567FCF"/>
    <w:rsid w:val="00570765"/>
    <w:rsid w:val="00570EBB"/>
    <w:rsid w:val="00571419"/>
    <w:rsid w:val="00571521"/>
    <w:rsid w:val="00571A68"/>
    <w:rsid w:val="00572A33"/>
    <w:rsid w:val="005732BD"/>
    <w:rsid w:val="005733F9"/>
    <w:rsid w:val="00573E59"/>
    <w:rsid w:val="0057519C"/>
    <w:rsid w:val="00575295"/>
    <w:rsid w:val="00576A57"/>
    <w:rsid w:val="00576D15"/>
    <w:rsid w:val="00581C01"/>
    <w:rsid w:val="0058242D"/>
    <w:rsid w:val="005845CB"/>
    <w:rsid w:val="0058498A"/>
    <w:rsid w:val="00586350"/>
    <w:rsid w:val="005863F3"/>
    <w:rsid w:val="005911AD"/>
    <w:rsid w:val="00592CE4"/>
    <w:rsid w:val="005934B5"/>
    <w:rsid w:val="0059461A"/>
    <w:rsid w:val="005974E9"/>
    <w:rsid w:val="00597520"/>
    <w:rsid w:val="005A13E8"/>
    <w:rsid w:val="005A18C5"/>
    <w:rsid w:val="005A3271"/>
    <w:rsid w:val="005A3ED5"/>
    <w:rsid w:val="005A4BF1"/>
    <w:rsid w:val="005A511C"/>
    <w:rsid w:val="005A5C66"/>
    <w:rsid w:val="005A7CF6"/>
    <w:rsid w:val="005B3489"/>
    <w:rsid w:val="005B35B3"/>
    <w:rsid w:val="005B42EE"/>
    <w:rsid w:val="005B4F7A"/>
    <w:rsid w:val="005B537E"/>
    <w:rsid w:val="005B7C71"/>
    <w:rsid w:val="005C138F"/>
    <w:rsid w:val="005C4A6B"/>
    <w:rsid w:val="005C50D0"/>
    <w:rsid w:val="005C5DC6"/>
    <w:rsid w:val="005C63E2"/>
    <w:rsid w:val="005C661F"/>
    <w:rsid w:val="005C70C1"/>
    <w:rsid w:val="005C7201"/>
    <w:rsid w:val="005D00A8"/>
    <w:rsid w:val="005D0AA5"/>
    <w:rsid w:val="005D2A59"/>
    <w:rsid w:val="005D2D63"/>
    <w:rsid w:val="005D4BEF"/>
    <w:rsid w:val="005E31BD"/>
    <w:rsid w:val="005E475C"/>
    <w:rsid w:val="005E7D0D"/>
    <w:rsid w:val="005F0C00"/>
    <w:rsid w:val="005F15ED"/>
    <w:rsid w:val="005F33F2"/>
    <w:rsid w:val="005F460C"/>
    <w:rsid w:val="005F51F6"/>
    <w:rsid w:val="005F6900"/>
    <w:rsid w:val="005F74D0"/>
    <w:rsid w:val="00600404"/>
    <w:rsid w:val="0060117A"/>
    <w:rsid w:val="00601E99"/>
    <w:rsid w:val="006020AC"/>
    <w:rsid w:val="00602C24"/>
    <w:rsid w:val="00603016"/>
    <w:rsid w:val="00606217"/>
    <w:rsid w:val="00606B21"/>
    <w:rsid w:val="006104A6"/>
    <w:rsid w:val="00612E14"/>
    <w:rsid w:val="00613396"/>
    <w:rsid w:val="00615D9E"/>
    <w:rsid w:val="00617248"/>
    <w:rsid w:val="00617F30"/>
    <w:rsid w:val="006231CF"/>
    <w:rsid w:val="00623A0B"/>
    <w:rsid w:val="0062581A"/>
    <w:rsid w:val="0062598A"/>
    <w:rsid w:val="00625A52"/>
    <w:rsid w:val="0062686B"/>
    <w:rsid w:val="00627169"/>
    <w:rsid w:val="006278F5"/>
    <w:rsid w:val="00633A74"/>
    <w:rsid w:val="006344F6"/>
    <w:rsid w:val="00637531"/>
    <w:rsid w:val="00637549"/>
    <w:rsid w:val="0063787B"/>
    <w:rsid w:val="006378FC"/>
    <w:rsid w:val="00640C77"/>
    <w:rsid w:val="00642A6F"/>
    <w:rsid w:val="00642E50"/>
    <w:rsid w:val="006452BA"/>
    <w:rsid w:val="00646049"/>
    <w:rsid w:val="00647C4E"/>
    <w:rsid w:val="00647FBA"/>
    <w:rsid w:val="0065017F"/>
    <w:rsid w:val="006507EB"/>
    <w:rsid w:val="00651CB5"/>
    <w:rsid w:val="0065268F"/>
    <w:rsid w:val="0065391A"/>
    <w:rsid w:val="00654765"/>
    <w:rsid w:val="006557E1"/>
    <w:rsid w:val="00655948"/>
    <w:rsid w:val="0065679C"/>
    <w:rsid w:val="00657108"/>
    <w:rsid w:val="00660383"/>
    <w:rsid w:val="0066090B"/>
    <w:rsid w:val="00663306"/>
    <w:rsid w:val="00663909"/>
    <w:rsid w:val="00663DE8"/>
    <w:rsid w:val="00663E95"/>
    <w:rsid w:val="0066472E"/>
    <w:rsid w:val="00665247"/>
    <w:rsid w:val="006659FF"/>
    <w:rsid w:val="006671BC"/>
    <w:rsid w:val="00667CEE"/>
    <w:rsid w:val="0067299B"/>
    <w:rsid w:val="00673287"/>
    <w:rsid w:val="0067679E"/>
    <w:rsid w:val="0067690D"/>
    <w:rsid w:val="00680679"/>
    <w:rsid w:val="0068146D"/>
    <w:rsid w:val="00682DB1"/>
    <w:rsid w:val="00683FFB"/>
    <w:rsid w:val="0068768A"/>
    <w:rsid w:val="00690BEA"/>
    <w:rsid w:val="0069450F"/>
    <w:rsid w:val="006945BB"/>
    <w:rsid w:val="00695279"/>
    <w:rsid w:val="00696C4F"/>
    <w:rsid w:val="00697C69"/>
    <w:rsid w:val="006A0EC1"/>
    <w:rsid w:val="006A33B1"/>
    <w:rsid w:val="006A3941"/>
    <w:rsid w:val="006A401A"/>
    <w:rsid w:val="006A6D19"/>
    <w:rsid w:val="006B0F12"/>
    <w:rsid w:val="006B33A7"/>
    <w:rsid w:val="006B3874"/>
    <w:rsid w:val="006B7240"/>
    <w:rsid w:val="006C1260"/>
    <w:rsid w:val="006C2232"/>
    <w:rsid w:val="006C2E95"/>
    <w:rsid w:val="006C3542"/>
    <w:rsid w:val="006C62DF"/>
    <w:rsid w:val="006C6800"/>
    <w:rsid w:val="006D0BC5"/>
    <w:rsid w:val="006D2CF2"/>
    <w:rsid w:val="006D2E37"/>
    <w:rsid w:val="006D34C3"/>
    <w:rsid w:val="006D499A"/>
    <w:rsid w:val="006D7CA7"/>
    <w:rsid w:val="006E0783"/>
    <w:rsid w:val="006E1446"/>
    <w:rsid w:val="006E327C"/>
    <w:rsid w:val="006E52F2"/>
    <w:rsid w:val="006E5DF2"/>
    <w:rsid w:val="006E7795"/>
    <w:rsid w:val="006E7E9F"/>
    <w:rsid w:val="006E7FA8"/>
    <w:rsid w:val="006F00DB"/>
    <w:rsid w:val="006F4623"/>
    <w:rsid w:val="006F4B40"/>
    <w:rsid w:val="006F4DE0"/>
    <w:rsid w:val="006F5FF7"/>
    <w:rsid w:val="007003A7"/>
    <w:rsid w:val="00701FEA"/>
    <w:rsid w:val="007040D1"/>
    <w:rsid w:val="00704C4D"/>
    <w:rsid w:val="007053D2"/>
    <w:rsid w:val="00705A00"/>
    <w:rsid w:val="007069F7"/>
    <w:rsid w:val="00706DE1"/>
    <w:rsid w:val="00706DF5"/>
    <w:rsid w:val="00710059"/>
    <w:rsid w:val="00710337"/>
    <w:rsid w:val="0071077A"/>
    <w:rsid w:val="007110C9"/>
    <w:rsid w:val="00712349"/>
    <w:rsid w:val="00712FCE"/>
    <w:rsid w:val="007131CA"/>
    <w:rsid w:val="00714BA3"/>
    <w:rsid w:val="00715180"/>
    <w:rsid w:val="0071537B"/>
    <w:rsid w:val="007167AE"/>
    <w:rsid w:val="00720546"/>
    <w:rsid w:val="00721098"/>
    <w:rsid w:val="00721439"/>
    <w:rsid w:val="00723F09"/>
    <w:rsid w:val="0072495B"/>
    <w:rsid w:val="00726405"/>
    <w:rsid w:val="007272D1"/>
    <w:rsid w:val="00730078"/>
    <w:rsid w:val="007311E0"/>
    <w:rsid w:val="0073286E"/>
    <w:rsid w:val="00733E97"/>
    <w:rsid w:val="007344DF"/>
    <w:rsid w:val="00735D8D"/>
    <w:rsid w:val="007360D3"/>
    <w:rsid w:val="0073644C"/>
    <w:rsid w:val="00736D2D"/>
    <w:rsid w:val="00737641"/>
    <w:rsid w:val="00737C72"/>
    <w:rsid w:val="00740C47"/>
    <w:rsid w:val="00742274"/>
    <w:rsid w:val="00742FA2"/>
    <w:rsid w:val="0074351D"/>
    <w:rsid w:val="007452F9"/>
    <w:rsid w:val="007460CD"/>
    <w:rsid w:val="0074660C"/>
    <w:rsid w:val="0074787E"/>
    <w:rsid w:val="00747B69"/>
    <w:rsid w:val="00750E77"/>
    <w:rsid w:val="00751164"/>
    <w:rsid w:val="00751449"/>
    <w:rsid w:val="00754991"/>
    <w:rsid w:val="007552BB"/>
    <w:rsid w:val="007554D0"/>
    <w:rsid w:val="00755D95"/>
    <w:rsid w:val="00756404"/>
    <w:rsid w:val="00756B0E"/>
    <w:rsid w:val="00757BAA"/>
    <w:rsid w:val="00762B9C"/>
    <w:rsid w:val="0076593C"/>
    <w:rsid w:val="00766491"/>
    <w:rsid w:val="00766BCF"/>
    <w:rsid w:val="00767F39"/>
    <w:rsid w:val="007705BC"/>
    <w:rsid w:val="007726E1"/>
    <w:rsid w:val="00774F4B"/>
    <w:rsid w:val="007777FC"/>
    <w:rsid w:val="00780BFA"/>
    <w:rsid w:val="00790FEF"/>
    <w:rsid w:val="0079256F"/>
    <w:rsid w:val="0079307B"/>
    <w:rsid w:val="007937B4"/>
    <w:rsid w:val="007941CF"/>
    <w:rsid w:val="00795809"/>
    <w:rsid w:val="00796F48"/>
    <w:rsid w:val="00797EAE"/>
    <w:rsid w:val="007A0D2D"/>
    <w:rsid w:val="007A2831"/>
    <w:rsid w:val="007A2A5E"/>
    <w:rsid w:val="007A3C6A"/>
    <w:rsid w:val="007A5821"/>
    <w:rsid w:val="007A6B87"/>
    <w:rsid w:val="007B0EBF"/>
    <w:rsid w:val="007B12EF"/>
    <w:rsid w:val="007B12F6"/>
    <w:rsid w:val="007B19CB"/>
    <w:rsid w:val="007B51E2"/>
    <w:rsid w:val="007B5CC6"/>
    <w:rsid w:val="007B6F81"/>
    <w:rsid w:val="007C0248"/>
    <w:rsid w:val="007C08B4"/>
    <w:rsid w:val="007C0A20"/>
    <w:rsid w:val="007C0D6E"/>
    <w:rsid w:val="007C3C9C"/>
    <w:rsid w:val="007C4928"/>
    <w:rsid w:val="007C5682"/>
    <w:rsid w:val="007C671B"/>
    <w:rsid w:val="007D0A64"/>
    <w:rsid w:val="007D2A70"/>
    <w:rsid w:val="007D42FE"/>
    <w:rsid w:val="007D5D8D"/>
    <w:rsid w:val="007D608D"/>
    <w:rsid w:val="007D7E67"/>
    <w:rsid w:val="007E10A5"/>
    <w:rsid w:val="007E286B"/>
    <w:rsid w:val="007E2A95"/>
    <w:rsid w:val="007E2DC2"/>
    <w:rsid w:val="007E33CF"/>
    <w:rsid w:val="007E37FB"/>
    <w:rsid w:val="007E3D71"/>
    <w:rsid w:val="007E60EE"/>
    <w:rsid w:val="007E621D"/>
    <w:rsid w:val="007F0036"/>
    <w:rsid w:val="007F0406"/>
    <w:rsid w:val="007F2841"/>
    <w:rsid w:val="007F39C2"/>
    <w:rsid w:val="007F3A05"/>
    <w:rsid w:val="007F3E30"/>
    <w:rsid w:val="007F5424"/>
    <w:rsid w:val="007F7FD3"/>
    <w:rsid w:val="0080096B"/>
    <w:rsid w:val="00800B90"/>
    <w:rsid w:val="00800F94"/>
    <w:rsid w:val="00801075"/>
    <w:rsid w:val="00802A66"/>
    <w:rsid w:val="00805ADD"/>
    <w:rsid w:val="00807FE4"/>
    <w:rsid w:val="008103A0"/>
    <w:rsid w:val="00810DE3"/>
    <w:rsid w:val="008125ED"/>
    <w:rsid w:val="00812688"/>
    <w:rsid w:val="00814343"/>
    <w:rsid w:val="00814BB2"/>
    <w:rsid w:val="00821541"/>
    <w:rsid w:val="00821A06"/>
    <w:rsid w:val="008220F3"/>
    <w:rsid w:val="00822273"/>
    <w:rsid w:val="008227F4"/>
    <w:rsid w:val="008235DB"/>
    <w:rsid w:val="00826DB9"/>
    <w:rsid w:val="00826E87"/>
    <w:rsid w:val="00826FE4"/>
    <w:rsid w:val="00830647"/>
    <w:rsid w:val="00830B3D"/>
    <w:rsid w:val="00830E80"/>
    <w:rsid w:val="00832911"/>
    <w:rsid w:val="00833071"/>
    <w:rsid w:val="00833EB7"/>
    <w:rsid w:val="0083446C"/>
    <w:rsid w:val="008364EB"/>
    <w:rsid w:val="00837CE6"/>
    <w:rsid w:val="0084092F"/>
    <w:rsid w:val="00841931"/>
    <w:rsid w:val="00844C87"/>
    <w:rsid w:val="00850A87"/>
    <w:rsid w:val="008516DC"/>
    <w:rsid w:val="00851DCA"/>
    <w:rsid w:val="008532FB"/>
    <w:rsid w:val="008540F0"/>
    <w:rsid w:val="0085585D"/>
    <w:rsid w:val="00856001"/>
    <w:rsid w:val="008568C0"/>
    <w:rsid w:val="0086088A"/>
    <w:rsid w:val="00860DB5"/>
    <w:rsid w:val="00861282"/>
    <w:rsid w:val="00862E1D"/>
    <w:rsid w:val="00864418"/>
    <w:rsid w:val="00864874"/>
    <w:rsid w:val="00870411"/>
    <w:rsid w:val="008705AD"/>
    <w:rsid w:val="00871CA1"/>
    <w:rsid w:val="008732BF"/>
    <w:rsid w:val="00873ECD"/>
    <w:rsid w:val="00874F47"/>
    <w:rsid w:val="008764EB"/>
    <w:rsid w:val="00876F22"/>
    <w:rsid w:val="00877D87"/>
    <w:rsid w:val="008800D8"/>
    <w:rsid w:val="00880255"/>
    <w:rsid w:val="008810FA"/>
    <w:rsid w:val="00884878"/>
    <w:rsid w:val="00885B71"/>
    <w:rsid w:val="00885B9C"/>
    <w:rsid w:val="008865E1"/>
    <w:rsid w:val="00886D18"/>
    <w:rsid w:val="00887FF0"/>
    <w:rsid w:val="00890B4B"/>
    <w:rsid w:val="00892303"/>
    <w:rsid w:val="008924DE"/>
    <w:rsid w:val="00896927"/>
    <w:rsid w:val="00897A35"/>
    <w:rsid w:val="00897E16"/>
    <w:rsid w:val="008A144E"/>
    <w:rsid w:val="008A310A"/>
    <w:rsid w:val="008A548C"/>
    <w:rsid w:val="008A6603"/>
    <w:rsid w:val="008B08DA"/>
    <w:rsid w:val="008B1979"/>
    <w:rsid w:val="008B3374"/>
    <w:rsid w:val="008B5F65"/>
    <w:rsid w:val="008B6E40"/>
    <w:rsid w:val="008B7EC0"/>
    <w:rsid w:val="008C0FBD"/>
    <w:rsid w:val="008C114B"/>
    <w:rsid w:val="008C12AA"/>
    <w:rsid w:val="008C4903"/>
    <w:rsid w:val="008C5617"/>
    <w:rsid w:val="008C6556"/>
    <w:rsid w:val="008C6687"/>
    <w:rsid w:val="008C70BD"/>
    <w:rsid w:val="008C79C7"/>
    <w:rsid w:val="008C7AC8"/>
    <w:rsid w:val="008D0242"/>
    <w:rsid w:val="008D27EF"/>
    <w:rsid w:val="008D28DF"/>
    <w:rsid w:val="008D2DC8"/>
    <w:rsid w:val="008D34F9"/>
    <w:rsid w:val="008D3D46"/>
    <w:rsid w:val="008D3E27"/>
    <w:rsid w:val="008D43FB"/>
    <w:rsid w:val="008D745E"/>
    <w:rsid w:val="008E29AB"/>
    <w:rsid w:val="008E3B64"/>
    <w:rsid w:val="008E44A5"/>
    <w:rsid w:val="008E4EF2"/>
    <w:rsid w:val="008E65D6"/>
    <w:rsid w:val="008F06F2"/>
    <w:rsid w:val="008F1E28"/>
    <w:rsid w:val="008F4C4B"/>
    <w:rsid w:val="008F5636"/>
    <w:rsid w:val="008F5D80"/>
    <w:rsid w:val="008F717F"/>
    <w:rsid w:val="008F7B8C"/>
    <w:rsid w:val="008F7E06"/>
    <w:rsid w:val="009006D2"/>
    <w:rsid w:val="009020E7"/>
    <w:rsid w:val="00902665"/>
    <w:rsid w:val="00904595"/>
    <w:rsid w:val="00905B71"/>
    <w:rsid w:val="009065CD"/>
    <w:rsid w:val="009103F3"/>
    <w:rsid w:val="0091189A"/>
    <w:rsid w:val="00911A26"/>
    <w:rsid w:val="00911C6A"/>
    <w:rsid w:val="009126A4"/>
    <w:rsid w:val="0091309E"/>
    <w:rsid w:val="009163AF"/>
    <w:rsid w:val="00916824"/>
    <w:rsid w:val="00916D52"/>
    <w:rsid w:val="009213A1"/>
    <w:rsid w:val="00923D3D"/>
    <w:rsid w:val="00924CCB"/>
    <w:rsid w:val="0092520A"/>
    <w:rsid w:val="00927978"/>
    <w:rsid w:val="00932FAD"/>
    <w:rsid w:val="00933406"/>
    <w:rsid w:val="0093389F"/>
    <w:rsid w:val="009355AA"/>
    <w:rsid w:val="00936ECF"/>
    <w:rsid w:val="00937307"/>
    <w:rsid w:val="00937C1D"/>
    <w:rsid w:val="00940702"/>
    <w:rsid w:val="00943722"/>
    <w:rsid w:val="009445BA"/>
    <w:rsid w:val="00945130"/>
    <w:rsid w:val="00945B0A"/>
    <w:rsid w:val="00946F68"/>
    <w:rsid w:val="009475F3"/>
    <w:rsid w:val="009503BA"/>
    <w:rsid w:val="0095109E"/>
    <w:rsid w:val="00951224"/>
    <w:rsid w:val="00951562"/>
    <w:rsid w:val="00951651"/>
    <w:rsid w:val="00953CAB"/>
    <w:rsid w:val="00954EF3"/>
    <w:rsid w:val="0095536D"/>
    <w:rsid w:val="0095603B"/>
    <w:rsid w:val="009561B4"/>
    <w:rsid w:val="00957948"/>
    <w:rsid w:val="00957DF2"/>
    <w:rsid w:val="0096287C"/>
    <w:rsid w:val="009638BD"/>
    <w:rsid w:val="00963E88"/>
    <w:rsid w:val="0096562D"/>
    <w:rsid w:val="0096631F"/>
    <w:rsid w:val="009668EF"/>
    <w:rsid w:val="00967872"/>
    <w:rsid w:val="009713CF"/>
    <w:rsid w:val="009729A9"/>
    <w:rsid w:val="00973D56"/>
    <w:rsid w:val="009761F8"/>
    <w:rsid w:val="00976AF1"/>
    <w:rsid w:val="00976FB3"/>
    <w:rsid w:val="0098030D"/>
    <w:rsid w:val="00981B13"/>
    <w:rsid w:val="00981C54"/>
    <w:rsid w:val="00981CD9"/>
    <w:rsid w:val="00981E62"/>
    <w:rsid w:val="00982A9D"/>
    <w:rsid w:val="00985CE1"/>
    <w:rsid w:val="00986E51"/>
    <w:rsid w:val="00987C30"/>
    <w:rsid w:val="00987FFC"/>
    <w:rsid w:val="0099041D"/>
    <w:rsid w:val="00991C4D"/>
    <w:rsid w:val="0099203A"/>
    <w:rsid w:val="009928E1"/>
    <w:rsid w:val="0099488A"/>
    <w:rsid w:val="00994D57"/>
    <w:rsid w:val="00996460"/>
    <w:rsid w:val="0099677B"/>
    <w:rsid w:val="009973CF"/>
    <w:rsid w:val="00997538"/>
    <w:rsid w:val="009A1292"/>
    <w:rsid w:val="009A1E07"/>
    <w:rsid w:val="009A25EB"/>
    <w:rsid w:val="009A28D1"/>
    <w:rsid w:val="009A290D"/>
    <w:rsid w:val="009A3E14"/>
    <w:rsid w:val="009A4893"/>
    <w:rsid w:val="009A48CC"/>
    <w:rsid w:val="009B1DE7"/>
    <w:rsid w:val="009B5190"/>
    <w:rsid w:val="009B5381"/>
    <w:rsid w:val="009B654F"/>
    <w:rsid w:val="009C16DF"/>
    <w:rsid w:val="009C1FDC"/>
    <w:rsid w:val="009C2385"/>
    <w:rsid w:val="009C2E64"/>
    <w:rsid w:val="009C33DC"/>
    <w:rsid w:val="009C4804"/>
    <w:rsid w:val="009C69DE"/>
    <w:rsid w:val="009C7817"/>
    <w:rsid w:val="009C7BE0"/>
    <w:rsid w:val="009D104E"/>
    <w:rsid w:val="009D1FDF"/>
    <w:rsid w:val="009D3524"/>
    <w:rsid w:val="009D5236"/>
    <w:rsid w:val="009D6527"/>
    <w:rsid w:val="009D7495"/>
    <w:rsid w:val="009E0474"/>
    <w:rsid w:val="009E1667"/>
    <w:rsid w:val="009E1BA3"/>
    <w:rsid w:val="009E1C90"/>
    <w:rsid w:val="009E1CA8"/>
    <w:rsid w:val="009E28E1"/>
    <w:rsid w:val="009E352F"/>
    <w:rsid w:val="009E38C1"/>
    <w:rsid w:val="009E3D6B"/>
    <w:rsid w:val="009E45DC"/>
    <w:rsid w:val="009E46A0"/>
    <w:rsid w:val="009E6595"/>
    <w:rsid w:val="009E6780"/>
    <w:rsid w:val="009E6AB0"/>
    <w:rsid w:val="009E79EC"/>
    <w:rsid w:val="009F2469"/>
    <w:rsid w:val="009F2EAE"/>
    <w:rsid w:val="009F3C8F"/>
    <w:rsid w:val="009F4CB3"/>
    <w:rsid w:val="009F4D99"/>
    <w:rsid w:val="009F50F0"/>
    <w:rsid w:val="009F68E9"/>
    <w:rsid w:val="009F7F4B"/>
    <w:rsid w:val="00A01327"/>
    <w:rsid w:val="00A018E7"/>
    <w:rsid w:val="00A03911"/>
    <w:rsid w:val="00A0493A"/>
    <w:rsid w:val="00A04ED0"/>
    <w:rsid w:val="00A05140"/>
    <w:rsid w:val="00A06FC9"/>
    <w:rsid w:val="00A10DE1"/>
    <w:rsid w:val="00A11D59"/>
    <w:rsid w:val="00A123C7"/>
    <w:rsid w:val="00A13029"/>
    <w:rsid w:val="00A13081"/>
    <w:rsid w:val="00A14E44"/>
    <w:rsid w:val="00A14E66"/>
    <w:rsid w:val="00A200A3"/>
    <w:rsid w:val="00A20730"/>
    <w:rsid w:val="00A22538"/>
    <w:rsid w:val="00A2307E"/>
    <w:rsid w:val="00A245B0"/>
    <w:rsid w:val="00A25446"/>
    <w:rsid w:val="00A2707E"/>
    <w:rsid w:val="00A2724D"/>
    <w:rsid w:val="00A27E2B"/>
    <w:rsid w:val="00A30808"/>
    <w:rsid w:val="00A315B9"/>
    <w:rsid w:val="00A33B7B"/>
    <w:rsid w:val="00A34039"/>
    <w:rsid w:val="00A3552E"/>
    <w:rsid w:val="00A35E94"/>
    <w:rsid w:val="00A36449"/>
    <w:rsid w:val="00A375C2"/>
    <w:rsid w:val="00A37BEC"/>
    <w:rsid w:val="00A417FA"/>
    <w:rsid w:val="00A42760"/>
    <w:rsid w:val="00A4337B"/>
    <w:rsid w:val="00A443C7"/>
    <w:rsid w:val="00A4474C"/>
    <w:rsid w:val="00A454F9"/>
    <w:rsid w:val="00A458B3"/>
    <w:rsid w:val="00A45B60"/>
    <w:rsid w:val="00A45E73"/>
    <w:rsid w:val="00A47A60"/>
    <w:rsid w:val="00A53BFA"/>
    <w:rsid w:val="00A5551F"/>
    <w:rsid w:val="00A60FB4"/>
    <w:rsid w:val="00A61B0C"/>
    <w:rsid w:val="00A62E17"/>
    <w:rsid w:val="00A64555"/>
    <w:rsid w:val="00A65CAA"/>
    <w:rsid w:val="00A65D9F"/>
    <w:rsid w:val="00A662CF"/>
    <w:rsid w:val="00A733B9"/>
    <w:rsid w:val="00A73B34"/>
    <w:rsid w:val="00A73D05"/>
    <w:rsid w:val="00A761EA"/>
    <w:rsid w:val="00A766FD"/>
    <w:rsid w:val="00A76CB6"/>
    <w:rsid w:val="00A76F87"/>
    <w:rsid w:val="00A7796F"/>
    <w:rsid w:val="00A80353"/>
    <w:rsid w:val="00A804BC"/>
    <w:rsid w:val="00A820E7"/>
    <w:rsid w:val="00A82DF8"/>
    <w:rsid w:val="00A8478C"/>
    <w:rsid w:val="00A85B40"/>
    <w:rsid w:val="00A8757D"/>
    <w:rsid w:val="00A8765A"/>
    <w:rsid w:val="00A9333E"/>
    <w:rsid w:val="00A9378E"/>
    <w:rsid w:val="00A9382E"/>
    <w:rsid w:val="00A94EC5"/>
    <w:rsid w:val="00A9554E"/>
    <w:rsid w:val="00A96661"/>
    <w:rsid w:val="00A96AD4"/>
    <w:rsid w:val="00A96C85"/>
    <w:rsid w:val="00A96E09"/>
    <w:rsid w:val="00AA31F2"/>
    <w:rsid w:val="00AA406C"/>
    <w:rsid w:val="00AA4F9F"/>
    <w:rsid w:val="00AA5CCE"/>
    <w:rsid w:val="00AA5E1B"/>
    <w:rsid w:val="00AA64C9"/>
    <w:rsid w:val="00AA7256"/>
    <w:rsid w:val="00AB0987"/>
    <w:rsid w:val="00AB3900"/>
    <w:rsid w:val="00AB5174"/>
    <w:rsid w:val="00AB7215"/>
    <w:rsid w:val="00AB7894"/>
    <w:rsid w:val="00AB7BD6"/>
    <w:rsid w:val="00AB7D5E"/>
    <w:rsid w:val="00AC005D"/>
    <w:rsid w:val="00AC14DE"/>
    <w:rsid w:val="00AC29A6"/>
    <w:rsid w:val="00AC56C2"/>
    <w:rsid w:val="00AC589D"/>
    <w:rsid w:val="00AC5CEA"/>
    <w:rsid w:val="00AC5E19"/>
    <w:rsid w:val="00AC682C"/>
    <w:rsid w:val="00AC6E2F"/>
    <w:rsid w:val="00AC6F49"/>
    <w:rsid w:val="00AD0A2E"/>
    <w:rsid w:val="00AD2723"/>
    <w:rsid w:val="00AD445D"/>
    <w:rsid w:val="00AD6649"/>
    <w:rsid w:val="00AD6F47"/>
    <w:rsid w:val="00AD7556"/>
    <w:rsid w:val="00AE17CD"/>
    <w:rsid w:val="00AE2781"/>
    <w:rsid w:val="00AE34DE"/>
    <w:rsid w:val="00AE38AB"/>
    <w:rsid w:val="00AE5C52"/>
    <w:rsid w:val="00AE6D76"/>
    <w:rsid w:val="00AE6E0A"/>
    <w:rsid w:val="00AF045F"/>
    <w:rsid w:val="00AF0FA2"/>
    <w:rsid w:val="00AF0FDD"/>
    <w:rsid w:val="00AF2486"/>
    <w:rsid w:val="00AF3DC2"/>
    <w:rsid w:val="00AF4634"/>
    <w:rsid w:val="00AF4DCF"/>
    <w:rsid w:val="00AF5A70"/>
    <w:rsid w:val="00AF5C5C"/>
    <w:rsid w:val="00B0035A"/>
    <w:rsid w:val="00B009EA"/>
    <w:rsid w:val="00B01B4B"/>
    <w:rsid w:val="00B03600"/>
    <w:rsid w:val="00B03FB1"/>
    <w:rsid w:val="00B063D2"/>
    <w:rsid w:val="00B066F6"/>
    <w:rsid w:val="00B1094F"/>
    <w:rsid w:val="00B12335"/>
    <w:rsid w:val="00B15829"/>
    <w:rsid w:val="00B16BCA"/>
    <w:rsid w:val="00B17501"/>
    <w:rsid w:val="00B17A9D"/>
    <w:rsid w:val="00B17EBE"/>
    <w:rsid w:val="00B206FA"/>
    <w:rsid w:val="00B21C2F"/>
    <w:rsid w:val="00B249B7"/>
    <w:rsid w:val="00B26D1B"/>
    <w:rsid w:val="00B26E2B"/>
    <w:rsid w:val="00B2764E"/>
    <w:rsid w:val="00B27CF5"/>
    <w:rsid w:val="00B30E77"/>
    <w:rsid w:val="00B31229"/>
    <w:rsid w:val="00B31B4E"/>
    <w:rsid w:val="00B32F0A"/>
    <w:rsid w:val="00B33F27"/>
    <w:rsid w:val="00B34B88"/>
    <w:rsid w:val="00B354ED"/>
    <w:rsid w:val="00B37A25"/>
    <w:rsid w:val="00B40D43"/>
    <w:rsid w:val="00B44032"/>
    <w:rsid w:val="00B456CC"/>
    <w:rsid w:val="00B46D40"/>
    <w:rsid w:val="00B478EF"/>
    <w:rsid w:val="00B50731"/>
    <w:rsid w:val="00B512EE"/>
    <w:rsid w:val="00B519EB"/>
    <w:rsid w:val="00B51BAD"/>
    <w:rsid w:val="00B51DA1"/>
    <w:rsid w:val="00B55BE4"/>
    <w:rsid w:val="00B564A3"/>
    <w:rsid w:val="00B56514"/>
    <w:rsid w:val="00B56551"/>
    <w:rsid w:val="00B57AE9"/>
    <w:rsid w:val="00B57CA2"/>
    <w:rsid w:val="00B6167F"/>
    <w:rsid w:val="00B638BD"/>
    <w:rsid w:val="00B653FE"/>
    <w:rsid w:val="00B65EB5"/>
    <w:rsid w:val="00B66555"/>
    <w:rsid w:val="00B6789E"/>
    <w:rsid w:val="00B71672"/>
    <w:rsid w:val="00B717C0"/>
    <w:rsid w:val="00B71BFC"/>
    <w:rsid w:val="00B722EA"/>
    <w:rsid w:val="00B72CEC"/>
    <w:rsid w:val="00B73156"/>
    <w:rsid w:val="00B73F6E"/>
    <w:rsid w:val="00B74929"/>
    <w:rsid w:val="00B76239"/>
    <w:rsid w:val="00B7716B"/>
    <w:rsid w:val="00B777E6"/>
    <w:rsid w:val="00B80134"/>
    <w:rsid w:val="00B80707"/>
    <w:rsid w:val="00B850AB"/>
    <w:rsid w:val="00B857CE"/>
    <w:rsid w:val="00B861D4"/>
    <w:rsid w:val="00B86FE6"/>
    <w:rsid w:val="00B8737A"/>
    <w:rsid w:val="00B874F1"/>
    <w:rsid w:val="00B87675"/>
    <w:rsid w:val="00B87BE6"/>
    <w:rsid w:val="00B910DF"/>
    <w:rsid w:val="00B9138E"/>
    <w:rsid w:val="00B916A6"/>
    <w:rsid w:val="00B922B9"/>
    <w:rsid w:val="00B92F7E"/>
    <w:rsid w:val="00B9337C"/>
    <w:rsid w:val="00B935F0"/>
    <w:rsid w:val="00B95043"/>
    <w:rsid w:val="00B96FD2"/>
    <w:rsid w:val="00B9749F"/>
    <w:rsid w:val="00BA08D1"/>
    <w:rsid w:val="00BA1821"/>
    <w:rsid w:val="00BA2E1A"/>
    <w:rsid w:val="00BA3026"/>
    <w:rsid w:val="00BA3EFF"/>
    <w:rsid w:val="00BA4972"/>
    <w:rsid w:val="00BA5FE7"/>
    <w:rsid w:val="00BA7326"/>
    <w:rsid w:val="00BB1C24"/>
    <w:rsid w:val="00BB2580"/>
    <w:rsid w:val="00BB27EC"/>
    <w:rsid w:val="00BB37EE"/>
    <w:rsid w:val="00BB484F"/>
    <w:rsid w:val="00BB530B"/>
    <w:rsid w:val="00BB58D3"/>
    <w:rsid w:val="00BB6ADE"/>
    <w:rsid w:val="00BC0451"/>
    <w:rsid w:val="00BC179B"/>
    <w:rsid w:val="00BC2570"/>
    <w:rsid w:val="00BC432E"/>
    <w:rsid w:val="00BC5CCD"/>
    <w:rsid w:val="00BC6774"/>
    <w:rsid w:val="00BC6C8B"/>
    <w:rsid w:val="00BC6EEF"/>
    <w:rsid w:val="00BC72FE"/>
    <w:rsid w:val="00BC7529"/>
    <w:rsid w:val="00BC75B0"/>
    <w:rsid w:val="00BC7980"/>
    <w:rsid w:val="00BD07A8"/>
    <w:rsid w:val="00BD28C5"/>
    <w:rsid w:val="00BD2FEE"/>
    <w:rsid w:val="00BD3069"/>
    <w:rsid w:val="00BD3A94"/>
    <w:rsid w:val="00BD4D43"/>
    <w:rsid w:val="00BD5E72"/>
    <w:rsid w:val="00BD7695"/>
    <w:rsid w:val="00BE0D5C"/>
    <w:rsid w:val="00BE0EE1"/>
    <w:rsid w:val="00BE427F"/>
    <w:rsid w:val="00BE4BDF"/>
    <w:rsid w:val="00BE57F8"/>
    <w:rsid w:val="00BE5FED"/>
    <w:rsid w:val="00BE617C"/>
    <w:rsid w:val="00BE65E4"/>
    <w:rsid w:val="00BE6CBF"/>
    <w:rsid w:val="00BE7D81"/>
    <w:rsid w:val="00BF0AA7"/>
    <w:rsid w:val="00BF2F97"/>
    <w:rsid w:val="00BF3C5E"/>
    <w:rsid w:val="00BF538B"/>
    <w:rsid w:val="00BF6A13"/>
    <w:rsid w:val="00C00765"/>
    <w:rsid w:val="00C00E26"/>
    <w:rsid w:val="00C015A3"/>
    <w:rsid w:val="00C03A2E"/>
    <w:rsid w:val="00C0467C"/>
    <w:rsid w:val="00C06287"/>
    <w:rsid w:val="00C06E61"/>
    <w:rsid w:val="00C07BE2"/>
    <w:rsid w:val="00C12309"/>
    <w:rsid w:val="00C14D58"/>
    <w:rsid w:val="00C20CD9"/>
    <w:rsid w:val="00C20D5E"/>
    <w:rsid w:val="00C216DC"/>
    <w:rsid w:val="00C23583"/>
    <w:rsid w:val="00C26A2D"/>
    <w:rsid w:val="00C312CC"/>
    <w:rsid w:val="00C3512D"/>
    <w:rsid w:val="00C36C67"/>
    <w:rsid w:val="00C40105"/>
    <w:rsid w:val="00C4042B"/>
    <w:rsid w:val="00C4066A"/>
    <w:rsid w:val="00C40D0E"/>
    <w:rsid w:val="00C4192A"/>
    <w:rsid w:val="00C469FC"/>
    <w:rsid w:val="00C51DF7"/>
    <w:rsid w:val="00C5255D"/>
    <w:rsid w:val="00C52C0C"/>
    <w:rsid w:val="00C56BAB"/>
    <w:rsid w:val="00C57E14"/>
    <w:rsid w:val="00C602B7"/>
    <w:rsid w:val="00C60D92"/>
    <w:rsid w:val="00C641D2"/>
    <w:rsid w:val="00C65930"/>
    <w:rsid w:val="00C67B12"/>
    <w:rsid w:val="00C728B6"/>
    <w:rsid w:val="00C72905"/>
    <w:rsid w:val="00C75AB0"/>
    <w:rsid w:val="00C76A68"/>
    <w:rsid w:val="00C82AA4"/>
    <w:rsid w:val="00C8305C"/>
    <w:rsid w:val="00C844D6"/>
    <w:rsid w:val="00C85FF6"/>
    <w:rsid w:val="00C87FAB"/>
    <w:rsid w:val="00C9078C"/>
    <w:rsid w:val="00C914E2"/>
    <w:rsid w:val="00C9326B"/>
    <w:rsid w:val="00C95691"/>
    <w:rsid w:val="00C96A47"/>
    <w:rsid w:val="00C970CE"/>
    <w:rsid w:val="00CA113C"/>
    <w:rsid w:val="00CA1ECD"/>
    <w:rsid w:val="00CA4C7F"/>
    <w:rsid w:val="00CA55F1"/>
    <w:rsid w:val="00CA6606"/>
    <w:rsid w:val="00CB01EB"/>
    <w:rsid w:val="00CB13B7"/>
    <w:rsid w:val="00CB187A"/>
    <w:rsid w:val="00CB2388"/>
    <w:rsid w:val="00CB42D6"/>
    <w:rsid w:val="00CB4A1A"/>
    <w:rsid w:val="00CB7087"/>
    <w:rsid w:val="00CB723D"/>
    <w:rsid w:val="00CB78C3"/>
    <w:rsid w:val="00CB7F7A"/>
    <w:rsid w:val="00CC240C"/>
    <w:rsid w:val="00CC41EE"/>
    <w:rsid w:val="00CC5DAB"/>
    <w:rsid w:val="00CC719B"/>
    <w:rsid w:val="00CC7E9C"/>
    <w:rsid w:val="00CD061B"/>
    <w:rsid w:val="00CD0BF5"/>
    <w:rsid w:val="00CD0FA4"/>
    <w:rsid w:val="00CD1089"/>
    <w:rsid w:val="00CD1BCD"/>
    <w:rsid w:val="00CD41F8"/>
    <w:rsid w:val="00CD6D61"/>
    <w:rsid w:val="00CD7D66"/>
    <w:rsid w:val="00CD7FFC"/>
    <w:rsid w:val="00CE1280"/>
    <w:rsid w:val="00CE1A03"/>
    <w:rsid w:val="00CE222A"/>
    <w:rsid w:val="00CE2C6E"/>
    <w:rsid w:val="00CE2D75"/>
    <w:rsid w:val="00CE37A1"/>
    <w:rsid w:val="00CE6C66"/>
    <w:rsid w:val="00CE799B"/>
    <w:rsid w:val="00CF046A"/>
    <w:rsid w:val="00CF321C"/>
    <w:rsid w:val="00CF4FE6"/>
    <w:rsid w:val="00CF556F"/>
    <w:rsid w:val="00CF5974"/>
    <w:rsid w:val="00CF668D"/>
    <w:rsid w:val="00CF6884"/>
    <w:rsid w:val="00CF7992"/>
    <w:rsid w:val="00D0030F"/>
    <w:rsid w:val="00D0445F"/>
    <w:rsid w:val="00D04512"/>
    <w:rsid w:val="00D0477A"/>
    <w:rsid w:val="00D05DDC"/>
    <w:rsid w:val="00D0608D"/>
    <w:rsid w:val="00D061D5"/>
    <w:rsid w:val="00D06226"/>
    <w:rsid w:val="00D06E87"/>
    <w:rsid w:val="00D06EFC"/>
    <w:rsid w:val="00D074BF"/>
    <w:rsid w:val="00D106C3"/>
    <w:rsid w:val="00D1197E"/>
    <w:rsid w:val="00D122E5"/>
    <w:rsid w:val="00D12652"/>
    <w:rsid w:val="00D1366C"/>
    <w:rsid w:val="00D13D05"/>
    <w:rsid w:val="00D1619E"/>
    <w:rsid w:val="00D206B3"/>
    <w:rsid w:val="00D219C1"/>
    <w:rsid w:val="00D22C33"/>
    <w:rsid w:val="00D2347D"/>
    <w:rsid w:val="00D2391C"/>
    <w:rsid w:val="00D242C1"/>
    <w:rsid w:val="00D253F0"/>
    <w:rsid w:val="00D27373"/>
    <w:rsid w:val="00D32833"/>
    <w:rsid w:val="00D335DA"/>
    <w:rsid w:val="00D33C9E"/>
    <w:rsid w:val="00D33DA7"/>
    <w:rsid w:val="00D3507E"/>
    <w:rsid w:val="00D354D0"/>
    <w:rsid w:val="00D35CBE"/>
    <w:rsid w:val="00D36F22"/>
    <w:rsid w:val="00D37D79"/>
    <w:rsid w:val="00D41D9A"/>
    <w:rsid w:val="00D43279"/>
    <w:rsid w:val="00D43919"/>
    <w:rsid w:val="00D461E5"/>
    <w:rsid w:val="00D46AAF"/>
    <w:rsid w:val="00D472D8"/>
    <w:rsid w:val="00D50A0F"/>
    <w:rsid w:val="00D514A2"/>
    <w:rsid w:val="00D5255B"/>
    <w:rsid w:val="00D52DFC"/>
    <w:rsid w:val="00D538F6"/>
    <w:rsid w:val="00D5457D"/>
    <w:rsid w:val="00D549EE"/>
    <w:rsid w:val="00D54EF5"/>
    <w:rsid w:val="00D56FF4"/>
    <w:rsid w:val="00D61E55"/>
    <w:rsid w:val="00D6213A"/>
    <w:rsid w:val="00D64C89"/>
    <w:rsid w:val="00D65065"/>
    <w:rsid w:val="00D67424"/>
    <w:rsid w:val="00D67EAD"/>
    <w:rsid w:val="00D70223"/>
    <w:rsid w:val="00D7340C"/>
    <w:rsid w:val="00D73747"/>
    <w:rsid w:val="00D73760"/>
    <w:rsid w:val="00D74036"/>
    <w:rsid w:val="00D802BD"/>
    <w:rsid w:val="00D80304"/>
    <w:rsid w:val="00D808EE"/>
    <w:rsid w:val="00D823F4"/>
    <w:rsid w:val="00D86985"/>
    <w:rsid w:val="00D86FB2"/>
    <w:rsid w:val="00D87FE7"/>
    <w:rsid w:val="00D91885"/>
    <w:rsid w:val="00D93663"/>
    <w:rsid w:val="00D9377A"/>
    <w:rsid w:val="00D94097"/>
    <w:rsid w:val="00D948B3"/>
    <w:rsid w:val="00D95DDC"/>
    <w:rsid w:val="00D96B60"/>
    <w:rsid w:val="00D96B9F"/>
    <w:rsid w:val="00D97F24"/>
    <w:rsid w:val="00DA0634"/>
    <w:rsid w:val="00DA1922"/>
    <w:rsid w:val="00DA2CA1"/>
    <w:rsid w:val="00DA3E6F"/>
    <w:rsid w:val="00DA445F"/>
    <w:rsid w:val="00DA5342"/>
    <w:rsid w:val="00DA62C5"/>
    <w:rsid w:val="00DA7CB8"/>
    <w:rsid w:val="00DA7DA7"/>
    <w:rsid w:val="00DB0871"/>
    <w:rsid w:val="00DB0CB2"/>
    <w:rsid w:val="00DB0D61"/>
    <w:rsid w:val="00DB1054"/>
    <w:rsid w:val="00DB1134"/>
    <w:rsid w:val="00DB17F6"/>
    <w:rsid w:val="00DB28FC"/>
    <w:rsid w:val="00DB4286"/>
    <w:rsid w:val="00DC08BC"/>
    <w:rsid w:val="00DC0BD7"/>
    <w:rsid w:val="00DC177B"/>
    <w:rsid w:val="00DC1F63"/>
    <w:rsid w:val="00DC2732"/>
    <w:rsid w:val="00DC3DE7"/>
    <w:rsid w:val="00DC59F0"/>
    <w:rsid w:val="00DD1011"/>
    <w:rsid w:val="00DD244D"/>
    <w:rsid w:val="00DD24D5"/>
    <w:rsid w:val="00DD6D87"/>
    <w:rsid w:val="00DE221F"/>
    <w:rsid w:val="00DE2CA6"/>
    <w:rsid w:val="00DE3841"/>
    <w:rsid w:val="00DE3A2A"/>
    <w:rsid w:val="00DE4853"/>
    <w:rsid w:val="00DE55E6"/>
    <w:rsid w:val="00DE561D"/>
    <w:rsid w:val="00DE594E"/>
    <w:rsid w:val="00DE5DBB"/>
    <w:rsid w:val="00DF0DD9"/>
    <w:rsid w:val="00DF169D"/>
    <w:rsid w:val="00DF214C"/>
    <w:rsid w:val="00DF6E59"/>
    <w:rsid w:val="00DF7AE1"/>
    <w:rsid w:val="00DF7DAA"/>
    <w:rsid w:val="00E00D31"/>
    <w:rsid w:val="00E020AA"/>
    <w:rsid w:val="00E0241F"/>
    <w:rsid w:val="00E04482"/>
    <w:rsid w:val="00E04D37"/>
    <w:rsid w:val="00E05840"/>
    <w:rsid w:val="00E07968"/>
    <w:rsid w:val="00E10BA8"/>
    <w:rsid w:val="00E12448"/>
    <w:rsid w:val="00E125F1"/>
    <w:rsid w:val="00E13B09"/>
    <w:rsid w:val="00E13BBB"/>
    <w:rsid w:val="00E14683"/>
    <w:rsid w:val="00E200D0"/>
    <w:rsid w:val="00E207DB"/>
    <w:rsid w:val="00E21EFB"/>
    <w:rsid w:val="00E2267F"/>
    <w:rsid w:val="00E235D4"/>
    <w:rsid w:val="00E243DA"/>
    <w:rsid w:val="00E25FBA"/>
    <w:rsid w:val="00E270B7"/>
    <w:rsid w:val="00E27620"/>
    <w:rsid w:val="00E27C9F"/>
    <w:rsid w:val="00E33F99"/>
    <w:rsid w:val="00E366F3"/>
    <w:rsid w:val="00E36A50"/>
    <w:rsid w:val="00E406A7"/>
    <w:rsid w:val="00E41562"/>
    <w:rsid w:val="00E41B22"/>
    <w:rsid w:val="00E43C87"/>
    <w:rsid w:val="00E44111"/>
    <w:rsid w:val="00E44BDB"/>
    <w:rsid w:val="00E465D2"/>
    <w:rsid w:val="00E467C8"/>
    <w:rsid w:val="00E5019E"/>
    <w:rsid w:val="00E528EB"/>
    <w:rsid w:val="00E5370B"/>
    <w:rsid w:val="00E5412A"/>
    <w:rsid w:val="00E5562A"/>
    <w:rsid w:val="00E56811"/>
    <w:rsid w:val="00E56A3E"/>
    <w:rsid w:val="00E6139F"/>
    <w:rsid w:val="00E61E1E"/>
    <w:rsid w:val="00E62387"/>
    <w:rsid w:val="00E628A5"/>
    <w:rsid w:val="00E63A4D"/>
    <w:rsid w:val="00E64A38"/>
    <w:rsid w:val="00E64B3B"/>
    <w:rsid w:val="00E67D97"/>
    <w:rsid w:val="00E714DB"/>
    <w:rsid w:val="00E71A05"/>
    <w:rsid w:val="00E742BC"/>
    <w:rsid w:val="00E8023F"/>
    <w:rsid w:val="00E80AB0"/>
    <w:rsid w:val="00E817F3"/>
    <w:rsid w:val="00E83157"/>
    <w:rsid w:val="00E8435E"/>
    <w:rsid w:val="00E84BA3"/>
    <w:rsid w:val="00E85777"/>
    <w:rsid w:val="00E8668A"/>
    <w:rsid w:val="00E90614"/>
    <w:rsid w:val="00E90B9D"/>
    <w:rsid w:val="00E91D3D"/>
    <w:rsid w:val="00E923F1"/>
    <w:rsid w:val="00E93762"/>
    <w:rsid w:val="00E95E00"/>
    <w:rsid w:val="00E96A6F"/>
    <w:rsid w:val="00EA0DE9"/>
    <w:rsid w:val="00EA12B0"/>
    <w:rsid w:val="00EA1B79"/>
    <w:rsid w:val="00EA25E5"/>
    <w:rsid w:val="00EA42B1"/>
    <w:rsid w:val="00EA454C"/>
    <w:rsid w:val="00EA4BDE"/>
    <w:rsid w:val="00EA5D48"/>
    <w:rsid w:val="00EA6D03"/>
    <w:rsid w:val="00EB1A38"/>
    <w:rsid w:val="00EB1D3D"/>
    <w:rsid w:val="00EB3D88"/>
    <w:rsid w:val="00EB3D8A"/>
    <w:rsid w:val="00EB4AF9"/>
    <w:rsid w:val="00EB5629"/>
    <w:rsid w:val="00EB6139"/>
    <w:rsid w:val="00EB711D"/>
    <w:rsid w:val="00EC0476"/>
    <w:rsid w:val="00EC27E5"/>
    <w:rsid w:val="00EC4A5E"/>
    <w:rsid w:val="00EC6C43"/>
    <w:rsid w:val="00EC71ED"/>
    <w:rsid w:val="00EC73C7"/>
    <w:rsid w:val="00EC7486"/>
    <w:rsid w:val="00ED04F4"/>
    <w:rsid w:val="00ED13D6"/>
    <w:rsid w:val="00ED23BA"/>
    <w:rsid w:val="00ED2536"/>
    <w:rsid w:val="00ED27A5"/>
    <w:rsid w:val="00ED4B2A"/>
    <w:rsid w:val="00ED569B"/>
    <w:rsid w:val="00ED6279"/>
    <w:rsid w:val="00ED7111"/>
    <w:rsid w:val="00ED7B38"/>
    <w:rsid w:val="00EE0057"/>
    <w:rsid w:val="00EE0E84"/>
    <w:rsid w:val="00EE120A"/>
    <w:rsid w:val="00EE208F"/>
    <w:rsid w:val="00EE308D"/>
    <w:rsid w:val="00EE44C9"/>
    <w:rsid w:val="00EE5C91"/>
    <w:rsid w:val="00EE7E34"/>
    <w:rsid w:val="00EF087C"/>
    <w:rsid w:val="00EF233E"/>
    <w:rsid w:val="00EF2769"/>
    <w:rsid w:val="00EF366A"/>
    <w:rsid w:val="00EF3DE1"/>
    <w:rsid w:val="00EF4DF3"/>
    <w:rsid w:val="00EF55F1"/>
    <w:rsid w:val="00EF5807"/>
    <w:rsid w:val="00F02F28"/>
    <w:rsid w:val="00F04217"/>
    <w:rsid w:val="00F04F09"/>
    <w:rsid w:val="00F0677F"/>
    <w:rsid w:val="00F072E2"/>
    <w:rsid w:val="00F0799D"/>
    <w:rsid w:val="00F1073F"/>
    <w:rsid w:val="00F12087"/>
    <w:rsid w:val="00F12744"/>
    <w:rsid w:val="00F13F24"/>
    <w:rsid w:val="00F1419E"/>
    <w:rsid w:val="00F142CA"/>
    <w:rsid w:val="00F1472A"/>
    <w:rsid w:val="00F15C74"/>
    <w:rsid w:val="00F1601B"/>
    <w:rsid w:val="00F209D8"/>
    <w:rsid w:val="00F2126F"/>
    <w:rsid w:val="00F23E7B"/>
    <w:rsid w:val="00F245CF"/>
    <w:rsid w:val="00F27ED1"/>
    <w:rsid w:val="00F30CF8"/>
    <w:rsid w:val="00F31315"/>
    <w:rsid w:val="00F3406D"/>
    <w:rsid w:val="00F363BF"/>
    <w:rsid w:val="00F373D4"/>
    <w:rsid w:val="00F40408"/>
    <w:rsid w:val="00F40FA7"/>
    <w:rsid w:val="00F41382"/>
    <w:rsid w:val="00F42301"/>
    <w:rsid w:val="00F4257F"/>
    <w:rsid w:val="00F42B03"/>
    <w:rsid w:val="00F42F5E"/>
    <w:rsid w:val="00F437B6"/>
    <w:rsid w:val="00F43BA3"/>
    <w:rsid w:val="00F4584C"/>
    <w:rsid w:val="00F46297"/>
    <w:rsid w:val="00F46591"/>
    <w:rsid w:val="00F46ABC"/>
    <w:rsid w:val="00F500E8"/>
    <w:rsid w:val="00F5172B"/>
    <w:rsid w:val="00F53655"/>
    <w:rsid w:val="00F53C1E"/>
    <w:rsid w:val="00F55290"/>
    <w:rsid w:val="00F55956"/>
    <w:rsid w:val="00F55BE0"/>
    <w:rsid w:val="00F561A7"/>
    <w:rsid w:val="00F56CA9"/>
    <w:rsid w:val="00F6071E"/>
    <w:rsid w:val="00F614AD"/>
    <w:rsid w:val="00F615CF"/>
    <w:rsid w:val="00F616C5"/>
    <w:rsid w:val="00F628F8"/>
    <w:rsid w:val="00F62CFC"/>
    <w:rsid w:val="00F639E2"/>
    <w:rsid w:val="00F65284"/>
    <w:rsid w:val="00F66CE6"/>
    <w:rsid w:val="00F67B7D"/>
    <w:rsid w:val="00F67E6A"/>
    <w:rsid w:val="00F711FF"/>
    <w:rsid w:val="00F71512"/>
    <w:rsid w:val="00F71F5C"/>
    <w:rsid w:val="00F73675"/>
    <w:rsid w:val="00F738D0"/>
    <w:rsid w:val="00F74363"/>
    <w:rsid w:val="00F74FA5"/>
    <w:rsid w:val="00F75CFA"/>
    <w:rsid w:val="00F7658C"/>
    <w:rsid w:val="00F769FF"/>
    <w:rsid w:val="00F77BCE"/>
    <w:rsid w:val="00F77E6A"/>
    <w:rsid w:val="00F8013A"/>
    <w:rsid w:val="00F8146E"/>
    <w:rsid w:val="00F81D93"/>
    <w:rsid w:val="00F831FA"/>
    <w:rsid w:val="00F831FB"/>
    <w:rsid w:val="00F842D4"/>
    <w:rsid w:val="00F84436"/>
    <w:rsid w:val="00F85E7A"/>
    <w:rsid w:val="00F86C62"/>
    <w:rsid w:val="00F876CE"/>
    <w:rsid w:val="00F9010D"/>
    <w:rsid w:val="00F907B5"/>
    <w:rsid w:val="00F922D5"/>
    <w:rsid w:val="00F93164"/>
    <w:rsid w:val="00F93332"/>
    <w:rsid w:val="00F940A3"/>
    <w:rsid w:val="00F9413F"/>
    <w:rsid w:val="00F94A2D"/>
    <w:rsid w:val="00F94D21"/>
    <w:rsid w:val="00F957CA"/>
    <w:rsid w:val="00F96DB1"/>
    <w:rsid w:val="00FA11D0"/>
    <w:rsid w:val="00FA1251"/>
    <w:rsid w:val="00FA14EB"/>
    <w:rsid w:val="00FA1602"/>
    <w:rsid w:val="00FA3219"/>
    <w:rsid w:val="00FA3447"/>
    <w:rsid w:val="00FA344A"/>
    <w:rsid w:val="00FA39DE"/>
    <w:rsid w:val="00FA3C40"/>
    <w:rsid w:val="00FA3E33"/>
    <w:rsid w:val="00FA406D"/>
    <w:rsid w:val="00FA44DE"/>
    <w:rsid w:val="00FA4570"/>
    <w:rsid w:val="00FA5173"/>
    <w:rsid w:val="00FA6497"/>
    <w:rsid w:val="00FA690F"/>
    <w:rsid w:val="00FB3748"/>
    <w:rsid w:val="00FB5056"/>
    <w:rsid w:val="00FB5EFD"/>
    <w:rsid w:val="00FB6BE8"/>
    <w:rsid w:val="00FB6CAE"/>
    <w:rsid w:val="00FC015B"/>
    <w:rsid w:val="00FC019D"/>
    <w:rsid w:val="00FC142C"/>
    <w:rsid w:val="00FC19A6"/>
    <w:rsid w:val="00FC2B0E"/>
    <w:rsid w:val="00FC3C87"/>
    <w:rsid w:val="00FC7122"/>
    <w:rsid w:val="00FD0B9D"/>
    <w:rsid w:val="00FD0CB0"/>
    <w:rsid w:val="00FD12A1"/>
    <w:rsid w:val="00FD1315"/>
    <w:rsid w:val="00FD19F3"/>
    <w:rsid w:val="00FD2E95"/>
    <w:rsid w:val="00FD45D4"/>
    <w:rsid w:val="00FD7BD8"/>
    <w:rsid w:val="00FE1536"/>
    <w:rsid w:val="00FE1F4A"/>
    <w:rsid w:val="00FE25EE"/>
    <w:rsid w:val="00FE3368"/>
    <w:rsid w:val="00FE336B"/>
    <w:rsid w:val="00FE4491"/>
    <w:rsid w:val="00FE5718"/>
    <w:rsid w:val="00FE68CD"/>
    <w:rsid w:val="00FE77C0"/>
    <w:rsid w:val="00FF061A"/>
    <w:rsid w:val="00FF1E05"/>
    <w:rsid w:val="00FF2137"/>
    <w:rsid w:val="00FF2D07"/>
    <w:rsid w:val="00FF3DA4"/>
    <w:rsid w:val="00FF510A"/>
    <w:rsid w:val="00FF59B1"/>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432B04"/>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628A5"/>
    <w:pPr>
      <w:spacing w:before="240"/>
      <w:outlineLvl w:val="2"/>
    </w:pPr>
    <w:rPr>
      <w:b/>
      <w:color w:val="124486"/>
      <w:sz w:val="22"/>
      <w:szCs w:val="22"/>
      <w:lang w:eastAsia="zh-CN"/>
    </w:rPr>
  </w:style>
  <w:style w:type="paragraph" w:styleId="Heading4">
    <w:name w:val="heading 4"/>
    <w:basedOn w:val="Normal"/>
    <w:next w:val="BodyText"/>
    <w:link w:val="Heading4Char"/>
    <w:qFormat/>
    <w:rsid w:val="009E79EC"/>
    <w:pPr>
      <w:numPr>
        <w:ilvl w:val="3"/>
        <w:numId w:val="1"/>
      </w:numPr>
      <w:spacing w:before="32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628A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Times New Roman" w:eastAsia="SimSun" w:hAnsi="Times New Roman" w:cs="Times New Roman"/>
      <w:b/>
      <w:sz w:val="20"/>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37DF1"/>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1A2A1A"/>
    <w:pPr>
      <w:jc w:val="left"/>
    </w:pPr>
    <w:rPr>
      <w:rFonts w:ascii="Franklin Gothic Book" w:hAnsi="Franklin Gothic Book"/>
      <w:b/>
      <w:sz w:val="20"/>
      <w:szCs w:val="20"/>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37DF1"/>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Footnote Text1,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Bullets,List Paragraph1,Recommendation,List Paragraph11,L,F5 List Paragraph,Dot pt,CV text,Table text,List Paragraph111,Medium Grid 1 - Accent 21,Numbered Paragraph,List Paragraph2,Bulleted Para,NFP GP Bulleted List,FooterText,numbered"/>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576A5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76A57"/>
    <w:pPr>
      <w:spacing w:after="0" w:line="240" w:lineRule="auto"/>
    </w:pPr>
    <w:rPr>
      <w:rFonts w:ascii="Times New Roman" w:eastAsia="SimSun" w:hAnsi="Times New Roman" w:cs="Times New Roman"/>
      <w:sz w:val="20"/>
      <w:szCs w:val="24"/>
    </w:rPr>
  </w:style>
  <w:style w:type="table" w:customStyle="1" w:styleId="DFATTable1">
    <w:name w:val="DFAT Table1"/>
    <w:basedOn w:val="TableNormal"/>
    <w:uiPriority w:val="99"/>
    <w:rsid w:val="00B27CF5"/>
    <w:pPr>
      <w:spacing w:after="0" w:line="240" w:lineRule="auto"/>
    </w:pPr>
    <w:rPr>
      <w:rFonts w:ascii="Helvetica" w:eastAsia="Calibri" w:hAnsi="Helvetica" w:cs="Times New Roman"/>
      <w:sz w:val="17"/>
    </w:rPr>
    <w:tblPr>
      <w:tblBorders>
        <w:top w:val="single" w:sz="12" w:space="0" w:color="auto"/>
        <w:bottom w:val="single" w:sz="12" w:space="0" w:color="auto"/>
      </w:tblBorders>
    </w:tblPr>
  </w:style>
  <w:style w:type="table" w:customStyle="1" w:styleId="DFATTable2">
    <w:name w:val="DFAT Table2"/>
    <w:basedOn w:val="TableNormal"/>
    <w:uiPriority w:val="99"/>
    <w:rsid w:val="001619EE"/>
    <w:pPr>
      <w:spacing w:after="0" w:line="240" w:lineRule="auto"/>
    </w:pPr>
    <w:rPr>
      <w:rFonts w:ascii="Helvetica" w:eastAsia="Calibri" w:hAnsi="Helvetica" w:cs="Times New Roman"/>
      <w:sz w:val="17"/>
    </w:rPr>
    <w:tblPr>
      <w:tblBorders>
        <w:top w:val="single" w:sz="12" w:space="0" w:color="auto"/>
        <w:bottom w:val="single" w:sz="12" w:space="0" w:color="auto"/>
      </w:tblBorders>
    </w:tblPr>
  </w:style>
  <w:style w:type="character" w:customStyle="1" w:styleId="Heading3Char1">
    <w:name w:val="Heading 3 Char1"/>
    <w:basedOn w:val="DefaultParagraphFont"/>
    <w:semiHidden/>
    <w:rsid w:val="00190DBD"/>
    <w:rPr>
      <w:rFonts w:asciiTheme="majorHAnsi" w:eastAsiaTheme="majorEastAsia" w:hAnsiTheme="majorHAnsi" w:cstheme="majorBidi"/>
      <w:color w:val="243F60" w:themeColor="accent1" w:themeShade="7F"/>
      <w:sz w:val="24"/>
      <w:szCs w:val="24"/>
    </w:rPr>
  </w:style>
  <w:style w:type="table" w:customStyle="1" w:styleId="APPR1">
    <w:name w:val="APPR1"/>
    <w:basedOn w:val="TableNormal"/>
    <w:uiPriority w:val="99"/>
    <w:rsid w:val="00FA1602"/>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7D42FE"/>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otPoint">
    <w:name w:val="Dot Point"/>
    <w:basedOn w:val="Normal"/>
    <w:qFormat/>
    <w:rsid w:val="009B1DE7"/>
    <w:pPr>
      <w:numPr>
        <w:numId w:val="23"/>
      </w:numPr>
      <w:autoSpaceDE w:val="0"/>
      <w:autoSpaceDN w:val="0"/>
      <w:adjustRightInd w:val="0"/>
      <w:snapToGrid w:val="0"/>
      <w:spacing w:after="240"/>
    </w:pPr>
    <w:rPr>
      <w:rFonts w:ascii="Arial" w:eastAsia="Times New Roman" w:hAnsi="Arial" w:cs="Arial"/>
      <w:sz w:val="22"/>
      <w:szCs w:val="22"/>
      <w:lang w:eastAsia="en-US"/>
    </w:rPr>
  </w:style>
  <w:style w:type="character" w:customStyle="1" w:styleId="ListParagraphChar">
    <w:name w:val="List Paragraph Char"/>
    <w:aliases w:val="Bullets Char,List Paragraph1 Char,Recommendation Char,List Paragraph11 Char,L Char,F5 List Paragraph Char,Dot pt Char,CV text Char,Table text Char,List Paragraph111 Char,Medium Grid 1 - Accent 21 Char,Numbered Paragraph Char"/>
    <w:basedOn w:val="DefaultParagraphFont"/>
    <w:link w:val="ListParagraph"/>
    <w:uiPriority w:val="34"/>
    <w:qFormat/>
    <w:locked/>
    <w:rsid w:val="009B1DE7"/>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432B04"/>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628A5"/>
    <w:pPr>
      <w:spacing w:before="240"/>
      <w:outlineLvl w:val="2"/>
    </w:pPr>
    <w:rPr>
      <w:b/>
      <w:color w:val="124486"/>
      <w:sz w:val="22"/>
      <w:szCs w:val="22"/>
      <w:lang w:eastAsia="zh-CN"/>
    </w:rPr>
  </w:style>
  <w:style w:type="paragraph" w:styleId="Heading4">
    <w:name w:val="heading 4"/>
    <w:basedOn w:val="Normal"/>
    <w:next w:val="BodyText"/>
    <w:link w:val="Heading4Char"/>
    <w:qFormat/>
    <w:rsid w:val="009E79EC"/>
    <w:pPr>
      <w:numPr>
        <w:ilvl w:val="3"/>
        <w:numId w:val="1"/>
      </w:numPr>
      <w:spacing w:before="32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628A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Times New Roman" w:eastAsia="SimSun" w:hAnsi="Times New Roman" w:cs="Times New Roman"/>
      <w:b/>
      <w:sz w:val="20"/>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37DF1"/>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1A2A1A"/>
    <w:pPr>
      <w:jc w:val="left"/>
    </w:pPr>
    <w:rPr>
      <w:rFonts w:ascii="Franklin Gothic Book" w:hAnsi="Franklin Gothic Book"/>
      <w:b/>
      <w:sz w:val="20"/>
      <w:szCs w:val="20"/>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37DF1"/>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Footnote Text1,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Bullets,List Paragraph1,Recommendation,List Paragraph11,L,F5 List Paragraph,Dot pt,CV text,Table text,List Paragraph111,Medium Grid 1 - Accent 21,Numbered Paragraph,List Paragraph2,Bulleted Para,NFP GP Bulleted List,FooterText,numbered"/>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576A5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76A57"/>
    <w:pPr>
      <w:spacing w:after="0" w:line="240" w:lineRule="auto"/>
    </w:pPr>
    <w:rPr>
      <w:rFonts w:ascii="Times New Roman" w:eastAsia="SimSun" w:hAnsi="Times New Roman" w:cs="Times New Roman"/>
      <w:sz w:val="20"/>
      <w:szCs w:val="24"/>
    </w:rPr>
  </w:style>
  <w:style w:type="table" w:customStyle="1" w:styleId="DFATTable1">
    <w:name w:val="DFAT Table1"/>
    <w:basedOn w:val="TableNormal"/>
    <w:uiPriority w:val="99"/>
    <w:rsid w:val="00B27CF5"/>
    <w:pPr>
      <w:spacing w:after="0" w:line="240" w:lineRule="auto"/>
    </w:pPr>
    <w:rPr>
      <w:rFonts w:ascii="Helvetica" w:eastAsia="Calibri" w:hAnsi="Helvetica" w:cs="Times New Roman"/>
      <w:sz w:val="17"/>
    </w:rPr>
    <w:tblPr>
      <w:tblBorders>
        <w:top w:val="single" w:sz="12" w:space="0" w:color="auto"/>
        <w:bottom w:val="single" w:sz="12" w:space="0" w:color="auto"/>
      </w:tblBorders>
    </w:tblPr>
  </w:style>
  <w:style w:type="table" w:customStyle="1" w:styleId="DFATTable2">
    <w:name w:val="DFAT Table2"/>
    <w:basedOn w:val="TableNormal"/>
    <w:uiPriority w:val="99"/>
    <w:rsid w:val="001619EE"/>
    <w:pPr>
      <w:spacing w:after="0" w:line="240" w:lineRule="auto"/>
    </w:pPr>
    <w:rPr>
      <w:rFonts w:ascii="Helvetica" w:eastAsia="Calibri" w:hAnsi="Helvetica" w:cs="Times New Roman"/>
      <w:sz w:val="17"/>
    </w:rPr>
    <w:tblPr>
      <w:tblBorders>
        <w:top w:val="single" w:sz="12" w:space="0" w:color="auto"/>
        <w:bottom w:val="single" w:sz="12" w:space="0" w:color="auto"/>
      </w:tblBorders>
    </w:tblPr>
  </w:style>
  <w:style w:type="character" w:customStyle="1" w:styleId="Heading3Char1">
    <w:name w:val="Heading 3 Char1"/>
    <w:basedOn w:val="DefaultParagraphFont"/>
    <w:semiHidden/>
    <w:rsid w:val="00190DBD"/>
    <w:rPr>
      <w:rFonts w:asciiTheme="majorHAnsi" w:eastAsiaTheme="majorEastAsia" w:hAnsiTheme="majorHAnsi" w:cstheme="majorBidi"/>
      <w:color w:val="243F60" w:themeColor="accent1" w:themeShade="7F"/>
      <w:sz w:val="24"/>
      <w:szCs w:val="24"/>
    </w:rPr>
  </w:style>
  <w:style w:type="table" w:customStyle="1" w:styleId="APPR1">
    <w:name w:val="APPR1"/>
    <w:basedOn w:val="TableNormal"/>
    <w:uiPriority w:val="99"/>
    <w:rsid w:val="00FA1602"/>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7D42FE"/>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otPoint">
    <w:name w:val="Dot Point"/>
    <w:basedOn w:val="Normal"/>
    <w:qFormat/>
    <w:rsid w:val="009B1DE7"/>
    <w:pPr>
      <w:numPr>
        <w:numId w:val="23"/>
      </w:numPr>
      <w:autoSpaceDE w:val="0"/>
      <w:autoSpaceDN w:val="0"/>
      <w:adjustRightInd w:val="0"/>
      <w:snapToGrid w:val="0"/>
      <w:spacing w:after="240"/>
    </w:pPr>
    <w:rPr>
      <w:rFonts w:ascii="Arial" w:eastAsia="Times New Roman" w:hAnsi="Arial" w:cs="Arial"/>
      <w:sz w:val="22"/>
      <w:szCs w:val="22"/>
      <w:lang w:eastAsia="en-US"/>
    </w:rPr>
  </w:style>
  <w:style w:type="character" w:customStyle="1" w:styleId="ListParagraphChar">
    <w:name w:val="List Paragraph Char"/>
    <w:aliases w:val="Bullets Char,List Paragraph1 Char,Recommendation Char,List Paragraph11 Char,L Char,F5 List Paragraph Char,Dot pt Char,CV text Char,Table text Char,List Paragraph111 Char,Medium Grid 1 - Accent 21 Char,Numbered Paragraph Char"/>
    <w:basedOn w:val="DefaultParagraphFont"/>
    <w:link w:val="ListParagraph"/>
    <w:uiPriority w:val="34"/>
    <w:qFormat/>
    <w:locked/>
    <w:rsid w:val="009B1DE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72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18831361">
      <w:bodyDiv w:val="1"/>
      <w:marLeft w:val="0"/>
      <w:marRight w:val="0"/>
      <w:marTop w:val="0"/>
      <w:marBottom w:val="0"/>
      <w:divBdr>
        <w:top w:val="none" w:sz="0" w:space="0" w:color="auto"/>
        <w:left w:val="none" w:sz="0" w:space="0" w:color="auto"/>
        <w:bottom w:val="none" w:sz="0" w:space="0" w:color="auto"/>
        <w:right w:val="none" w:sz="0" w:space="0" w:color="auto"/>
      </w:divBdr>
    </w:div>
    <w:div w:id="237981951">
      <w:bodyDiv w:val="1"/>
      <w:marLeft w:val="0"/>
      <w:marRight w:val="0"/>
      <w:marTop w:val="0"/>
      <w:marBottom w:val="0"/>
      <w:divBdr>
        <w:top w:val="none" w:sz="0" w:space="0" w:color="auto"/>
        <w:left w:val="none" w:sz="0" w:space="0" w:color="auto"/>
        <w:bottom w:val="none" w:sz="0" w:space="0" w:color="auto"/>
        <w:right w:val="none" w:sz="0" w:space="0" w:color="auto"/>
      </w:divBdr>
    </w:div>
    <w:div w:id="372191383">
      <w:bodyDiv w:val="1"/>
      <w:marLeft w:val="0"/>
      <w:marRight w:val="0"/>
      <w:marTop w:val="0"/>
      <w:marBottom w:val="0"/>
      <w:divBdr>
        <w:top w:val="none" w:sz="0" w:space="0" w:color="auto"/>
        <w:left w:val="none" w:sz="0" w:space="0" w:color="auto"/>
        <w:bottom w:val="none" w:sz="0" w:space="0" w:color="auto"/>
        <w:right w:val="none" w:sz="0" w:space="0" w:color="auto"/>
      </w:divBdr>
      <w:divsChild>
        <w:div w:id="325476207">
          <w:marLeft w:val="0"/>
          <w:marRight w:val="0"/>
          <w:marTop w:val="0"/>
          <w:marBottom w:val="0"/>
          <w:divBdr>
            <w:top w:val="none" w:sz="0" w:space="0" w:color="auto"/>
            <w:left w:val="none" w:sz="0" w:space="0" w:color="auto"/>
            <w:bottom w:val="none" w:sz="0" w:space="0" w:color="auto"/>
            <w:right w:val="none" w:sz="0" w:space="0" w:color="auto"/>
          </w:divBdr>
        </w:div>
        <w:div w:id="1041857871">
          <w:marLeft w:val="0"/>
          <w:marRight w:val="0"/>
          <w:marTop w:val="0"/>
          <w:marBottom w:val="0"/>
          <w:divBdr>
            <w:top w:val="none" w:sz="0" w:space="0" w:color="auto"/>
            <w:left w:val="none" w:sz="0" w:space="0" w:color="auto"/>
            <w:bottom w:val="none" w:sz="0" w:space="0" w:color="auto"/>
            <w:right w:val="none" w:sz="0" w:space="0" w:color="auto"/>
          </w:divBdr>
        </w:div>
        <w:div w:id="1050768229">
          <w:marLeft w:val="0"/>
          <w:marRight w:val="0"/>
          <w:marTop w:val="0"/>
          <w:marBottom w:val="0"/>
          <w:divBdr>
            <w:top w:val="none" w:sz="0" w:space="0" w:color="auto"/>
            <w:left w:val="none" w:sz="0" w:space="0" w:color="auto"/>
            <w:bottom w:val="none" w:sz="0" w:space="0" w:color="auto"/>
            <w:right w:val="none" w:sz="0" w:space="0" w:color="auto"/>
          </w:divBdr>
        </w:div>
        <w:div w:id="1421484182">
          <w:marLeft w:val="0"/>
          <w:marRight w:val="0"/>
          <w:marTop w:val="0"/>
          <w:marBottom w:val="0"/>
          <w:divBdr>
            <w:top w:val="none" w:sz="0" w:space="0" w:color="auto"/>
            <w:left w:val="none" w:sz="0" w:space="0" w:color="auto"/>
            <w:bottom w:val="none" w:sz="0" w:space="0" w:color="auto"/>
            <w:right w:val="none" w:sz="0" w:space="0" w:color="auto"/>
          </w:divBdr>
        </w:div>
        <w:div w:id="2040816255">
          <w:marLeft w:val="0"/>
          <w:marRight w:val="0"/>
          <w:marTop w:val="0"/>
          <w:marBottom w:val="0"/>
          <w:divBdr>
            <w:top w:val="none" w:sz="0" w:space="0" w:color="auto"/>
            <w:left w:val="none" w:sz="0" w:space="0" w:color="auto"/>
            <w:bottom w:val="none" w:sz="0" w:space="0" w:color="auto"/>
            <w:right w:val="none" w:sz="0" w:space="0" w:color="auto"/>
          </w:divBdr>
        </w:div>
      </w:divsChild>
    </w:div>
    <w:div w:id="386955756">
      <w:bodyDiv w:val="1"/>
      <w:marLeft w:val="0"/>
      <w:marRight w:val="0"/>
      <w:marTop w:val="0"/>
      <w:marBottom w:val="0"/>
      <w:divBdr>
        <w:top w:val="none" w:sz="0" w:space="0" w:color="auto"/>
        <w:left w:val="none" w:sz="0" w:space="0" w:color="auto"/>
        <w:bottom w:val="none" w:sz="0" w:space="0" w:color="auto"/>
        <w:right w:val="none" w:sz="0" w:space="0" w:color="auto"/>
      </w:divBdr>
      <w:divsChild>
        <w:div w:id="869223421">
          <w:marLeft w:val="0"/>
          <w:marRight w:val="0"/>
          <w:marTop w:val="0"/>
          <w:marBottom w:val="0"/>
          <w:divBdr>
            <w:top w:val="none" w:sz="0" w:space="0" w:color="auto"/>
            <w:left w:val="none" w:sz="0" w:space="0" w:color="auto"/>
            <w:bottom w:val="none" w:sz="0" w:space="0" w:color="auto"/>
            <w:right w:val="none" w:sz="0" w:space="0" w:color="auto"/>
          </w:divBdr>
        </w:div>
        <w:div w:id="967855257">
          <w:marLeft w:val="0"/>
          <w:marRight w:val="0"/>
          <w:marTop w:val="0"/>
          <w:marBottom w:val="0"/>
          <w:divBdr>
            <w:top w:val="none" w:sz="0" w:space="0" w:color="auto"/>
            <w:left w:val="none" w:sz="0" w:space="0" w:color="auto"/>
            <w:bottom w:val="none" w:sz="0" w:space="0" w:color="auto"/>
            <w:right w:val="none" w:sz="0" w:space="0" w:color="auto"/>
          </w:divBdr>
        </w:div>
        <w:div w:id="1027020631">
          <w:marLeft w:val="0"/>
          <w:marRight w:val="0"/>
          <w:marTop w:val="0"/>
          <w:marBottom w:val="0"/>
          <w:divBdr>
            <w:top w:val="none" w:sz="0" w:space="0" w:color="auto"/>
            <w:left w:val="none" w:sz="0" w:space="0" w:color="auto"/>
            <w:bottom w:val="none" w:sz="0" w:space="0" w:color="auto"/>
            <w:right w:val="none" w:sz="0" w:space="0" w:color="auto"/>
          </w:divBdr>
        </w:div>
        <w:div w:id="1625650479">
          <w:marLeft w:val="0"/>
          <w:marRight w:val="0"/>
          <w:marTop w:val="0"/>
          <w:marBottom w:val="0"/>
          <w:divBdr>
            <w:top w:val="none" w:sz="0" w:space="0" w:color="auto"/>
            <w:left w:val="none" w:sz="0" w:space="0" w:color="auto"/>
            <w:bottom w:val="none" w:sz="0" w:space="0" w:color="auto"/>
            <w:right w:val="none" w:sz="0" w:space="0" w:color="auto"/>
          </w:divBdr>
        </w:div>
        <w:div w:id="1786655342">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36964691">
      <w:bodyDiv w:val="1"/>
      <w:marLeft w:val="0"/>
      <w:marRight w:val="0"/>
      <w:marTop w:val="0"/>
      <w:marBottom w:val="0"/>
      <w:divBdr>
        <w:top w:val="none" w:sz="0" w:space="0" w:color="auto"/>
        <w:left w:val="none" w:sz="0" w:space="0" w:color="auto"/>
        <w:bottom w:val="none" w:sz="0" w:space="0" w:color="auto"/>
        <w:right w:val="none" w:sz="0" w:space="0" w:color="auto"/>
      </w:divBdr>
    </w:div>
    <w:div w:id="595485453">
      <w:bodyDiv w:val="1"/>
      <w:marLeft w:val="0"/>
      <w:marRight w:val="0"/>
      <w:marTop w:val="0"/>
      <w:marBottom w:val="0"/>
      <w:divBdr>
        <w:top w:val="none" w:sz="0" w:space="0" w:color="auto"/>
        <w:left w:val="none" w:sz="0" w:space="0" w:color="auto"/>
        <w:bottom w:val="none" w:sz="0" w:space="0" w:color="auto"/>
        <w:right w:val="none" w:sz="0" w:space="0" w:color="auto"/>
      </w:divBdr>
    </w:div>
    <w:div w:id="684747709">
      <w:bodyDiv w:val="1"/>
      <w:marLeft w:val="0"/>
      <w:marRight w:val="0"/>
      <w:marTop w:val="0"/>
      <w:marBottom w:val="0"/>
      <w:divBdr>
        <w:top w:val="none" w:sz="0" w:space="0" w:color="auto"/>
        <w:left w:val="none" w:sz="0" w:space="0" w:color="auto"/>
        <w:bottom w:val="none" w:sz="0" w:space="0" w:color="auto"/>
        <w:right w:val="none" w:sz="0" w:space="0" w:color="auto"/>
      </w:divBdr>
    </w:div>
    <w:div w:id="688221740">
      <w:bodyDiv w:val="1"/>
      <w:marLeft w:val="0"/>
      <w:marRight w:val="0"/>
      <w:marTop w:val="0"/>
      <w:marBottom w:val="0"/>
      <w:divBdr>
        <w:top w:val="none" w:sz="0" w:space="0" w:color="auto"/>
        <w:left w:val="none" w:sz="0" w:space="0" w:color="auto"/>
        <w:bottom w:val="none" w:sz="0" w:space="0" w:color="auto"/>
        <w:right w:val="none" w:sz="0" w:space="0" w:color="auto"/>
      </w:divBdr>
    </w:div>
    <w:div w:id="790170561">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330972">
      <w:bodyDiv w:val="1"/>
      <w:marLeft w:val="0"/>
      <w:marRight w:val="0"/>
      <w:marTop w:val="0"/>
      <w:marBottom w:val="0"/>
      <w:divBdr>
        <w:top w:val="none" w:sz="0" w:space="0" w:color="auto"/>
        <w:left w:val="none" w:sz="0" w:space="0" w:color="auto"/>
        <w:bottom w:val="none" w:sz="0" w:space="0" w:color="auto"/>
        <w:right w:val="none" w:sz="0" w:space="0" w:color="auto"/>
      </w:divBdr>
    </w:div>
    <w:div w:id="1000424999">
      <w:bodyDiv w:val="1"/>
      <w:marLeft w:val="0"/>
      <w:marRight w:val="0"/>
      <w:marTop w:val="0"/>
      <w:marBottom w:val="0"/>
      <w:divBdr>
        <w:top w:val="none" w:sz="0" w:space="0" w:color="auto"/>
        <w:left w:val="none" w:sz="0" w:space="0" w:color="auto"/>
        <w:bottom w:val="none" w:sz="0" w:space="0" w:color="auto"/>
        <w:right w:val="none" w:sz="0" w:space="0" w:color="auto"/>
      </w:divBdr>
    </w:div>
    <w:div w:id="1070613495">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48805732">
      <w:bodyDiv w:val="1"/>
      <w:marLeft w:val="0"/>
      <w:marRight w:val="0"/>
      <w:marTop w:val="0"/>
      <w:marBottom w:val="0"/>
      <w:divBdr>
        <w:top w:val="none" w:sz="0" w:space="0" w:color="auto"/>
        <w:left w:val="none" w:sz="0" w:space="0" w:color="auto"/>
        <w:bottom w:val="none" w:sz="0" w:space="0" w:color="auto"/>
        <w:right w:val="none" w:sz="0" w:space="0" w:color="auto"/>
      </w:divBdr>
      <w:divsChild>
        <w:div w:id="418871696">
          <w:marLeft w:val="0"/>
          <w:marRight w:val="0"/>
          <w:marTop w:val="0"/>
          <w:marBottom w:val="0"/>
          <w:divBdr>
            <w:top w:val="none" w:sz="0" w:space="0" w:color="auto"/>
            <w:left w:val="none" w:sz="0" w:space="0" w:color="auto"/>
            <w:bottom w:val="none" w:sz="0" w:space="0" w:color="auto"/>
            <w:right w:val="none" w:sz="0" w:space="0" w:color="auto"/>
          </w:divBdr>
        </w:div>
        <w:div w:id="982346580">
          <w:marLeft w:val="0"/>
          <w:marRight w:val="0"/>
          <w:marTop w:val="0"/>
          <w:marBottom w:val="0"/>
          <w:divBdr>
            <w:top w:val="none" w:sz="0" w:space="0" w:color="auto"/>
            <w:left w:val="none" w:sz="0" w:space="0" w:color="auto"/>
            <w:bottom w:val="none" w:sz="0" w:space="0" w:color="auto"/>
            <w:right w:val="none" w:sz="0" w:space="0" w:color="auto"/>
          </w:divBdr>
        </w:div>
        <w:div w:id="1194612881">
          <w:marLeft w:val="0"/>
          <w:marRight w:val="0"/>
          <w:marTop w:val="0"/>
          <w:marBottom w:val="0"/>
          <w:divBdr>
            <w:top w:val="none" w:sz="0" w:space="0" w:color="auto"/>
            <w:left w:val="none" w:sz="0" w:space="0" w:color="auto"/>
            <w:bottom w:val="none" w:sz="0" w:space="0" w:color="auto"/>
            <w:right w:val="none" w:sz="0" w:space="0" w:color="auto"/>
          </w:divBdr>
        </w:div>
        <w:div w:id="1659767834">
          <w:marLeft w:val="0"/>
          <w:marRight w:val="0"/>
          <w:marTop w:val="0"/>
          <w:marBottom w:val="0"/>
          <w:divBdr>
            <w:top w:val="none" w:sz="0" w:space="0" w:color="auto"/>
            <w:left w:val="none" w:sz="0" w:space="0" w:color="auto"/>
            <w:bottom w:val="none" w:sz="0" w:space="0" w:color="auto"/>
            <w:right w:val="none" w:sz="0" w:space="0" w:color="auto"/>
          </w:divBdr>
        </w:div>
      </w:divsChild>
    </w:div>
    <w:div w:id="1253125710">
      <w:bodyDiv w:val="1"/>
      <w:marLeft w:val="0"/>
      <w:marRight w:val="0"/>
      <w:marTop w:val="0"/>
      <w:marBottom w:val="0"/>
      <w:divBdr>
        <w:top w:val="none" w:sz="0" w:space="0" w:color="auto"/>
        <w:left w:val="none" w:sz="0" w:space="0" w:color="auto"/>
        <w:bottom w:val="none" w:sz="0" w:space="0" w:color="auto"/>
        <w:right w:val="none" w:sz="0" w:space="0" w:color="auto"/>
      </w:divBdr>
    </w:div>
    <w:div w:id="1280264369">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15787499">
      <w:bodyDiv w:val="1"/>
      <w:marLeft w:val="0"/>
      <w:marRight w:val="0"/>
      <w:marTop w:val="0"/>
      <w:marBottom w:val="0"/>
      <w:divBdr>
        <w:top w:val="none" w:sz="0" w:space="0" w:color="auto"/>
        <w:left w:val="none" w:sz="0" w:space="0" w:color="auto"/>
        <w:bottom w:val="none" w:sz="0" w:space="0" w:color="auto"/>
        <w:right w:val="none" w:sz="0" w:space="0" w:color="auto"/>
      </w:divBdr>
    </w:div>
    <w:div w:id="1422096055">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03547578">
      <w:bodyDiv w:val="1"/>
      <w:marLeft w:val="0"/>
      <w:marRight w:val="0"/>
      <w:marTop w:val="0"/>
      <w:marBottom w:val="0"/>
      <w:divBdr>
        <w:top w:val="none" w:sz="0" w:space="0" w:color="auto"/>
        <w:left w:val="none" w:sz="0" w:space="0" w:color="auto"/>
        <w:bottom w:val="none" w:sz="0" w:space="0" w:color="auto"/>
        <w:right w:val="none" w:sz="0" w:space="0" w:color="auto"/>
      </w:divBdr>
    </w:div>
    <w:div w:id="1504710374">
      <w:bodyDiv w:val="1"/>
      <w:marLeft w:val="0"/>
      <w:marRight w:val="0"/>
      <w:marTop w:val="0"/>
      <w:marBottom w:val="0"/>
      <w:divBdr>
        <w:top w:val="none" w:sz="0" w:space="0" w:color="auto"/>
        <w:left w:val="none" w:sz="0" w:space="0" w:color="auto"/>
        <w:bottom w:val="none" w:sz="0" w:space="0" w:color="auto"/>
        <w:right w:val="none" w:sz="0" w:space="0" w:color="auto"/>
      </w:divBdr>
    </w:div>
    <w:div w:id="1586527486">
      <w:bodyDiv w:val="1"/>
      <w:marLeft w:val="0"/>
      <w:marRight w:val="0"/>
      <w:marTop w:val="0"/>
      <w:marBottom w:val="0"/>
      <w:divBdr>
        <w:top w:val="none" w:sz="0" w:space="0" w:color="auto"/>
        <w:left w:val="none" w:sz="0" w:space="0" w:color="auto"/>
        <w:bottom w:val="none" w:sz="0" w:space="0" w:color="auto"/>
        <w:right w:val="none" w:sz="0" w:space="0" w:color="auto"/>
      </w:divBdr>
    </w:div>
    <w:div w:id="1594900135">
      <w:bodyDiv w:val="1"/>
      <w:marLeft w:val="0"/>
      <w:marRight w:val="0"/>
      <w:marTop w:val="0"/>
      <w:marBottom w:val="0"/>
      <w:divBdr>
        <w:top w:val="none" w:sz="0" w:space="0" w:color="auto"/>
        <w:left w:val="none" w:sz="0" w:space="0" w:color="auto"/>
        <w:bottom w:val="none" w:sz="0" w:space="0" w:color="auto"/>
        <w:right w:val="none" w:sz="0" w:space="0" w:color="auto"/>
      </w:divBdr>
    </w:div>
    <w:div w:id="1644851331">
      <w:bodyDiv w:val="1"/>
      <w:marLeft w:val="0"/>
      <w:marRight w:val="0"/>
      <w:marTop w:val="0"/>
      <w:marBottom w:val="0"/>
      <w:divBdr>
        <w:top w:val="none" w:sz="0" w:space="0" w:color="auto"/>
        <w:left w:val="none" w:sz="0" w:space="0" w:color="auto"/>
        <w:bottom w:val="none" w:sz="0" w:space="0" w:color="auto"/>
        <w:right w:val="none" w:sz="0" w:space="0" w:color="auto"/>
      </w:divBdr>
      <w:divsChild>
        <w:div w:id="214391567">
          <w:marLeft w:val="0"/>
          <w:marRight w:val="0"/>
          <w:marTop w:val="0"/>
          <w:marBottom w:val="0"/>
          <w:divBdr>
            <w:top w:val="none" w:sz="0" w:space="0" w:color="auto"/>
            <w:left w:val="none" w:sz="0" w:space="0" w:color="auto"/>
            <w:bottom w:val="none" w:sz="0" w:space="0" w:color="auto"/>
            <w:right w:val="none" w:sz="0" w:space="0" w:color="auto"/>
          </w:divBdr>
        </w:div>
        <w:div w:id="850686801">
          <w:marLeft w:val="0"/>
          <w:marRight w:val="0"/>
          <w:marTop w:val="0"/>
          <w:marBottom w:val="0"/>
          <w:divBdr>
            <w:top w:val="none" w:sz="0" w:space="0" w:color="auto"/>
            <w:left w:val="none" w:sz="0" w:space="0" w:color="auto"/>
            <w:bottom w:val="none" w:sz="0" w:space="0" w:color="auto"/>
            <w:right w:val="none" w:sz="0" w:space="0" w:color="auto"/>
          </w:divBdr>
        </w:div>
        <w:div w:id="1273584634">
          <w:marLeft w:val="0"/>
          <w:marRight w:val="0"/>
          <w:marTop w:val="0"/>
          <w:marBottom w:val="0"/>
          <w:divBdr>
            <w:top w:val="none" w:sz="0" w:space="0" w:color="auto"/>
            <w:left w:val="none" w:sz="0" w:space="0" w:color="auto"/>
            <w:bottom w:val="none" w:sz="0" w:space="0" w:color="auto"/>
            <w:right w:val="none" w:sz="0" w:space="0" w:color="auto"/>
          </w:divBdr>
        </w:div>
      </w:divsChild>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1593886">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170647">
      <w:bodyDiv w:val="1"/>
      <w:marLeft w:val="0"/>
      <w:marRight w:val="0"/>
      <w:marTop w:val="0"/>
      <w:marBottom w:val="0"/>
      <w:divBdr>
        <w:top w:val="none" w:sz="0" w:space="0" w:color="auto"/>
        <w:left w:val="none" w:sz="0" w:space="0" w:color="auto"/>
        <w:bottom w:val="none" w:sz="0" w:space="0" w:color="auto"/>
        <w:right w:val="none" w:sz="0" w:space="0" w:color="auto"/>
      </w:divBdr>
    </w:div>
    <w:div w:id="1758090224">
      <w:bodyDiv w:val="1"/>
      <w:marLeft w:val="0"/>
      <w:marRight w:val="0"/>
      <w:marTop w:val="0"/>
      <w:marBottom w:val="0"/>
      <w:divBdr>
        <w:top w:val="none" w:sz="0" w:space="0" w:color="auto"/>
        <w:left w:val="none" w:sz="0" w:space="0" w:color="auto"/>
        <w:bottom w:val="none" w:sz="0" w:space="0" w:color="auto"/>
        <w:right w:val="none" w:sz="0" w:space="0" w:color="auto"/>
      </w:divBdr>
    </w:div>
    <w:div w:id="1761828338">
      <w:bodyDiv w:val="1"/>
      <w:marLeft w:val="0"/>
      <w:marRight w:val="0"/>
      <w:marTop w:val="0"/>
      <w:marBottom w:val="0"/>
      <w:divBdr>
        <w:top w:val="none" w:sz="0" w:space="0" w:color="auto"/>
        <w:left w:val="none" w:sz="0" w:space="0" w:color="auto"/>
        <w:bottom w:val="none" w:sz="0" w:space="0" w:color="auto"/>
        <w:right w:val="none" w:sz="0" w:space="0" w:color="auto"/>
      </w:divBdr>
    </w:div>
    <w:div w:id="1778059127">
      <w:bodyDiv w:val="1"/>
      <w:marLeft w:val="0"/>
      <w:marRight w:val="0"/>
      <w:marTop w:val="0"/>
      <w:marBottom w:val="0"/>
      <w:divBdr>
        <w:top w:val="none" w:sz="0" w:space="0" w:color="auto"/>
        <w:left w:val="none" w:sz="0" w:space="0" w:color="auto"/>
        <w:bottom w:val="none" w:sz="0" w:space="0" w:color="auto"/>
        <w:right w:val="none" w:sz="0" w:space="0" w:color="auto"/>
      </w:divBdr>
    </w:div>
    <w:div w:id="1929774397">
      <w:bodyDiv w:val="1"/>
      <w:marLeft w:val="0"/>
      <w:marRight w:val="0"/>
      <w:marTop w:val="0"/>
      <w:marBottom w:val="0"/>
      <w:divBdr>
        <w:top w:val="none" w:sz="0" w:space="0" w:color="auto"/>
        <w:left w:val="none" w:sz="0" w:space="0" w:color="auto"/>
        <w:bottom w:val="none" w:sz="0" w:space="0" w:color="auto"/>
        <w:right w:val="none" w:sz="0" w:space="0" w:color="auto"/>
      </w:divBdr>
    </w:div>
    <w:div w:id="196426760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9360548">
      <w:bodyDiv w:val="1"/>
      <w:marLeft w:val="0"/>
      <w:marRight w:val="0"/>
      <w:marTop w:val="0"/>
      <w:marBottom w:val="0"/>
      <w:divBdr>
        <w:top w:val="none" w:sz="0" w:space="0" w:color="auto"/>
        <w:left w:val="none" w:sz="0" w:space="0" w:color="auto"/>
        <w:bottom w:val="none" w:sz="0" w:space="0" w:color="auto"/>
        <w:right w:val="none" w:sz="0" w:space="0" w:color="auto"/>
      </w:divBdr>
    </w:div>
    <w:div w:id="2006395820">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893147">
      <w:bodyDiv w:val="1"/>
      <w:marLeft w:val="0"/>
      <w:marRight w:val="0"/>
      <w:marTop w:val="0"/>
      <w:marBottom w:val="0"/>
      <w:divBdr>
        <w:top w:val="none" w:sz="0" w:space="0" w:color="auto"/>
        <w:left w:val="none" w:sz="0" w:space="0" w:color="auto"/>
        <w:bottom w:val="none" w:sz="0" w:space="0" w:color="auto"/>
        <w:right w:val="none" w:sz="0" w:space="0" w:color="auto"/>
      </w:divBdr>
      <w:divsChild>
        <w:div w:id="538712192">
          <w:marLeft w:val="0"/>
          <w:marRight w:val="0"/>
          <w:marTop w:val="0"/>
          <w:marBottom w:val="0"/>
          <w:divBdr>
            <w:top w:val="none" w:sz="0" w:space="0" w:color="auto"/>
            <w:left w:val="none" w:sz="0" w:space="0" w:color="auto"/>
            <w:bottom w:val="none" w:sz="0" w:space="0" w:color="auto"/>
            <w:right w:val="none" w:sz="0" w:space="0" w:color="auto"/>
          </w:divBdr>
        </w:div>
        <w:div w:id="613564139">
          <w:marLeft w:val="0"/>
          <w:marRight w:val="0"/>
          <w:marTop w:val="0"/>
          <w:marBottom w:val="0"/>
          <w:divBdr>
            <w:top w:val="none" w:sz="0" w:space="0" w:color="auto"/>
            <w:left w:val="none" w:sz="0" w:space="0" w:color="auto"/>
            <w:bottom w:val="none" w:sz="0" w:space="0" w:color="auto"/>
            <w:right w:val="none" w:sz="0" w:space="0" w:color="auto"/>
          </w:divBdr>
        </w:div>
        <w:div w:id="641738177">
          <w:marLeft w:val="0"/>
          <w:marRight w:val="0"/>
          <w:marTop w:val="0"/>
          <w:marBottom w:val="0"/>
          <w:divBdr>
            <w:top w:val="none" w:sz="0" w:space="0" w:color="auto"/>
            <w:left w:val="none" w:sz="0" w:space="0" w:color="auto"/>
            <w:bottom w:val="none" w:sz="0" w:space="0" w:color="auto"/>
            <w:right w:val="none" w:sz="0" w:space="0" w:color="auto"/>
          </w:divBdr>
        </w:div>
        <w:div w:id="646279669">
          <w:marLeft w:val="0"/>
          <w:marRight w:val="0"/>
          <w:marTop w:val="0"/>
          <w:marBottom w:val="0"/>
          <w:divBdr>
            <w:top w:val="none" w:sz="0" w:space="0" w:color="auto"/>
            <w:left w:val="none" w:sz="0" w:space="0" w:color="auto"/>
            <w:bottom w:val="none" w:sz="0" w:space="0" w:color="auto"/>
            <w:right w:val="none" w:sz="0" w:space="0" w:color="auto"/>
          </w:divBdr>
        </w:div>
        <w:div w:id="667055793">
          <w:marLeft w:val="0"/>
          <w:marRight w:val="0"/>
          <w:marTop w:val="0"/>
          <w:marBottom w:val="0"/>
          <w:divBdr>
            <w:top w:val="none" w:sz="0" w:space="0" w:color="auto"/>
            <w:left w:val="none" w:sz="0" w:space="0" w:color="auto"/>
            <w:bottom w:val="none" w:sz="0" w:space="0" w:color="auto"/>
            <w:right w:val="none" w:sz="0" w:space="0" w:color="auto"/>
          </w:divBdr>
        </w:div>
        <w:div w:id="805663523">
          <w:marLeft w:val="0"/>
          <w:marRight w:val="0"/>
          <w:marTop w:val="0"/>
          <w:marBottom w:val="0"/>
          <w:divBdr>
            <w:top w:val="none" w:sz="0" w:space="0" w:color="auto"/>
            <w:left w:val="none" w:sz="0" w:space="0" w:color="auto"/>
            <w:bottom w:val="none" w:sz="0" w:space="0" w:color="auto"/>
            <w:right w:val="none" w:sz="0" w:space="0" w:color="auto"/>
          </w:divBdr>
        </w:div>
        <w:div w:id="1209613134">
          <w:marLeft w:val="0"/>
          <w:marRight w:val="0"/>
          <w:marTop w:val="0"/>
          <w:marBottom w:val="0"/>
          <w:divBdr>
            <w:top w:val="none" w:sz="0" w:space="0" w:color="auto"/>
            <w:left w:val="none" w:sz="0" w:space="0" w:color="auto"/>
            <w:bottom w:val="none" w:sz="0" w:space="0" w:color="auto"/>
            <w:right w:val="none" w:sz="0" w:space="0" w:color="auto"/>
          </w:divBdr>
        </w:div>
        <w:div w:id="1812402502">
          <w:marLeft w:val="0"/>
          <w:marRight w:val="0"/>
          <w:marTop w:val="0"/>
          <w:marBottom w:val="0"/>
          <w:divBdr>
            <w:top w:val="none" w:sz="0" w:space="0" w:color="auto"/>
            <w:left w:val="none" w:sz="0" w:space="0" w:color="auto"/>
            <w:bottom w:val="none" w:sz="0" w:space="0" w:color="auto"/>
            <w:right w:val="none" w:sz="0" w:space="0" w:color="auto"/>
          </w:divBdr>
        </w:div>
        <w:div w:id="1992830203">
          <w:marLeft w:val="0"/>
          <w:marRight w:val="0"/>
          <w:marTop w:val="0"/>
          <w:marBottom w:val="0"/>
          <w:divBdr>
            <w:top w:val="none" w:sz="0" w:space="0" w:color="auto"/>
            <w:left w:val="none" w:sz="0" w:space="0" w:color="auto"/>
            <w:bottom w:val="none" w:sz="0" w:space="0" w:color="auto"/>
            <w:right w:val="none" w:sz="0" w:space="0" w:color="auto"/>
          </w:divBdr>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google.com.au/url?sa=t&amp;rct=j&amp;q=&amp;esrc=s&amp;source=web&amp;cd=1&amp;cad=rja&amp;uact=8&amp;ved=0CBwQFjAAahUKEwj_vrqWsq_IAhXHH5QKHYxWCtQ&amp;url=http%3A%2F%2Fdfat.gov.au%2Fabout-us%2Fpublications%2FDocuments%2Fframework-making-performance-count.pdf&amp;usg=AFQjCNFSABpgCyYbCg07zYwX82bD4vl5rA&amp;sig2=N2xasrK7WP5PFVYX8cFzh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google.com.au/url?sa=t&amp;rct=j&amp;q=&amp;esrc=s&amp;source=web&amp;cd=1&amp;cad=rja&amp;uact=8&amp;ved=0CBwQFjAAahUKEwj_vrqWsq_IAhXHH5QKHYxWCtQ&amp;url=http%3A%2F%2Fdfat.gov.au%2Fabout-us%2Fpublications%2FDocuments%2Fframework-making-performance-count.pdf&amp;usg=AFQjCNFSABpgCyYbCg07zYwX82bD4vl5rA&amp;sig2=N2xasrK7WP5PFVYX8cFzhg"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aidworks.ausaid.gov.au/Function/Initiative/InitiativeDefault.aspx?EntityID=1752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pwc.co.za/en/assets/pdf/agribusinesses-insights-survey-2014-2015.pdf" TargetMode="External"/><Relationship Id="rId1" Type="http://schemas.openxmlformats.org/officeDocument/2006/relationships/hyperlink" Target="http://www3.weforum.org/docs/WEF_ACR_2015/Africa_Competitiveness_Report_2015.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F3CD5-E7B6-4A5E-BDFC-CACC35556858}"/>
</file>

<file path=customXml/itemProps2.xml><?xml version="1.0" encoding="utf-8"?>
<ds:datastoreItem xmlns:ds="http://schemas.openxmlformats.org/officeDocument/2006/customXml" ds:itemID="{73E68AA7-210F-4136-A869-7E8F269B12C7}"/>
</file>

<file path=customXml/itemProps3.xml><?xml version="1.0" encoding="utf-8"?>
<ds:datastoreItem xmlns:ds="http://schemas.openxmlformats.org/officeDocument/2006/customXml" ds:itemID="{09912498-4C3B-429A-8F67-3EF432C9393A}"/>
</file>

<file path=customXml/itemProps4.xml><?xml version="1.0" encoding="utf-8"?>
<ds:datastoreItem xmlns:ds="http://schemas.openxmlformats.org/officeDocument/2006/customXml" ds:itemID="{11D3CD41-FC25-437A-882C-5AB4CC98ED14}"/>
</file>

<file path=docProps/app.xml><?xml version="1.0" encoding="utf-8"?>
<Properties xmlns="http://schemas.openxmlformats.org/officeDocument/2006/extended-properties" xmlns:vt="http://schemas.openxmlformats.org/officeDocument/2006/docPropsVTypes">
  <Template>4C5850D1</Template>
  <TotalTime>0</TotalTime>
  <Pages>23</Pages>
  <Words>10431</Words>
  <Characters>58732</Characters>
  <Application>Microsoft Office Word</Application>
  <DocSecurity>0</DocSecurity>
  <Lines>1678</Lines>
  <Paragraphs>898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2015-10-23T06:17:00Z</dcterms:created>
  <dcterms:modified xsi:type="dcterms:W3CDTF">2015-11-12T01:18:00Z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