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14:paraId="582F06FF" w14:textId="77777777" w:rsidTr="00380878">
        <w:trPr>
          <w:trHeight w:val="8391"/>
        </w:trPr>
        <w:tc>
          <w:tcPr>
            <w:tcW w:w="9638" w:type="dxa"/>
          </w:tcPr>
          <w:p w14:paraId="2D31524C" w14:textId="77777777" w:rsidR="0099396E" w:rsidRDefault="0099396E" w:rsidP="00380878">
            <w:pPr>
              <w:jc w:val="right"/>
            </w:pPr>
          </w:p>
        </w:tc>
      </w:tr>
      <w:tr w:rsidR="0099396E" w14:paraId="1EBAB18D" w14:textId="77777777" w:rsidTr="00020AE2">
        <w:trPr>
          <w:trHeight w:val="3679"/>
        </w:trPr>
        <w:tc>
          <w:tcPr>
            <w:tcW w:w="9638" w:type="dxa"/>
            <w:vAlign w:val="bottom"/>
          </w:tcPr>
          <w:sdt>
            <w:sdtPr>
              <w:alias w:val="Links to footer - Don't add line breaks"/>
              <w:tag w:val="Don't add line breaks"/>
              <w:id w:val="-1881004855"/>
              <w:lock w:val="sdtLocked"/>
              <w:placeholder>
                <w:docPart w:val="EE6A397EF62F466DBA81FB3DCA4F8791"/>
              </w:placeholder>
              <w:text/>
            </w:sdtPr>
            <w:sdtEndPr/>
            <w:sdtContent>
              <w:p w14:paraId="1F2C593A" w14:textId="0EED4559" w:rsidR="0099396E" w:rsidRDefault="00CC32A0" w:rsidP="001A338A">
                <w:pPr>
                  <w:pStyle w:val="CoverTitle"/>
                </w:pPr>
                <w:r>
                  <w:t>Strongim Bisnis</w:t>
                </w:r>
                <w:r w:rsidR="003E49EB">
                  <w:t xml:space="preserve"> Program</w:t>
                </w:r>
                <w:r w:rsidR="00344D8E">
                  <w:t xml:space="preserve"> (Phase </w:t>
                </w:r>
                <w:r w:rsidR="008731FE">
                  <w:t>2</w:t>
                </w:r>
                <w:r w:rsidR="00344D8E">
                  <w:t>)</w:t>
                </w:r>
              </w:p>
            </w:sdtContent>
          </w:sdt>
          <w:p w14:paraId="0367D1D4" w14:textId="6D904D5E" w:rsidR="009D07D2" w:rsidRDefault="008C01E6" w:rsidP="001A338A">
            <w:pPr>
              <w:pStyle w:val="CoverSubtitle"/>
            </w:pPr>
            <w:r>
              <w:t xml:space="preserve">FINAL </w:t>
            </w:r>
            <w:r w:rsidR="0070122F">
              <w:t>evaluation report</w:t>
            </w:r>
          </w:p>
          <w:p w14:paraId="40E957A1" w14:textId="721537F5" w:rsidR="0099396E" w:rsidRDefault="008C585E" w:rsidP="001A338A">
            <w:pPr>
              <w:pStyle w:val="CoverDetail"/>
            </w:pPr>
            <w:sdt>
              <w:sdtPr>
                <w:rPr>
                  <w:color w:val="1D336D" w:themeColor="background2"/>
                </w:rPr>
                <w:id w:val="-2049367916"/>
                <w:placeholder>
                  <w:docPart w:val="F9A43D19C0F443479B1EAFE5F983538C"/>
                </w:placeholder>
                <w:date w:fullDate="2023-04-12T00:00:00Z">
                  <w:dateFormat w:val="d MMMM yyyy"/>
                  <w:lid w:val="en-AU"/>
                  <w:storeMappedDataAs w:val="dateTime"/>
                  <w:calendar w:val="gregorian"/>
                </w:date>
              </w:sdtPr>
              <w:sdtEndPr/>
              <w:sdtContent>
                <w:r w:rsidR="00781884" w:rsidRPr="00F34512">
                  <w:rPr>
                    <w:color w:val="1D336D" w:themeColor="background2"/>
                  </w:rPr>
                  <w:t>12 April 2023</w:t>
                </w:r>
              </w:sdtContent>
            </w:sdt>
          </w:p>
          <w:p w14:paraId="52D39C5F" w14:textId="77777777" w:rsidR="00020AE2" w:rsidRDefault="00020AE2" w:rsidP="00020AE2">
            <w:pPr>
              <w:pStyle w:val="CoverDetail"/>
              <w:numPr>
                <w:ilvl w:val="0"/>
                <w:numId w:val="0"/>
              </w:numPr>
            </w:pPr>
          </w:p>
          <w:p w14:paraId="1B22BD09" w14:textId="794CA379" w:rsidR="00020AE2" w:rsidRDefault="00020AE2" w:rsidP="00020AE2">
            <w:pPr>
              <w:pStyle w:val="CoverDetail"/>
              <w:numPr>
                <w:ilvl w:val="0"/>
                <w:numId w:val="0"/>
              </w:numPr>
            </w:pPr>
          </w:p>
        </w:tc>
      </w:tr>
    </w:tbl>
    <w:sdt>
      <w:sdtPr>
        <w:rPr>
          <w:rStyle w:val="FooterChar"/>
        </w:rPr>
        <w:alias w:val="DOUBLE CLICK HERE THEN HIT DELETE TO REMOVE PAGE"/>
        <w:tag w:val="DOUBLE CLICK HERE THEN HIT DELETE TO REMOVE"/>
        <w:id w:val="-2088531164"/>
        <w:placeholder>
          <w:docPart w:val="EE6A397EF62F466DBA81FB3DCA4F8791"/>
        </w:placeholder>
        <w15:color w:val="FF00FF"/>
      </w:sdtPr>
      <w:sdtEndPr>
        <w:rPr>
          <w:rStyle w:val="FooterChar"/>
        </w:rPr>
      </w:sdtEndPr>
      <w:sdtContent>
        <w:p w14:paraId="7B3A394C" w14:textId="509F9F51" w:rsidR="0099396E" w:rsidRPr="00DD016A" w:rsidRDefault="0099396E" w:rsidP="0099396E">
          <w:pPr>
            <w:rPr>
              <w:rStyle w:val="FooterChar"/>
            </w:rPr>
          </w:pPr>
        </w:p>
        <w:p w14:paraId="03B518F7" w14:textId="2D914492" w:rsidR="009D07D2" w:rsidRDefault="008C585E">
          <w:pPr>
            <w:spacing w:after="0" w:line="240" w:lineRule="auto"/>
          </w:pPr>
        </w:p>
      </w:sdtContent>
    </w:sdt>
    <w:p w14:paraId="768DB34D" w14:textId="77777777" w:rsidR="00DD016A" w:rsidRDefault="00DD016A">
      <w:pPr>
        <w:spacing w:after="0" w:line="240" w:lineRule="auto"/>
      </w:pPr>
    </w:p>
    <w:p w14:paraId="3C84E056" w14:textId="77777777" w:rsidR="002F385D" w:rsidRDefault="002F385D">
      <w:pPr>
        <w:spacing w:after="0" w:line="240" w:lineRule="auto"/>
      </w:pPr>
    </w:p>
    <w:p w14:paraId="5D9C690E" w14:textId="77777777" w:rsidR="002F385D" w:rsidRDefault="002F385D" w:rsidP="002F385D">
      <w:pPr>
        <w:pStyle w:val="Heading1NOTOC"/>
      </w:pPr>
    </w:p>
    <w:p w14:paraId="06E821C5" w14:textId="77777777" w:rsidR="002F385D" w:rsidRDefault="002F385D" w:rsidP="002F385D">
      <w:pPr>
        <w:pStyle w:val="Heading1NOTOC"/>
      </w:pPr>
    </w:p>
    <w:p w14:paraId="4DF33B4E" w14:textId="77777777" w:rsidR="002F385D" w:rsidRDefault="002F385D" w:rsidP="002F385D">
      <w:pPr>
        <w:pStyle w:val="Heading1NOTOC"/>
      </w:pPr>
    </w:p>
    <w:p w14:paraId="5B4E0B71" w14:textId="77777777" w:rsidR="002F385D" w:rsidRDefault="002F385D" w:rsidP="002F385D">
      <w:pPr>
        <w:pStyle w:val="Heading1NOTOC"/>
      </w:pPr>
    </w:p>
    <w:p w14:paraId="732552BC" w14:textId="77777777" w:rsidR="002F385D" w:rsidRDefault="002F385D" w:rsidP="002F385D">
      <w:pPr>
        <w:pStyle w:val="Heading1NOTOC"/>
      </w:pPr>
    </w:p>
    <w:p w14:paraId="6CCEA590" w14:textId="77777777" w:rsidR="002F385D" w:rsidRDefault="002F385D" w:rsidP="002F385D">
      <w:pPr>
        <w:pStyle w:val="Heading1NOTOC"/>
      </w:pPr>
    </w:p>
    <w:p w14:paraId="31294818" w14:textId="77777777" w:rsidR="002F385D" w:rsidRDefault="002F385D" w:rsidP="002F385D">
      <w:pPr>
        <w:pStyle w:val="Heading1NOTOC"/>
      </w:pPr>
    </w:p>
    <w:p w14:paraId="1380D9D9" w14:textId="327EE77E" w:rsidR="002F385D" w:rsidRDefault="002F385D" w:rsidP="002F385D">
      <w:pPr>
        <w:pStyle w:val="Heading1NOTOC"/>
      </w:pPr>
      <w:r>
        <w:t>Acknowledgements</w:t>
      </w:r>
    </w:p>
    <w:p w14:paraId="51321AF2" w14:textId="77777777" w:rsidR="002F385D" w:rsidRDefault="002F385D" w:rsidP="002F385D">
      <w:r>
        <w:t>The evaluation team would like to thank the Australian Department of Foreign Affairs and Trade (DFAT) and the Australia-Solomon Islands Resource Facility (ASIRF) for commissioning, facilitating and oversighting this evaluation. Particular thanks are due to Louisa Macdonald</w:t>
      </w:r>
      <w:r w:rsidRPr="003B1D9A">
        <w:t xml:space="preserve"> </w:t>
      </w:r>
      <w:r>
        <w:t xml:space="preserve">Hall, Bridget Sitai and Rosslyn Ramoifuila from DFAT, and Ben Havenga and Brenda Andrias from ASIRF. </w:t>
      </w:r>
    </w:p>
    <w:p w14:paraId="0A4089D6" w14:textId="77777777" w:rsidR="002F385D" w:rsidRDefault="002F385D" w:rsidP="002F385D">
      <w:r>
        <w:t xml:space="preserve">The Strongim Bisnis program team, under the leadership of CEO Phil Montgomery, gave generously of their time for numerous discussions, provided data from the program’s monitoring system and helped connect the evaluation team to business partners. </w:t>
      </w:r>
    </w:p>
    <w:p w14:paraId="68F49B00" w14:textId="77777777" w:rsidR="002F385D" w:rsidRDefault="002F385D" w:rsidP="002F385D">
      <w:r>
        <w:t xml:space="preserve">Finally, sincere thanks to the many Strongim Bisnis partners, Solomon Islands Government representatives and other stakeholders who met with the evaluation team and shared their experiences and ideas on the program in the spirit of progress. </w:t>
      </w:r>
    </w:p>
    <w:p w14:paraId="0AEB3B0D" w14:textId="77777777" w:rsidR="002F385D" w:rsidRDefault="002F385D" w:rsidP="002F385D"/>
    <w:p w14:paraId="7D451259" w14:textId="77777777" w:rsidR="002F385D" w:rsidRDefault="002F385D" w:rsidP="002F385D"/>
    <w:p w14:paraId="5DDDDC1D" w14:textId="77777777" w:rsidR="002F385D" w:rsidRDefault="002F385D" w:rsidP="002F385D">
      <w:pPr>
        <w:pStyle w:val="CoverInsideDetail"/>
      </w:pPr>
      <w:r>
        <w:t>Report prepared by:</w:t>
      </w:r>
    </w:p>
    <w:p w14:paraId="23522113" w14:textId="77777777" w:rsidR="002F385D" w:rsidRDefault="008C585E" w:rsidP="002F385D">
      <w:pPr>
        <w:pStyle w:val="CoverDetailWhite"/>
      </w:pPr>
      <w:sdt>
        <w:sdtPr>
          <w:alias w:val="Name"/>
          <w:tag w:val="Name"/>
          <w:id w:val="-733462005"/>
          <w:placeholder>
            <w:docPart w:val="BDC388F6B63B4E42B87BBBC09E24383B"/>
          </w:placeholder>
          <w:text/>
        </w:sdtPr>
        <w:sdtEndPr/>
        <w:sdtContent>
          <w:r w:rsidR="002F385D">
            <w:t>Julie Delforce and Kim Vesely</w:t>
          </w:r>
        </w:sdtContent>
      </w:sdt>
      <w:r w:rsidR="002F385D">
        <w:t xml:space="preserve"> – </w:t>
      </w:r>
      <w:sdt>
        <w:sdtPr>
          <w:alias w:val="Position"/>
          <w:tag w:val="Position"/>
          <w:id w:val="-1891483211"/>
          <w:placeholder>
            <w:docPart w:val="04AA8CF618A443C3880DB071747BF2C2"/>
          </w:placeholder>
          <w:text/>
        </w:sdtPr>
        <w:sdtEndPr/>
        <w:sdtContent>
          <w:r w:rsidR="002F385D">
            <w:t>Alinea International</w:t>
          </w:r>
        </w:sdtContent>
      </w:sdt>
    </w:p>
    <w:p w14:paraId="20CB95E5" w14:textId="77777777" w:rsidR="002F385D" w:rsidRDefault="002F385D" w:rsidP="002F385D">
      <w:pPr>
        <w:pStyle w:val="CoverDetailWhite"/>
      </w:pPr>
      <w:r>
        <w:t>alineainternational.com</w:t>
      </w:r>
    </w:p>
    <w:p w14:paraId="3D422A50" w14:textId="77777777" w:rsidR="002F385D" w:rsidRDefault="002F385D" w:rsidP="002F385D">
      <w:pPr>
        <w:pStyle w:val="CoverDetailWhite"/>
      </w:pPr>
    </w:p>
    <w:p w14:paraId="2E5E1AC7" w14:textId="77777777" w:rsidR="002F385D" w:rsidRDefault="002F385D" w:rsidP="002F385D">
      <w:pPr>
        <w:pStyle w:val="CoverDetailWhite"/>
      </w:pPr>
      <w:r>
        <w:t xml:space="preserve">Front Cover: </w:t>
      </w:r>
      <w:sdt>
        <w:sdtPr>
          <w:id w:val="-359746036"/>
          <w:placeholder>
            <w:docPart w:val="413B70CAAC914E6D9801C5D9F60908D7"/>
          </w:placeholder>
          <w:text/>
        </w:sdtPr>
        <w:sdtEndPr/>
        <w:sdtContent>
          <w:r>
            <w:t>Youth Wall at Dreamcast Art Hub (youth organisation; Strongim Bisnis partner, Honiara)</w:t>
          </w:r>
        </w:sdtContent>
      </w:sdt>
    </w:p>
    <w:p w14:paraId="6B36045B" w14:textId="77777777" w:rsidR="002F385D" w:rsidRDefault="002F385D" w:rsidP="002F385D">
      <w:pPr>
        <w:pStyle w:val="CoverDetailWhite"/>
      </w:pPr>
      <w:r>
        <w:t>Front Cover Image: Kim Vesely</w:t>
      </w:r>
    </w:p>
    <w:p w14:paraId="558B750D" w14:textId="461C08A8" w:rsidR="002F385D" w:rsidRDefault="002F385D">
      <w:pPr>
        <w:spacing w:after="0" w:line="240" w:lineRule="auto"/>
        <w:sectPr w:rsidR="002F385D" w:rsidSect="008253D4">
          <w:headerReference w:type="default" r:id="rId8"/>
          <w:footerReference w:type="default" r:id="rId9"/>
          <w:headerReference w:type="first" r:id="rId10"/>
          <w:footerReference w:type="first" r:id="rId11"/>
          <w:pgSz w:w="11906" w:h="16838" w:code="9"/>
          <w:pgMar w:top="1701" w:right="1134" w:bottom="1418" w:left="1134" w:header="851" w:footer="454" w:gutter="0"/>
          <w:cols w:space="709"/>
          <w:titlePg/>
          <w:docGrid w:linePitch="360"/>
        </w:sectPr>
      </w:pPr>
    </w:p>
    <w:sdt>
      <w:sdtPr>
        <w:rPr>
          <w:rFonts w:asciiTheme="minorHAnsi" w:hAnsiTheme="minorHAnsi"/>
          <w:b/>
          <w:bCs w:val="0"/>
          <w:iCs w:val="0"/>
          <w:caps w:val="0"/>
          <w:color w:val="000000" w:themeColor="text1"/>
          <w:sz w:val="20"/>
          <w:szCs w:val="24"/>
        </w:rPr>
        <w:id w:val="721494993"/>
        <w:docPartObj>
          <w:docPartGallery w:val="Table of Contents"/>
          <w:docPartUnique/>
        </w:docPartObj>
      </w:sdtPr>
      <w:sdtEndPr>
        <w:rPr>
          <w:b w:val="0"/>
          <w:noProof/>
        </w:rPr>
      </w:sdtEndPr>
      <w:sdtContent>
        <w:p w14:paraId="62164BD6" w14:textId="77777777" w:rsidR="000D3E85" w:rsidRDefault="000D3E85">
          <w:pPr>
            <w:pStyle w:val="TOCHeading"/>
          </w:pPr>
          <w:r>
            <w:t>Contents</w:t>
          </w:r>
        </w:p>
        <w:p w14:paraId="76EE6BB2" w14:textId="2FBD562E" w:rsidR="00F06C78" w:rsidRDefault="00E7443E">
          <w:pPr>
            <w:pStyle w:val="TOC2"/>
            <w:rPr>
              <w:rFonts w:eastAsiaTheme="minorEastAsia" w:cstheme="minorBidi"/>
              <w:noProof/>
              <w:color w:val="auto"/>
              <w:sz w:val="22"/>
              <w:szCs w:val="22"/>
            </w:rPr>
          </w:pPr>
          <w:r>
            <w:rPr>
              <w:caps/>
              <w:color w:val="2294CD"/>
            </w:rPr>
            <w:fldChar w:fldCharType="begin"/>
          </w:r>
          <w:r>
            <w:instrText xml:space="preserve"> TOC \h \z \t "Heading 1,2,Heading 2,3,Title,1,Numbered Heading 1,1,Numbered Heading 2,2,Numbered Heading 3,3,Chapter Heading,1" </w:instrText>
          </w:r>
          <w:r>
            <w:rPr>
              <w:caps/>
              <w:color w:val="2294CD"/>
            </w:rPr>
            <w:fldChar w:fldCharType="separate"/>
          </w:r>
          <w:hyperlink w:anchor="_Toc131170432" w:history="1">
            <w:r w:rsidR="00F06C78" w:rsidRPr="00633B55">
              <w:rPr>
                <w:rStyle w:val="Hyperlink"/>
                <w:noProof/>
              </w:rPr>
              <w:t>Acronyms</w:t>
            </w:r>
            <w:r w:rsidR="00F06C78">
              <w:rPr>
                <w:noProof/>
                <w:webHidden/>
              </w:rPr>
              <w:tab/>
            </w:r>
            <w:r w:rsidR="00F06C78">
              <w:rPr>
                <w:noProof/>
                <w:webHidden/>
              </w:rPr>
              <w:fldChar w:fldCharType="begin"/>
            </w:r>
            <w:r w:rsidR="00F06C78">
              <w:rPr>
                <w:noProof/>
                <w:webHidden/>
              </w:rPr>
              <w:instrText xml:space="preserve"> PAGEREF _Toc131170432 \h </w:instrText>
            </w:r>
            <w:r w:rsidR="00F06C78">
              <w:rPr>
                <w:noProof/>
                <w:webHidden/>
              </w:rPr>
            </w:r>
            <w:r w:rsidR="00F06C78">
              <w:rPr>
                <w:noProof/>
                <w:webHidden/>
              </w:rPr>
              <w:fldChar w:fldCharType="separate"/>
            </w:r>
            <w:r w:rsidR="00B61E2E">
              <w:rPr>
                <w:noProof/>
                <w:webHidden/>
              </w:rPr>
              <w:t>iv</w:t>
            </w:r>
            <w:r w:rsidR="00F06C78">
              <w:rPr>
                <w:noProof/>
                <w:webHidden/>
              </w:rPr>
              <w:fldChar w:fldCharType="end"/>
            </w:r>
          </w:hyperlink>
        </w:p>
        <w:p w14:paraId="33A6704B" w14:textId="4F969D6D" w:rsidR="00F06C78" w:rsidRDefault="008C585E">
          <w:pPr>
            <w:pStyle w:val="TOC1"/>
            <w:rPr>
              <w:rFonts w:eastAsiaTheme="minorEastAsia" w:cstheme="minorBidi"/>
              <w:b w:val="0"/>
              <w:caps w:val="0"/>
              <w:noProof/>
              <w:color w:val="auto"/>
              <w:sz w:val="22"/>
              <w:szCs w:val="22"/>
            </w:rPr>
          </w:pPr>
          <w:hyperlink w:anchor="_Toc131170433" w:history="1">
            <w:r w:rsidR="00F06C78" w:rsidRPr="00633B55">
              <w:rPr>
                <w:rStyle w:val="Hyperlink"/>
                <w:noProof/>
              </w:rPr>
              <w:t>Executive Summary</w:t>
            </w:r>
            <w:r w:rsidR="00F06C78">
              <w:rPr>
                <w:noProof/>
                <w:webHidden/>
              </w:rPr>
              <w:tab/>
            </w:r>
            <w:r w:rsidR="00F06C78">
              <w:rPr>
                <w:noProof/>
                <w:webHidden/>
              </w:rPr>
              <w:fldChar w:fldCharType="begin"/>
            </w:r>
            <w:r w:rsidR="00F06C78">
              <w:rPr>
                <w:noProof/>
                <w:webHidden/>
              </w:rPr>
              <w:instrText xml:space="preserve"> PAGEREF _Toc131170433 \h </w:instrText>
            </w:r>
            <w:r w:rsidR="00F06C78">
              <w:rPr>
                <w:noProof/>
                <w:webHidden/>
              </w:rPr>
            </w:r>
            <w:r w:rsidR="00F06C78">
              <w:rPr>
                <w:noProof/>
                <w:webHidden/>
              </w:rPr>
              <w:fldChar w:fldCharType="separate"/>
            </w:r>
            <w:r w:rsidR="00B61E2E">
              <w:rPr>
                <w:noProof/>
                <w:webHidden/>
              </w:rPr>
              <w:t>v</w:t>
            </w:r>
            <w:r w:rsidR="00F06C78">
              <w:rPr>
                <w:noProof/>
                <w:webHidden/>
              </w:rPr>
              <w:fldChar w:fldCharType="end"/>
            </w:r>
          </w:hyperlink>
        </w:p>
        <w:p w14:paraId="132EC4FD" w14:textId="1DE15B15" w:rsidR="00F06C78" w:rsidRDefault="008C585E">
          <w:pPr>
            <w:pStyle w:val="TOC1"/>
            <w:rPr>
              <w:rFonts w:eastAsiaTheme="minorEastAsia" w:cstheme="minorBidi"/>
              <w:b w:val="0"/>
              <w:caps w:val="0"/>
              <w:noProof/>
              <w:color w:val="auto"/>
              <w:sz w:val="22"/>
              <w:szCs w:val="22"/>
            </w:rPr>
          </w:pPr>
          <w:hyperlink w:anchor="_Toc131170434" w:history="1">
            <w:r w:rsidR="00F06C78" w:rsidRPr="00633B55">
              <w:rPr>
                <w:rStyle w:val="Hyperlink"/>
                <w:noProof/>
              </w:rPr>
              <w:t>Introduction and Context</w:t>
            </w:r>
            <w:r w:rsidR="00F06C78">
              <w:rPr>
                <w:noProof/>
                <w:webHidden/>
              </w:rPr>
              <w:tab/>
            </w:r>
            <w:r w:rsidR="00F06C78">
              <w:rPr>
                <w:noProof/>
                <w:webHidden/>
              </w:rPr>
              <w:fldChar w:fldCharType="begin"/>
            </w:r>
            <w:r w:rsidR="00F06C78">
              <w:rPr>
                <w:noProof/>
                <w:webHidden/>
              </w:rPr>
              <w:instrText xml:space="preserve"> PAGEREF _Toc131170434 \h </w:instrText>
            </w:r>
            <w:r w:rsidR="00F06C78">
              <w:rPr>
                <w:noProof/>
                <w:webHidden/>
              </w:rPr>
            </w:r>
            <w:r w:rsidR="00F06C78">
              <w:rPr>
                <w:noProof/>
                <w:webHidden/>
              </w:rPr>
              <w:fldChar w:fldCharType="separate"/>
            </w:r>
            <w:r w:rsidR="00B61E2E">
              <w:rPr>
                <w:noProof/>
                <w:webHidden/>
              </w:rPr>
              <w:t>1</w:t>
            </w:r>
            <w:r w:rsidR="00F06C78">
              <w:rPr>
                <w:noProof/>
                <w:webHidden/>
              </w:rPr>
              <w:fldChar w:fldCharType="end"/>
            </w:r>
          </w:hyperlink>
        </w:p>
        <w:p w14:paraId="0447EC4A" w14:textId="08E83A4A" w:rsidR="00F06C78" w:rsidRDefault="008C585E">
          <w:pPr>
            <w:pStyle w:val="TOC1"/>
            <w:rPr>
              <w:rFonts w:eastAsiaTheme="minorEastAsia" w:cstheme="minorBidi"/>
              <w:b w:val="0"/>
              <w:caps w:val="0"/>
              <w:noProof/>
              <w:color w:val="auto"/>
              <w:sz w:val="22"/>
              <w:szCs w:val="22"/>
            </w:rPr>
          </w:pPr>
          <w:hyperlink w:anchor="_Toc131170435" w:history="1">
            <w:r w:rsidR="00F06C78" w:rsidRPr="00633B55">
              <w:rPr>
                <w:rStyle w:val="Hyperlink"/>
                <w:noProof/>
              </w:rPr>
              <w:t>Approach and Methodology</w:t>
            </w:r>
            <w:r w:rsidR="00F06C78">
              <w:rPr>
                <w:noProof/>
                <w:webHidden/>
              </w:rPr>
              <w:tab/>
            </w:r>
            <w:r w:rsidR="00F06C78">
              <w:rPr>
                <w:noProof/>
                <w:webHidden/>
              </w:rPr>
              <w:fldChar w:fldCharType="begin"/>
            </w:r>
            <w:r w:rsidR="00F06C78">
              <w:rPr>
                <w:noProof/>
                <w:webHidden/>
              </w:rPr>
              <w:instrText xml:space="preserve"> PAGEREF _Toc131170435 \h </w:instrText>
            </w:r>
            <w:r w:rsidR="00F06C78">
              <w:rPr>
                <w:noProof/>
                <w:webHidden/>
              </w:rPr>
            </w:r>
            <w:r w:rsidR="00F06C78">
              <w:rPr>
                <w:noProof/>
                <w:webHidden/>
              </w:rPr>
              <w:fldChar w:fldCharType="separate"/>
            </w:r>
            <w:r w:rsidR="00B61E2E">
              <w:rPr>
                <w:noProof/>
                <w:webHidden/>
              </w:rPr>
              <w:t>2</w:t>
            </w:r>
            <w:r w:rsidR="00F06C78">
              <w:rPr>
                <w:noProof/>
                <w:webHidden/>
              </w:rPr>
              <w:fldChar w:fldCharType="end"/>
            </w:r>
          </w:hyperlink>
        </w:p>
        <w:p w14:paraId="56408635" w14:textId="32837FDA" w:rsidR="00F06C78" w:rsidRDefault="008C585E">
          <w:pPr>
            <w:pStyle w:val="TOC2"/>
            <w:rPr>
              <w:rFonts w:eastAsiaTheme="minorEastAsia" w:cstheme="minorBidi"/>
              <w:noProof/>
              <w:color w:val="auto"/>
              <w:sz w:val="22"/>
              <w:szCs w:val="22"/>
            </w:rPr>
          </w:pPr>
          <w:hyperlink w:anchor="_Toc131170436" w:history="1">
            <w:r w:rsidR="00F06C78" w:rsidRPr="00633B55">
              <w:rPr>
                <w:rStyle w:val="Hyperlink"/>
                <w:noProof/>
              </w:rPr>
              <w:t>Key Evaluation Questions</w:t>
            </w:r>
            <w:r w:rsidR="00F06C78">
              <w:rPr>
                <w:noProof/>
                <w:webHidden/>
              </w:rPr>
              <w:tab/>
            </w:r>
            <w:r w:rsidR="00F06C78">
              <w:rPr>
                <w:noProof/>
                <w:webHidden/>
              </w:rPr>
              <w:fldChar w:fldCharType="begin"/>
            </w:r>
            <w:r w:rsidR="00F06C78">
              <w:rPr>
                <w:noProof/>
                <w:webHidden/>
              </w:rPr>
              <w:instrText xml:space="preserve"> PAGEREF _Toc131170436 \h </w:instrText>
            </w:r>
            <w:r w:rsidR="00F06C78">
              <w:rPr>
                <w:noProof/>
                <w:webHidden/>
              </w:rPr>
            </w:r>
            <w:r w:rsidR="00F06C78">
              <w:rPr>
                <w:noProof/>
                <w:webHidden/>
              </w:rPr>
              <w:fldChar w:fldCharType="separate"/>
            </w:r>
            <w:r w:rsidR="00B61E2E">
              <w:rPr>
                <w:noProof/>
                <w:webHidden/>
              </w:rPr>
              <w:t>2</w:t>
            </w:r>
            <w:r w:rsidR="00F06C78">
              <w:rPr>
                <w:noProof/>
                <w:webHidden/>
              </w:rPr>
              <w:fldChar w:fldCharType="end"/>
            </w:r>
          </w:hyperlink>
        </w:p>
        <w:p w14:paraId="0469895B" w14:textId="3B2EF4C1" w:rsidR="00F06C78" w:rsidRDefault="008C585E">
          <w:pPr>
            <w:pStyle w:val="TOC2"/>
            <w:rPr>
              <w:rFonts w:eastAsiaTheme="minorEastAsia" w:cstheme="minorBidi"/>
              <w:noProof/>
              <w:color w:val="auto"/>
              <w:sz w:val="22"/>
              <w:szCs w:val="22"/>
            </w:rPr>
          </w:pPr>
          <w:hyperlink w:anchor="_Toc131170437" w:history="1">
            <w:r w:rsidR="00F06C78" w:rsidRPr="00633B55">
              <w:rPr>
                <w:rStyle w:val="Hyperlink"/>
                <w:noProof/>
              </w:rPr>
              <w:t>Methodology</w:t>
            </w:r>
            <w:r w:rsidR="00F06C78">
              <w:rPr>
                <w:noProof/>
                <w:webHidden/>
              </w:rPr>
              <w:tab/>
            </w:r>
            <w:r w:rsidR="00F06C78">
              <w:rPr>
                <w:noProof/>
                <w:webHidden/>
              </w:rPr>
              <w:fldChar w:fldCharType="begin"/>
            </w:r>
            <w:r w:rsidR="00F06C78">
              <w:rPr>
                <w:noProof/>
                <w:webHidden/>
              </w:rPr>
              <w:instrText xml:space="preserve"> PAGEREF _Toc131170437 \h </w:instrText>
            </w:r>
            <w:r w:rsidR="00F06C78">
              <w:rPr>
                <w:noProof/>
                <w:webHidden/>
              </w:rPr>
            </w:r>
            <w:r w:rsidR="00F06C78">
              <w:rPr>
                <w:noProof/>
                <w:webHidden/>
              </w:rPr>
              <w:fldChar w:fldCharType="separate"/>
            </w:r>
            <w:r w:rsidR="00B61E2E">
              <w:rPr>
                <w:noProof/>
                <w:webHidden/>
              </w:rPr>
              <w:t>2</w:t>
            </w:r>
            <w:r w:rsidR="00F06C78">
              <w:rPr>
                <w:noProof/>
                <w:webHidden/>
              </w:rPr>
              <w:fldChar w:fldCharType="end"/>
            </w:r>
          </w:hyperlink>
        </w:p>
        <w:p w14:paraId="5FC72353" w14:textId="57B228F0" w:rsidR="00F06C78" w:rsidRDefault="008C585E">
          <w:pPr>
            <w:pStyle w:val="TOC2"/>
            <w:rPr>
              <w:rFonts w:eastAsiaTheme="minorEastAsia" w:cstheme="minorBidi"/>
              <w:noProof/>
              <w:color w:val="auto"/>
              <w:sz w:val="22"/>
              <w:szCs w:val="22"/>
            </w:rPr>
          </w:pPr>
          <w:hyperlink w:anchor="_Toc131170438" w:history="1">
            <w:r w:rsidR="00F06C78" w:rsidRPr="00633B55">
              <w:rPr>
                <w:rStyle w:val="Hyperlink"/>
                <w:noProof/>
              </w:rPr>
              <w:t>Limitations</w:t>
            </w:r>
            <w:r w:rsidR="00F06C78">
              <w:rPr>
                <w:noProof/>
                <w:webHidden/>
              </w:rPr>
              <w:tab/>
            </w:r>
            <w:r w:rsidR="00F06C78">
              <w:rPr>
                <w:noProof/>
                <w:webHidden/>
              </w:rPr>
              <w:fldChar w:fldCharType="begin"/>
            </w:r>
            <w:r w:rsidR="00F06C78">
              <w:rPr>
                <w:noProof/>
                <w:webHidden/>
              </w:rPr>
              <w:instrText xml:space="preserve"> PAGEREF _Toc131170438 \h </w:instrText>
            </w:r>
            <w:r w:rsidR="00F06C78">
              <w:rPr>
                <w:noProof/>
                <w:webHidden/>
              </w:rPr>
            </w:r>
            <w:r w:rsidR="00F06C78">
              <w:rPr>
                <w:noProof/>
                <w:webHidden/>
              </w:rPr>
              <w:fldChar w:fldCharType="separate"/>
            </w:r>
            <w:r w:rsidR="00B61E2E">
              <w:rPr>
                <w:noProof/>
                <w:webHidden/>
              </w:rPr>
              <w:t>3</w:t>
            </w:r>
            <w:r w:rsidR="00F06C78">
              <w:rPr>
                <w:noProof/>
                <w:webHidden/>
              </w:rPr>
              <w:fldChar w:fldCharType="end"/>
            </w:r>
          </w:hyperlink>
        </w:p>
        <w:p w14:paraId="75A31AFD" w14:textId="74C078A5" w:rsidR="00F06C78" w:rsidRDefault="008C585E">
          <w:pPr>
            <w:pStyle w:val="TOC1"/>
            <w:rPr>
              <w:rFonts w:eastAsiaTheme="minorEastAsia" w:cstheme="minorBidi"/>
              <w:b w:val="0"/>
              <w:caps w:val="0"/>
              <w:noProof/>
              <w:color w:val="auto"/>
              <w:sz w:val="22"/>
              <w:szCs w:val="22"/>
            </w:rPr>
          </w:pPr>
          <w:hyperlink w:anchor="_Toc131170439" w:history="1">
            <w:r w:rsidR="00F06C78" w:rsidRPr="00633B55">
              <w:rPr>
                <w:rStyle w:val="Hyperlink"/>
                <w:noProof/>
              </w:rPr>
              <w:t>Findings against Key Evaluation Questions (KEQs)</w:t>
            </w:r>
            <w:r w:rsidR="00F06C78">
              <w:rPr>
                <w:noProof/>
                <w:webHidden/>
              </w:rPr>
              <w:tab/>
            </w:r>
            <w:r w:rsidR="00F06C78">
              <w:rPr>
                <w:noProof/>
                <w:webHidden/>
              </w:rPr>
              <w:fldChar w:fldCharType="begin"/>
            </w:r>
            <w:r w:rsidR="00F06C78">
              <w:rPr>
                <w:noProof/>
                <w:webHidden/>
              </w:rPr>
              <w:instrText xml:space="preserve"> PAGEREF _Toc131170439 \h </w:instrText>
            </w:r>
            <w:r w:rsidR="00F06C78">
              <w:rPr>
                <w:noProof/>
                <w:webHidden/>
              </w:rPr>
            </w:r>
            <w:r w:rsidR="00F06C78">
              <w:rPr>
                <w:noProof/>
                <w:webHidden/>
              </w:rPr>
              <w:fldChar w:fldCharType="separate"/>
            </w:r>
            <w:r w:rsidR="00B61E2E">
              <w:rPr>
                <w:noProof/>
                <w:webHidden/>
              </w:rPr>
              <w:t>4</w:t>
            </w:r>
            <w:r w:rsidR="00F06C78">
              <w:rPr>
                <w:noProof/>
                <w:webHidden/>
              </w:rPr>
              <w:fldChar w:fldCharType="end"/>
            </w:r>
          </w:hyperlink>
        </w:p>
        <w:p w14:paraId="0D4F5513" w14:textId="5A39484B" w:rsidR="00F06C78" w:rsidRDefault="008C585E">
          <w:pPr>
            <w:pStyle w:val="TOC2"/>
            <w:rPr>
              <w:rFonts w:eastAsiaTheme="minorEastAsia" w:cstheme="minorBidi"/>
              <w:noProof/>
              <w:color w:val="auto"/>
              <w:sz w:val="22"/>
              <w:szCs w:val="22"/>
            </w:rPr>
          </w:pPr>
          <w:hyperlink w:anchor="_Toc131170440" w:history="1">
            <w:r w:rsidR="00F06C78" w:rsidRPr="00633B55">
              <w:rPr>
                <w:rStyle w:val="Hyperlink"/>
                <w:noProof/>
              </w:rPr>
              <w:t>KEQ1: To what extent were Strongim Bisnis Phase 2 End of Program Outcomes (EOPOs) achieved?</w:t>
            </w:r>
            <w:r w:rsidR="00F06C78">
              <w:rPr>
                <w:noProof/>
                <w:webHidden/>
              </w:rPr>
              <w:tab/>
            </w:r>
            <w:r w:rsidR="00F06C78">
              <w:rPr>
                <w:noProof/>
                <w:webHidden/>
              </w:rPr>
              <w:fldChar w:fldCharType="begin"/>
            </w:r>
            <w:r w:rsidR="00F06C78">
              <w:rPr>
                <w:noProof/>
                <w:webHidden/>
              </w:rPr>
              <w:instrText xml:space="preserve"> PAGEREF _Toc131170440 \h </w:instrText>
            </w:r>
            <w:r w:rsidR="00F06C78">
              <w:rPr>
                <w:noProof/>
                <w:webHidden/>
              </w:rPr>
            </w:r>
            <w:r w:rsidR="00F06C78">
              <w:rPr>
                <w:noProof/>
                <w:webHidden/>
              </w:rPr>
              <w:fldChar w:fldCharType="separate"/>
            </w:r>
            <w:r w:rsidR="00B61E2E">
              <w:rPr>
                <w:noProof/>
                <w:webHidden/>
              </w:rPr>
              <w:t>4</w:t>
            </w:r>
            <w:r w:rsidR="00F06C78">
              <w:rPr>
                <w:noProof/>
                <w:webHidden/>
              </w:rPr>
              <w:fldChar w:fldCharType="end"/>
            </w:r>
          </w:hyperlink>
        </w:p>
        <w:p w14:paraId="377F6270" w14:textId="6335F44E" w:rsidR="00F06C78" w:rsidRDefault="008C585E">
          <w:pPr>
            <w:pStyle w:val="TOC3"/>
            <w:rPr>
              <w:rFonts w:eastAsiaTheme="minorEastAsia" w:cstheme="minorBidi"/>
              <w:noProof/>
              <w:color w:val="auto"/>
              <w:sz w:val="22"/>
              <w:szCs w:val="22"/>
            </w:rPr>
          </w:pPr>
          <w:hyperlink w:anchor="_Toc131170441" w:history="1">
            <w:r w:rsidR="00F06C78" w:rsidRPr="00633B55">
              <w:rPr>
                <w:rStyle w:val="Hyperlink"/>
                <w:noProof/>
              </w:rPr>
              <w:t>SubQ1.1: To what extent were intended EOPO’s achieved?</w:t>
            </w:r>
            <w:r w:rsidR="00F06C78">
              <w:rPr>
                <w:noProof/>
                <w:webHidden/>
              </w:rPr>
              <w:tab/>
            </w:r>
            <w:r w:rsidR="00F06C78">
              <w:rPr>
                <w:noProof/>
                <w:webHidden/>
              </w:rPr>
              <w:fldChar w:fldCharType="begin"/>
            </w:r>
            <w:r w:rsidR="00F06C78">
              <w:rPr>
                <w:noProof/>
                <w:webHidden/>
              </w:rPr>
              <w:instrText xml:space="preserve"> PAGEREF _Toc131170441 \h </w:instrText>
            </w:r>
            <w:r w:rsidR="00F06C78">
              <w:rPr>
                <w:noProof/>
                <w:webHidden/>
              </w:rPr>
            </w:r>
            <w:r w:rsidR="00F06C78">
              <w:rPr>
                <w:noProof/>
                <w:webHidden/>
              </w:rPr>
              <w:fldChar w:fldCharType="separate"/>
            </w:r>
            <w:r w:rsidR="00B61E2E">
              <w:rPr>
                <w:noProof/>
                <w:webHidden/>
              </w:rPr>
              <w:t>4</w:t>
            </w:r>
            <w:r w:rsidR="00F06C78">
              <w:rPr>
                <w:noProof/>
                <w:webHidden/>
              </w:rPr>
              <w:fldChar w:fldCharType="end"/>
            </w:r>
          </w:hyperlink>
        </w:p>
        <w:p w14:paraId="2CF046CB" w14:textId="5ECC1C94" w:rsidR="00F06C78" w:rsidRDefault="008C585E">
          <w:pPr>
            <w:pStyle w:val="TOC3"/>
            <w:rPr>
              <w:rFonts w:eastAsiaTheme="minorEastAsia" w:cstheme="minorBidi"/>
              <w:noProof/>
              <w:color w:val="auto"/>
              <w:sz w:val="22"/>
              <w:szCs w:val="22"/>
            </w:rPr>
          </w:pPr>
          <w:hyperlink w:anchor="_Toc131170442" w:history="1">
            <w:r w:rsidR="00F06C78" w:rsidRPr="00633B55">
              <w:rPr>
                <w:rStyle w:val="Hyperlink"/>
                <w:noProof/>
              </w:rPr>
              <w:t>SubQ1.2: Did the program achieve impacts beyond those articulated as intended outcomes?</w:t>
            </w:r>
            <w:r w:rsidR="00F06C78">
              <w:rPr>
                <w:noProof/>
                <w:webHidden/>
              </w:rPr>
              <w:tab/>
            </w:r>
            <w:r w:rsidR="00F06C78">
              <w:rPr>
                <w:noProof/>
                <w:webHidden/>
              </w:rPr>
              <w:fldChar w:fldCharType="begin"/>
            </w:r>
            <w:r w:rsidR="00F06C78">
              <w:rPr>
                <w:noProof/>
                <w:webHidden/>
              </w:rPr>
              <w:instrText xml:space="preserve"> PAGEREF _Toc131170442 \h </w:instrText>
            </w:r>
            <w:r w:rsidR="00F06C78">
              <w:rPr>
                <w:noProof/>
                <w:webHidden/>
              </w:rPr>
            </w:r>
            <w:r w:rsidR="00F06C78">
              <w:rPr>
                <w:noProof/>
                <w:webHidden/>
              </w:rPr>
              <w:fldChar w:fldCharType="separate"/>
            </w:r>
            <w:r w:rsidR="00B61E2E">
              <w:rPr>
                <w:noProof/>
                <w:webHidden/>
              </w:rPr>
              <w:t>10</w:t>
            </w:r>
            <w:r w:rsidR="00F06C78">
              <w:rPr>
                <w:noProof/>
                <w:webHidden/>
              </w:rPr>
              <w:fldChar w:fldCharType="end"/>
            </w:r>
          </w:hyperlink>
        </w:p>
        <w:p w14:paraId="18D8A700" w14:textId="2DAD2948" w:rsidR="00F06C78" w:rsidRDefault="008C585E">
          <w:pPr>
            <w:pStyle w:val="TOC3"/>
            <w:rPr>
              <w:rFonts w:eastAsiaTheme="minorEastAsia" w:cstheme="minorBidi"/>
              <w:noProof/>
              <w:color w:val="auto"/>
              <w:sz w:val="22"/>
              <w:szCs w:val="22"/>
            </w:rPr>
          </w:pPr>
          <w:hyperlink w:anchor="_Toc131170443" w:history="1">
            <w:r w:rsidR="00F06C78" w:rsidRPr="00633B55">
              <w:rPr>
                <w:rStyle w:val="Hyperlink"/>
                <w:noProof/>
              </w:rPr>
              <w:t>SubQ1.3: Did the program effectively support Australia’s broader objectives?</w:t>
            </w:r>
            <w:r w:rsidR="00F06C78">
              <w:rPr>
                <w:noProof/>
                <w:webHidden/>
              </w:rPr>
              <w:tab/>
            </w:r>
            <w:r w:rsidR="00F06C78">
              <w:rPr>
                <w:noProof/>
                <w:webHidden/>
              </w:rPr>
              <w:fldChar w:fldCharType="begin"/>
            </w:r>
            <w:r w:rsidR="00F06C78">
              <w:rPr>
                <w:noProof/>
                <w:webHidden/>
              </w:rPr>
              <w:instrText xml:space="preserve"> PAGEREF _Toc131170443 \h </w:instrText>
            </w:r>
            <w:r w:rsidR="00F06C78">
              <w:rPr>
                <w:noProof/>
                <w:webHidden/>
              </w:rPr>
            </w:r>
            <w:r w:rsidR="00F06C78">
              <w:rPr>
                <w:noProof/>
                <w:webHidden/>
              </w:rPr>
              <w:fldChar w:fldCharType="separate"/>
            </w:r>
            <w:r w:rsidR="00B61E2E">
              <w:rPr>
                <w:noProof/>
                <w:webHidden/>
              </w:rPr>
              <w:t>11</w:t>
            </w:r>
            <w:r w:rsidR="00F06C78">
              <w:rPr>
                <w:noProof/>
                <w:webHidden/>
              </w:rPr>
              <w:fldChar w:fldCharType="end"/>
            </w:r>
          </w:hyperlink>
        </w:p>
        <w:p w14:paraId="4A8B68E4" w14:textId="3FD0D4D6" w:rsidR="00F06C78" w:rsidRDefault="008C585E">
          <w:pPr>
            <w:pStyle w:val="TOC3"/>
            <w:rPr>
              <w:rFonts w:eastAsiaTheme="minorEastAsia" w:cstheme="minorBidi"/>
              <w:noProof/>
              <w:color w:val="auto"/>
              <w:sz w:val="22"/>
              <w:szCs w:val="22"/>
            </w:rPr>
          </w:pPr>
          <w:hyperlink w:anchor="_Toc131170444" w:history="1">
            <w:r w:rsidR="00F06C78" w:rsidRPr="00633B55">
              <w:rPr>
                <w:rStyle w:val="Hyperlink"/>
                <w:noProof/>
              </w:rPr>
              <w:t>SubQ1.4: Was the program value for money for the Australian Government?</w:t>
            </w:r>
            <w:r w:rsidR="00F06C78">
              <w:rPr>
                <w:noProof/>
                <w:webHidden/>
              </w:rPr>
              <w:tab/>
            </w:r>
            <w:r w:rsidR="00F06C78">
              <w:rPr>
                <w:noProof/>
                <w:webHidden/>
              </w:rPr>
              <w:fldChar w:fldCharType="begin"/>
            </w:r>
            <w:r w:rsidR="00F06C78">
              <w:rPr>
                <w:noProof/>
                <w:webHidden/>
              </w:rPr>
              <w:instrText xml:space="preserve"> PAGEREF _Toc131170444 \h </w:instrText>
            </w:r>
            <w:r w:rsidR="00F06C78">
              <w:rPr>
                <w:noProof/>
                <w:webHidden/>
              </w:rPr>
            </w:r>
            <w:r w:rsidR="00F06C78">
              <w:rPr>
                <w:noProof/>
                <w:webHidden/>
              </w:rPr>
              <w:fldChar w:fldCharType="separate"/>
            </w:r>
            <w:r w:rsidR="00B61E2E">
              <w:rPr>
                <w:noProof/>
                <w:webHidden/>
              </w:rPr>
              <w:t>12</w:t>
            </w:r>
            <w:r w:rsidR="00F06C78">
              <w:rPr>
                <w:noProof/>
                <w:webHidden/>
              </w:rPr>
              <w:fldChar w:fldCharType="end"/>
            </w:r>
          </w:hyperlink>
        </w:p>
        <w:p w14:paraId="6143CE04" w14:textId="175E297D" w:rsidR="00F06C78" w:rsidRDefault="008C585E">
          <w:pPr>
            <w:pStyle w:val="TOC2"/>
            <w:rPr>
              <w:rFonts w:eastAsiaTheme="minorEastAsia" w:cstheme="minorBidi"/>
              <w:noProof/>
              <w:color w:val="auto"/>
              <w:sz w:val="22"/>
              <w:szCs w:val="22"/>
            </w:rPr>
          </w:pPr>
          <w:hyperlink w:anchor="_Toc131170445" w:history="1">
            <w:r w:rsidR="00F06C78" w:rsidRPr="00633B55">
              <w:rPr>
                <w:rStyle w:val="Hyperlink"/>
                <w:noProof/>
              </w:rPr>
              <w:t>KEQ2: To what extent did Strongim Bisnis deliver outcomes for women, youth and people living with disabilities?</w:t>
            </w:r>
            <w:r w:rsidR="00F06C78">
              <w:rPr>
                <w:noProof/>
                <w:webHidden/>
              </w:rPr>
              <w:tab/>
            </w:r>
            <w:r w:rsidR="00F06C78">
              <w:rPr>
                <w:noProof/>
                <w:webHidden/>
              </w:rPr>
              <w:fldChar w:fldCharType="begin"/>
            </w:r>
            <w:r w:rsidR="00F06C78">
              <w:rPr>
                <w:noProof/>
                <w:webHidden/>
              </w:rPr>
              <w:instrText xml:space="preserve"> PAGEREF _Toc131170445 \h </w:instrText>
            </w:r>
            <w:r w:rsidR="00F06C78">
              <w:rPr>
                <w:noProof/>
                <w:webHidden/>
              </w:rPr>
            </w:r>
            <w:r w:rsidR="00F06C78">
              <w:rPr>
                <w:noProof/>
                <w:webHidden/>
              </w:rPr>
              <w:fldChar w:fldCharType="separate"/>
            </w:r>
            <w:r w:rsidR="00B61E2E">
              <w:rPr>
                <w:noProof/>
                <w:webHidden/>
              </w:rPr>
              <w:t>14</w:t>
            </w:r>
            <w:r w:rsidR="00F06C78">
              <w:rPr>
                <w:noProof/>
                <w:webHidden/>
              </w:rPr>
              <w:fldChar w:fldCharType="end"/>
            </w:r>
          </w:hyperlink>
        </w:p>
        <w:p w14:paraId="01434B78" w14:textId="133DE75B" w:rsidR="00F06C78" w:rsidRDefault="008C585E">
          <w:pPr>
            <w:pStyle w:val="TOC3"/>
            <w:rPr>
              <w:rFonts w:eastAsiaTheme="minorEastAsia" w:cstheme="minorBidi"/>
              <w:noProof/>
              <w:color w:val="auto"/>
              <w:sz w:val="22"/>
              <w:szCs w:val="22"/>
            </w:rPr>
          </w:pPr>
          <w:hyperlink w:anchor="_Toc131170446" w:history="1">
            <w:r w:rsidR="00F06C78" w:rsidRPr="00633B55">
              <w:rPr>
                <w:rStyle w:val="Hyperlink"/>
                <w:noProof/>
              </w:rPr>
              <w:t>SubQ2.1: Were any approaches used by the program more effective than others at delivering [GEDSI] results?</w:t>
            </w:r>
            <w:r w:rsidR="00F06C78">
              <w:rPr>
                <w:noProof/>
                <w:webHidden/>
              </w:rPr>
              <w:tab/>
            </w:r>
            <w:r w:rsidR="00F06C78">
              <w:rPr>
                <w:noProof/>
                <w:webHidden/>
              </w:rPr>
              <w:fldChar w:fldCharType="begin"/>
            </w:r>
            <w:r w:rsidR="00F06C78">
              <w:rPr>
                <w:noProof/>
                <w:webHidden/>
              </w:rPr>
              <w:instrText xml:space="preserve"> PAGEREF _Toc131170446 \h </w:instrText>
            </w:r>
            <w:r w:rsidR="00F06C78">
              <w:rPr>
                <w:noProof/>
                <w:webHidden/>
              </w:rPr>
            </w:r>
            <w:r w:rsidR="00F06C78">
              <w:rPr>
                <w:noProof/>
                <w:webHidden/>
              </w:rPr>
              <w:fldChar w:fldCharType="separate"/>
            </w:r>
            <w:r w:rsidR="00B61E2E">
              <w:rPr>
                <w:noProof/>
                <w:webHidden/>
              </w:rPr>
              <w:t>15</w:t>
            </w:r>
            <w:r w:rsidR="00F06C78">
              <w:rPr>
                <w:noProof/>
                <w:webHidden/>
              </w:rPr>
              <w:fldChar w:fldCharType="end"/>
            </w:r>
          </w:hyperlink>
        </w:p>
        <w:p w14:paraId="0DB2F02C" w14:textId="07567705" w:rsidR="00F06C78" w:rsidRDefault="008C585E">
          <w:pPr>
            <w:pStyle w:val="TOC2"/>
            <w:rPr>
              <w:rFonts w:eastAsiaTheme="minorEastAsia" w:cstheme="minorBidi"/>
              <w:noProof/>
              <w:color w:val="auto"/>
              <w:sz w:val="22"/>
              <w:szCs w:val="22"/>
            </w:rPr>
          </w:pPr>
          <w:hyperlink w:anchor="_Toc131170447" w:history="1">
            <w:r w:rsidR="00F06C78" w:rsidRPr="00633B55">
              <w:rPr>
                <w:rStyle w:val="Hyperlink"/>
                <w:noProof/>
              </w:rPr>
              <w:t>KEQ3: How was the program viewed by stakeholders in Solomon Islands?</w:t>
            </w:r>
            <w:r w:rsidR="00F06C78">
              <w:rPr>
                <w:noProof/>
                <w:webHidden/>
              </w:rPr>
              <w:tab/>
            </w:r>
            <w:r w:rsidR="00F06C78">
              <w:rPr>
                <w:noProof/>
                <w:webHidden/>
              </w:rPr>
              <w:fldChar w:fldCharType="begin"/>
            </w:r>
            <w:r w:rsidR="00F06C78">
              <w:rPr>
                <w:noProof/>
                <w:webHidden/>
              </w:rPr>
              <w:instrText xml:space="preserve"> PAGEREF _Toc131170447 \h </w:instrText>
            </w:r>
            <w:r w:rsidR="00F06C78">
              <w:rPr>
                <w:noProof/>
                <w:webHidden/>
              </w:rPr>
            </w:r>
            <w:r w:rsidR="00F06C78">
              <w:rPr>
                <w:noProof/>
                <w:webHidden/>
              </w:rPr>
              <w:fldChar w:fldCharType="separate"/>
            </w:r>
            <w:r w:rsidR="00B61E2E">
              <w:rPr>
                <w:noProof/>
                <w:webHidden/>
              </w:rPr>
              <w:t>15</w:t>
            </w:r>
            <w:r w:rsidR="00F06C78">
              <w:rPr>
                <w:noProof/>
                <w:webHidden/>
              </w:rPr>
              <w:fldChar w:fldCharType="end"/>
            </w:r>
          </w:hyperlink>
        </w:p>
        <w:p w14:paraId="24B47698" w14:textId="4F21AC8C" w:rsidR="00F06C78" w:rsidRDefault="008C585E">
          <w:pPr>
            <w:pStyle w:val="TOC3"/>
            <w:rPr>
              <w:rFonts w:eastAsiaTheme="minorEastAsia" w:cstheme="minorBidi"/>
              <w:noProof/>
              <w:color w:val="auto"/>
              <w:sz w:val="22"/>
              <w:szCs w:val="22"/>
            </w:rPr>
          </w:pPr>
          <w:hyperlink w:anchor="_Toc131170448" w:history="1">
            <w:r w:rsidR="00F06C78" w:rsidRPr="00633B55">
              <w:rPr>
                <w:rStyle w:val="Hyperlink"/>
                <w:noProof/>
              </w:rPr>
              <w:t>SubQ3.1: Which elements were regarded as successful and why?</w:t>
            </w:r>
            <w:r w:rsidR="00F06C78">
              <w:rPr>
                <w:noProof/>
                <w:webHidden/>
              </w:rPr>
              <w:tab/>
            </w:r>
            <w:r w:rsidR="00F06C78">
              <w:rPr>
                <w:noProof/>
                <w:webHidden/>
              </w:rPr>
              <w:fldChar w:fldCharType="begin"/>
            </w:r>
            <w:r w:rsidR="00F06C78">
              <w:rPr>
                <w:noProof/>
                <w:webHidden/>
              </w:rPr>
              <w:instrText xml:space="preserve"> PAGEREF _Toc131170448 \h </w:instrText>
            </w:r>
            <w:r w:rsidR="00F06C78">
              <w:rPr>
                <w:noProof/>
                <w:webHidden/>
              </w:rPr>
            </w:r>
            <w:r w:rsidR="00F06C78">
              <w:rPr>
                <w:noProof/>
                <w:webHidden/>
              </w:rPr>
              <w:fldChar w:fldCharType="separate"/>
            </w:r>
            <w:r w:rsidR="00B61E2E">
              <w:rPr>
                <w:noProof/>
                <w:webHidden/>
              </w:rPr>
              <w:t>17</w:t>
            </w:r>
            <w:r w:rsidR="00F06C78">
              <w:rPr>
                <w:noProof/>
                <w:webHidden/>
              </w:rPr>
              <w:fldChar w:fldCharType="end"/>
            </w:r>
          </w:hyperlink>
        </w:p>
        <w:p w14:paraId="3A366373" w14:textId="4F35BF1A" w:rsidR="00F06C78" w:rsidRDefault="008C585E">
          <w:pPr>
            <w:pStyle w:val="TOC2"/>
            <w:rPr>
              <w:rFonts w:eastAsiaTheme="minorEastAsia" w:cstheme="minorBidi"/>
              <w:noProof/>
              <w:color w:val="auto"/>
              <w:sz w:val="22"/>
              <w:szCs w:val="22"/>
            </w:rPr>
          </w:pPr>
          <w:hyperlink w:anchor="_Toc131170449" w:history="1">
            <w:r w:rsidR="00F06C78" w:rsidRPr="00633B55">
              <w:rPr>
                <w:rStyle w:val="Hyperlink"/>
                <w:noProof/>
              </w:rPr>
              <w:t>KEQ4: Outline practical recommendations for the refreshed Strongim Bisnis program design team</w:t>
            </w:r>
            <w:r w:rsidR="00F06C78">
              <w:rPr>
                <w:noProof/>
                <w:webHidden/>
              </w:rPr>
              <w:tab/>
            </w:r>
            <w:r w:rsidR="00F06C78">
              <w:rPr>
                <w:noProof/>
                <w:webHidden/>
              </w:rPr>
              <w:fldChar w:fldCharType="begin"/>
            </w:r>
            <w:r w:rsidR="00F06C78">
              <w:rPr>
                <w:noProof/>
                <w:webHidden/>
              </w:rPr>
              <w:instrText xml:space="preserve"> PAGEREF _Toc131170449 \h </w:instrText>
            </w:r>
            <w:r w:rsidR="00F06C78">
              <w:rPr>
                <w:noProof/>
                <w:webHidden/>
              </w:rPr>
            </w:r>
            <w:r w:rsidR="00F06C78">
              <w:rPr>
                <w:noProof/>
                <w:webHidden/>
              </w:rPr>
              <w:fldChar w:fldCharType="separate"/>
            </w:r>
            <w:r w:rsidR="00B61E2E">
              <w:rPr>
                <w:noProof/>
                <w:webHidden/>
              </w:rPr>
              <w:t>17</w:t>
            </w:r>
            <w:r w:rsidR="00F06C78">
              <w:rPr>
                <w:noProof/>
                <w:webHidden/>
              </w:rPr>
              <w:fldChar w:fldCharType="end"/>
            </w:r>
          </w:hyperlink>
        </w:p>
        <w:p w14:paraId="5391F3C7" w14:textId="4D04F8F5" w:rsidR="00F06C78" w:rsidRDefault="008C585E">
          <w:pPr>
            <w:pStyle w:val="TOC3"/>
            <w:rPr>
              <w:rFonts w:eastAsiaTheme="minorEastAsia" w:cstheme="minorBidi"/>
              <w:noProof/>
              <w:color w:val="auto"/>
              <w:sz w:val="22"/>
              <w:szCs w:val="22"/>
            </w:rPr>
          </w:pPr>
          <w:hyperlink w:anchor="_Toc131170450" w:history="1">
            <w:r w:rsidR="00F06C78" w:rsidRPr="00633B55">
              <w:rPr>
                <w:rStyle w:val="Hyperlink"/>
                <w:noProof/>
              </w:rPr>
              <w:t>SubQ4.1: Which elements of the existing program should be maintained and why</w:t>
            </w:r>
            <w:r w:rsidR="00F06C78">
              <w:rPr>
                <w:noProof/>
                <w:webHidden/>
              </w:rPr>
              <w:tab/>
            </w:r>
            <w:r w:rsidR="00F06C78">
              <w:rPr>
                <w:noProof/>
                <w:webHidden/>
              </w:rPr>
              <w:fldChar w:fldCharType="begin"/>
            </w:r>
            <w:r w:rsidR="00F06C78">
              <w:rPr>
                <w:noProof/>
                <w:webHidden/>
              </w:rPr>
              <w:instrText xml:space="preserve"> PAGEREF _Toc131170450 \h </w:instrText>
            </w:r>
            <w:r w:rsidR="00F06C78">
              <w:rPr>
                <w:noProof/>
                <w:webHidden/>
              </w:rPr>
            </w:r>
            <w:r w:rsidR="00F06C78">
              <w:rPr>
                <w:noProof/>
                <w:webHidden/>
              </w:rPr>
              <w:fldChar w:fldCharType="separate"/>
            </w:r>
            <w:r w:rsidR="00B61E2E">
              <w:rPr>
                <w:noProof/>
                <w:webHidden/>
              </w:rPr>
              <w:t>17</w:t>
            </w:r>
            <w:r w:rsidR="00F06C78">
              <w:rPr>
                <w:noProof/>
                <w:webHidden/>
              </w:rPr>
              <w:fldChar w:fldCharType="end"/>
            </w:r>
          </w:hyperlink>
        </w:p>
        <w:p w14:paraId="2141F5E8" w14:textId="054AC419" w:rsidR="00F06C78" w:rsidRDefault="008C585E">
          <w:pPr>
            <w:pStyle w:val="TOC3"/>
            <w:rPr>
              <w:rFonts w:eastAsiaTheme="minorEastAsia" w:cstheme="minorBidi"/>
              <w:noProof/>
              <w:color w:val="auto"/>
              <w:sz w:val="22"/>
              <w:szCs w:val="22"/>
            </w:rPr>
          </w:pPr>
          <w:hyperlink w:anchor="_Toc131170451" w:history="1">
            <w:r w:rsidR="00F06C78" w:rsidRPr="00633B55">
              <w:rPr>
                <w:rStyle w:val="Hyperlink"/>
                <w:noProof/>
              </w:rPr>
              <w:t>SubQ4.2: How elements of the existing program should be changed and why</w:t>
            </w:r>
            <w:r w:rsidR="00F06C78">
              <w:rPr>
                <w:noProof/>
                <w:webHidden/>
              </w:rPr>
              <w:tab/>
            </w:r>
            <w:r w:rsidR="00F06C78">
              <w:rPr>
                <w:noProof/>
                <w:webHidden/>
              </w:rPr>
              <w:fldChar w:fldCharType="begin"/>
            </w:r>
            <w:r w:rsidR="00F06C78">
              <w:rPr>
                <w:noProof/>
                <w:webHidden/>
              </w:rPr>
              <w:instrText xml:space="preserve"> PAGEREF _Toc131170451 \h </w:instrText>
            </w:r>
            <w:r w:rsidR="00F06C78">
              <w:rPr>
                <w:noProof/>
                <w:webHidden/>
              </w:rPr>
            </w:r>
            <w:r w:rsidR="00F06C78">
              <w:rPr>
                <w:noProof/>
                <w:webHidden/>
              </w:rPr>
              <w:fldChar w:fldCharType="separate"/>
            </w:r>
            <w:r w:rsidR="00B61E2E">
              <w:rPr>
                <w:noProof/>
                <w:webHidden/>
              </w:rPr>
              <w:t>19</w:t>
            </w:r>
            <w:r w:rsidR="00F06C78">
              <w:rPr>
                <w:noProof/>
                <w:webHidden/>
              </w:rPr>
              <w:fldChar w:fldCharType="end"/>
            </w:r>
          </w:hyperlink>
        </w:p>
        <w:p w14:paraId="7A838C3C" w14:textId="7960D73F" w:rsidR="00F06C78" w:rsidRDefault="008C585E">
          <w:pPr>
            <w:pStyle w:val="TOC1"/>
            <w:rPr>
              <w:rFonts w:eastAsiaTheme="minorEastAsia" w:cstheme="minorBidi"/>
              <w:b w:val="0"/>
              <w:caps w:val="0"/>
              <w:noProof/>
              <w:color w:val="auto"/>
              <w:sz w:val="22"/>
              <w:szCs w:val="22"/>
            </w:rPr>
          </w:pPr>
          <w:hyperlink w:anchor="_Toc131170452" w:history="1">
            <w:r w:rsidR="00F06C78" w:rsidRPr="00633B55">
              <w:rPr>
                <w:rStyle w:val="Hyperlink"/>
                <w:noProof/>
              </w:rPr>
              <w:t>Annexes</w:t>
            </w:r>
            <w:r w:rsidR="00F06C78">
              <w:rPr>
                <w:noProof/>
                <w:webHidden/>
              </w:rPr>
              <w:tab/>
            </w:r>
            <w:r w:rsidR="00F06C78">
              <w:rPr>
                <w:noProof/>
                <w:webHidden/>
              </w:rPr>
              <w:fldChar w:fldCharType="begin"/>
            </w:r>
            <w:r w:rsidR="00F06C78">
              <w:rPr>
                <w:noProof/>
                <w:webHidden/>
              </w:rPr>
              <w:instrText xml:space="preserve"> PAGEREF _Toc131170452 \h </w:instrText>
            </w:r>
            <w:r w:rsidR="00F06C78">
              <w:rPr>
                <w:noProof/>
                <w:webHidden/>
              </w:rPr>
            </w:r>
            <w:r w:rsidR="00F06C78">
              <w:rPr>
                <w:noProof/>
                <w:webHidden/>
              </w:rPr>
              <w:fldChar w:fldCharType="separate"/>
            </w:r>
            <w:r w:rsidR="00B61E2E">
              <w:rPr>
                <w:noProof/>
                <w:webHidden/>
              </w:rPr>
              <w:t>22</w:t>
            </w:r>
            <w:r w:rsidR="00F06C78">
              <w:rPr>
                <w:noProof/>
                <w:webHidden/>
              </w:rPr>
              <w:fldChar w:fldCharType="end"/>
            </w:r>
          </w:hyperlink>
        </w:p>
        <w:p w14:paraId="23A7DA87" w14:textId="7854679E" w:rsidR="00F06C78" w:rsidRDefault="008C585E">
          <w:pPr>
            <w:pStyle w:val="TOC2"/>
            <w:rPr>
              <w:rFonts w:eastAsiaTheme="minorEastAsia" w:cstheme="minorBidi"/>
              <w:noProof/>
              <w:color w:val="auto"/>
              <w:sz w:val="22"/>
              <w:szCs w:val="22"/>
            </w:rPr>
          </w:pPr>
          <w:hyperlink w:anchor="_Toc131170453" w:history="1">
            <w:r w:rsidR="00F06C78" w:rsidRPr="00633B55">
              <w:rPr>
                <w:rStyle w:val="Hyperlink"/>
                <w:noProof/>
              </w:rPr>
              <w:t>Annex 1: Terms of Reference (extract)</w:t>
            </w:r>
            <w:r w:rsidR="00F06C78">
              <w:rPr>
                <w:noProof/>
                <w:webHidden/>
              </w:rPr>
              <w:tab/>
            </w:r>
            <w:r w:rsidR="00F06C78">
              <w:rPr>
                <w:noProof/>
                <w:webHidden/>
              </w:rPr>
              <w:fldChar w:fldCharType="begin"/>
            </w:r>
            <w:r w:rsidR="00F06C78">
              <w:rPr>
                <w:noProof/>
                <w:webHidden/>
              </w:rPr>
              <w:instrText xml:space="preserve"> PAGEREF _Toc131170453 \h </w:instrText>
            </w:r>
            <w:r w:rsidR="00F06C78">
              <w:rPr>
                <w:noProof/>
                <w:webHidden/>
              </w:rPr>
            </w:r>
            <w:r w:rsidR="00F06C78">
              <w:rPr>
                <w:noProof/>
                <w:webHidden/>
              </w:rPr>
              <w:fldChar w:fldCharType="separate"/>
            </w:r>
            <w:r w:rsidR="00B61E2E">
              <w:rPr>
                <w:noProof/>
                <w:webHidden/>
              </w:rPr>
              <w:t>22</w:t>
            </w:r>
            <w:r w:rsidR="00F06C78">
              <w:rPr>
                <w:noProof/>
                <w:webHidden/>
              </w:rPr>
              <w:fldChar w:fldCharType="end"/>
            </w:r>
          </w:hyperlink>
        </w:p>
        <w:p w14:paraId="797722EA" w14:textId="0D1E3624" w:rsidR="00F06C78" w:rsidRDefault="008C585E">
          <w:pPr>
            <w:pStyle w:val="TOC2"/>
            <w:rPr>
              <w:rFonts w:eastAsiaTheme="minorEastAsia" w:cstheme="minorBidi"/>
              <w:noProof/>
              <w:color w:val="auto"/>
              <w:sz w:val="22"/>
              <w:szCs w:val="22"/>
            </w:rPr>
          </w:pPr>
          <w:hyperlink w:anchor="_Toc131170454" w:history="1">
            <w:r w:rsidR="00F06C78" w:rsidRPr="00633B55">
              <w:rPr>
                <w:rStyle w:val="Hyperlink"/>
                <w:noProof/>
              </w:rPr>
              <w:t>Annex 2: Strongim Bisnis Program Logic</w:t>
            </w:r>
            <w:r w:rsidR="00F06C78">
              <w:rPr>
                <w:noProof/>
                <w:webHidden/>
              </w:rPr>
              <w:tab/>
            </w:r>
            <w:r w:rsidR="00F06C78">
              <w:rPr>
                <w:noProof/>
                <w:webHidden/>
              </w:rPr>
              <w:fldChar w:fldCharType="begin"/>
            </w:r>
            <w:r w:rsidR="00F06C78">
              <w:rPr>
                <w:noProof/>
                <w:webHidden/>
              </w:rPr>
              <w:instrText xml:space="preserve"> PAGEREF _Toc131170454 \h </w:instrText>
            </w:r>
            <w:r w:rsidR="00F06C78">
              <w:rPr>
                <w:noProof/>
                <w:webHidden/>
              </w:rPr>
            </w:r>
            <w:r w:rsidR="00F06C78">
              <w:rPr>
                <w:noProof/>
                <w:webHidden/>
              </w:rPr>
              <w:fldChar w:fldCharType="separate"/>
            </w:r>
            <w:r w:rsidR="00B61E2E">
              <w:rPr>
                <w:noProof/>
                <w:webHidden/>
              </w:rPr>
              <w:t>24</w:t>
            </w:r>
            <w:r w:rsidR="00F06C78">
              <w:rPr>
                <w:noProof/>
                <w:webHidden/>
              </w:rPr>
              <w:fldChar w:fldCharType="end"/>
            </w:r>
          </w:hyperlink>
        </w:p>
        <w:p w14:paraId="6A835BD9" w14:textId="04EF565B" w:rsidR="00F06C78" w:rsidRDefault="008C585E">
          <w:pPr>
            <w:pStyle w:val="TOC2"/>
            <w:rPr>
              <w:rFonts w:eastAsiaTheme="minorEastAsia" w:cstheme="minorBidi"/>
              <w:noProof/>
              <w:color w:val="auto"/>
              <w:sz w:val="22"/>
              <w:szCs w:val="22"/>
            </w:rPr>
          </w:pPr>
          <w:hyperlink w:anchor="_Toc131170455" w:history="1">
            <w:r w:rsidR="00F06C78" w:rsidRPr="00633B55">
              <w:rPr>
                <w:rStyle w:val="Hyperlink"/>
                <w:noProof/>
              </w:rPr>
              <w:t>Annex 3: Overview of Current Partnerships</w:t>
            </w:r>
            <w:r w:rsidR="00F06C78">
              <w:rPr>
                <w:noProof/>
                <w:webHidden/>
              </w:rPr>
              <w:tab/>
            </w:r>
            <w:r w:rsidR="00F06C78">
              <w:rPr>
                <w:noProof/>
                <w:webHidden/>
              </w:rPr>
              <w:fldChar w:fldCharType="begin"/>
            </w:r>
            <w:r w:rsidR="00F06C78">
              <w:rPr>
                <w:noProof/>
                <w:webHidden/>
              </w:rPr>
              <w:instrText xml:space="preserve"> PAGEREF _Toc131170455 \h </w:instrText>
            </w:r>
            <w:r w:rsidR="00F06C78">
              <w:rPr>
                <w:noProof/>
                <w:webHidden/>
              </w:rPr>
            </w:r>
            <w:r w:rsidR="00F06C78">
              <w:rPr>
                <w:noProof/>
                <w:webHidden/>
              </w:rPr>
              <w:fldChar w:fldCharType="separate"/>
            </w:r>
            <w:r w:rsidR="00B61E2E">
              <w:rPr>
                <w:noProof/>
                <w:webHidden/>
              </w:rPr>
              <w:t>25</w:t>
            </w:r>
            <w:r w:rsidR="00F06C78">
              <w:rPr>
                <w:noProof/>
                <w:webHidden/>
              </w:rPr>
              <w:fldChar w:fldCharType="end"/>
            </w:r>
          </w:hyperlink>
        </w:p>
        <w:p w14:paraId="4C6782F3" w14:textId="1A3AEDCC" w:rsidR="00F06C78" w:rsidRDefault="008C585E">
          <w:pPr>
            <w:pStyle w:val="TOC2"/>
            <w:rPr>
              <w:rFonts w:eastAsiaTheme="minorEastAsia" w:cstheme="minorBidi"/>
              <w:noProof/>
              <w:color w:val="auto"/>
              <w:sz w:val="22"/>
              <w:szCs w:val="22"/>
            </w:rPr>
          </w:pPr>
          <w:hyperlink w:anchor="_Toc131170456" w:history="1">
            <w:r w:rsidR="00F06C78" w:rsidRPr="00633B55">
              <w:rPr>
                <w:rStyle w:val="Hyperlink"/>
                <w:noProof/>
              </w:rPr>
              <w:t>Annex 4: Consultation Lists</w:t>
            </w:r>
            <w:r w:rsidR="00F06C78">
              <w:rPr>
                <w:noProof/>
                <w:webHidden/>
              </w:rPr>
              <w:tab/>
            </w:r>
            <w:r w:rsidR="00F06C78">
              <w:rPr>
                <w:noProof/>
                <w:webHidden/>
              </w:rPr>
              <w:fldChar w:fldCharType="begin"/>
            </w:r>
            <w:r w:rsidR="00F06C78">
              <w:rPr>
                <w:noProof/>
                <w:webHidden/>
              </w:rPr>
              <w:instrText xml:space="preserve"> PAGEREF _Toc131170456 \h </w:instrText>
            </w:r>
            <w:r w:rsidR="00F06C78">
              <w:rPr>
                <w:noProof/>
                <w:webHidden/>
              </w:rPr>
            </w:r>
            <w:r w:rsidR="00F06C78">
              <w:rPr>
                <w:noProof/>
                <w:webHidden/>
              </w:rPr>
              <w:fldChar w:fldCharType="separate"/>
            </w:r>
            <w:r w:rsidR="00B61E2E">
              <w:rPr>
                <w:noProof/>
                <w:webHidden/>
              </w:rPr>
              <w:t>26</w:t>
            </w:r>
            <w:r w:rsidR="00F06C78">
              <w:rPr>
                <w:noProof/>
                <w:webHidden/>
              </w:rPr>
              <w:fldChar w:fldCharType="end"/>
            </w:r>
          </w:hyperlink>
        </w:p>
        <w:p w14:paraId="3A178C6E" w14:textId="524AF2AE" w:rsidR="00F06C78" w:rsidRDefault="008C585E">
          <w:pPr>
            <w:pStyle w:val="TOC2"/>
            <w:rPr>
              <w:rFonts w:eastAsiaTheme="minorEastAsia" w:cstheme="minorBidi"/>
              <w:noProof/>
              <w:color w:val="auto"/>
              <w:sz w:val="22"/>
              <w:szCs w:val="22"/>
            </w:rPr>
          </w:pPr>
          <w:hyperlink w:anchor="_Toc131170457" w:history="1">
            <w:r w:rsidR="00F06C78" w:rsidRPr="00633B55">
              <w:rPr>
                <w:rStyle w:val="Hyperlink"/>
                <w:noProof/>
              </w:rPr>
              <w:t>Annex 5: Program-Level Results</w:t>
            </w:r>
            <w:r w:rsidR="00F06C78">
              <w:rPr>
                <w:noProof/>
                <w:webHidden/>
              </w:rPr>
              <w:tab/>
            </w:r>
            <w:r w:rsidR="00F06C78">
              <w:rPr>
                <w:noProof/>
                <w:webHidden/>
              </w:rPr>
              <w:fldChar w:fldCharType="begin"/>
            </w:r>
            <w:r w:rsidR="00F06C78">
              <w:rPr>
                <w:noProof/>
                <w:webHidden/>
              </w:rPr>
              <w:instrText xml:space="preserve"> PAGEREF _Toc131170457 \h </w:instrText>
            </w:r>
            <w:r w:rsidR="00F06C78">
              <w:rPr>
                <w:noProof/>
                <w:webHidden/>
              </w:rPr>
            </w:r>
            <w:r w:rsidR="00F06C78">
              <w:rPr>
                <w:noProof/>
                <w:webHidden/>
              </w:rPr>
              <w:fldChar w:fldCharType="separate"/>
            </w:r>
            <w:r w:rsidR="00B61E2E">
              <w:rPr>
                <w:noProof/>
                <w:webHidden/>
              </w:rPr>
              <w:t>33</w:t>
            </w:r>
            <w:r w:rsidR="00F06C78">
              <w:rPr>
                <w:noProof/>
                <w:webHidden/>
              </w:rPr>
              <w:fldChar w:fldCharType="end"/>
            </w:r>
          </w:hyperlink>
        </w:p>
        <w:p w14:paraId="34731DDF" w14:textId="414A03B8" w:rsidR="00F06C78" w:rsidRDefault="008C585E">
          <w:pPr>
            <w:pStyle w:val="TOC2"/>
            <w:rPr>
              <w:rFonts w:eastAsiaTheme="minorEastAsia" w:cstheme="minorBidi"/>
              <w:noProof/>
              <w:color w:val="auto"/>
              <w:sz w:val="22"/>
              <w:szCs w:val="22"/>
            </w:rPr>
          </w:pPr>
          <w:hyperlink w:anchor="_Toc131170458" w:history="1">
            <w:r w:rsidR="00F06C78" w:rsidRPr="00633B55">
              <w:rPr>
                <w:rStyle w:val="Hyperlink"/>
                <w:noProof/>
              </w:rPr>
              <w:t>Annex 6: Value-for-Money Frameworks and Guidance</w:t>
            </w:r>
            <w:r w:rsidR="00F06C78">
              <w:rPr>
                <w:noProof/>
                <w:webHidden/>
              </w:rPr>
              <w:tab/>
            </w:r>
            <w:r w:rsidR="00F06C78">
              <w:rPr>
                <w:noProof/>
                <w:webHidden/>
              </w:rPr>
              <w:fldChar w:fldCharType="begin"/>
            </w:r>
            <w:r w:rsidR="00F06C78">
              <w:rPr>
                <w:noProof/>
                <w:webHidden/>
              </w:rPr>
              <w:instrText xml:space="preserve"> PAGEREF _Toc131170458 \h </w:instrText>
            </w:r>
            <w:r w:rsidR="00F06C78">
              <w:rPr>
                <w:noProof/>
                <w:webHidden/>
              </w:rPr>
            </w:r>
            <w:r w:rsidR="00F06C78">
              <w:rPr>
                <w:noProof/>
                <w:webHidden/>
              </w:rPr>
              <w:fldChar w:fldCharType="separate"/>
            </w:r>
            <w:r w:rsidR="00B61E2E">
              <w:rPr>
                <w:noProof/>
                <w:webHidden/>
              </w:rPr>
              <w:t>40</w:t>
            </w:r>
            <w:r w:rsidR="00F06C78">
              <w:rPr>
                <w:noProof/>
                <w:webHidden/>
              </w:rPr>
              <w:fldChar w:fldCharType="end"/>
            </w:r>
          </w:hyperlink>
        </w:p>
        <w:p w14:paraId="3F4DB98C" w14:textId="1D31A240" w:rsidR="00F06C78" w:rsidRDefault="008C585E">
          <w:pPr>
            <w:pStyle w:val="TOC2"/>
            <w:rPr>
              <w:rFonts w:eastAsiaTheme="minorEastAsia" w:cstheme="minorBidi"/>
              <w:noProof/>
              <w:color w:val="auto"/>
              <w:sz w:val="22"/>
              <w:szCs w:val="22"/>
            </w:rPr>
          </w:pPr>
          <w:hyperlink w:anchor="_Toc131170459" w:history="1">
            <w:r w:rsidR="00F06C78" w:rsidRPr="00633B55">
              <w:rPr>
                <w:rStyle w:val="Hyperlink"/>
                <w:noProof/>
              </w:rPr>
              <w:t>Annex 7: Program Costs and Benefits</w:t>
            </w:r>
            <w:r w:rsidR="00F06C78">
              <w:rPr>
                <w:noProof/>
                <w:webHidden/>
              </w:rPr>
              <w:tab/>
            </w:r>
            <w:r w:rsidR="00F06C78">
              <w:rPr>
                <w:noProof/>
                <w:webHidden/>
              </w:rPr>
              <w:fldChar w:fldCharType="begin"/>
            </w:r>
            <w:r w:rsidR="00F06C78">
              <w:rPr>
                <w:noProof/>
                <w:webHidden/>
              </w:rPr>
              <w:instrText xml:space="preserve"> PAGEREF _Toc131170459 \h </w:instrText>
            </w:r>
            <w:r w:rsidR="00F06C78">
              <w:rPr>
                <w:noProof/>
                <w:webHidden/>
              </w:rPr>
            </w:r>
            <w:r w:rsidR="00F06C78">
              <w:rPr>
                <w:noProof/>
                <w:webHidden/>
              </w:rPr>
              <w:fldChar w:fldCharType="separate"/>
            </w:r>
            <w:r w:rsidR="00B61E2E">
              <w:rPr>
                <w:noProof/>
                <w:webHidden/>
              </w:rPr>
              <w:t>41</w:t>
            </w:r>
            <w:r w:rsidR="00F06C78">
              <w:rPr>
                <w:noProof/>
                <w:webHidden/>
              </w:rPr>
              <w:fldChar w:fldCharType="end"/>
            </w:r>
          </w:hyperlink>
        </w:p>
        <w:p w14:paraId="23D3F8EB" w14:textId="2FBE8605" w:rsidR="00F06C78" w:rsidRDefault="008C585E">
          <w:pPr>
            <w:pStyle w:val="TOC2"/>
            <w:rPr>
              <w:rFonts w:eastAsiaTheme="minorEastAsia" w:cstheme="minorBidi"/>
              <w:noProof/>
              <w:color w:val="auto"/>
              <w:sz w:val="22"/>
              <w:szCs w:val="22"/>
            </w:rPr>
          </w:pPr>
          <w:hyperlink w:anchor="_Toc131170460" w:history="1">
            <w:r w:rsidR="00F06C78" w:rsidRPr="00633B55">
              <w:rPr>
                <w:rStyle w:val="Hyperlink"/>
                <w:noProof/>
              </w:rPr>
              <w:t>Annex 8: DFAT Private Sector Engagement Principles</w:t>
            </w:r>
            <w:r w:rsidR="00F06C78">
              <w:rPr>
                <w:noProof/>
                <w:webHidden/>
              </w:rPr>
              <w:tab/>
            </w:r>
            <w:r w:rsidR="00F06C78">
              <w:rPr>
                <w:noProof/>
                <w:webHidden/>
              </w:rPr>
              <w:fldChar w:fldCharType="begin"/>
            </w:r>
            <w:r w:rsidR="00F06C78">
              <w:rPr>
                <w:noProof/>
                <w:webHidden/>
              </w:rPr>
              <w:instrText xml:space="preserve"> PAGEREF _Toc131170460 \h </w:instrText>
            </w:r>
            <w:r w:rsidR="00F06C78">
              <w:rPr>
                <w:noProof/>
                <w:webHidden/>
              </w:rPr>
            </w:r>
            <w:r w:rsidR="00F06C78">
              <w:rPr>
                <w:noProof/>
                <w:webHidden/>
              </w:rPr>
              <w:fldChar w:fldCharType="separate"/>
            </w:r>
            <w:r w:rsidR="00B61E2E">
              <w:rPr>
                <w:noProof/>
                <w:webHidden/>
              </w:rPr>
              <w:t>42</w:t>
            </w:r>
            <w:r w:rsidR="00F06C78">
              <w:rPr>
                <w:noProof/>
                <w:webHidden/>
              </w:rPr>
              <w:fldChar w:fldCharType="end"/>
            </w:r>
          </w:hyperlink>
        </w:p>
        <w:p w14:paraId="20D0A71C" w14:textId="71EBFA35" w:rsidR="000D3E85" w:rsidRDefault="00E7443E">
          <w:r>
            <w:rPr>
              <w:b/>
              <w:color w:val="1D336D" w:themeColor="background2"/>
            </w:rPr>
            <w:fldChar w:fldCharType="end"/>
          </w:r>
        </w:p>
      </w:sdtContent>
    </w:sdt>
    <w:p w14:paraId="6ABFCDF7" w14:textId="77777777" w:rsidR="008535FC" w:rsidRPr="008535FC" w:rsidRDefault="008535FC" w:rsidP="005E3A36">
      <w:pPr>
        <w:pStyle w:val="Heading1"/>
        <w:pageBreakBefore/>
      </w:pPr>
      <w:bookmarkStart w:id="0" w:name="_Toc131170432"/>
      <w:r w:rsidRPr="008535FC">
        <w:lastRenderedPageBreak/>
        <w:t>Acronyms</w:t>
      </w:r>
      <w:bookmarkEnd w:id="0"/>
    </w:p>
    <w:tbl>
      <w:tblPr>
        <w:tblW w:w="90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7455"/>
      </w:tblGrid>
      <w:tr w:rsidR="00F1052E" w:rsidRPr="00BE2782" w14:paraId="07354354" w14:textId="77777777" w:rsidTr="00CD63CE">
        <w:trPr>
          <w:trHeight w:val="300"/>
          <w:tblHeader/>
        </w:trPr>
        <w:tc>
          <w:tcPr>
            <w:tcW w:w="1560" w:type="dxa"/>
            <w:tcBorders>
              <w:top w:val="nil"/>
              <w:left w:val="nil"/>
              <w:bottom w:val="nil"/>
              <w:right w:val="nil"/>
            </w:tcBorders>
            <w:shd w:val="clear" w:color="auto" w:fill="1D336D" w:themeFill="background2"/>
          </w:tcPr>
          <w:p w14:paraId="55075895" w14:textId="023C5BD0" w:rsidR="00F1052E" w:rsidRPr="00D32CC6" w:rsidRDefault="00F1052E" w:rsidP="00D32CC6">
            <w:pPr>
              <w:pStyle w:val="TableHeading"/>
              <w:numPr>
                <w:ilvl w:val="0"/>
                <w:numId w:val="34"/>
              </w:numPr>
              <w:spacing w:before="0" w:after="0"/>
              <w:rPr>
                <w:szCs w:val="20"/>
              </w:rPr>
            </w:pPr>
            <w:r w:rsidRPr="00D32CC6">
              <w:rPr>
                <w:szCs w:val="20"/>
              </w:rPr>
              <w:t xml:space="preserve">Acronym </w:t>
            </w:r>
          </w:p>
        </w:tc>
        <w:tc>
          <w:tcPr>
            <w:tcW w:w="7455" w:type="dxa"/>
            <w:tcBorders>
              <w:top w:val="nil"/>
              <w:left w:val="nil"/>
              <w:bottom w:val="nil"/>
              <w:right w:val="nil"/>
            </w:tcBorders>
            <w:shd w:val="clear" w:color="auto" w:fill="1D336D" w:themeFill="background2"/>
          </w:tcPr>
          <w:p w14:paraId="15DE2B71" w14:textId="27CCB3CE" w:rsidR="00F1052E" w:rsidRPr="00D32CC6" w:rsidRDefault="00346316" w:rsidP="00D32CC6">
            <w:pPr>
              <w:pStyle w:val="TableHeading"/>
              <w:numPr>
                <w:ilvl w:val="0"/>
                <w:numId w:val="34"/>
              </w:numPr>
              <w:spacing w:before="0" w:after="0"/>
              <w:rPr>
                <w:szCs w:val="20"/>
              </w:rPr>
            </w:pPr>
            <w:r w:rsidRPr="00D32CC6">
              <w:rPr>
                <w:szCs w:val="20"/>
              </w:rPr>
              <w:t>Description</w:t>
            </w:r>
          </w:p>
        </w:tc>
      </w:tr>
      <w:tr w:rsidR="0047220F" w:rsidRPr="00BE2782" w14:paraId="7129BC01" w14:textId="77777777" w:rsidTr="006666FA">
        <w:trPr>
          <w:trHeight w:val="300"/>
        </w:trPr>
        <w:tc>
          <w:tcPr>
            <w:tcW w:w="1560" w:type="dxa"/>
            <w:tcBorders>
              <w:top w:val="nil"/>
              <w:left w:val="nil"/>
              <w:bottom w:val="nil"/>
              <w:right w:val="nil"/>
            </w:tcBorders>
            <w:shd w:val="clear" w:color="auto" w:fill="FFFFFF" w:themeFill="background1"/>
          </w:tcPr>
          <w:p w14:paraId="430DFCA1" w14:textId="64C2ACEE" w:rsidR="0047220F" w:rsidRPr="00BE2782" w:rsidRDefault="0047220F"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ADB</w:t>
            </w:r>
          </w:p>
        </w:tc>
        <w:tc>
          <w:tcPr>
            <w:tcW w:w="7455" w:type="dxa"/>
            <w:tcBorders>
              <w:top w:val="nil"/>
              <w:left w:val="nil"/>
              <w:bottom w:val="nil"/>
              <w:right w:val="nil"/>
            </w:tcBorders>
            <w:shd w:val="clear" w:color="auto" w:fill="FFFFFF" w:themeFill="background1"/>
          </w:tcPr>
          <w:p w14:paraId="0AA182F6" w14:textId="1596BFB0" w:rsidR="0047220F" w:rsidRPr="00BE2782" w:rsidRDefault="0047220F"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Asian Development Bank</w:t>
            </w:r>
          </w:p>
        </w:tc>
      </w:tr>
      <w:tr w:rsidR="008535FC" w:rsidRPr="00BE2782" w14:paraId="1C6FF1C7" w14:textId="77777777" w:rsidTr="006666FA">
        <w:trPr>
          <w:trHeight w:val="300"/>
        </w:trPr>
        <w:tc>
          <w:tcPr>
            <w:tcW w:w="1560" w:type="dxa"/>
            <w:tcBorders>
              <w:top w:val="nil"/>
              <w:left w:val="nil"/>
              <w:bottom w:val="nil"/>
              <w:right w:val="nil"/>
            </w:tcBorders>
            <w:shd w:val="clear" w:color="auto" w:fill="FFFFFF" w:themeFill="background1"/>
            <w:hideMark/>
          </w:tcPr>
          <w:p w14:paraId="2D516964"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ASI</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2744FB78"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Adam Smith International Australia Pty Ltd </w:t>
            </w:r>
          </w:p>
        </w:tc>
      </w:tr>
      <w:tr w:rsidR="009917DA" w:rsidRPr="00BE2782" w14:paraId="6BDF2398" w14:textId="77777777" w:rsidTr="006666FA">
        <w:trPr>
          <w:trHeight w:val="300"/>
        </w:trPr>
        <w:tc>
          <w:tcPr>
            <w:tcW w:w="1560" w:type="dxa"/>
            <w:tcBorders>
              <w:top w:val="nil"/>
              <w:left w:val="nil"/>
              <w:bottom w:val="nil"/>
              <w:right w:val="nil"/>
            </w:tcBorders>
            <w:shd w:val="clear" w:color="auto" w:fill="FFFFFF" w:themeFill="background1"/>
          </w:tcPr>
          <w:p w14:paraId="222F261A" w14:textId="0BDAB495" w:rsidR="009917DA" w:rsidRPr="00BE2782" w:rsidRDefault="009917DA"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ASIP-Gov</w:t>
            </w:r>
          </w:p>
        </w:tc>
        <w:tc>
          <w:tcPr>
            <w:tcW w:w="7455" w:type="dxa"/>
            <w:tcBorders>
              <w:top w:val="nil"/>
              <w:left w:val="nil"/>
              <w:bottom w:val="nil"/>
              <w:right w:val="nil"/>
            </w:tcBorders>
            <w:shd w:val="clear" w:color="auto" w:fill="FFFFFF" w:themeFill="background1"/>
          </w:tcPr>
          <w:p w14:paraId="05D5886B" w14:textId="09AAB76F" w:rsidR="009917DA" w:rsidRPr="00BE2782" w:rsidRDefault="009917DA"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 xml:space="preserve">Australia-Solomon Islands Partnership </w:t>
            </w:r>
            <w:r w:rsidR="00010638">
              <w:rPr>
                <w:rFonts w:ascii="Arial" w:eastAsia="Times New Roman" w:hAnsi="Arial" w:cs="Arial"/>
                <w:color w:val="auto"/>
                <w:szCs w:val="20"/>
              </w:rPr>
              <w:t>in</w:t>
            </w:r>
            <w:r>
              <w:rPr>
                <w:rFonts w:ascii="Arial" w:eastAsia="Times New Roman" w:hAnsi="Arial" w:cs="Arial"/>
                <w:color w:val="auto"/>
                <w:szCs w:val="20"/>
              </w:rPr>
              <w:t xml:space="preserve"> Governance</w:t>
            </w:r>
          </w:p>
        </w:tc>
      </w:tr>
      <w:tr w:rsidR="00EB0551" w:rsidRPr="00BE2782" w14:paraId="25464833" w14:textId="77777777" w:rsidTr="006666FA">
        <w:trPr>
          <w:trHeight w:val="300"/>
        </w:trPr>
        <w:tc>
          <w:tcPr>
            <w:tcW w:w="1560" w:type="dxa"/>
            <w:tcBorders>
              <w:top w:val="nil"/>
              <w:left w:val="nil"/>
              <w:bottom w:val="nil"/>
              <w:right w:val="nil"/>
            </w:tcBorders>
            <w:shd w:val="clear" w:color="auto" w:fill="FFFFFF" w:themeFill="background1"/>
          </w:tcPr>
          <w:p w14:paraId="1A994C45" w14:textId="76188F06" w:rsidR="00EB0551" w:rsidRPr="00BE2782" w:rsidRDefault="00EB0551"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AUD</w:t>
            </w:r>
          </w:p>
        </w:tc>
        <w:tc>
          <w:tcPr>
            <w:tcW w:w="7455" w:type="dxa"/>
            <w:tcBorders>
              <w:top w:val="nil"/>
              <w:left w:val="nil"/>
              <w:bottom w:val="nil"/>
              <w:right w:val="nil"/>
            </w:tcBorders>
            <w:shd w:val="clear" w:color="auto" w:fill="FFFFFF" w:themeFill="background1"/>
          </w:tcPr>
          <w:p w14:paraId="060FC006" w14:textId="22FA440E" w:rsidR="00EB0551" w:rsidRPr="00BE2782" w:rsidRDefault="00EB0551"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Australian Dollar</w:t>
            </w:r>
          </w:p>
        </w:tc>
      </w:tr>
      <w:tr w:rsidR="008535FC" w:rsidRPr="00BE2782" w14:paraId="0E170748" w14:textId="77777777" w:rsidTr="006666FA">
        <w:trPr>
          <w:trHeight w:val="300"/>
        </w:trPr>
        <w:tc>
          <w:tcPr>
            <w:tcW w:w="1560" w:type="dxa"/>
            <w:tcBorders>
              <w:top w:val="nil"/>
              <w:left w:val="nil"/>
              <w:bottom w:val="nil"/>
              <w:right w:val="nil"/>
            </w:tcBorders>
            <w:shd w:val="clear" w:color="auto" w:fill="FFFFFF" w:themeFill="background1"/>
            <w:hideMark/>
          </w:tcPr>
          <w:p w14:paraId="0D9B2834"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DFAT</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1461FC41"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Department of Foreign Affairs and Trade </w:t>
            </w:r>
          </w:p>
        </w:tc>
      </w:tr>
      <w:tr w:rsidR="008535FC" w:rsidRPr="00BE2782" w14:paraId="00D9C0A1" w14:textId="77777777" w:rsidTr="006666FA">
        <w:trPr>
          <w:trHeight w:val="300"/>
        </w:trPr>
        <w:tc>
          <w:tcPr>
            <w:tcW w:w="1560" w:type="dxa"/>
            <w:tcBorders>
              <w:top w:val="nil"/>
              <w:left w:val="nil"/>
              <w:bottom w:val="nil"/>
              <w:right w:val="nil"/>
            </w:tcBorders>
            <w:shd w:val="clear" w:color="auto" w:fill="FFFFFF" w:themeFill="background1"/>
            <w:hideMark/>
          </w:tcPr>
          <w:p w14:paraId="247F1B71"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EOPO</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3B4C8010"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000000"/>
                <w:szCs w:val="20"/>
                <w:shd w:val="clear" w:color="auto" w:fill="FFFFFF"/>
              </w:rPr>
              <w:t>End of Program Outcome</w:t>
            </w:r>
            <w:r w:rsidRPr="00BE2782">
              <w:rPr>
                <w:rFonts w:ascii="Arial" w:eastAsia="Times New Roman" w:hAnsi="Arial" w:cs="Arial"/>
                <w:color w:val="000000"/>
                <w:szCs w:val="20"/>
              </w:rPr>
              <w:t> </w:t>
            </w:r>
          </w:p>
        </w:tc>
      </w:tr>
      <w:tr w:rsidR="008535FC" w:rsidRPr="00BE2782" w14:paraId="6DAD8FF6" w14:textId="77777777" w:rsidTr="006666FA">
        <w:trPr>
          <w:trHeight w:val="300"/>
        </w:trPr>
        <w:tc>
          <w:tcPr>
            <w:tcW w:w="1560" w:type="dxa"/>
            <w:tcBorders>
              <w:top w:val="nil"/>
              <w:left w:val="nil"/>
              <w:bottom w:val="nil"/>
              <w:right w:val="nil"/>
            </w:tcBorders>
            <w:shd w:val="clear" w:color="auto" w:fill="FFFFFF" w:themeFill="background1"/>
            <w:hideMark/>
          </w:tcPr>
          <w:p w14:paraId="3CBF99A9"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FGD</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1D76B294" w14:textId="610C353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 xml:space="preserve">Focus </w:t>
            </w:r>
            <w:r w:rsidR="004B6908">
              <w:rPr>
                <w:rFonts w:ascii="Arial" w:eastAsia="Times New Roman" w:hAnsi="Arial" w:cs="Arial"/>
                <w:color w:val="auto"/>
                <w:szCs w:val="20"/>
              </w:rPr>
              <w:t>g</w:t>
            </w:r>
            <w:r w:rsidRPr="00BE2782">
              <w:rPr>
                <w:rFonts w:ascii="Arial" w:eastAsia="Times New Roman" w:hAnsi="Arial" w:cs="Arial"/>
                <w:color w:val="auto"/>
                <w:szCs w:val="20"/>
              </w:rPr>
              <w:t xml:space="preserve">roup </w:t>
            </w:r>
            <w:r w:rsidR="004B6908">
              <w:rPr>
                <w:rFonts w:ascii="Arial" w:eastAsia="Times New Roman" w:hAnsi="Arial" w:cs="Arial"/>
                <w:color w:val="auto"/>
                <w:szCs w:val="20"/>
              </w:rPr>
              <w:t>d</w:t>
            </w:r>
            <w:r w:rsidRPr="00BE2782">
              <w:rPr>
                <w:rFonts w:ascii="Arial" w:eastAsia="Times New Roman" w:hAnsi="Arial" w:cs="Arial"/>
                <w:color w:val="auto"/>
                <w:szCs w:val="20"/>
              </w:rPr>
              <w:t>iscussion </w:t>
            </w:r>
          </w:p>
        </w:tc>
      </w:tr>
      <w:tr w:rsidR="00415CFA" w:rsidRPr="00BE2782" w14:paraId="56A67F1F" w14:textId="77777777" w:rsidTr="006666FA">
        <w:trPr>
          <w:trHeight w:val="300"/>
        </w:trPr>
        <w:tc>
          <w:tcPr>
            <w:tcW w:w="1560" w:type="dxa"/>
            <w:tcBorders>
              <w:top w:val="nil"/>
              <w:left w:val="nil"/>
              <w:bottom w:val="nil"/>
              <w:right w:val="nil"/>
            </w:tcBorders>
            <w:shd w:val="clear" w:color="auto" w:fill="FFFFFF" w:themeFill="background1"/>
          </w:tcPr>
          <w:p w14:paraId="1D809C86" w14:textId="4B55A8C9" w:rsidR="00415CFA" w:rsidRPr="00BE2782" w:rsidRDefault="00415CFA"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FTE</w:t>
            </w:r>
          </w:p>
        </w:tc>
        <w:tc>
          <w:tcPr>
            <w:tcW w:w="7455" w:type="dxa"/>
            <w:tcBorders>
              <w:top w:val="nil"/>
              <w:left w:val="nil"/>
              <w:bottom w:val="nil"/>
              <w:right w:val="nil"/>
            </w:tcBorders>
            <w:shd w:val="clear" w:color="auto" w:fill="FFFFFF" w:themeFill="background1"/>
          </w:tcPr>
          <w:p w14:paraId="6A01805E" w14:textId="2B0E0F0B" w:rsidR="00415CFA" w:rsidRPr="00BE2782" w:rsidRDefault="00415CFA"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 xml:space="preserve">Full </w:t>
            </w:r>
            <w:r w:rsidR="004B6908">
              <w:rPr>
                <w:rFonts w:ascii="Arial" w:eastAsia="Times New Roman" w:hAnsi="Arial" w:cs="Arial"/>
                <w:color w:val="auto"/>
                <w:szCs w:val="20"/>
              </w:rPr>
              <w:t>t</w:t>
            </w:r>
            <w:r>
              <w:rPr>
                <w:rFonts w:ascii="Arial" w:eastAsia="Times New Roman" w:hAnsi="Arial" w:cs="Arial"/>
                <w:color w:val="auto"/>
                <w:szCs w:val="20"/>
              </w:rPr>
              <w:t xml:space="preserve">ime </w:t>
            </w:r>
            <w:r w:rsidR="004B6908">
              <w:rPr>
                <w:rFonts w:ascii="Arial" w:eastAsia="Times New Roman" w:hAnsi="Arial" w:cs="Arial"/>
                <w:color w:val="auto"/>
                <w:szCs w:val="20"/>
              </w:rPr>
              <w:t>e</w:t>
            </w:r>
            <w:r>
              <w:rPr>
                <w:rFonts w:ascii="Arial" w:eastAsia="Times New Roman" w:hAnsi="Arial" w:cs="Arial"/>
                <w:color w:val="auto"/>
                <w:szCs w:val="20"/>
              </w:rPr>
              <w:t>quivalent</w:t>
            </w:r>
          </w:p>
        </w:tc>
      </w:tr>
      <w:tr w:rsidR="008535FC" w:rsidRPr="00BE2782" w14:paraId="0B3E0076" w14:textId="77777777" w:rsidTr="006666FA">
        <w:trPr>
          <w:trHeight w:val="300"/>
        </w:trPr>
        <w:tc>
          <w:tcPr>
            <w:tcW w:w="1560" w:type="dxa"/>
            <w:tcBorders>
              <w:top w:val="nil"/>
              <w:left w:val="nil"/>
              <w:bottom w:val="nil"/>
              <w:right w:val="nil"/>
            </w:tcBorders>
            <w:shd w:val="clear" w:color="auto" w:fill="FFFFFF" w:themeFill="background1"/>
            <w:hideMark/>
          </w:tcPr>
          <w:p w14:paraId="3678B30C"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GBV</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4F79B5BD" w14:textId="45077584"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000000"/>
                <w:szCs w:val="20"/>
                <w:shd w:val="clear" w:color="auto" w:fill="FFFFFF"/>
              </w:rPr>
              <w:t xml:space="preserve">Gender </w:t>
            </w:r>
            <w:r w:rsidR="00360527">
              <w:rPr>
                <w:rFonts w:ascii="Arial" w:eastAsia="Times New Roman" w:hAnsi="Arial" w:cs="Arial"/>
                <w:color w:val="000000"/>
                <w:szCs w:val="20"/>
                <w:shd w:val="clear" w:color="auto" w:fill="FFFFFF"/>
              </w:rPr>
              <w:t>b</w:t>
            </w:r>
            <w:r w:rsidRPr="00BE2782">
              <w:rPr>
                <w:rFonts w:ascii="Arial" w:eastAsia="Times New Roman" w:hAnsi="Arial" w:cs="Arial"/>
                <w:color w:val="000000"/>
                <w:szCs w:val="20"/>
                <w:shd w:val="clear" w:color="auto" w:fill="FFFFFF"/>
              </w:rPr>
              <w:t xml:space="preserve">ased </w:t>
            </w:r>
            <w:r w:rsidR="00360527">
              <w:rPr>
                <w:rFonts w:ascii="Arial" w:eastAsia="Times New Roman" w:hAnsi="Arial" w:cs="Arial"/>
                <w:color w:val="000000"/>
                <w:szCs w:val="20"/>
                <w:shd w:val="clear" w:color="auto" w:fill="FFFFFF"/>
              </w:rPr>
              <w:t>v</w:t>
            </w:r>
            <w:r w:rsidRPr="00BE2782">
              <w:rPr>
                <w:rFonts w:ascii="Arial" w:eastAsia="Times New Roman" w:hAnsi="Arial" w:cs="Arial"/>
                <w:color w:val="000000"/>
                <w:szCs w:val="20"/>
                <w:shd w:val="clear" w:color="auto" w:fill="FFFFFF"/>
              </w:rPr>
              <w:t>iolence</w:t>
            </w:r>
            <w:r w:rsidRPr="00BE2782">
              <w:rPr>
                <w:rFonts w:ascii="Arial" w:eastAsia="Times New Roman" w:hAnsi="Arial" w:cs="Arial"/>
                <w:color w:val="000000"/>
                <w:szCs w:val="20"/>
              </w:rPr>
              <w:t> </w:t>
            </w:r>
          </w:p>
        </w:tc>
      </w:tr>
      <w:tr w:rsidR="008535FC" w:rsidRPr="00BE2782" w14:paraId="72DA2266" w14:textId="77777777" w:rsidTr="006666FA">
        <w:trPr>
          <w:trHeight w:val="300"/>
        </w:trPr>
        <w:tc>
          <w:tcPr>
            <w:tcW w:w="1560" w:type="dxa"/>
            <w:tcBorders>
              <w:top w:val="nil"/>
              <w:left w:val="nil"/>
              <w:bottom w:val="nil"/>
              <w:right w:val="nil"/>
            </w:tcBorders>
            <w:shd w:val="clear" w:color="auto" w:fill="FFFFFF" w:themeFill="background1"/>
            <w:hideMark/>
          </w:tcPr>
          <w:p w14:paraId="64A45873"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GEDSI</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0FE22CB7" w14:textId="3FD8216A"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000000"/>
                <w:szCs w:val="20"/>
                <w:shd w:val="clear" w:color="auto" w:fill="FFFFFF"/>
              </w:rPr>
              <w:t xml:space="preserve">Gender </w:t>
            </w:r>
            <w:r w:rsidR="00360527">
              <w:rPr>
                <w:rFonts w:ascii="Arial" w:eastAsia="Times New Roman" w:hAnsi="Arial" w:cs="Arial"/>
                <w:color w:val="000000"/>
                <w:szCs w:val="20"/>
                <w:shd w:val="clear" w:color="auto" w:fill="FFFFFF"/>
              </w:rPr>
              <w:t>e</w:t>
            </w:r>
            <w:r w:rsidRPr="00BE2782">
              <w:rPr>
                <w:rFonts w:ascii="Arial" w:eastAsia="Times New Roman" w:hAnsi="Arial" w:cs="Arial"/>
                <w:color w:val="000000"/>
                <w:szCs w:val="20"/>
                <w:shd w:val="clear" w:color="auto" w:fill="FFFFFF"/>
              </w:rPr>
              <w:t xml:space="preserve">quality, </w:t>
            </w:r>
            <w:r w:rsidR="00360527">
              <w:rPr>
                <w:rFonts w:ascii="Arial" w:eastAsia="Times New Roman" w:hAnsi="Arial" w:cs="Arial"/>
                <w:color w:val="000000"/>
                <w:szCs w:val="20"/>
                <w:shd w:val="clear" w:color="auto" w:fill="FFFFFF"/>
              </w:rPr>
              <w:t>d</w:t>
            </w:r>
            <w:r w:rsidRPr="00BE2782">
              <w:rPr>
                <w:rFonts w:ascii="Arial" w:eastAsia="Times New Roman" w:hAnsi="Arial" w:cs="Arial"/>
                <w:color w:val="000000"/>
                <w:szCs w:val="20"/>
                <w:shd w:val="clear" w:color="auto" w:fill="FFFFFF"/>
              </w:rPr>
              <w:t xml:space="preserve">isability and </w:t>
            </w:r>
            <w:r w:rsidR="00360527">
              <w:rPr>
                <w:rFonts w:ascii="Arial" w:eastAsia="Times New Roman" w:hAnsi="Arial" w:cs="Arial"/>
                <w:color w:val="000000"/>
                <w:szCs w:val="20"/>
                <w:shd w:val="clear" w:color="auto" w:fill="FFFFFF"/>
              </w:rPr>
              <w:t>s</w:t>
            </w:r>
            <w:r w:rsidRPr="00BE2782">
              <w:rPr>
                <w:rFonts w:ascii="Arial" w:eastAsia="Times New Roman" w:hAnsi="Arial" w:cs="Arial"/>
                <w:color w:val="000000"/>
                <w:szCs w:val="20"/>
                <w:shd w:val="clear" w:color="auto" w:fill="FFFFFF"/>
              </w:rPr>
              <w:t xml:space="preserve">ocial </w:t>
            </w:r>
            <w:r w:rsidR="00360527">
              <w:rPr>
                <w:rFonts w:ascii="Arial" w:eastAsia="Times New Roman" w:hAnsi="Arial" w:cs="Arial"/>
                <w:color w:val="000000"/>
                <w:szCs w:val="20"/>
                <w:shd w:val="clear" w:color="auto" w:fill="FFFFFF"/>
              </w:rPr>
              <w:t>i</w:t>
            </w:r>
            <w:r w:rsidRPr="00BE2782">
              <w:rPr>
                <w:rFonts w:ascii="Arial" w:eastAsia="Times New Roman" w:hAnsi="Arial" w:cs="Arial"/>
                <w:color w:val="000000"/>
                <w:szCs w:val="20"/>
                <w:shd w:val="clear" w:color="auto" w:fill="FFFFFF"/>
              </w:rPr>
              <w:t>nclusion</w:t>
            </w:r>
            <w:r w:rsidRPr="00BE2782">
              <w:rPr>
                <w:rFonts w:ascii="Arial" w:eastAsia="Times New Roman" w:hAnsi="Arial" w:cs="Arial"/>
                <w:color w:val="000000"/>
                <w:szCs w:val="20"/>
              </w:rPr>
              <w:t> </w:t>
            </w:r>
          </w:p>
        </w:tc>
      </w:tr>
      <w:tr w:rsidR="008535FC" w:rsidRPr="00BE2782" w14:paraId="1CD920D3" w14:textId="77777777" w:rsidTr="006666FA">
        <w:trPr>
          <w:trHeight w:val="300"/>
        </w:trPr>
        <w:tc>
          <w:tcPr>
            <w:tcW w:w="1560" w:type="dxa"/>
            <w:tcBorders>
              <w:top w:val="nil"/>
              <w:left w:val="nil"/>
              <w:bottom w:val="nil"/>
              <w:right w:val="nil"/>
            </w:tcBorders>
            <w:shd w:val="clear" w:color="auto" w:fill="FFFFFF" w:themeFill="background1"/>
            <w:hideMark/>
          </w:tcPr>
          <w:p w14:paraId="35668C8E"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KEQ</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3A2AF3D6"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Key Evaluation Question </w:t>
            </w:r>
          </w:p>
        </w:tc>
      </w:tr>
      <w:tr w:rsidR="000706CC" w:rsidRPr="00BE2782" w14:paraId="54A7E891" w14:textId="77777777" w:rsidTr="006666FA">
        <w:trPr>
          <w:trHeight w:val="300"/>
        </w:trPr>
        <w:tc>
          <w:tcPr>
            <w:tcW w:w="1560" w:type="dxa"/>
            <w:tcBorders>
              <w:top w:val="nil"/>
              <w:left w:val="nil"/>
              <w:bottom w:val="nil"/>
              <w:right w:val="nil"/>
            </w:tcBorders>
            <w:shd w:val="clear" w:color="auto" w:fill="FFFFFF" w:themeFill="background1"/>
          </w:tcPr>
          <w:p w14:paraId="2F02915A" w14:textId="171B7E8F" w:rsidR="000706CC" w:rsidRPr="00BE2782" w:rsidRDefault="000706CC"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KFPL</w:t>
            </w:r>
          </w:p>
        </w:tc>
        <w:tc>
          <w:tcPr>
            <w:tcW w:w="7455" w:type="dxa"/>
            <w:tcBorders>
              <w:top w:val="nil"/>
              <w:left w:val="nil"/>
              <w:bottom w:val="nil"/>
              <w:right w:val="nil"/>
            </w:tcBorders>
            <w:shd w:val="clear" w:color="auto" w:fill="FFFFFF" w:themeFill="background1"/>
          </w:tcPr>
          <w:p w14:paraId="108EE305" w14:textId="2942FD71" w:rsidR="000706CC" w:rsidRPr="00BE2782" w:rsidRDefault="000706CC"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Kolombangara Forest Products Limited</w:t>
            </w:r>
          </w:p>
        </w:tc>
      </w:tr>
      <w:tr w:rsidR="008535FC" w:rsidRPr="00BE2782" w14:paraId="35186075" w14:textId="77777777" w:rsidTr="006666FA">
        <w:trPr>
          <w:trHeight w:val="300"/>
        </w:trPr>
        <w:tc>
          <w:tcPr>
            <w:tcW w:w="1560" w:type="dxa"/>
            <w:tcBorders>
              <w:top w:val="nil"/>
              <w:left w:val="nil"/>
              <w:bottom w:val="nil"/>
              <w:right w:val="nil"/>
            </w:tcBorders>
            <w:shd w:val="clear" w:color="auto" w:fill="FFFFFF" w:themeFill="background1"/>
            <w:hideMark/>
          </w:tcPr>
          <w:p w14:paraId="50CD0E73" w14:textId="14FB2565"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K</w:t>
            </w:r>
            <w:r w:rsidR="003433AA">
              <w:rPr>
                <w:rFonts w:ascii="Arial" w:eastAsia="Times New Roman" w:hAnsi="Arial" w:cs="Arial"/>
                <w:b/>
                <w:bCs/>
                <w:color w:val="1D336D"/>
                <w:szCs w:val="20"/>
              </w:rPr>
              <w:t>II</w:t>
            </w:r>
          </w:p>
        </w:tc>
        <w:tc>
          <w:tcPr>
            <w:tcW w:w="7455" w:type="dxa"/>
            <w:tcBorders>
              <w:top w:val="nil"/>
              <w:left w:val="nil"/>
              <w:bottom w:val="nil"/>
              <w:right w:val="nil"/>
            </w:tcBorders>
            <w:shd w:val="clear" w:color="auto" w:fill="FFFFFF" w:themeFill="background1"/>
            <w:hideMark/>
          </w:tcPr>
          <w:p w14:paraId="65B03CC6" w14:textId="662258CA"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000000"/>
                <w:szCs w:val="20"/>
                <w:shd w:val="clear" w:color="auto" w:fill="FFFFFF"/>
              </w:rPr>
              <w:t xml:space="preserve">Key </w:t>
            </w:r>
            <w:r w:rsidR="004B6908">
              <w:rPr>
                <w:rFonts w:ascii="Arial" w:eastAsia="Times New Roman" w:hAnsi="Arial" w:cs="Arial"/>
                <w:color w:val="000000"/>
                <w:szCs w:val="20"/>
                <w:shd w:val="clear" w:color="auto" w:fill="FFFFFF"/>
              </w:rPr>
              <w:t>i</w:t>
            </w:r>
            <w:r w:rsidRPr="00BE2782">
              <w:rPr>
                <w:rFonts w:ascii="Arial" w:eastAsia="Times New Roman" w:hAnsi="Arial" w:cs="Arial"/>
                <w:color w:val="000000"/>
                <w:szCs w:val="20"/>
                <w:shd w:val="clear" w:color="auto" w:fill="FFFFFF"/>
              </w:rPr>
              <w:t xml:space="preserve">nformant </w:t>
            </w:r>
            <w:r w:rsidR="004B6908">
              <w:rPr>
                <w:rFonts w:ascii="Arial" w:eastAsia="Times New Roman" w:hAnsi="Arial" w:cs="Arial"/>
                <w:color w:val="000000"/>
                <w:szCs w:val="20"/>
                <w:shd w:val="clear" w:color="auto" w:fill="FFFFFF"/>
              </w:rPr>
              <w:t>i</w:t>
            </w:r>
            <w:r w:rsidRPr="00BE2782">
              <w:rPr>
                <w:rFonts w:ascii="Arial" w:eastAsia="Times New Roman" w:hAnsi="Arial" w:cs="Arial"/>
                <w:color w:val="000000"/>
                <w:szCs w:val="20"/>
                <w:shd w:val="clear" w:color="auto" w:fill="FFFFFF"/>
              </w:rPr>
              <w:t>nterview</w:t>
            </w:r>
            <w:r w:rsidRPr="00BE2782">
              <w:rPr>
                <w:rFonts w:ascii="Arial" w:eastAsia="Times New Roman" w:hAnsi="Arial" w:cs="Arial"/>
                <w:color w:val="000000"/>
                <w:szCs w:val="20"/>
              </w:rPr>
              <w:t> </w:t>
            </w:r>
          </w:p>
        </w:tc>
      </w:tr>
      <w:tr w:rsidR="005A42F2" w:rsidRPr="00BE2782" w14:paraId="6694F1D6" w14:textId="77777777" w:rsidTr="006666FA">
        <w:trPr>
          <w:trHeight w:val="300"/>
        </w:trPr>
        <w:tc>
          <w:tcPr>
            <w:tcW w:w="1560" w:type="dxa"/>
            <w:tcBorders>
              <w:top w:val="nil"/>
              <w:left w:val="nil"/>
              <w:bottom w:val="nil"/>
              <w:right w:val="nil"/>
            </w:tcBorders>
            <w:shd w:val="clear" w:color="auto" w:fill="FFFFFF" w:themeFill="background1"/>
          </w:tcPr>
          <w:p w14:paraId="6344F01D" w14:textId="6C06E62F" w:rsidR="005A42F2" w:rsidRPr="00BE2782" w:rsidRDefault="005A42F2"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KPSI</w:t>
            </w:r>
          </w:p>
        </w:tc>
        <w:tc>
          <w:tcPr>
            <w:tcW w:w="7455" w:type="dxa"/>
            <w:tcBorders>
              <w:top w:val="nil"/>
              <w:left w:val="nil"/>
              <w:bottom w:val="nil"/>
              <w:right w:val="nil"/>
            </w:tcBorders>
            <w:shd w:val="clear" w:color="auto" w:fill="FFFFFF" w:themeFill="background1"/>
          </w:tcPr>
          <w:p w14:paraId="66BC7302" w14:textId="68987D57" w:rsidR="005A42F2" w:rsidRPr="00BE2782" w:rsidRDefault="005A42F2" w:rsidP="00A454A2">
            <w:pPr>
              <w:spacing w:after="0" w:line="240" w:lineRule="auto"/>
              <w:ind w:right="-45"/>
              <w:textAlignment w:val="baseline"/>
              <w:rPr>
                <w:rFonts w:ascii="Arial" w:eastAsia="Times New Roman" w:hAnsi="Arial" w:cs="Arial"/>
                <w:color w:val="000000"/>
                <w:szCs w:val="20"/>
                <w:shd w:val="clear" w:color="auto" w:fill="FFFFFF"/>
              </w:rPr>
            </w:pPr>
            <w:r>
              <w:rPr>
                <w:rFonts w:ascii="Arial" w:eastAsia="Times New Roman" w:hAnsi="Arial" w:cs="Arial"/>
                <w:color w:val="000000"/>
                <w:szCs w:val="20"/>
                <w:shd w:val="clear" w:color="auto" w:fill="FFFFFF"/>
              </w:rPr>
              <w:t>Kokonut Pacific Solomon Islands</w:t>
            </w:r>
          </w:p>
        </w:tc>
      </w:tr>
      <w:tr w:rsidR="008535FC" w:rsidRPr="00BE2782" w14:paraId="07552432" w14:textId="77777777" w:rsidTr="006666FA">
        <w:trPr>
          <w:trHeight w:val="300"/>
        </w:trPr>
        <w:tc>
          <w:tcPr>
            <w:tcW w:w="1560" w:type="dxa"/>
            <w:tcBorders>
              <w:top w:val="nil"/>
              <w:left w:val="nil"/>
              <w:bottom w:val="nil"/>
              <w:right w:val="nil"/>
            </w:tcBorders>
            <w:shd w:val="clear" w:color="auto" w:fill="FFFFFF" w:themeFill="background1"/>
            <w:hideMark/>
          </w:tcPr>
          <w:p w14:paraId="03392AE5"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MAL</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432F441F"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Ministry of Agriculture and Livestock </w:t>
            </w:r>
          </w:p>
        </w:tc>
      </w:tr>
      <w:tr w:rsidR="008535FC" w:rsidRPr="00BE2782" w14:paraId="0F502F32" w14:textId="77777777" w:rsidTr="006666FA">
        <w:trPr>
          <w:trHeight w:val="300"/>
        </w:trPr>
        <w:tc>
          <w:tcPr>
            <w:tcW w:w="1560" w:type="dxa"/>
            <w:tcBorders>
              <w:top w:val="nil"/>
              <w:left w:val="nil"/>
              <w:bottom w:val="nil"/>
              <w:right w:val="nil"/>
            </w:tcBorders>
            <w:shd w:val="clear" w:color="auto" w:fill="FFFFFF" w:themeFill="background1"/>
            <w:hideMark/>
          </w:tcPr>
          <w:p w14:paraId="685A4EDB"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MCILI</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6B900657"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Ministry of Commerce, Industry, Labour, and Immigration </w:t>
            </w:r>
          </w:p>
        </w:tc>
      </w:tr>
      <w:tr w:rsidR="008535FC" w:rsidRPr="00BE2782" w14:paraId="06AD0354" w14:textId="77777777" w:rsidTr="006666FA">
        <w:trPr>
          <w:trHeight w:val="300"/>
        </w:trPr>
        <w:tc>
          <w:tcPr>
            <w:tcW w:w="1560" w:type="dxa"/>
            <w:tcBorders>
              <w:top w:val="nil"/>
              <w:left w:val="nil"/>
              <w:bottom w:val="nil"/>
              <w:right w:val="nil"/>
            </w:tcBorders>
            <w:shd w:val="clear" w:color="auto" w:fill="FFFFFF" w:themeFill="background1"/>
            <w:hideMark/>
          </w:tcPr>
          <w:p w14:paraId="122F40BF"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MCT</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39D39FFA"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Ministry of Culture and Tourism </w:t>
            </w:r>
          </w:p>
        </w:tc>
      </w:tr>
      <w:tr w:rsidR="00AB73F4" w:rsidRPr="00BE2782" w14:paraId="20387E48" w14:textId="77777777" w:rsidTr="006666FA">
        <w:trPr>
          <w:trHeight w:val="300"/>
        </w:trPr>
        <w:tc>
          <w:tcPr>
            <w:tcW w:w="1560" w:type="dxa"/>
            <w:tcBorders>
              <w:top w:val="nil"/>
              <w:left w:val="nil"/>
              <w:bottom w:val="nil"/>
              <w:right w:val="nil"/>
            </w:tcBorders>
            <w:shd w:val="clear" w:color="auto" w:fill="FFFFFF" w:themeFill="background1"/>
          </w:tcPr>
          <w:p w14:paraId="1FCBACFB" w14:textId="6A96003F" w:rsidR="00AB73F4" w:rsidRPr="00BE2782" w:rsidRDefault="00AB73F4"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M&amp;E</w:t>
            </w:r>
          </w:p>
        </w:tc>
        <w:tc>
          <w:tcPr>
            <w:tcW w:w="7455" w:type="dxa"/>
            <w:tcBorders>
              <w:top w:val="nil"/>
              <w:left w:val="nil"/>
              <w:bottom w:val="nil"/>
              <w:right w:val="nil"/>
            </w:tcBorders>
            <w:shd w:val="clear" w:color="auto" w:fill="FFFFFF" w:themeFill="background1"/>
          </w:tcPr>
          <w:p w14:paraId="63B7E0D0" w14:textId="296526DE" w:rsidR="00AB73F4" w:rsidRPr="00BE2782" w:rsidRDefault="00AB73F4"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Monitoring and Evaluation</w:t>
            </w:r>
          </w:p>
        </w:tc>
      </w:tr>
      <w:tr w:rsidR="008535FC" w:rsidRPr="00BE2782" w14:paraId="003959B4" w14:textId="77777777" w:rsidTr="006666FA">
        <w:trPr>
          <w:trHeight w:val="300"/>
        </w:trPr>
        <w:tc>
          <w:tcPr>
            <w:tcW w:w="1560" w:type="dxa"/>
            <w:tcBorders>
              <w:top w:val="nil"/>
              <w:left w:val="nil"/>
              <w:bottom w:val="nil"/>
              <w:right w:val="nil"/>
            </w:tcBorders>
            <w:shd w:val="clear" w:color="auto" w:fill="FFFFFF" w:themeFill="background1"/>
            <w:hideMark/>
          </w:tcPr>
          <w:p w14:paraId="36656843"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MECDM</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6B5D9566"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Ministry of Environment, Climate Change, Disaster Management and Meteorology </w:t>
            </w:r>
          </w:p>
        </w:tc>
      </w:tr>
      <w:tr w:rsidR="008535FC" w:rsidRPr="00BE2782" w14:paraId="6261843E" w14:textId="77777777" w:rsidTr="006666FA">
        <w:trPr>
          <w:trHeight w:val="300"/>
        </w:trPr>
        <w:tc>
          <w:tcPr>
            <w:tcW w:w="1560" w:type="dxa"/>
            <w:tcBorders>
              <w:top w:val="nil"/>
              <w:left w:val="nil"/>
              <w:bottom w:val="nil"/>
              <w:right w:val="nil"/>
            </w:tcBorders>
            <w:shd w:val="clear" w:color="auto" w:fill="FFFFFF" w:themeFill="background1"/>
            <w:hideMark/>
          </w:tcPr>
          <w:p w14:paraId="3332F461" w14:textId="01AEDF04"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M</w:t>
            </w:r>
            <w:r w:rsidR="00256AB4">
              <w:rPr>
                <w:rFonts w:ascii="Arial" w:eastAsia="Times New Roman" w:hAnsi="Arial" w:cs="Arial"/>
                <w:b/>
                <w:bCs/>
                <w:color w:val="1D336D"/>
                <w:szCs w:val="20"/>
              </w:rPr>
              <w:t>RM</w:t>
            </w:r>
          </w:p>
        </w:tc>
        <w:tc>
          <w:tcPr>
            <w:tcW w:w="7455" w:type="dxa"/>
            <w:tcBorders>
              <w:top w:val="nil"/>
              <w:left w:val="nil"/>
              <w:bottom w:val="nil"/>
              <w:right w:val="nil"/>
            </w:tcBorders>
            <w:shd w:val="clear" w:color="auto" w:fill="FFFFFF" w:themeFill="background1"/>
            <w:hideMark/>
          </w:tcPr>
          <w:p w14:paraId="44D60A9A" w14:textId="649DB180"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Monitoring</w:t>
            </w:r>
            <w:r w:rsidR="003433AA">
              <w:rPr>
                <w:rFonts w:ascii="Arial" w:eastAsia="Times New Roman" w:hAnsi="Arial" w:cs="Arial"/>
                <w:color w:val="auto"/>
                <w:szCs w:val="20"/>
              </w:rPr>
              <w:t xml:space="preserve"> and Results Measurement </w:t>
            </w:r>
            <w:r w:rsidRPr="00BE2782">
              <w:rPr>
                <w:rFonts w:ascii="Arial" w:eastAsia="Times New Roman" w:hAnsi="Arial" w:cs="Arial"/>
                <w:color w:val="auto"/>
                <w:szCs w:val="20"/>
              </w:rPr>
              <w:t> </w:t>
            </w:r>
          </w:p>
        </w:tc>
      </w:tr>
      <w:tr w:rsidR="00124804" w:rsidRPr="00BE2782" w14:paraId="0AC2E23A" w14:textId="77777777" w:rsidTr="006666FA">
        <w:trPr>
          <w:trHeight w:val="300"/>
        </w:trPr>
        <w:tc>
          <w:tcPr>
            <w:tcW w:w="1560" w:type="dxa"/>
            <w:tcBorders>
              <w:top w:val="nil"/>
              <w:left w:val="nil"/>
              <w:bottom w:val="nil"/>
              <w:right w:val="nil"/>
            </w:tcBorders>
            <w:shd w:val="clear" w:color="auto" w:fill="FFFFFF" w:themeFill="background1"/>
          </w:tcPr>
          <w:p w14:paraId="3D5D1A97" w14:textId="58814B63" w:rsidR="00124804" w:rsidRPr="00BE2782" w:rsidRDefault="00124804"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MSD</w:t>
            </w:r>
          </w:p>
        </w:tc>
        <w:tc>
          <w:tcPr>
            <w:tcW w:w="7455" w:type="dxa"/>
            <w:tcBorders>
              <w:top w:val="nil"/>
              <w:left w:val="nil"/>
              <w:bottom w:val="nil"/>
              <w:right w:val="nil"/>
            </w:tcBorders>
            <w:shd w:val="clear" w:color="auto" w:fill="FFFFFF" w:themeFill="background1"/>
          </w:tcPr>
          <w:p w14:paraId="37D1E820" w14:textId="4F7BADA5" w:rsidR="00124804" w:rsidRPr="00BE2782" w:rsidRDefault="00124804"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Market Systems Development</w:t>
            </w:r>
          </w:p>
        </w:tc>
      </w:tr>
      <w:tr w:rsidR="001A25D6" w:rsidRPr="00BE2782" w14:paraId="1DD6664B" w14:textId="77777777" w:rsidTr="006666FA">
        <w:trPr>
          <w:trHeight w:val="300"/>
        </w:trPr>
        <w:tc>
          <w:tcPr>
            <w:tcW w:w="1560" w:type="dxa"/>
            <w:tcBorders>
              <w:top w:val="nil"/>
              <w:left w:val="nil"/>
              <w:bottom w:val="nil"/>
              <w:right w:val="nil"/>
            </w:tcBorders>
            <w:shd w:val="clear" w:color="auto" w:fill="FFFFFF" w:themeFill="background1"/>
          </w:tcPr>
          <w:p w14:paraId="2F54C4EC" w14:textId="6FB14F21" w:rsidR="001A25D6" w:rsidRDefault="001A25D6"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MSME</w:t>
            </w:r>
          </w:p>
        </w:tc>
        <w:tc>
          <w:tcPr>
            <w:tcW w:w="7455" w:type="dxa"/>
            <w:tcBorders>
              <w:top w:val="nil"/>
              <w:left w:val="nil"/>
              <w:bottom w:val="nil"/>
              <w:right w:val="nil"/>
            </w:tcBorders>
            <w:shd w:val="clear" w:color="auto" w:fill="FFFFFF" w:themeFill="background1"/>
          </w:tcPr>
          <w:p w14:paraId="62136A00" w14:textId="4AD39D31" w:rsidR="001A25D6" w:rsidRDefault="001A25D6"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Micro and Small-Medium Enterprises</w:t>
            </w:r>
          </w:p>
        </w:tc>
      </w:tr>
      <w:tr w:rsidR="008535FC" w:rsidRPr="00BE2782" w14:paraId="69233DA2" w14:textId="77777777" w:rsidTr="006666FA">
        <w:trPr>
          <w:trHeight w:val="300"/>
        </w:trPr>
        <w:tc>
          <w:tcPr>
            <w:tcW w:w="1560" w:type="dxa"/>
            <w:tcBorders>
              <w:top w:val="nil"/>
              <w:left w:val="nil"/>
              <w:bottom w:val="nil"/>
              <w:right w:val="nil"/>
            </w:tcBorders>
            <w:shd w:val="clear" w:color="auto" w:fill="FFFFFF" w:themeFill="background1"/>
            <w:hideMark/>
          </w:tcPr>
          <w:p w14:paraId="10C81EEB"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MWYCFA</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6856E886"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Ministry of Women, Youth, Children and Family Affairs </w:t>
            </w:r>
          </w:p>
        </w:tc>
      </w:tr>
      <w:tr w:rsidR="00B81068" w:rsidRPr="00BE2782" w14:paraId="42446380" w14:textId="77777777" w:rsidTr="006666FA">
        <w:trPr>
          <w:trHeight w:val="300"/>
        </w:trPr>
        <w:tc>
          <w:tcPr>
            <w:tcW w:w="1560" w:type="dxa"/>
            <w:tcBorders>
              <w:top w:val="nil"/>
              <w:left w:val="nil"/>
              <w:bottom w:val="nil"/>
              <w:right w:val="nil"/>
            </w:tcBorders>
            <w:shd w:val="clear" w:color="auto" w:fill="FFFFFF" w:themeFill="background1"/>
          </w:tcPr>
          <w:p w14:paraId="6BDCBE16" w14:textId="1C47DC68" w:rsidR="00B81068" w:rsidRPr="00BE2782" w:rsidRDefault="00B81068"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NWGDA</w:t>
            </w:r>
          </w:p>
        </w:tc>
        <w:tc>
          <w:tcPr>
            <w:tcW w:w="7455" w:type="dxa"/>
            <w:tcBorders>
              <w:top w:val="nil"/>
              <w:left w:val="nil"/>
              <w:bottom w:val="nil"/>
              <w:right w:val="nil"/>
            </w:tcBorders>
            <w:shd w:val="clear" w:color="auto" w:fill="FFFFFF" w:themeFill="background1"/>
          </w:tcPr>
          <w:p w14:paraId="0E753A25" w14:textId="327A7956" w:rsidR="00B81068" w:rsidRPr="00BE2782" w:rsidRDefault="00B81068"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North West Guadalcanal Development Association</w:t>
            </w:r>
          </w:p>
        </w:tc>
      </w:tr>
      <w:tr w:rsidR="00D1112E" w:rsidRPr="00BE2782" w14:paraId="4BBC5ED4" w14:textId="77777777" w:rsidTr="006666FA">
        <w:trPr>
          <w:trHeight w:val="300"/>
        </w:trPr>
        <w:tc>
          <w:tcPr>
            <w:tcW w:w="1560" w:type="dxa"/>
            <w:tcBorders>
              <w:top w:val="nil"/>
              <w:left w:val="nil"/>
              <w:bottom w:val="nil"/>
              <w:right w:val="nil"/>
            </w:tcBorders>
            <w:shd w:val="clear" w:color="auto" w:fill="FFFFFF" w:themeFill="background1"/>
          </w:tcPr>
          <w:p w14:paraId="25E71EA5" w14:textId="31C4EF91" w:rsidR="00D1112E" w:rsidRDefault="00D1112E"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PALM</w:t>
            </w:r>
          </w:p>
        </w:tc>
        <w:tc>
          <w:tcPr>
            <w:tcW w:w="7455" w:type="dxa"/>
            <w:tcBorders>
              <w:top w:val="nil"/>
              <w:left w:val="nil"/>
              <w:bottom w:val="nil"/>
              <w:right w:val="nil"/>
            </w:tcBorders>
            <w:shd w:val="clear" w:color="auto" w:fill="FFFFFF" w:themeFill="background1"/>
          </w:tcPr>
          <w:p w14:paraId="2E8F54FE" w14:textId="2C80960F" w:rsidR="00D1112E" w:rsidRDefault="00D1112E"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Pacific-Australia Labour Mobility</w:t>
            </w:r>
          </w:p>
        </w:tc>
      </w:tr>
      <w:tr w:rsidR="00D1112E" w:rsidRPr="00BE2782" w14:paraId="7821C8B3" w14:textId="77777777" w:rsidTr="006666FA">
        <w:trPr>
          <w:trHeight w:val="300"/>
        </w:trPr>
        <w:tc>
          <w:tcPr>
            <w:tcW w:w="1560" w:type="dxa"/>
            <w:tcBorders>
              <w:top w:val="nil"/>
              <w:left w:val="nil"/>
              <w:bottom w:val="nil"/>
              <w:right w:val="nil"/>
            </w:tcBorders>
            <w:shd w:val="clear" w:color="auto" w:fill="FFFFFF" w:themeFill="background1"/>
          </w:tcPr>
          <w:p w14:paraId="0C77BD9A" w14:textId="345B6C30" w:rsidR="00D1112E" w:rsidRDefault="00D1112E"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PDEP</w:t>
            </w:r>
          </w:p>
        </w:tc>
        <w:tc>
          <w:tcPr>
            <w:tcW w:w="7455" w:type="dxa"/>
            <w:tcBorders>
              <w:top w:val="nil"/>
              <w:left w:val="nil"/>
              <w:bottom w:val="nil"/>
              <w:right w:val="nil"/>
            </w:tcBorders>
            <w:shd w:val="clear" w:color="auto" w:fill="FFFFFF" w:themeFill="background1"/>
          </w:tcPr>
          <w:p w14:paraId="68B162A2" w14:textId="07B2B3E4" w:rsidR="00D1112E" w:rsidRDefault="00D1112E" w:rsidP="00A454A2">
            <w:pPr>
              <w:spacing w:after="0" w:line="240" w:lineRule="auto"/>
              <w:ind w:right="-45"/>
              <w:textAlignment w:val="baseline"/>
              <w:rPr>
                <w:rFonts w:ascii="Arial" w:eastAsia="Times New Roman" w:hAnsi="Arial" w:cs="Arial"/>
                <w:color w:val="auto"/>
                <w:szCs w:val="20"/>
              </w:rPr>
            </w:pPr>
            <w:r>
              <w:rPr>
                <w:rFonts w:ascii="Arial" w:hAnsi="Arial" w:cs="Arial"/>
                <w:szCs w:val="20"/>
              </w:rPr>
              <w:t>Pacific Digital Economy Program</w:t>
            </w:r>
          </w:p>
        </w:tc>
      </w:tr>
      <w:tr w:rsidR="0047220F" w:rsidRPr="00BE2782" w14:paraId="2CF31C0E" w14:textId="77777777" w:rsidTr="006666FA">
        <w:trPr>
          <w:trHeight w:val="300"/>
        </w:trPr>
        <w:tc>
          <w:tcPr>
            <w:tcW w:w="1560" w:type="dxa"/>
            <w:tcBorders>
              <w:top w:val="nil"/>
              <w:left w:val="nil"/>
              <w:bottom w:val="nil"/>
              <w:right w:val="nil"/>
            </w:tcBorders>
            <w:shd w:val="clear" w:color="auto" w:fill="FFFFFF" w:themeFill="background1"/>
          </w:tcPr>
          <w:p w14:paraId="2A55ABBE" w14:textId="6BBAC80A" w:rsidR="0047220F" w:rsidRPr="00BE2782" w:rsidRDefault="0047220F"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PHAMA Plus</w:t>
            </w:r>
          </w:p>
        </w:tc>
        <w:tc>
          <w:tcPr>
            <w:tcW w:w="7455" w:type="dxa"/>
            <w:tcBorders>
              <w:top w:val="nil"/>
              <w:left w:val="nil"/>
              <w:bottom w:val="nil"/>
              <w:right w:val="nil"/>
            </w:tcBorders>
            <w:shd w:val="clear" w:color="auto" w:fill="FFFFFF" w:themeFill="background1"/>
          </w:tcPr>
          <w:p w14:paraId="33AA7263" w14:textId="505317C5" w:rsidR="0047220F" w:rsidRPr="00BE2782" w:rsidRDefault="0047220F"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Pacific Horticultural and Agricultural Market Access (Plus)</w:t>
            </w:r>
            <w:r w:rsidR="00777137">
              <w:rPr>
                <w:rFonts w:ascii="Arial" w:eastAsia="Times New Roman" w:hAnsi="Arial" w:cs="Arial"/>
                <w:color w:val="auto"/>
                <w:szCs w:val="20"/>
              </w:rPr>
              <w:t xml:space="preserve"> </w:t>
            </w:r>
          </w:p>
        </w:tc>
      </w:tr>
      <w:tr w:rsidR="00D1112E" w:rsidRPr="00BE2782" w14:paraId="75C98710" w14:textId="77777777" w:rsidTr="006666FA">
        <w:trPr>
          <w:trHeight w:val="300"/>
        </w:trPr>
        <w:tc>
          <w:tcPr>
            <w:tcW w:w="1560" w:type="dxa"/>
            <w:tcBorders>
              <w:top w:val="nil"/>
              <w:left w:val="nil"/>
              <w:bottom w:val="nil"/>
              <w:right w:val="nil"/>
            </w:tcBorders>
            <w:shd w:val="clear" w:color="auto" w:fill="FFFFFF" w:themeFill="background1"/>
          </w:tcPr>
          <w:p w14:paraId="011512C0" w14:textId="0E96B4C1" w:rsidR="00D1112E" w:rsidRDefault="00D1112E"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PSDI</w:t>
            </w:r>
          </w:p>
        </w:tc>
        <w:tc>
          <w:tcPr>
            <w:tcW w:w="7455" w:type="dxa"/>
            <w:tcBorders>
              <w:top w:val="nil"/>
              <w:left w:val="nil"/>
              <w:bottom w:val="nil"/>
              <w:right w:val="nil"/>
            </w:tcBorders>
            <w:shd w:val="clear" w:color="auto" w:fill="FFFFFF" w:themeFill="background1"/>
          </w:tcPr>
          <w:p w14:paraId="207CFB83" w14:textId="6BC306C0" w:rsidR="00D1112E" w:rsidRDefault="00D1112E"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Private Sector Development Initiative</w:t>
            </w:r>
          </w:p>
        </w:tc>
      </w:tr>
      <w:tr w:rsidR="00124804" w:rsidRPr="00BE2782" w14:paraId="6E4A90AA" w14:textId="77777777" w:rsidTr="006666FA">
        <w:trPr>
          <w:trHeight w:val="300"/>
        </w:trPr>
        <w:tc>
          <w:tcPr>
            <w:tcW w:w="1560" w:type="dxa"/>
            <w:tcBorders>
              <w:top w:val="nil"/>
              <w:left w:val="nil"/>
              <w:bottom w:val="nil"/>
              <w:right w:val="nil"/>
            </w:tcBorders>
            <w:shd w:val="clear" w:color="auto" w:fill="FFFFFF" w:themeFill="background1"/>
          </w:tcPr>
          <w:p w14:paraId="12729BEF" w14:textId="41D31094" w:rsidR="00124804" w:rsidRPr="00BE2782" w:rsidRDefault="00124804"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PSE</w:t>
            </w:r>
          </w:p>
        </w:tc>
        <w:tc>
          <w:tcPr>
            <w:tcW w:w="7455" w:type="dxa"/>
            <w:tcBorders>
              <w:top w:val="nil"/>
              <w:left w:val="nil"/>
              <w:bottom w:val="nil"/>
              <w:right w:val="nil"/>
            </w:tcBorders>
            <w:shd w:val="clear" w:color="auto" w:fill="FFFFFF" w:themeFill="background1"/>
          </w:tcPr>
          <w:p w14:paraId="51D4DDB7" w14:textId="70771A56" w:rsidR="00124804" w:rsidRPr="00BE2782" w:rsidRDefault="00124804"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 xml:space="preserve">Private </w:t>
            </w:r>
            <w:r w:rsidR="004B6908">
              <w:rPr>
                <w:rFonts w:ascii="Arial" w:eastAsia="Times New Roman" w:hAnsi="Arial" w:cs="Arial"/>
                <w:color w:val="auto"/>
                <w:szCs w:val="20"/>
              </w:rPr>
              <w:t>s</w:t>
            </w:r>
            <w:r>
              <w:rPr>
                <w:rFonts w:ascii="Arial" w:eastAsia="Times New Roman" w:hAnsi="Arial" w:cs="Arial"/>
                <w:color w:val="auto"/>
                <w:szCs w:val="20"/>
              </w:rPr>
              <w:t xml:space="preserve">ector </w:t>
            </w:r>
            <w:r w:rsidR="004B6908">
              <w:rPr>
                <w:rFonts w:ascii="Arial" w:eastAsia="Times New Roman" w:hAnsi="Arial" w:cs="Arial"/>
                <w:color w:val="auto"/>
                <w:szCs w:val="20"/>
              </w:rPr>
              <w:t>e</w:t>
            </w:r>
            <w:r>
              <w:rPr>
                <w:rFonts w:ascii="Arial" w:eastAsia="Times New Roman" w:hAnsi="Arial" w:cs="Arial"/>
                <w:color w:val="auto"/>
                <w:szCs w:val="20"/>
              </w:rPr>
              <w:t>ngagement</w:t>
            </w:r>
          </w:p>
        </w:tc>
      </w:tr>
      <w:tr w:rsidR="00360527" w:rsidRPr="00BE2782" w14:paraId="6ED714F3" w14:textId="77777777" w:rsidTr="006666FA">
        <w:trPr>
          <w:trHeight w:val="300"/>
        </w:trPr>
        <w:tc>
          <w:tcPr>
            <w:tcW w:w="1560" w:type="dxa"/>
            <w:tcBorders>
              <w:top w:val="nil"/>
              <w:left w:val="nil"/>
              <w:bottom w:val="nil"/>
              <w:right w:val="nil"/>
            </w:tcBorders>
            <w:shd w:val="clear" w:color="auto" w:fill="FFFFFF" w:themeFill="background1"/>
          </w:tcPr>
          <w:p w14:paraId="66908C80" w14:textId="7CEBFA87" w:rsidR="00360527" w:rsidRDefault="00360527"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PWD</w:t>
            </w:r>
          </w:p>
        </w:tc>
        <w:tc>
          <w:tcPr>
            <w:tcW w:w="7455" w:type="dxa"/>
            <w:tcBorders>
              <w:top w:val="nil"/>
              <w:left w:val="nil"/>
              <w:bottom w:val="nil"/>
              <w:right w:val="nil"/>
            </w:tcBorders>
            <w:shd w:val="clear" w:color="auto" w:fill="FFFFFF" w:themeFill="background1"/>
          </w:tcPr>
          <w:p w14:paraId="526B0622" w14:textId="7EBBDB0C" w:rsidR="00360527" w:rsidRDefault="00360527"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People living with a disability</w:t>
            </w:r>
          </w:p>
        </w:tc>
      </w:tr>
      <w:tr w:rsidR="00414737" w:rsidRPr="00BE2782" w14:paraId="4BD524FE" w14:textId="77777777" w:rsidTr="006666FA">
        <w:trPr>
          <w:trHeight w:val="300"/>
        </w:trPr>
        <w:tc>
          <w:tcPr>
            <w:tcW w:w="1560" w:type="dxa"/>
            <w:tcBorders>
              <w:top w:val="nil"/>
              <w:left w:val="nil"/>
              <w:bottom w:val="nil"/>
              <w:right w:val="nil"/>
            </w:tcBorders>
            <w:shd w:val="clear" w:color="auto" w:fill="FFFFFF" w:themeFill="background1"/>
          </w:tcPr>
          <w:p w14:paraId="14D56779" w14:textId="2025CB92" w:rsidR="00414737" w:rsidRDefault="00414737"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SAP</w:t>
            </w:r>
          </w:p>
        </w:tc>
        <w:tc>
          <w:tcPr>
            <w:tcW w:w="7455" w:type="dxa"/>
            <w:tcBorders>
              <w:top w:val="nil"/>
              <w:left w:val="nil"/>
              <w:bottom w:val="nil"/>
              <w:right w:val="nil"/>
            </w:tcBorders>
            <w:shd w:val="clear" w:color="auto" w:fill="FFFFFF" w:themeFill="background1"/>
          </w:tcPr>
          <w:p w14:paraId="59EF4920" w14:textId="453C4BE3" w:rsidR="00414737" w:rsidRDefault="00414737"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Strategic Advisory Panel</w:t>
            </w:r>
          </w:p>
        </w:tc>
      </w:tr>
      <w:tr w:rsidR="008535FC" w:rsidRPr="00BE2782" w14:paraId="085BB9E9" w14:textId="77777777" w:rsidTr="006666FA">
        <w:trPr>
          <w:trHeight w:val="300"/>
        </w:trPr>
        <w:tc>
          <w:tcPr>
            <w:tcW w:w="1560" w:type="dxa"/>
            <w:tcBorders>
              <w:top w:val="nil"/>
              <w:left w:val="nil"/>
              <w:bottom w:val="nil"/>
              <w:right w:val="nil"/>
            </w:tcBorders>
            <w:shd w:val="clear" w:color="auto" w:fill="FFFFFF" w:themeFill="background1"/>
            <w:hideMark/>
          </w:tcPr>
          <w:p w14:paraId="21D34056"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SB</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vAlign w:val="center"/>
            <w:hideMark/>
          </w:tcPr>
          <w:p w14:paraId="4057EE3F" w14:textId="1DDB4F4C" w:rsidR="008535FC" w:rsidRPr="00BE2782" w:rsidRDefault="008535FC" w:rsidP="00256AB4">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Strongim Bisnis </w:t>
            </w:r>
          </w:p>
        </w:tc>
      </w:tr>
      <w:tr w:rsidR="00857CF8" w:rsidRPr="00BE2782" w14:paraId="07A723A4" w14:textId="77777777" w:rsidTr="006666FA">
        <w:trPr>
          <w:trHeight w:val="300"/>
        </w:trPr>
        <w:tc>
          <w:tcPr>
            <w:tcW w:w="1560" w:type="dxa"/>
            <w:tcBorders>
              <w:top w:val="nil"/>
              <w:left w:val="nil"/>
              <w:bottom w:val="nil"/>
              <w:right w:val="nil"/>
            </w:tcBorders>
            <w:shd w:val="clear" w:color="auto" w:fill="FFFFFF" w:themeFill="background1"/>
          </w:tcPr>
          <w:p w14:paraId="7A8CA838" w14:textId="342144B8" w:rsidR="00857CF8" w:rsidRPr="00BE2782" w:rsidRDefault="00857CF8"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SIG</w:t>
            </w:r>
          </w:p>
        </w:tc>
        <w:tc>
          <w:tcPr>
            <w:tcW w:w="7455" w:type="dxa"/>
            <w:tcBorders>
              <w:top w:val="nil"/>
              <w:left w:val="nil"/>
              <w:bottom w:val="nil"/>
              <w:right w:val="nil"/>
            </w:tcBorders>
            <w:shd w:val="clear" w:color="auto" w:fill="FFFFFF" w:themeFill="background1"/>
            <w:vAlign w:val="center"/>
          </w:tcPr>
          <w:p w14:paraId="011E6F79" w14:textId="2153C3C9" w:rsidR="00857CF8" w:rsidRPr="00BE2782" w:rsidRDefault="00857CF8" w:rsidP="00256AB4">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Solomon Islands Government</w:t>
            </w:r>
          </w:p>
        </w:tc>
      </w:tr>
      <w:tr w:rsidR="008535FC" w:rsidRPr="00BE2782" w14:paraId="13B6CCC9" w14:textId="77777777" w:rsidTr="006666FA">
        <w:trPr>
          <w:trHeight w:val="300"/>
        </w:trPr>
        <w:tc>
          <w:tcPr>
            <w:tcW w:w="1560" w:type="dxa"/>
            <w:tcBorders>
              <w:top w:val="nil"/>
              <w:left w:val="nil"/>
              <w:bottom w:val="nil"/>
              <w:right w:val="nil"/>
            </w:tcBorders>
            <w:shd w:val="clear" w:color="auto" w:fill="FFFFFF" w:themeFill="background1"/>
            <w:hideMark/>
          </w:tcPr>
          <w:p w14:paraId="41F7DD03"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SIWIBA</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5CE68CDC"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Solomon Islands Women in Business Association </w:t>
            </w:r>
          </w:p>
        </w:tc>
      </w:tr>
      <w:tr w:rsidR="008535FC" w:rsidRPr="00BE2782" w14:paraId="21A1AC5B" w14:textId="77777777" w:rsidTr="006666FA">
        <w:trPr>
          <w:trHeight w:val="300"/>
        </w:trPr>
        <w:tc>
          <w:tcPr>
            <w:tcW w:w="1560" w:type="dxa"/>
            <w:tcBorders>
              <w:top w:val="nil"/>
              <w:left w:val="nil"/>
              <w:bottom w:val="nil"/>
              <w:right w:val="nil"/>
            </w:tcBorders>
            <w:shd w:val="clear" w:color="auto" w:fill="FFFFFF" w:themeFill="background1"/>
            <w:hideMark/>
          </w:tcPr>
          <w:p w14:paraId="66DAEDF8"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SICCI</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77E830B6"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Solomon Islands Chamber of Commerce and Industry </w:t>
            </w:r>
          </w:p>
        </w:tc>
      </w:tr>
      <w:tr w:rsidR="00D1112E" w:rsidRPr="00BE2782" w14:paraId="14BAD107" w14:textId="77777777" w:rsidTr="006666FA">
        <w:trPr>
          <w:trHeight w:val="300"/>
        </w:trPr>
        <w:tc>
          <w:tcPr>
            <w:tcW w:w="1560" w:type="dxa"/>
            <w:tcBorders>
              <w:top w:val="nil"/>
              <w:left w:val="nil"/>
              <w:bottom w:val="nil"/>
              <w:right w:val="nil"/>
            </w:tcBorders>
            <w:shd w:val="clear" w:color="auto" w:fill="FFFFFF" w:themeFill="background1"/>
          </w:tcPr>
          <w:p w14:paraId="50F57B34" w14:textId="6068854B" w:rsidR="00D1112E" w:rsidRPr="00BE2782" w:rsidRDefault="00D1112E"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SIIP</w:t>
            </w:r>
          </w:p>
        </w:tc>
        <w:tc>
          <w:tcPr>
            <w:tcW w:w="7455" w:type="dxa"/>
            <w:tcBorders>
              <w:top w:val="nil"/>
              <w:left w:val="nil"/>
              <w:bottom w:val="nil"/>
              <w:right w:val="nil"/>
            </w:tcBorders>
            <w:shd w:val="clear" w:color="auto" w:fill="FFFFFF" w:themeFill="background1"/>
          </w:tcPr>
          <w:p w14:paraId="74845B98" w14:textId="1B8FCB75" w:rsidR="00D1112E" w:rsidRPr="00BE2782" w:rsidRDefault="00D1112E" w:rsidP="00A454A2">
            <w:pPr>
              <w:spacing w:after="0" w:line="240" w:lineRule="auto"/>
              <w:ind w:right="-45"/>
              <w:textAlignment w:val="baseline"/>
              <w:rPr>
                <w:rFonts w:ascii="Arial" w:eastAsia="Times New Roman" w:hAnsi="Arial" w:cs="Arial"/>
                <w:color w:val="auto"/>
                <w:szCs w:val="20"/>
              </w:rPr>
            </w:pPr>
            <w:r>
              <w:rPr>
                <w:rFonts w:ascii="Arial" w:hAnsi="Arial" w:cs="Arial"/>
                <w:szCs w:val="20"/>
              </w:rPr>
              <w:t>Solomon Islands Infrastructure Program</w:t>
            </w:r>
          </w:p>
        </w:tc>
      </w:tr>
      <w:tr w:rsidR="00F36CC4" w:rsidRPr="00BE2782" w14:paraId="27BD0214" w14:textId="77777777" w:rsidTr="006666FA">
        <w:trPr>
          <w:trHeight w:val="300"/>
        </w:trPr>
        <w:tc>
          <w:tcPr>
            <w:tcW w:w="1560" w:type="dxa"/>
            <w:tcBorders>
              <w:top w:val="nil"/>
              <w:left w:val="nil"/>
              <w:bottom w:val="nil"/>
              <w:right w:val="nil"/>
            </w:tcBorders>
            <w:shd w:val="clear" w:color="auto" w:fill="FFFFFF" w:themeFill="background1"/>
          </w:tcPr>
          <w:p w14:paraId="3D4FF805" w14:textId="4AC55D3B" w:rsidR="00F36CC4" w:rsidRPr="00BE2782" w:rsidRDefault="00F36CC4"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SolTuna</w:t>
            </w:r>
          </w:p>
        </w:tc>
        <w:tc>
          <w:tcPr>
            <w:tcW w:w="7455" w:type="dxa"/>
            <w:tcBorders>
              <w:top w:val="nil"/>
              <w:left w:val="nil"/>
              <w:bottom w:val="nil"/>
              <w:right w:val="nil"/>
            </w:tcBorders>
            <w:shd w:val="clear" w:color="auto" w:fill="FFFFFF" w:themeFill="background1"/>
          </w:tcPr>
          <w:p w14:paraId="3FEAA4B1" w14:textId="1AC3D871" w:rsidR="00F36CC4" w:rsidRPr="00BE2782" w:rsidRDefault="00F36CC4"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Solomon Islands Tuna</w:t>
            </w:r>
          </w:p>
        </w:tc>
      </w:tr>
      <w:tr w:rsidR="0047220F" w:rsidRPr="00BE2782" w14:paraId="48B01BDA" w14:textId="77777777" w:rsidTr="00953BFC">
        <w:trPr>
          <w:trHeight w:val="211"/>
        </w:trPr>
        <w:tc>
          <w:tcPr>
            <w:tcW w:w="1560" w:type="dxa"/>
            <w:tcBorders>
              <w:top w:val="nil"/>
              <w:left w:val="nil"/>
              <w:bottom w:val="nil"/>
              <w:right w:val="nil"/>
            </w:tcBorders>
            <w:shd w:val="clear" w:color="auto" w:fill="FFFFFF" w:themeFill="background1"/>
          </w:tcPr>
          <w:p w14:paraId="0D78DC44" w14:textId="79845649" w:rsidR="0047220F" w:rsidRPr="00BE2782" w:rsidRDefault="0047220F"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UNCDF</w:t>
            </w:r>
          </w:p>
        </w:tc>
        <w:tc>
          <w:tcPr>
            <w:tcW w:w="7455" w:type="dxa"/>
            <w:tcBorders>
              <w:top w:val="nil"/>
              <w:left w:val="nil"/>
              <w:bottom w:val="nil"/>
              <w:right w:val="nil"/>
            </w:tcBorders>
            <w:shd w:val="clear" w:color="auto" w:fill="FFFFFF" w:themeFill="background1"/>
          </w:tcPr>
          <w:p w14:paraId="70A6C3BD" w14:textId="71C9C004" w:rsidR="0047220F" w:rsidRPr="00BE2782" w:rsidRDefault="0047220F" w:rsidP="00A454A2">
            <w:pPr>
              <w:spacing w:after="0" w:line="240" w:lineRule="auto"/>
              <w:ind w:right="-45"/>
              <w:textAlignment w:val="baseline"/>
              <w:rPr>
                <w:rFonts w:ascii="Arial" w:eastAsia="Times New Roman" w:hAnsi="Arial" w:cs="Arial"/>
                <w:color w:val="auto"/>
                <w:szCs w:val="20"/>
              </w:rPr>
            </w:pPr>
            <w:r>
              <w:rPr>
                <w:rFonts w:ascii="Arial" w:eastAsia="Times New Roman" w:hAnsi="Arial" w:cs="Arial"/>
                <w:color w:val="auto"/>
                <w:szCs w:val="20"/>
              </w:rPr>
              <w:t>United Nations Capital Development Fund</w:t>
            </w:r>
          </w:p>
        </w:tc>
      </w:tr>
      <w:tr w:rsidR="008535FC" w:rsidRPr="00BE2782" w14:paraId="399327C0" w14:textId="77777777" w:rsidTr="006666FA">
        <w:trPr>
          <w:trHeight w:val="300"/>
        </w:trPr>
        <w:tc>
          <w:tcPr>
            <w:tcW w:w="1560" w:type="dxa"/>
            <w:tcBorders>
              <w:top w:val="nil"/>
              <w:left w:val="nil"/>
              <w:bottom w:val="nil"/>
              <w:right w:val="nil"/>
            </w:tcBorders>
            <w:shd w:val="clear" w:color="auto" w:fill="FFFFFF" w:themeFill="background1"/>
            <w:hideMark/>
          </w:tcPr>
          <w:p w14:paraId="48C869F2"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VfM</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4B954C0B" w14:textId="469659B3"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 xml:space="preserve">Value for </w:t>
            </w:r>
            <w:r w:rsidR="004B6908">
              <w:rPr>
                <w:rFonts w:ascii="Arial" w:eastAsia="Times New Roman" w:hAnsi="Arial" w:cs="Arial"/>
                <w:color w:val="auto"/>
                <w:szCs w:val="20"/>
              </w:rPr>
              <w:t>m</w:t>
            </w:r>
            <w:r w:rsidRPr="00BE2782">
              <w:rPr>
                <w:rFonts w:ascii="Arial" w:eastAsia="Times New Roman" w:hAnsi="Arial" w:cs="Arial"/>
                <w:color w:val="auto"/>
                <w:szCs w:val="20"/>
              </w:rPr>
              <w:t>oney </w:t>
            </w:r>
          </w:p>
        </w:tc>
      </w:tr>
      <w:tr w:rsidR="00F36CC4" w:rsidRPr="00BE2782" w14:paraId="471F513F" w14:textId="77777777" w:rsidTr="006666FA">
        <w:trPr>
          <w:trHeight w:val="300"/>
        </w:trPr>
        <w:tc>
          <w:tcPr>
            <w:tcW w:w="1560" w:type="dxa"/>
            <w:tcBorders>
              <w:top w:val="nil"/>
              <w:left w:val="nil"/>
              <w:bottom w:val="nil"/>
              <w:right w:val="nil"/>
            </w:tcBorders>
            <w:shd w:val="clear" w:color="auto" w:fill="FFFFFF" w:themeFill="background1"/>
          </w:tcPr>
          <w:p w14:paraId="27BC75D7" w14:textId="7E3474FA" w:rsidR="00F36CC4" w:rsidRPr="00BE2782" w:rsidRDefault="00F36CC4" w:rsidP="00A454A2">
            <w:pPr>
              <w:spacing w:after="0" w:line="240" w:lineRule="auto"/>
              <w:ind w:right="-45"/>
              <w:textAlignment w:val="baseline"/>
              <w:rPr>
                <w:rFonts w:ascii="Arial" w:eastAsia="Times New Roman" w:hAnsi="Arial" w:cs="Arial"/>
                <w:b/>
                <w:bCs/>
                <w:color w:val="1D336D"/>
                <w:szCs w:val="20"/>
              </w:rPr>
            </w:pPr>
            <w:r>
              <w:rPr>
                <w:rFonts w:ascii="Arial" w:eastAsia="Times New Roman" w:hAnsi="Arial" w:cs="Arial"/>
                <w:b/>
                <w:bCs/>
                <w:color w:val="1D336D"/>
                <w:szCs w:val="20"/>
              </w:rPr>
              <w:t>WARA</w:t>
            </w:r>
          </w:p>
        </w:tc>
        <w:tc>
          <w:tcPr>
            <w:tcW w:w="7455" w:type="dxa"/>
            <w:tcBorders>
              <w:top w:val="nil"/>
              <w:left w:val="nil"/>
              <w:bottom w:val="nil"/>
              <w:right w:val="nil"/>
            </w:tcBorders>
            <w:shd w:val="clear" w:color="auto" w:fill="FFFFFF" w:themeFill="background1"/>
          </w:tcPr>
          <w:p w14:paraId="0401762D" w14:textId="014991D4" w:rsidR="00F36CC4" w:rsidRPr="00BE2782" w:rsidRDefault="00EF679F" w:rsidP="00A454A2">
            <w:pPr>
              <w:spacing w:after="0" w:line="240" w:lineRule="auto"/>
              <w:ind w:right="-45"/>
              <w:textAlignment w:val="baseline"/>
              <w:rPr>
                <w:rFonts w:ascii="Arial" w:eastAsia="Times New Roman" w:hAnsi="Arial" w:cs="Arial"/>
                <w:color w:val="auto"/>
                <w:szCs w:val="20"/>
              </w:rPr>
            </w:pPr>
            <w:r w:rsidRPr="00EF679F">
              <w:rPr>
                <w:rFonts w:ascii="Arial" w:eastAsia="Times New Roman" w:hAnsi="Arial" w:cs="Arial"/>
                <w:color w:val="auto"/>
                <w:szCs w:val="20"/>
              </w:rPr>
              <w:t>West ‘Are’Are Rokotanikeni Association</w:t>
            </w:r>
          </w:p>
        </w:tc>
      </w:tr>
      <w:tr w:rsidR="008535FC" w:rsidRPr="00BE2782" w14:paraId="41DFF8B4" w14:textId="77777777" w:rsidTr="006666FA">
        <w:trPr>
          <w:trHeight w:val="300"/>
        </w:trPr>
        <w:tc>
          <w:tcPr>
            <w:tcW w:w="1560" w:type="dxa"/>
            <w:tcBorders>
              <w:top w:val="nil"/>
              <w:left w:val="nil"/>
              <w:bottom w:val="nil"/>
              <w:right w:val="nil"/>
            </w:tcBorders>
            <w:shd w:val="clear" w:color="auto" w:fill="FFFFFF" w:themeFill="background1"/>
            <w:hideMark/>
          </w:tcPr>
          <w:p w14:paraId="6546E614"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WEE/SI</w:t>
            </w:r>
            <w:r w:rsidRPr="00BE2782">
              <w:rPr>
                <w:rFonts w:ascii="Arial" w:eastAsia="Times New Roman" w:hAnsi="Arial" w:cs="Arial"/>
                <w:color w:val="1D336D"/>
                <w:szCs w:val="20"/>
              </w:rPr>
              <w:t> </w:t>
            </w:r>
          </w:p>
        </w:tc>
        <w:tc>
          <w:tcPr>
            <w:tcW w:w="7455" w:type="dxa"/>
            <w:tcBorders>
              <w:top w:val="nil"/>
              <w:left w:val="nil"/>
              <w:bottom w:val="nil"/>
              <w:right w:val="nil"/>
            </w:tcBorders>
            <w:shd w:val="clear" w:color="auto" w:fill="FFFFFF" w:themeFill="background1"/>
            <w:hideMark/>
          </w:tcPr>
          <w:p w14:paraId="6BF5703E"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auto"/>
                <w:szCs w:val="20"/>
              </w:rPr>
              <w:t>Women’s Economic Empowerment / Social Inclusion (SB portfolio) </w:t>
            </w:r>
          </w:p>
        </w:tc>
      </w:tr>
      <w:tr w:rsidR="008535FC" w:rsidRPr="00BE2782" w14:paraId="21AFFBC3" w14:textId="77777777" w:rsidTr="006666FA">
        <w:trPr>
          <w:trHeight w:val="300"/>
        </w:trPr>
        <w:tc>
          <w:tcPr>
            <w:tcW w:w="1560" w:type="dxa"/>
            <w:tcBorders>
              <w:top w:val="nil"/>
              <w:left w:val="nil"/>
              <w:bottom w:val="single" w:sz="6" w:space="0" w:color="1D336D" w:themeColor="background2"/>
              <w:right w:val="nil"/>
            </w:tcBorders>
            <w:shd w:val="clear" w:color="auto" w:fill="FFFFFF" w:themeFill="background1"/>
            <w:hideMark/>
          </w:tcPr>
          <w:p w14:paraId="4854E6BC"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b/>
                <w:bCs/>
                <w:color w:val="1D336D"/>
                <w:szCs w:val="20"/>
              </w:rPr>
              <w:t>YECSI</w:t>
            </w:r>
            <w:r w:rsidRPr="00BE2782">
              <w:rPr>
                <w:rFonts w:ascii="Arial" w:eastAsia="Times New Roman" w:hAnsi="Arial" w:cs="Arial"/>
                <w:color w:val="1D336D"/>
                <w:szCs w:val="20"/>
              </w:rPr>
              <w:t> </w:t>
            </w:r>
          </w:p>
        </w:tc>
        <w:tc>
          <w:tcPr>
            <w:tcW w:w="7455" w:type="dxa"/>
            <w:tcBorders>
              <w:top w:val="nil"/>
              <w:left w:val="nil"/>
              <w:bottom w:val="single" w:sz="6" w:space="0" w:color="1D336D" w:themeColor="background2"/>
              <w:right w:val="nil"/>
            </w:tcBorders>
            <w:shd w:val="clear" w:color="auto" w:fill="FFFFFF" w:themeFill="background1"/>
            <w:hideMark/>
          </w:tcPr>
          <w:p w14:paraId="7C248FDD" w14:textId="77777777" w:rsidR="008535FC" w:rsidRPr="00BE2782" w:rsidRDefault="008535FC" w:rsidP="00A454A2">
            <w:pPr>
              <w:spacing w:after="0" w:line="240" w:lineRule="auto"/>
              <w:ind w:right="-45"/>
              <w:textAlignment w:val="baseline"/>
              <w:rPr>
                <w:rFonts w:ascii="Segoe UI" w:eastAsia="Times New Roman" w:hAnsi="Segoe UI" w:cs="Segoe UI"/>
                <w:color w:val="auto"/>
                <w:sz w:val="18"/>
                <w:szCs w:val="18"/>
              </w:rPr>
            </w:pPr>
            <w:r w:rsidRPr="00BE2782">
              <w:rPr>
                <w:rFonts w:ascii="Arial" w:eastAsia="Times New Roman" w:hAnsi="Arial" w:cs="Arial"/>
                <w:color w:val="000000"/>
                <w:szCs w:val="20"/>
                <w:shd w:val="clear" w:color="auto" w:fill="FFFFFF"/>
              </w:rPr>
              <w:t>Young Entrepreneurs Council Solomon Islands </w:t>
            </w:r>
            <w:r w:rsidRPr="00BE2782">
              <w:rPr>
                <w:rFonts w:ascii="Arial" w:eastAsia="Times New Roman" w:hAnsi="Arial" w:cs="Arial"/>
                <w:color w:val="000000"/>
                <w:szCs w:val="20"/>
              </w:rPr>
              <w:t> </w:t>
            </w:r>
          </w:p>
        </w:tc>
      </w:tr>
    </w:tbl>
    <w:p w14:paraId="2D37B6C3" w14:textId="467FBEF7" w:rsidR="00BE2782" w:rsidRDefault="00BE2782" w:rsidP="00BE2782">
      <w:pPr>
        <w:spacing w:after="0" w:line="240" w:lineRule="auto"/>
      </w:pPr>
    </w:p>
    <w:p w14:paraId="3247692C" w14:textId="4B4B9248" w:rsidR="006B7018" w:rsidRDefault="006B7018" w:rsidP="00BE2782">
      <w:pPr>
        <w:spacing w:after="0" w:line="240" w:lineRule="auto"/>
        <w:sectPr w:rsidR="006B7018" w:rsidSect="0053563A">
          <w:headerReference w:type="default" r:id="rId12"/>
          <w:footerReference w:type="default" r:id="rId13"/>
          <w:headerReference w:type="first" r:id="rId14"/>
          <w:footerReference w:type="first" r:id="rId15"/>
          <w:pgSz w:w="11906" w:h="16838" w:code="9"/>
          <w:pgMar w:top="1701"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pgNumType w:fmt="lowerRoman"/>
          <w:cols w:space="709"/>
          <w:titlePg/>
          <w:docGrid w:linePitch="360"/>
        </w:sectPr>
      </w:pPr>
    </w:p>
    <w:p w14:paraId="3B494138" w14:textId="76B0B728" w:rsidR="00D95841" w:rsidRDefault="00BA2F35" w:rsidP="00D95841">
      <w:pPr>
        <w:pStyle w:val="ChapterHeading"/>
      </w:pPr>
      <w:bookmarkStart w:id="1" w:name="_Toc131170433"/>
      <w:r>
        <w:t>Executive Summary</w:t>
      </w:r>
      <w:bookmarkEnd w:id="1"/>
    </w:p>
    <w:p w14:paraId="4930CDC8" w14:textId="77777777" w:rsidR="00987607" w:rsidRDefault="00987607" w:rsidP="00FD5545">
      <w:pPr>
        <w:pStyle w:val="Heading1NOTOC"/>
      </w:pPr>
      <w:bookmarkStart w:id="2" w:name="_Toc129266136"/>
      <w:r>
        <w:t xml:space="preserve">Introduction and </w:t>
      </w:r>
      <w:bookmarkEnd w:id="2"/>
      <w:r>
        <w:t>context</w:t>
      </w:r>
    </w:p>
    <w:p w14:paraId="70535B87" w14:textId="5C2E35B4" w:rsidR="00987607" w:rsidRDefault="00987607" w:rsidP="00987607">
      <w:r w:rsidRPr="001B5C97">
        <w:rPr>
          <w:b/>
          <w:bCs/>
          <w:szCs w:val="20"/>
        </w:rPr>
        <w:t>Strongim Bisnis</w:t>
      </w:r>
      <w:r w:rsidRPr="00E53789">
        <w:rPr>
          <w:szCs w:val="20"/>
        </w:rPr>
        <w:t xml:space="preserve"> (</w:t>
      </w:r>
      <w:r w:rsidRPr="00E53789">
        <w:t>AUD</w:t>
      </w:r>
      <w:r w:rsidR="00E26FAB">
        <w:t>32</w:t>
      </w:r>
      <w:r w:rsidRPr="00E53789">
        <w:t xml:space="preserve"> million, 2017-23) </w:t>
      </w:r>
      <w:r w:rsidRPr="001B5C97">
        <w:rPr>
          <w:b/>
          <w:bCs/>
          <w:szCs w:val="20"/>
        </w:rPr>
        <w:t xml:space="preserve">is Australia’s private sector development </w:t>
      </w:r>
      <w:r w:rsidR="002D00A4" w:rsidRPr="001B5C97">
        <w:rPr>
          <w:b/>
          <w:bCs/>
          <w:szCs w:val="20"/>
        </w:rPr>
        <w:t xml:space="preserve">flagship </w:t>
      </w:r>
      <w:r>
        <w:rPr>
          <w:b/>
          <w:bCs/>
          <w:szCs w:val="20"/>
        </w:rPr>
        <w:t xml:space="preserve">in Solomon Islands, </w:t>
      </w:r>
      <w:r>
        <w:t xml:space="preserve">supporting the </w:t>
      </w:r>
      <w:r w:rsidRPr="00392EB6">
        <w:t xml:space="preserve">core </w:t>
      </w:r>
      <w:r>
        <w:t xml:space="preserve">economic objectives of </w:t>
      </w:r>
      <w:r w:rsidRPr="00392EB6">
        <w:t xml:space="preserve">Australia’s </w:t>
      </w:r>
      <w:r w:rsidR="002D00A4">
        <w:t xml:space="preserve">bilateral </w:t>
      </w:r>
      <w:r w:rsidRPr="00392EB6">
        <w:t>development partnership</w:t>
      </w:r>
      <w:r w:rsidRPr="00EA74D2">
        <w:t xml:space="preserve">. </w:t>
      </w:r>
      <w:r>
        <w:t xml:space="preserve">Phase 2 began in </w:t>
      </w:r>
      <w:r w:rsidR="00BC6038">
        <w:t>January</w:t>
      </w:r>
      <w:r w:rsidR="00BC6038" w:rsidRPr="006C76E4">
        <w:t xml:space="preserve"> </w:t>
      </w:r>
      <w:r w:rsidRPr="006C76E4">
        <w:t>202</w:t>
      </w:r>
      <w:r w:rsidR="00BC6038">
        <w:t>1</w:t>
      </w:r>
      <w:r>
        <w:t xml:space="preserve"> and </w:t>
      </w:r>
      <w:r w:rsidR="005954AC">
        <w:t>will end</w:t>
      </w:r>
      <w:r>
        <w:t xml:space="preserve"> in June</w:t>
      </w:r>
      <w:r w:rsidRPr="006C76E4">
        <w:t xml:space="preserve"> 2023</w:t>
      </w:r>
      <w:r>
        <w:t xml:space="preserve">. </w:t>
      </w:r>
      <w:r w:rsidRPr="00FE6754">
        <w:t>This independent evaluation</w:t>
      </w:r>
      <w:r w:rsidRPr="009467DB">
        <w:rPr>
          <w:b/>
          <w:bCs/>
        </w:rPr>
        <w:t xml:space="preserve"> </w:t>
      </w:r>
      <w:r w:rsidRPr="00EC118A">
        <w:t>assess</w:t>
      </w:r>
      <w:r>
        <w:t>es program performance in Phase 2 and presents implications for the Phase 3</w:t>
      </w:r>
      <w:r w:rsidRPr="0039799A">
        <w:t xml:space="preserve"> </w:t>
      </w:r>
      <w:r>
        <w:t>design refresh</w:t>
      </w:r>
      <w:r w:rsidRPr="00EC118A">
        <w:t xml:space="preserve">. </w:t>
      </w:r>
    </w:p>
    <w:p w14:paraId="48EB3D22" w14:textId="77777777" w:rsidR="00987607" w:rsidRDefault="00987607" w:rsidP="00987607">
      <w:r w:rsidRPr="00E53789">
        <w:rPr>
          <w:b/>
          <w:bCs/>
          <w:szCs w:val="20"/>
        </w:rPr>
        <w:t>Strongim Bisnis</w:t>
      </w:r>
      <w:r>
        <w:rPr>
          <w:b/>
          <w:bCs/>
          <w:szCs w:val="20"/>
        </w:rPr>
        <w:t xml:space="preserve"> </w:t>
      </w:r>
      <w:r w:rsidRPr="00E54EF5">
        <w:rPr>
          <w:b/>
          <w:bCs/>
          <w:szCs w:val="20"/>
        </w:rPr>
        <w:t>now has</w:t>
      </w:r>
      <w:r w:rsidRPr="00E54EF5">
        <w:rPr>
          <w:b/>
          <w:bCs/>
        </w:rPr>
        <w:t xml:space="preserve"> 44 active partnerships in seven sectors</w:t>
      </w:r>
      <w:r w:rsidRPr="007D3D7E">
        <w:t>: cocoa, coconut, tourism, timber, horticulture, waste management and financial services</w:t>
      </w:r>
      <w:r>
        <w:t>;</w:t>
      </w:r>
      <w:r w:rsidRPr="007D3D7E">
        <w:t xml:space="preserve"> </w:t>
      </w:r>
      <w:r>
        <w:t xml:space="preserve">plus </w:t>
      </w:r>
      <w:r w:rsidRPr="007D3D7E">
        <w:t>targeted women’s economic empowerment and social inclusion (WEE/SI) initiatives outside those sectors. Most partners are private entrepreneurs; a few are Solomon Islands Government (SIG) agencies or community groups.</w:t>
      </w:r>
    </w:p>
    <w:p w14:paraId="03951B32" w14:textId="77777777" w:rsidR="00987607" w:rsidRPr="004032E0" w:rsidRDefault="00987607" w:rsidP="00987607">
      <w:pPr>
        <w:rPr>
          <w:b/>
          <w:bCs/>
          <w:szCs w:val="20"/>
        </w:rPr>
      </w:pPr>
      <w:r w:rsidRPr="006C3927">
        <w:rPr>
          <w:szCs w:val="20"/>
        </w:rPr>
        <w:t>Strongim Bisnis Phase 2 has</w:t>
      </w:r>
      <w:r>
        <w:rPr>
          <w:b/>
          <w:bCs/>
          <w:szCs w:val="20"/>
        </w:rPr>
        <w:t xml:space="preserve"> three </w:t>
      </w:r>
      <w:r w:rsidRPr="004032E0">
        <w:rPr>
          <w:b/>
          <w:bCs/>
          <w:szCs w:val="20"/>
        </w:rPr>
        <w:t>End of Program Outcomes (EOPOs)</w:t>
      </w:r>
      <w:r w:rsidRPr="006C3927">
        <w:rPr>
          <w:szCs w:val="20"/>
        </w:rPr>
        <w:t>:</w:t>
      </w:r>
    </w:p>
    <w:p w14:paraId="0A40F87A" w14:textId="77777777" w:rsidR="00987607" w:rsidRPr="008D72CC" w:rsidRDefault="00987607" w:rsidP="00987607">
      <w:pPr>
        <w:pBdr>
          <w:top w:val="single" w:sz="4" w:space="1" w:color="auto"/>
          <w:left w:val="single" w:sz="4" w:space="4" w:color="auto"/>
          <w:bottom w:val="single" w:sz="4" w:space="1" w:color="auto"/>
          <w:right w:val="single" w:sz="4" w:space="4" w:color="auto"/>
        </w:pBdr>
        <w:spacing w:after="60" w:line="240" w:lineRule="auto"/>
        <w:rPr>
          <w:rFonts w:ascii="Arial" w:hAnsi="Arial" w:cs="Arial"/>
          <w:b/>
          <w:bCs/>
          <w:i/>
          <w:iCs/>
          <w:sz w:val="18"/>
          <w:szCs w:val="18"/>
        </w:rPr>
      </w:pPr>
      <w:r w:rsidRPr="004032E0">
        <w:rPr>
          <w:rFonts w:ascii="Arial" w:hAnsi="Arial" w:cs="Arial"/>
          <w:b/>
          <w:bCs/>
          <w:i/>
          <w:iCs/>
          <w:sz w:val="18"/>
          <w:szCs w:val="18"/>
        </w:rPr>
        <w:t>EOPO1</w:t>
      </w:r>
      <w:r w:rsidRPr="008D72CC">
        <w:rPr>
          <w:rFonts w:ascii="Arial" w:hAnsi="Arial" w:cs="Arial"/>
          <w:i/>
          <w:iCs/>
          <w:sz w:val="18"/>
          <w:szCs w:val="18"/>
        </w:rPr>
        <w:t xml:space="preserve">: </w:t>
      </w:r>
      <w:r w:rsidRPr="008D72CC">
        <w:rPr>
          <w:rFonts w:ascii="Arial" w:eastAsia="Times New Roman" w:hAnsi="Arial" w:cs="Arial"/>
          <w:i/>
          <w:iCs/>
          <w:color w:val="auto"/>
          <w:sz w:val="18"/>
          <w:szCs w:val="18"/>
        </w:rPr>
        <w:t>Private sector enterprises have demonstrated potential for: increased productivity; greater resilience; better risk management; increased income earning opportunities and access to higher value markets; increased efficient use of assets and labour; and use of new business models that promote increased employment, income</w:t>
      </w:r>
      <w:r w:rsidRPr="19E3E498">
        <w:rPr>
          <w:rFonts w:ascii="Arial" w:eastAsia="Times New Roman" w:hAnsi="Arial" w:cs="Arial"/>
          <w:i/>
          <w:iCs/>
          <w:color w:val="auto"/>
          <w:sz w:val="18"/>
          <w:szCs w:val="18"/>
        </w:rPr>
        <w:t>,</w:t>
      </w:r>
      <w:r w:rsidRPr="008D72CC">
        <w:rPr>
          <w:rFonts w:ascii="Arial" w:eastAsia="Times New Roman" w:hAnsi="Arial" w:cs="Arial"/>
          <w:i/>
          <w:iCs/>
          <w:color w:val="auto"/>
          <w:sz w:val="18"/>
          <w:szCs w:val="18"/>
        </w:rPr>
        <w:t xml:space="preserve"> and trade</w:t>
      </w:r>
      <w:r>
        <w:rPr>
          <w:rFonts w:ascii="Arial" w:eastAsia="Times New Roman" w:hAnsi="Arial" w:cs="Arial"/>
          <w:i/>
          <w:iCs/>
          <w:color w:val="auto"/>
          <w:sz w:val="18"/>
          <w:szCs w:val="18"/>
        </w:rPr>
        <w:t>.</w:t>
      </w:r>
    </w:p>
    <w:p w14:paraId="79891358" w14:textId="77777777" w:rsidR="00987607" w:rsidRPr="008D72CC" w:rsidRDefault="00987607" w:rsidP="00987607">
      <w:pPr>
        <w:pBdr>
          <w:top w:val="single" w:sz="4" w:space="1" w:color="auto"/>
          <w:left w:val="single" w:sz="4" w:space="4" w:color="auto"/>
          <w:bottom w:val="single" w:sz="4" w:space="1" w:color="auto"/>
          <w:right w:val="single" w:sz="4" w:space="4" w:color="auto"/>
        </w:pBdr>
        <w:spacing w:after="60" w:line="240" w:lineRule="auto"/>
        <w:rPr>
          <w:rFonts w:ascii="Arial" w:hAnsi="Arial" w:cs="Arial"/>
          <w:b/>
          <w:bCs/>
          <w:i/>
          <w:iCs/>
          <w:sz w:val="18"/>
          <w:szCs w:val="18"/>
        </w:rPr>
      </w:pPr>
      <w:r w:rsidRPr="004032E0">
        <w:rPr>
          <w:rFonts w:ascii="Arial" w:hAnsi="Arial" w:cs="Arial"/>
          <w:b/>
          <w:bCs/>
          <w:i/>
          <w:iCs/>
          <w:sz w:val="18"/>
          <w:szCs w:val="18"/>
        </w:rPr>
        <w:t>EOPO2</w:t>
      </w:r>
      <w:r w:rsidRPr="008D72CC">
        <w:rPr>
          <w:rFonts w:ascii="Arial" w:hAnsi="Arial" w:cs="Arial"/>
          <w:i/>
          <w:iCs/>
          <w:sz w:val="18"/>
          <w:szCs w:val="18"/>
        </w:rPr>
        <w:t xml:space="preserve">: </w:t>
      </w:r>
      <w:r w:rsidRPr="008D72CC">
        <w:rPr>
          <w:rFonts w:ascii="Arial" w:eastAsia="Times New Roman" w:hAnsi="Arial" w:cs="Arial"/>
          <w:i/>
          <w:iCs/>
          <w:color w:val="auto"/>
          <w:sz w:val="18"/>
          <w:szCs w:val="18"/>
        </w:rPr>
        <w:t>The private sector and government have worked together to increase opportunities for trade and investment, and form partnerships that encourage business growth and accelerated changes in business practices which result in a more favourable investment climate</w:t>
      </w:r>
      <w:r>
        <w:rPr>
          <w:rFonts w:ascii="Arial" w:eastAsia="Times New Roman" w:hAnsi="Arial" w:cs="Arial"/>
          <w:i/>
          <w:iCs/>
          <w:color w:val="auto"/>
          <w:sz w:val="18"/>
          <w:szCs w:val="18"/>
        </w:rPr>
        <w:t>.</w:t>
      </w:r>
    </w:p>
    <w:p w14:paraId="1AB80B8F" w14:textId="77777777" w:rsidR="00987607" w:rsidRDefault="00987607" w:rsidP="00987607">
      <w:pPr>
        <w:pBdr>
          <w:top w:val="single" w:sz="4" w:space="1" w:color="auto"/>
          <w:left w:val="single" w:sz="4" w:space="4" w:color="auto"/>
          <w:bottom w:val="single" w:sz="4" w:space="1" w:color="auto"/>
          <w:right w:val="single" w:sz="4" w:space="4" w:color="auto"/>
        </w:pBdr>
        <w:spacing w:after="60" w:line="240" w:lineRule="auto"/>
        <w:rPr>
          <w:rFonts w:ascii="Arial" w:eastAsia="Times New Roman" w:hAnsi="Arial" w:cs="Arial"/>
          <w:i/>
          <w:iCs/>
          <w:color w:val="auto"/>
          <w:sz w:val="18"/>
          <w:szCs w:val="18"/>
        </w:rPr>
      </w:pPr>
      <w:r w:rsidRPr="004032E0">
        <w:rPr>
          <w:rFonts w:ascii="Arial" w:hAnsi="Arial" w:cs="Arial"/>
          <w:b/>
          <w:bCs/>
          <w:i/>
          <w:iCs/>
          <w:sz w:val="18"/>
          <w:szCs w:val="18"/>
        </w:rPr>
        <w:t>EOPO3</w:t>
      </w:r>
      <w:r w:rsidRPr="008D72CC">
        <w:rPr>
          <w:rFonts w:ascii="Arial" w:hAnsi="Arial" w:cs="Arial"/>
          <w:i/>
          <w:iCs/>
          <w:sz w:val="18"/>
          <w:szCs w:val="18"/>
        </w:rPr>
        <w:t xml:space="preserve">: </w:t>
      </w:r>
      <w:r w:rsidRPr="008D72CC">
        <w:rPr>
          <w:rFonts w:ascii="Arial" w:eastAsia="Times New Roman" w:hAnsi="Arial" w:cs="Arial"/>
          <w:i/>
          <w:iCs/>
          <w:color w:val="auto"/>
          <w:sz w:val="18"/>
          <w:szCs w:val="18"/>
        </w:rPr>
        <w:t>Women, youth and people living with disabilities have improved economic empowerment, measured by their participation in EOPOs 1 and 2 above, and demonstrated success of specific social inclusion measures</w:t>
      </w:r>
      <w:r>
        <w:rPr>
          <w:rFonts w:ascii="Arial" w:eastAsia="Times New Roman" w:hAnsi="Arial" w:cs="Arial"/>
          <w:i/>
          <w:iCs/>
          <w:color w:val="auto"/>
          <w:sz w:val="18"/>
          <w:szCs w:val="18"/>
        </w:rPr>
        <w:t>.</w:t>
      </w:r>
    </w:p>
    <w:p w14:paraId="21A038B4" w14:textId="746D5CA1" w:rsidR="00987607" w:rsidRDefault="00D63CAB" w:rsidP="00987607">
      <w:r>
        <w:rPr>
          <w:b/>
          <w:bCs/>
        </w:rPr>
        <w:t>The program</w:t>
      </w:r>
      <w:r w:rsidR="00987607" w:rsidRPr="00323DAC">
        <w:rPr>
          <w:b/>
          <w:bCs/>
        </w:rPr>
        <w:t xml:space="preserve"> operates </w:t>
      </w:r>
      <w:r w:rsidR="00987607">
        <w:rPr>
          <w:b/>
          <w:bCs/>
        </w:rPr>
        <w:t>with</w:t>
      </w:r>
      <w:r w:rsidR="00987607" w:rsidRPr="00323DAC">
        <w:rPr>
          <w:b/>
          <w:bCs/>
        </w:rPr>
        <w:t>in a challenging context.</w:t>
      </w:r>
      <w:r w:rsidR="00987607">
        <w:t xml:space="preserve"> Solomon Islands ranked 136 of 190 countries on the Ease of Doing Business index in 2020.</w:t>
      </w:r>
      <w:r w:rsidR="00987607">
        <w:rPr>
          <w:rStyle w:val="FootnoteReference"/>
        </w:rPr>
        <w:footnoteReference w:id="2"/>
      </w:r>
      <w:r w:rsidR="00987607">
        <w:t xml:space="preserve"> Electricity costs are extremely high and coverage is limited. Businesses also face high fuel prices, geographic dispersion and remoteness, </w:t>
      </w:r>
      <w:r w:rsidR="00987607" w:rsidRPr="00A44669">
        <w:t xml:space="preserve">poor </w:t>
      </w:r>
      <w:r w:rsidR="00987607">
        <w:t>transport and internet connectivity, inadequate financial and government services,</w:t>
      </w:r>
      <w:r w:rsidR="00987607" w:rsidRPr="00631AAF">
        <w:t xml:space="preserve"> </w:t>
      </w:r>
      <w:r w:rsidR="00987607">
        <w:t>low education levels, and frequent n</w:t>
      </w:r>
      <w:r w:rsidR="00987607" w:rsidRPr="005448DD">
        <w:t xml:space="preserve">atural </w:t>
      </w:r>
      <w:r w:rsidR="00987607">
        <w:t>disasters</w:t>
      </w:r>
      <w:r w:rsidR="00987607" w:rsidRPr="005448DD">
        <w:t>.</w:t>
      </w:r>
      <w:r w:rsidR="00987607" w:rsidRPr="00773130">
        <w:t xml:space="preserve"> </w:t>
      </w:r>
      <w:r w:rsidR="00987607" w:rsidRPr="726ED450">
        <w:rPr>
          <w:b/>
          <w:bCs/>
        </w:rPr>
        <w:t xml:space="preserve">COVID-19 </w:t>
      </w:r>
      <w:r w:rsidR="00987607">
        <w:rPr>
          <w:b/>
          <w:bCs/>
        </w:rPr>
        <w:t xml:space="preserve">and civil unrest </w:t>
      </w:r>
      <w:r w:rsidR="00AA7461">
        <w:t>compounded the</w:t>
      </w:r>
      <w:r w:rsidR="00987607" w:rsidRPr="005B0143">
        <w:t xml:space="preserve"> challenge</w:t>
      </w:r>
      <w:r w:rsidR="00987607">
        <w:t xml:space="preserve">s. </w:t>
      </w:r>
      <w:r w:rsidR="00AA7461" w:rsidRPr="00AA7461">
        <w:t>However</w:t>
      </w:r>
      <w:r w:rsidR="00987607">
        <w:t>, c</w:t>
      </w:r>
      <w:r w:rsidR="00987607" w:rsidRPr="005C636C">
        <w:t xml:space="preserve">onstruction for the 2023 Pacific </w:t>
      </w:r>
      <w:r w:rsidR="00987607">
        <w:t>Games is</w:t>
      </w:r>
      <w:r w:rsidR="00987607" w:rsidRPr="005C636C">
        <w:t xml:space="preserve"> providing a</w:t>
      </w:r>
      <w:r w:rsidR="00C0792E">
        <w:t xml:space="preserve">n </w:t>
      </w:r>
      <w:r w:rsidR="00987607" w:rsidRPr="005C636C">
        <w:t>economic boost</w:t>
      </w:r>
      <w:r w:rsidR="00987607">
        <w:t xml:space="preserve">, and </w:t>
      </w:r>
      <w:r w:rsidR="00987607" w:rsidRPr="005C636C">
        <w:t xml:space="preserve">labour migration </w:t>
      </w:r>
      <w:r w:rsidR="00987607">
        <w:t>is</w:t>
      </w:r>
      <w:r w:rsidR="00987607" w:rsidRPr="005C636C">
        <w:t xml:space="preserve"> </w:t>
      </w:r>
      <w:r w:rsidR="00987607">
        <w:t>opening up new opportunities</w:t>
      </w:r>
      <w:r w:rsidR="00987607" w:rsidRPr="005C636C">
        <w:t>.</w:t>
      </w:r>
    </w:p>
    <w:p w14:paraId="1AAC1D5F" w14:textId="2ECAD74A" w:rsidR="00987607" w:rsidRDefault="00987607" w:rsidP="00987607">
      <w:r w:rsidRPr="009037FA">
        <w:rPr>
          <w:b/>
          <w:bCs/>
        </w:rPr>
        <w:t>Four key evaluation questions</w:t>
      </w:r>
      <w:r>
        <w:t xml:space="preserve"> (KEQs) guided this assessment. The evaluation team reviewed many program documents and interrogated data from the program’s Monitoring and Results Measurement (MRM) system. The team also spent 15 days in-country, meeting stakeholders in Guadalcanal and Western Provinces includ</w:t>
      </w:r>
      <w:r w:rsidR="005410C8">
        <w:t>ing</w:t>
      </w:r>
      <w:r>
        <w:t xml:space="preserve"> Australian High Commission (DFAT) officers, Strongim Bisnis staff, senior SIG representatives and about three-quarters of current Strongim Bisnis partners. </w:t>
      </w:r>
    </w:p>
    <w:p w14:paraId="192AAF2D" w14:textId="77777777" w:rsidR="00B40178" w:rsidRDefault="00987607" w:rsidP="00FD5545">
      <w:pPr>
        <w:pStyle w:val="Heading1NOTOC"/>
      </w:pPr>
      <w:bookmarkStart w:id="3" w:name="_Toc129266143"/>
      <w:r>
        <w:t>Findings</w:t>
      </w:r>
    </w:p>
    <w:p w14:paraId="57EF8008" w14:textId="3568B8E6" w:rsidR="00987607" w:rsidRPr="003E0064" w:rsidRDefault="00987607" w:rsidP="00646A03">
      <w:pPr>
        <w:pStyle w:val="Heading2NOTOC"/>
        <w:rPr>
          <w:rStyle w:val="eop"/>
          <w:color w:val="414141" w:themeColor="text2" w:themeShade="BF"/>
        </w:rPr>
      </w:pPr>
      <w:r w:rsidRPr="003E0064">
        <w:rPr>
          <w:color w:val="414141" w:themeColor="text2" w:themeShade="BF"/>
        </w:rPr>
        <w:t xml:space="preserve">KEQ1: </w:t>
      </w:r>
      <w:r w:rsidRPr="003E0064">
        <w:rPr>
          <w:rStyle w:val="normaltextrun"/>
          <w:color w:val="414141" w:themeColor="text2" w:themeShade="BF"/>
        </w:rPr>
        <w:t>to what extent were Strongim Bisnis Phase 2 End of Program Outcomes (EOPO’s) achieved?</w:t>
      </w:r>
      <w:bookmarkEnd w:id="3"/>
      <w:r w:rsidRPr="003E0064">
        <w:rPr>
          <w:rStyle w:val="eop"/>
          <w:color w:val="414141" w:themeColor="text2" w:themeShade="BF"/>
        </w:rPr>
        <w:t> </w:t>
      </w:r>
    </w:p>
    <w:p w14:paraId="1A0F876E" w14:textId="77777777" w:rsidR="00987607" w:rsidRDefault="00987607" w:rsidP="00987607">
      <w:pPr>
        <w:pStyle w:val="Heading3"/>
      </w:pPr>
      <w:r>
        <w:t>EOPO1: Private sector enterprises have demonstrated potential…</w:t>
      </w:r>
    </w:p>
    <w:p w14:paraId="60CB363D" w14:textId="4E803389" w:rsidR="00987607" w:rsidRDefault="00987607" w:rsidP="00987607">
      <w:r>
        <w:rPr>
          <w:b/>
          <w:bCs/>
        </w:rPr>
        <w:t>The program achieved</w:t>
      </w:r>
      <w:r w:rsidRPr="002F73AA">
        <w:rPr>
          <w:b/>
          <w:bCs/>
        </w:rPr>
        <w:t xml:space="preserve"> positive results across all </w:t>
      </w:r>
      <w:r w:rsidRPr="00EE0F50">
        <w:rPr>
          <w:b/>
          <w:bCs/>
        </w:rPr>
        <w:t>17 EOPO1</w:t>
      </w:r>
      <w:r w:rsidR="00EE0F50" w:rsidRPr="00EE0F50">
        <w:rPr>
          <w:b/>
          <w:bCs/>
        </w:rPr>
        <w:t xml:space="preserve"> </w:t>
      </w:r>
      <w:r w:rsidRPr="00EE0F50">
        <w:rPr>
          <w:b/>
          <w:bCs/>
        </w:rPr>
        <w:t>indicators</w:t>
      </w:r>
      <w:r>
        <w:t xml:space="preserve">. During Phase 2 the </w:t>
      </w:r>
      <w:r w:rsidRPr="001D1DAA">
        <w:rPr>
          <w:b/>
          <w:bCs/>
        </w:rPr>
        <w:t>income</w:t>
      </w:r>
      <w:r>
        <w:t xml:space="preserve"> of nearly 500 households and small enterprises increased by a total of over AUD435,000. Strongim Bisnis interventions </w:t>
      </w:r>
      <w:r w:rsidRPr="001D1DAA">
        <w:rPr>
          <w:b/>
          <w:bCs/>
        </w:rPr>
        <w:t>leveraged</w:t>
      </w:r>
      <w:r>
        <w:t xml:space="preserve"> over AUD1.12 million, sales of </w:t>
      </w:r>
      <w:r w:rsidRPr="00D1151B">
        <w:rPr>
          <w:b/>
          <w:bCs/>
        </w:rPr>
        <w:t>value-added products</w:t>
      </w:r>
      <w:r>
        <w:t xml:space="preserve"> increased by nearly AUD1 million, and </w:t>
      </w:r>
      <w:r w:rsidRPr="00D1151B">
        <w:rPr>
          <w:b/>
          <w:bCs/>
        </w:rPr>
        <w:t>exports</w:t>
      </w:r>
      <w:r>
        <w:t xml:space="preserve"> valued at over AUD340,000 were facilitated. Despite the closure of international borders, tourism sector interventions were able to tap the hitherto neglected </w:t>
      </w:r>
      <w:r w:rsidRPr="00D1151B">
        <w:rPr>
          <w:b/>
          <w:bCs/>
        </w:rPr>
        <w:t>domestic tourism market</w:t>
      </w:r>
      <w:r>
        <w:t>, helping save jobs and enabling over 1100 visitors to tourist sites over the two-year period.</w:t>
      </w:r>
    </w:p>
    <w:p w14:paraId="6EECB399" w14:textId="22554073" w:rsidR="00987607" w:rsidRDefault="00987607" w:rsidP="00987607">
      <w:r>
        <w:t xml:space="preserve">Setting realistic annual targets has been challenging. Some targets were exceeded while others were not met. Overall, it has proven easier to meet expectations for </w:t>
      </w:r>
      <w:r w:rsidRPr="00D1151B">
        <w:rPr>
          <w:b/>
          <w:bCs/>
        </w:rPr>
        <w:t>output indicators</w:t>
      </w:r>
      <w:r>
        <w:t xml:space="preserve"> – such as delivery of capacity building, communications and events – than for more complex intermediate outcomes such as </w:t>
      </w:r>
      <w:r w:rsidRPr="00D1151B">
        <w:rPr>
          <w:b/>
          <w:bCs/>
        </w:rPr>
        <w:t>adoption of improved business practices</w:t>
      </w:r>
      <w:r>
        <w:t xml:space="preserve">. Nevertheless, the strong showing on </w:t>
      </w:r>
      <w:r w:rsidRPr="00CC0BF6">
        <w:rPr>
          <w:b/>
          <w:bCs/>
        </w:rPr>
        <w:t>value addition</w:t>
      </w:r>
      <w:r>
        <w:t>, derived primarily from the coconut, tourism, timber and cocoa sectors, is an important measure of success for Strongim Bisnis.</w:t>
      </w:r>
    </w:p>
    <w:p w14:paraId="09B2F4F0" w14:textId="6695AC46" w:rsidR="00987607" w:rsidRDefault="00987607" w:rsidP="00987607">
      <w:r>
        <w:t>Consultations with private sector partners revealed</w:t>
      </w:r>
      <w:r w:rsidRPr="08123348">
        <w:rPr>
          <w:lang w:val="en-US"/>
        </w:rPr>
        <w:t xml:space="preserve"> positive outcomes in terms of actual or expected increases in </w:t>
      </w:r>
      <w:r w:rsidRPr="007E0E96">
        <w:rPr>
          <w:b/>
          <w:bCs/>
          <w:lang w:val="en-US"/>
        </w:rPr>
        <w:t xml:space="preserve">productivity, income, market access </w:t>
      </w:r>
      <w:r w:rsidRPr="007E0E96">
        <w:rPr>
          <w:lang w:val="en-US"/>
        </w:rPr>
        <w:t>and</w:t>
      </w:r>
      <w:r w:rsidRPr="007E0E96">
        <w:rPr>
          <w:b/>
          <w:bCs/>
          <w:lang w:val="en-US"/>
        </w:rPr>
        <w:t xml:space="preserve"> resilience</w:t>
      </w:r>
      <w:r>
        <w:rPr>
          <w:lang w:val="en-US"/>
        </w:rPr>
        <w:t>. Strongim Bisnis</w:t>
      </w:r>
      <w:r w:rsidRPr="08123348">
        <w:rPr>
          <w:lang w:val="en-US"/>
        </w:rPr>
        <w:t xml:space="preserve"> support has enabled </w:t>
      </w:r>
      <w:r>
        <w:rPr>
          <w:lang w:val="en-US"/>
        </w:rPr>
        <w:t>some</w:t>
      </w:r>
      <w:r w:rsidRPr="08123348">
        <w:rPr>
          <w:lang w:val="en-US"/>
        </w:rPr>
        <w:t xml:space="preserve"> busines</w:t>
      </w:r>
      <w:r>
        <w:rPr>
          <w:lang w:val="en-US"/>
        </w:rPr>
        <w:t>se</w:t>
      </w:r>
      <w:r w:rsidRPr="08123348">
        <w:rPr>
          <w:lang w:val="en-US"/>
        </w:rPr>
        <w:t xml:space="preserve">s to </w:t>
      </w:r>
      <w:r w:rsidRPr="08123348">
        <w:rPr>
          <w:b/>
          <w:bCs/>
          <w:lang w:val="en-US"/>
        </w:rPr>
        <w:t>process and/or sell new products into new markets</w:t>
      </w:r>
      <w:r>
        <w:rPr>
          <w:b/>
          <w:bCs/>
          <w:lang w:val="en-US"/>
        </w:rPr>
        <w:t>,</w:t>
      </w:r>
      <w:r>
        <w:rPr>
          <w:lang w:val="en-US"/>
        </w:rPr>
        <w:t xml:space="preserve"> </w:t>
      </w:r>
      <w:r w:rsidR="00DF6F38">
        <w:rPr>
          <w:b/>
          <w:bCs/>
          <w:lang w:val="en-US"/>
        </w:rPr>
        <w:t>trial risky</w:t>
      </w:r>
      <w:r w:rsidRPr="08123348">
        <w:rPr>
          <w:b/>
          <w:bCs/>
          <w:lang w:val="en-US"/>
        </w:rPr>
        <w:t xml:space="preserve"> new initiatives</w:t>
      </w:r>
      <w:r>
        <w:rPr>
          <w:b/>
          <w:bCs/>
          <w:lang w:val="en-US"/>
        </w:rPr>
        <w:t>,</w:t>
      </w:r>
      <w:r w:rsidRPr="08123348">
        <w:rPr>
          <w:lang w:val="en-US"/>
        </w:rPr>
        <w:t xml:space="preserve"> </w:t>
      </w:r>
      <w:r>
        <w:rPr>
          <w:lang w:val="en-US"/>
        </w:rPr>
        <w:t xml:space="preserve">and </w:t>
      </w:r>
      <w:r w:rsidR="001D1DAA" w:rsidRPr="001D1DAA">
        <w:rPr>
          <w:b/>
          <w:bCs/>
          <w:lang w:val="en-US"/>
        </w:rPr>
        <w:t xml:space="preserve">develop or </w:t>
      </w:r>
      <w:r w:rsidRPr="001D1DAA">
        <w:rPr>
          <w:b/>
          <w:bCs/>
          <w:lang w:val="en-US"/>
        </w:rPr>
        <w:t>expan</w:t>
      </w:r>
      <w:r w:rsidR="001D1DAA" w:rsidRPr="001D1DAA">
        <w:rPr>
          <w:b/>
          <w:bCs/>
          <w:lang w:val="en-US"/>
        </w:rPr>
        <w:t>d</w:t>
      </w:r>
      <w:r w:rsidRPr="08123348">
        <w:rPr>
          <w:b/>
          <w:bCs/>
          <w:lang w:val="en-US"/>
        </w:rPr>
        <w:t xml:space="preserve"> </w:t>
      </w:r>
      <w:r w:rsidR="001D1DAA">
        <w:rPr>
          <w:b/>
          <w:bCs/>
          <w:lang w:val="en-US"/>
        </w:rPr>
        <w:t>economically viable</w:t>
      </w:r>
      <w:r w:rsidRPr="08123348">
        <w:rPr>
          <w:b/>
          <w:bCs/>
          <w:lang w:val="en-US"/>
        </w:rPr>
        <w:t xml:space="preserve"> out-grower and aggregator models</w:t>
      </w:r>
      <w:r>
        <w:t>.</w:t>
      </w:r>
    </w:p>
    <w:p w14:paraId="316B5482" w14:textId="77777777" w:rsidR="00987607" w:rsidRPr="00D51A17" w:rsidRDefault="00987607" w:rsidP="00987607">
      <w:pPr>
        <w:pStyle w:val="Heading3"/>
      </w:pPr>
      <w:r>
        <w:t>EOPO2: Private sector/government collaboration to improve investment climate</w:t>
      </w:r>
    </w:p>
    <w:p w14:paraId="7D95D757" w14:textId="77777777" w:rsidR="00987607" w:rsidRDefault="00987607" w:rsidP="00987607">
      <w:r>
        <w:t>Most EOPO2</w:t>
      </w:r>
      <w:r w:rsidRPr="00A14AEE">
        <w:t xml:space="preserve"> </w:t>
      </w:r>
      <w:r>
        <w:t xml:space="preserve">indicators are at output level, making progress somewhat challenging to assess in quantitative terms. </w:t>
      </w:r>
      <w:r w:rsidRPr="00340877">
        <w:rPr>
          <w:b/>
          <w:bCs/>
        </w:rPr>
        <w:t>Three ‘new or reformed laws, regulations, policies, and/or procedures’ were initiated</w:t>
      </w:r>
      <w:r>
        <w:t xml:space="preserve"> during Phase 2 but it is too early to determine whether improvements in the investment climate</w:t>
      </w:r>
      <w:r w:rsidRPr="0054254F">
        <w:t xml:space="preserve"> </w:t>
      </w:r>
      <w:r>
        <w:t>will result.</w:t>
      </w:r>
    </w:p>
    <w:p w14:paraId="787315D2" w14:textId="38C2BCE7" w:rsidR="00987607" w:rsidRDefault="00987607" w:rsidP="00987607">
      <w:r>
        <w:rPr>
          <w:lang w:val="en-US"/>
        </w:rPr>
        <w:t xml:space="preserve">The two </w:t>
      </w:r>
      <w:r w:rsidRPr="00EB0007">
        <w:rPr>
          <w:lang w:val="en-US"/>
        </w:rPr>
        <w:t xml:space="preserve">current </w:t>
      </w:r>
      <w:r>
        <w:rPr>
          <w:lang w:val="en-US"/>
        </w:rPr>
        <w:t xml:space="preserve">national government </w:t>
      </w:r>
      <w:r w:rsidR="008E1904">
        <w:rPr>
          <w:lang w:val="en-US"/>
        </w:rPr>
        <w:t xml:space="preserve">partnerships </w:t>
      </w:r>
      <w:r>
        <w:rPr>
          <w:lang w:val="en-US"/>
        </w:rPr>
        <w:t xml:space="preserve">have focused on </w:t>
      </w:r>
      <w:r w:rsidRPr="00340877">
        <w:rPr>
          <w:b/>
          <w:bCs/>
          <w:lang w:val="en-US"/>
        </w:rPr>
        <w:t>critical market system blockages</w:t>
      </w:r>
      <w:r>
        <w:rPr>
          <w:lang w:val="en-US"/>
        </w:rPr>
        <w:t xml:space="preserve"> </w:t>
      </w:r>
      <w:r w:rsidR="00423545">
        <w:rPr>
          <w:lang w:val="en-US"/>
        </w:rPr>
        <w:t>in</w:t>
      </w:r>
      <w:r>
        <w:rPr>
          <w:lang w:val="en-US"/>
        </w:rPr>
        <w:t xml:space="preserve"> tourism and waste management. Strongim Bisnis has also engaged at </w:t>
      </w:r>
      <w:r w:rsidRPr="00340877">
        <w:rPr>
          <w:b/>
          <w:bCs/>
          <w:lang w:val="en-US"/>
        </w:rPr>
        <w:t>sub-national</w:t>
      </w:r>
      <w:r>
        <w:rPr>
          <w:lang w:val="en-US"/>
        </w:rPr>
        <w:t xml:space="preserve"> levels to help progress some private sector partnerships</w:t>
      </w:r>
      <w:r>
        <w:t>, and private sector partners provided practical reinforcement for the SIG COVID-19 vaccination campaign.</w:t>
      </w:r>
      <w:r w:rsidRPr="00EE2A87">
        <w:t xml:space="preserve"> </w:t>
      </w:r>
      <w:r>
        <w:t xml:space="preserve">However, consultations confirmed that </w:t>
      </w:r>
      <w:r w:rsidRPr="006E0861">
        <w:t>Strongim Bisnis has had</w:t>
      </w:r>
      <w:r w:rsidRPr="002E2EF5">
        <w:rPr>
          <w:b/>
          <w:bCs/>
        </w:rPr>
        <w:t xml:space="preserve"> mixed success </w:t>
      </w:r>
      <w:r w:rsidRPr="006E0861">
        <w:t>in fostering effective public/private engagement to improve the business environment</w:t>
      </w:r>
      <w:r>
        <w:t>.</w:t>
      </w:r>
    </w:p>
    <w:p w14:paraId="721904CF" w14:textId="77777777" w:rsidR="00987607" w:rsidRDefault="00987607" w:rsidP="00987607">
      <w:pPr>
        <w:pStyle w:val="Heading3"/>
        <w:rPr>
          <w:lang w:val="en-US"/>
        </w:rPr>
      </w:pPr>
      <w:r>
        <w:rPr>
          <w:lang w:val="en-US"/>
        </w:rPr>
        <w:t>EOPO3: Economic empowerment and social inclusion</w:t>
      </w:r>
    </w:p>
    <w:p w14:paraId="44DA6C37" w14:textId="737F2D8C" w:rsidR="00987607" w:rsidRDefault="00987607" w:rsidP="00987607">
      <w:r w:rsidRPr="00477FF5">
        <w:rPr>
          <w:b/>
        </w:rPr>
        <w:t>T</w:t>
      </w:r>
      <w:r w:rsidRPr="00282D55">
        <w:rPr>
          <w:b/>
        </w:rPr>
        <w:t xml:space="preserve">he </w:t>
      </w:r>
      <w:r>
        <w:rPr>
          <w:b/>
        </w:rPr>
        <w:t>pro</w:t>
      </w:r>
      <w:r w:rsidRPr="00477FF5">
        <w:rPr>
          <w:b/>
        </w:rPr>
        <w:t>gram</w:t>
      </w:r>
      <w:r w:rsidRPr="00282D55">
        <w:rPr>
          <w:b/>
        </w:rPr>
        <w:t xml:space="preserve">’s twin-track </w:t>
      </w:r>
      <w:r w:rsidRPr="00833A86">
        <w:rPr>
          <w:b/>
        </w:rPr>
        <w:t xml:space="preserve">GEDSI approach </w:t>
      </w:r>
      <w:r w:rsidR="00C4177A">
        <w:rPr>
          <w:b/>
          <w:bCs/>
        </w:rPr>
        <w:t>has been</w:t>
      </w:r>
      <w:r w:rsidR="00C4177A" w:rsidRPr="00DE39F7">
        <w:rPr>
          <w:b/>
          <w:bCs/>
        </w:rPr>
        <w:t xml:space="preserve"> effective</w:t>
      </w:r>
      <w:r w:rsidR="00C4177A">
        <w:rPr>
          <w:b/>
          <w:bCs/>
        </w:rPr>
        <w:t xml:space="preserve"> in achieving EOPO3</w:t>
      </w:r>
      <w:r w:rsidR="00C4177A">
        <w:t>, particularly</w:t>
      </w:r>
      <w:r w:rsidR="00C4177A" w:rsidRPr="00C735E7">
        <w:t xml:space="preserve"> for women and youth. </w:t>
      </w:r>
      <w:r w:rsidRPr="00615A7E">
        <w:t>Eleven new WEE/SI partnerships</w:t>
      </w:r>
      <w:r>
        <w:t xml:space="preserve"> were developed in Phase 2, enhancing </w:t>
      </w:r>
      <w:r w:rsidR="00D40F0D">
        <w:t xml:space="preserve">sectoral </w:t>
      </w:r>
      <w:r>
        <w:t xml:space="preserve">efforts. </w:t>
      </w:r>
    </w:p>
    <w:p w14:paraId="0A764CEE" w14:textId="77777777" w:rsidR="00987607" w:rsidRDefault="00987607" w:rsidP="00987607">
      <w:r>
        <w:rPr>
          <w:bCs/>
        </w:rPr>
        <w:t>In Phase 2 t</w:t>
      </w:r>
      <w:r w:rsidRPr="00725214">
        <w:rPr>
          <w:bCs/>
        </w:rPr>
        <w:t>he program contributed to</w:t>
      </w:r>
      <w:r w:rsidRPr="00672C47">
        <w:rPr>
          <w:b/>
        </w:rPr>
        <w:t xml:space="preserve"> </w:t>
      </w:r>
      <w:r>
        <w:t>‘improved access to higher economic opportunities’ for over 600 businesses owned by women, youth, or people living with disabilities. Around 15 per cent of these related to the WEE/SI portfolio. T</w:t>
      </w:r>
      <w:r w:rsidRPr="003836A8">
        <w:t>he program</w:t>
      </w:r>
      <w:r>
        <w:t xml:space="preserve"> also supported nearly 400 women to </w:t>
      </w:r>
      <w:r w:rsidRPr="003F17E8">
        <w:rPr>
          <w:b/>
          <w:bCs/>
        </w:rPr>
        <w:t>access new products and services</w:t>
      </w:r>
      <w:r>
        <w:t xml:space="preserve">, with around one-quarter of results attributable to the WEE/SI portfolio. Of the total 238 households and enterprises recording </w:t>
      </w:r>
      <w:r w:rsidRPr="004B2EDE">
        <w:rPr>
          <w:b/>
          <w:bCs/>
        </w:rPr>
        <w:t>adoption of improved business practices</w:t>
      </w:r>
      <w:r>
        <w:t>, 49 were the result of targeted WEE/SI interventions.</w:t>
      </w:r>
      <w:r w:rsidRPr="00714FDD">
        <w:t xml:space="preserve"> </w:t>
      </w:r>
      <w:r w:rsidRPr="00C735E7">
        <w:t xml:space="preserve">During Phase 2, a total of 117 new full-time equivalent (FTE) </w:t>
      </w:r>
      <w:r w:rsidRPr="00ED22FD">
        <w:rPr>
          <w:b/>
          <w:bCs/>
        </w:rPr>
        <w:t>jobs</w:t>
      </w:r>
      <w:r w:rsidRPr="00C735E7">
        <w:t xml:space="preserve"> were created or maintained, the majority of which benefited women </w:t>
      </w:r>
      <w:r>
        <w:t xml:space="preserve">(48) </w:t>
      </w:r>
      <w:r w:rsidRPr="00C735E7">
        <w:t>and youth</w:t>
      </w:r>
      <w:r>
        <w:t xml:space="preserve"> (75)</w:t>
      </w:r>
      <w:r w:rsidRPr="00C735E7">
        <w:t xml:space="preserve">. </w:t>
      </w:r>
    </w:p>
    <w:p w14:paraId="7771FCDB" w14:textId="42A1DBA4" w:rsidR="00987607" w:rsidRDefault="00193499" w:rsidP="00987607">
      <w:r w:rsidRPr="005B7140">
        <w:t xml:space="preserve">The MRM data show only modest results </w:t>
      </w:r>
      <w:r w:rsidR="00D14536" w:rsidRPr="005B7140">
        <w:t>to date for</w:t>
      </w:r>
      <w:r w:rsidR="00987607" w:rsidRPr="003E6AFE">
        <w:rPr>
          <w:b/>
        </w:rPr>
        <w:t xml:space="preserve"> people living with disabilities</w:t>
      </w:r>
      <w:r w:rsidR="00987607" w:rsidRPr="003E6AFE">
        <w:t>. No new jobs have been created for this target group since the program’s inception. Phase 2 capacity building activities reached 881 women and 321 youth, but just 13 people with disabilities.</w:t>
      </w:r>
      <w:r w:rsidR="001C26CB">
        <w:t xml:space="preserve"> </w:t>
      </w:r>
      <w:r w:rsidR="008007A9">
        <w:t>Similarly, only</w:t>
      </w:r>
      <w:r w:rsidR="00120363">
        <w:t xml:space="preserve"> </w:t>
      </w:r>
      <w:r w:rsidR="00CD7D4F">
        <w:t>eight</w:t>
      </w:r>
      <w:r w:rsidR="0041221A">
        <w:t xml:space="preserve"> </w:t>
      </w:r>
      <w:r w:rsidR="00121ACB">
        <w:t xml:space="preserve">of </w:t>
      </w:r>
      <w:r w:rsidR="00E81CCE">
        <w:t xml:space="preserve">the </w:t>
      </w:r>
      <w:r w:rsidR="0065375A">
        <w:t xml:space="preserve">WEE/SI </w:t>
      </w:r>
      <w:r w:rsidR="00013A7C">
        <w:t>entrepreneur</w:t>
      </w:r>
      <w:r w:rsidR="003034FE">
        <w:t xml:space="preserve"> cohort</w:t>
      </w:r>
      <w:r w:rsidR="006332BB">
        <w:t xml:space="preserve"> who experienced</w:t>
      </w:r>
      <w:r w:rsidR="004F5C64" w:rsidRPr="00100ADA">
        <w:t xml:space="preserve"> </w:t>
      </w:r>
      <w:r w:rsidR="006332BB">
        <w:t>‘</w:t>
      </w:r>
      <w:r w:rsidR="004F5C64" w:rsidRPr="00100ADA">
        <w:t>improved access to higher economic opportunities</w:t>
      </w:r>
      <w:r w:rsidR="006332BB">
        <w:t>’</w:t>
      </w:r>
      <w:r w:rsidR="00E81CCE">
        <w:t xml:space="preserve"> </w:t>
      </w:r>
      <w:r w:rsidR="00103657">
        <w:t xml:space="preserve">were identified as </w:t>
      </w:r>
      <w:r w:rsidR="006E7BE5">
        <w:t>living with</w:t>
      </w:r>
      <w:r w:rsidR="00103657">
        <w:t xml:space="preserve"> a</w:t>
      </w:r>
      <w:r w:rsidR="0046010F">
        <w:t xml:space="preserve"> </w:t>
      </w:r>
      <w:r w:rsidR="00344686">
        <w:t>disability.</w:t>
      </w:r>
      <w:r w:rsidR="00FC5154">
        <w:t xml:space="preserve"> However, </w:t>
      </w:r>
      <w:r w:rsidR="006D5A96">
        <w:t xml:space="preserve">it is worth noting that disability-focused partnerships are relatively new, and these numbers may be under-reported. </w:t>
      </w:r>
      <w:r w:rsidR="00F77105">
        <w:t xml:space="preserve">Even partnerships </w:t>
      </w:r>
      <w:r w:rsidR="008011B6">
        <w:t>known to</w:t>
      </w:r>
      <w:r w:rsidR="00D8213B">
        <w:t xml:space="preserve"> </w:t>
      </w:r>
      <w:r w:rsidR="006D5A96">
        <w:t>explicit</w:t>
      </w:r>
      <w:r w:rsidR="008011B6">
        <w:t>ly</w:t>
      </w:r>
      <w:r w:rsidR="006D5A96">
        <w:t xml:space="preserve"> support disability-related outcomes </w:t>
      </w:r>
      <w:r w:rsidR="000F16FF">
        <w:t xml:space="preserve">have reported </w:t>
      </w:r>
      <w:r w:rsidR="00C632A0">
        <w:t>zero</w:t>
      </w:r>
      <w:r w:rsidR="000F16FF">
        <w:t xml:space="preserve"> or minimal</w:t>
      </w:r>
      <w:r w:rsidR="006D5A96">
        <w:t xml:space="preserve"> results against disability-related indicators</w:t>
      </w:r>
      <w:r w:rsidR="00B0194C">
        <w:t xml:space="preserve"> </w:t>
      </w:r>
      <w:r w:rsidR="00C06F77">
        <w:t>so far in</w:t>
      </w:r>
      <w:r w:rsidR="000D63CC">
        <w:t xml:space="preserve"> Phase 2</w:t>
      </w:r>
      <w:r w:rsidR="00895E16">
        <w:t xml:space="preserve"> (see also KEQ2)</w:t>
      </w:r>
      <w:r w:rsidR="006D5A96">
        <w:t>.</w:t>
      </w:r>
    </w:p>
    <w:p w14:paraId="6AFE58D0" w14:textId="77777777" w:rsidR="00987607" w:rsidRDefault="00987607" w:rsidP="00987607">
      <w:pPr>
        <w:pStyle w:val="Heading3"/>
      </w:pPr>
      <w:r>
        <w:t>Unintended impacts</w:t>
      </w:r>
    </w:p>
    <w:p w14:paraId="3AA21C1F" w14:textId="77777777" w:rsidR="00987607" w:rsidRDefault="00987607" w:rsidP="00987607">
      <w:r w:rsidRPr="002E16C2">
        <w:rPr>
          <w:b/>
          <w:bCs/>
        </w:rPr>
        <w:t xml:space="preserve">Rapid reorientation of Strongim Bisnis’ tourism sector support </w:t>
      </w:r>
      <w:r>
        <w:t>in response to COVID-19 border restrictions</w:t>
      </w:r>
      <w:r w:rsidRPr="002E16C2">
        <w:rPr>
          <w:b/>
          <w:bCs/>
        </w:rPr>
        <w:t xml:space="preserve"> helped catalyse a nascent d</w:t>
      </w:r>
      <w:r w:rsidRPr="00696E09">
        <w:rPr>
          <w:b/>
          <w:bCs/>
        </w:rPr>
        <w:t>omestic tourism</w:t>
      </w:r>
      <w:r>
        <w:rPr>
          <w:b/>
          <w:bCs/>
        </w:rPr>
        <w:t xml:space="preserve"> market</w:t>
      </w:r>
      <w:r>
        <w:t xml:space="preserve">. The domestic market now accounts for 50 per cent of </w:t>
      </w:r>
      <w:r>
        <w:rPr>
          <w:rFonts w:ascii="Arial" w:hAnsi="Arial" w:cs="Arial"/>
        </w:rPr>
        <w:t>Solomon Airlines’ income, compared to 10 per cent pre-COVID.</w:t>
      </w:r>
    </w:p>
    <w:p w14:paraId="781DB523" w14:textId="100B996C" w:rsidR="00987607" w:rsidRPr="006C3B71" w:rsidRDefault="00277014" w:rsidP="00987607">
      <w:pPr>
        <w:pStyle w:val="ListBullet"/>
        <w:numPr>
          <w:ilvl w:val="0"/>
          <w:numId w:val="0"/>
        </w:numPr>
        <w:rPr>
          <w:rFonts w:ascii="Calibri" w:eastAsiaTheme="minorHAnsi" w:hAnsi="Calibri"/>
          <w:color w:val="auto"/>
          <w:szCs w:val="21"/>
        </w:rPr>
      </w:pPr>
      <w:r>
        <w:rPr>
          <w:b/>
          <w:bCs/>
        </w:rPr>
        <w:t>A partnership</w:t>
      </w:r>
      <w:r w:rsidR="00987607">
        <w:rPr>
          <w:b/>
          <w:bCs/>
        </w:rPr>
        <w:t xml:space="preserve"> to promote organic fertiliser ha</w:t>
      </w:r>
      <w:r>
        <w:rPr>
          <w:b/>
          <w:bCs/>
        </w:rPr>
        <w:t>s</w:t>
      </w:r>
      <w:r w:rsidR="00987607">
        <w:rPr>
          <w:b/>
          <w:bCs/>
        </w:rPr>
        <w:t xml:space="preserve"> indirectly generated </w:t>
      </w:r>
      <w:r>
        <w:rPr>
          <w:b/>
          <w:bCs/>
        </w:rPr>
        <w:t>ambitions to</w:t>
      </w:r>
      <w:r w:rsidR="00987607" w:rsidRPr="006B040C">
        <w:rPr>
          <w:b/>
          <w:bCs/>
        </w:rPr>
        <w:t xml:space="preserve"> </w:t>
      </w:r>
      <w:r w:rsidR="00987607">
        <w:rPr>
          <w:b/>
          <w:bCs/>
        </w:rPr>
        <w:t>produc</w:t>
      </w:r>
      <w:r>
        <w:rPr>
          <w:b/>
          <w:bCs/>
        </w:rPr>
        <w:t>e</w:t>
      </w:r>
      <w:r w:rsidR="00987607" w:rsidRPr="006B040C">
        <w:rPr>
          <w:b/>
          <w:bCs/>
        </w:rPr>
        <w:t xml:space="preserve"> livestock feed</w:t>
      </w:r>
      <w:r w:rsidR="00987607">
        <w:t xml:space="preserve">. </w:t>
      </w:r>
      <w:r>
        <w:t>The</w:t>
      </w:r>
      <w:r w:rsidR="00987607">
        <w:t xml:space="preserve"> partner </w:t>
      </w:r>
      <w:r w:rsidR="00A46DE8">
        <w:t>has found that</w:t>
      </w:r>
      <w:r w:rsidR="00987607">
        <w:t xml:space="preserve"> producing and selling organic fertiliser</w:t>
      </w:r>
      <w:r w:rsidR="00A46DE8">
        <w:t xml:space="preserve"> may not be viable</w:t>
      </w:r>
      <w:r w:rsidR="00987607">
        <w:t xml:space="preserve">, but </w:t>
      </w:r>
      <w:r w:rsidR="00A46DE8">
        <w:t xml:space="preserve">he </w:t>
      </w:r>
      <w:r w:rsidR="00987607">
        <w:t xml:space="preserve">observes significant market demand for livestock feed and an opportunity to produce high-quality local silage. </w:t>
      </w:r>
    </w:p>
    <w:p w14:paraId="26BB04CA" w14:textId="77777777" w:rsidR="00987607" w:rsidRPr="00D202F6" w:rsidRDefault="00987607" w:rsidP="00987607">
      <w:pPr>
        <w:pStyle w:val="ListBullet"/>
        <w:numPr>
          <w:ilvl w:val="0"/>
          <w:numId w:val="0"/>
        </w:numPr>
      </w:pPr>
      <w:r>
        <w:rPr>
          <w:b/>
          <w:bCs/>
        </w:rPr>
        <w:t>Program s</w:t>
      </w:r>
      <w:r w:rsidRPr="00D202F6">
        <w:rPr>
          <w:b/>
          <w:bCs/>
        </w:rPr>
        <w:t xml:space="preserve">upport to women’s businesses has </w:t>
      </w:r>
      <w:r>
        <w:rPr>
          <w:rFonts w:ascii="Arial" w:hAnsi="Arial" w:cs="Arial"/>
        </w:rPr>
        <w:t>linked</w:t>
      </w:r>
      <w:r w:rsidRPr="00D202F6">
        <w:rPr>
          <w:rFonts w:ascii="Arial" w:hAnsi="Arial" w:cs="Arial"/>
        </w:rPr>
        <w:t xml:space="preserve"> </w:t>
      </w:r>
      <w:r>
        <w:rPr>
          <w:rFonts w:ascii="Arial" w:hAnsi="Arial" w:cs="Arial"/>
        </w:rPr>
        <w:t xml:space="preserve">women in </w:t>
      </w:r>
      <w:r w:rsidRPr="00D202F6">
        <w:rPr>
          <w:rFonts w:ascii="Arial" w:hAnsi="Arial" w:cs="Arial"/>
        </w:rPr>
        <w:t xml:space="preserve">rural </w:t>
      </w:r>
      <w:r>
        <w:rPr>
          <w:rFonts w:ascii="Arial" w:hAnsi="Arial" w:cs="Arial"/>
        </w:rPr>
        <w:t>villages</w:t>
      </w:r>
      <w:r w:rsidRPr="00D202F6">
        <w:rPr>
          <w:rFonts w:ascii="Arial" w:hAnsi="Arial" w:cs="Arial"/>
        </w:rPr>
        <w:t xml:space="preserve"> </w:t>
      </w:r>
      <w:r>
        <w:rPr>
          <w:rFonts w:ascii="Arial" w:hAnsi="Arial" w:cs="Arial"/>
        </w:rPr>
        <w:t>with external markets for their produce and</w:t>
      </w:r>
      <w:r w:rsidRPr="00D202F6">
        <w:rPr>
          <w:rFonts w:ascii="Arial" w:hAnsi="Arial" w:cs="Arial"/>
        </w:rPr>
        <w:t xml:space="preserve"> handicrafts</w:t>
      </w:r>
      <w:r>
        <w:rPr>
          <w:rFonts w:ascii="Arial" w:hAnsi="Arial" w:cs="Arial"/>
        </w:rPr>
        <w:t xml:space="preserve"> and</w:t>
      </w:r>
      <w:r>
        <w:rPr>
          <w:b/>
          <w:bCs/>
        </w:rPr>
        <w:t xml:space="preserve"> highlighted the value</w:t>
      </w:r>
      <w:r w:rsidRPr="00D202F6">
        <w:rPr>
          <w:b/>
          <w:bCs/>
        </w:rPr>
        <w:t xml:space="preserve"> of being ‘productive in place’</w:t>
      </w:r>
      <w:r>
        <w:rPr>
          <w:rFonts w:ascii="Arial" w:hAnsi="Arial" w:cs="Arial"/>
        </w:rPr>
        <w:t>.</w:t>
      </w:r>
      <w:r w:rsidRPr="00BB6992">
        <w:rPr>
          <w:b/>
          <w:bCs/>
        </w:rPr>
        <w:t xml:space="preserve"> </w:t>
      </w:r>
      <w:r w:rsidRPr="00BE6038">
        <w:t xml:space="preserve">Increased youth agency is leading to instances of </w:t>
      </w:r>
      <w:r>
        <w:rPr>
          <w:b/>
          <w:bCs/>
        </w:rPr>
        <w:t xml:space="preserve">countercultural change </w:t>
      </w:r>
      <w:r w:rsidRPr="006F42B8">
        <w:t>– specifically, resistance to church demands for a share of revenues</w:t>
      </w:r>
      <w:r>
        <w:t xml:space="preserve"> from a</w:t>
      </w:r>
      <w:r w:rsidRPr="006F42B8">
        <w:t xml:space="preserve"> youth-run enterprise s</w:t>
      </w:r>
      <w:r>
        <w:t>upported by Strongim Bisnis</w:t>
      </w:r>
      <w:r w:rsidRPr="00D202F6">
        <w:t>.</w:t>
      </w:r>
      <w:r>
        <w:t xml:space="preserve"> The new childcare centre supported by Strongim Bisnis at SolTuna is freeing up working mothers’ time, leading them to consider further study or upskilling to increase future income. </w:t>
      </w:r>
    </w:p>
    <w:p w14:paraId="54CDDE47" w14:textId="77777777" w:rsidR="00987607" w:rsidRDefault="00987607" w:rsidP="00987607">
      <w:pPr>
        <w:pStyle w:val="Heading3"/>
      </w:pPr>
      <w:r>
        <w:t>Coherence with Australia’s development objectives</w:t>
      </w:r>
    </w:p>
    <w:p w14:paraId="78D53084" w14:textId="2548FE5E" w:rsidR="00987607" w:rsidRDefault="00987607" w:rsidP="00987607">
      <w:pPr>
        <w:rPr>
          <w:rFonts w:ascii="Arial" w:hAnsi="Arial" w:cs="Arial"/>
          <w:szCs w:val="20"/>
        </w:rPr>
      </w:pPr>
      <w:r w:rsidRPr="00326438">
        <w:t xml:space="preserve">Strongim Bisnis </w:t>
      </w:r>
      <w:r>
        <w:t>has proven itself as</w:t>
      </w:r>
      <w:r w:rsidRPr="00326438">
        <w:t xml:space="preserve"> </w:t>
      </w:r>
      <w:r>
        <w:rPr>
          <w:rFonts w:ascii="Arial" w:hAnsi="Arial" w:cs="Arial"/>
          <w:bCs/>
          <w:szCs w:val="20"/>
        </w:rPr>
        <w:t xml:space="preserve">a </w:t>
      </w:r>
      <w:r w:rsidRPr="0091441E">
        <w:rPr>
          <w:rFonts w:ascii="Arial" w:hAnsi="Arial" w:cs="Arial"/>
          <w:b/>
          <w:szCs w:val="20"/>
        </w:rPr>
        <w:t>flexible</w:t>
      </w:r>
      <w:r w:rsidR="0061754B" w:rsidRPr="0091441E">
        <w:rPr>
          <w:rFonts w:ascii="Arial" w:hAnsi="Arial" w:cs="Arial"/>
          <w:b/>
          <w:szCs w:val="20"/>
        </w:rPr>
        <w:t>,</w:t>
      </w:r>
      <w:r w:rsidRPr="0091441E">
        <w:rPr>
          <w:rFonts w:ascii="Arial" w:hAnsi="Arial" w:cs="Arial"/>
          <w:b/>
          <w:szCs w:val="20"/>
        </w:rPr>
        <w:t xml:space="preserve"> nimble mechanism</w:t>
      </w:r>
      <w:r>
        <w:rPr>
          <w:rFonts w:ascii="Arial" w:hAnsi="Arial" w:cs="Arial"/>
          <w:bCs/>
          <w:szCs w:val="20"/>
        </w:rPr>
        <w:t xml:space="preserve"> for responding to emerging priorities </w:t>
      </w:r>
      <w:r>
        <w:t>such as</w:t>
      </w:r>
      <w:r w:rsidRPr="00326438">
        <w:t xml:space="preserve"> COVID response and recovery</w:t>
      </w:r>
      <w:r>
        <w:t>,</w:t>
      </w:r>
      <w:r w:rsidRPr="00326438">
        <w:t xml:space="preserve"> and promoting the broader objectives of the Australia-Solomon Islands bilateral relationship. </w:t>
      </w:r>
      <w:r>
        <w:t>Program</w:t>
      </w:r>
      <w:r>
        <w:rPr>
          <w:rFonts w:ascii="Arial" w:hAnsi="Arial" w:cs="Arial"/>
          <w:szCs w:val="20"/>
        </w:rPr>
        <w:t xml:space="preserve"> interventions during the pandemic h</w:t>
      </w:r>
      <w:r w:rsidRPr="06C03492">
        <w:rPr>
          <w:rFonts w:ascii="Arial" w:hAnsi="Arial" w:cs="Arial"/>
          <w:szCs w:val="20"/>
        </w:rPr>
        <w:t xml:space="preserve">elped critical </w:t>
      </w:r>
      <w:r>
        <w:rPr>
          <w:rFonts w:ascii="Arial" w:hAnsi="Arial" w:cs="Arial"/>
          <w:szCs w:val="20"/>
        </w:rPr>
        <w:t>market players</w:t>
      </w:r>
      <w:r w:rsidRPr="06C03492">
        <w:rPr>
          <w:rFonts w:ascii="Arial" w:hAnsi="Arial" w:cs="Arial"/>
          <w:szCs w:val="20"/>
        </w:rPr>
        <w:t xml:space="preserve"> survive</w:t>
      </w:r>
      <w:r>
        <w:rPr>
          <w:rFonts w:ascii="Arial" w:hAnsi="Arial" w:cs="Arial"/>
          <w:szCs w:val="20"/>
        </w:rPr>
        <w:t xml:space="preserve">, and on-going partnerships </w:t>
      </w:r>
      <w:r>
        <w:rPr>
          <w:rFonts w:ascii="Arial" w:hAnsi="Arial" w:cs="Arial"/>
          <w:bCs/>
          <w:szCs w:val="20"/>
        </w:rPr>
        <w:t xml:space="preserve">have potential </w:t>
      </w:r>
      <w:r>
        <w:rPr>
          <w:rFonts w:ascii="Arial" w:hAnsi="Arial" w:cs="Arial"/>
          <w:szCs w:val="20"/>
        </w:rPr>
        <w:t xml:space="preserve">to </w:t>
      </w:r>
      <w:r w:rsidR="002C6738">
        <w:rPr>
          <w:rFonts w:ascii="Arial" w:hAnsi="Arial" w:cs="Arial"/>
          <w:szCs w:val="20"/>
        </w:rPr>
        <w:t>generate</w:t>
      </w:r>
      <w:r>
        <w:rPr>
          <w:rFonts w:ascii="Arial" w:hAnsi="Arial" w:cs="Arial"/>
          <w:szCs w:val="20"/>
        </w:rPr>
        <w:t xml:space="preserve"> significant </w:t>
      </w:r>
      <w:r>
        <w:rPr>
          <w:rFonts w:ascii="Arial" w:hAnsi="Arial" w:cs="Arial"/>
          <w:bCs/>
          <w:szCs w:val="20"/>
        </w:rPr>
        <w:t>economic and social impact. Further o</w:t>
      </w:r>
      <w:r>
        <w:rPr>
          <w:rFonts w:ascii="Arial" w:hAnsi="Arial" w:cs="Arial"/>
          <w:szCs w:val="20"/>
        </w:rPr>
        <w:t>pportunities exist to complement other initiatives under Australia’s development partnership.</w:t>
      </w:r>
    </w:p>
    <w:p w14:paraId="25B33948" w14:textId="77777777" w:rsidR="00987607" w:rsidRDefault="00987607" w:rsidP="00987607">
      <w:pPr>
        <w:pStyle w:val="Heading3"/>
      </w:pPr>
      <w:r>
        <w:t>Value for Money (VfM)</w:t>
      </w:r>
    </w:p>
    <w:p w14:paraId="67A94669" w14:textId="47F87ADF" w:rsidR="00987607" w:rsidRDefault="00987607" w:rsidP="00987607">
      <w:bookmarkStart w:id="4" w:name="_Toc129266144"/>
      <w:r w:rsidRPr="0031779B">
        <w:rPr>
          <w:b/>
        </w:rPr>
        <w:t>Strongim Bisnis has not routinely reported against explicit VfM indicators to date</w:t>
      </w:r>
      <w:r>
        <w:t xml:space="preserve">, although VfM considerations do inform operational decisions. A </w:t>
      </w:r>
      <w:r w:rsidR="009554BE">
        <w:rPr>
          <w:rFonts w:ascii="Arial" w:hAnsi="Arial" w:cs="Arial"/>
          <w:szCs w:val="20"/>
        </w:rPr>
        <w:t>recently</w:t>
      </w:r>
      <w:r w:rsidR="00CB4151">
        <w:rPr>
          <w:rFonts w:ascii="Arial" w:hAnsi="Arial" w:cs="Arial"/>
          <w:szCs w:val="20"/>
        </w:rPr>
        <w:t>-</w:t>
      </w:r>
      <w:r w:rsidR="009554BE">
        <w:rPr>
          <w:rFonts w:ascii="Arial" w:hAnsi="Arial" w:cs="Arial"/>
          <w:szCs w:val="20"/>
        </w:rPr>
        <w:t xml:space="preserve">commissioned </w:t>
      </w:r>
      <w:r w:rsidR="009554BE">
        <w:t xml:space="preserve">VfM report </w:t>
      </w:r>
      <w:r w:rsidR="00CB4151">
        <w:t xml:space="preserve">could inform </w:t>
      </w:r>
      <w:r w:rsidR="00AD67C7">
        <w:t xml:space="preserve">development of </w:t>
      </w:r>
      <w:r w:rsidR="00AD67C7" w:rsidRPr="00AD67C7">
        <w:t xml:space="preserve">an </w:t>
      </w:r>
      <w:r w:rsidR="00CB4151" w:rsidRPr="005B7140">
        <w:t xml:space="preserve">explicit VfM framework </w:t>
      </w:r>
      <w:r w:rsidR="00AD67C7" w:rsidRPr="005B7140">
        <w:t xml:space="preserve">for </w:t>
      </w:r>
      <w:r w:rsidR="00AD67C7" w:rsidRPr="00AD67C7">
        <w:t xml:space="preserve">Phase 3, that </w:t>
      </w:r>
      <w:r w:rsidR="00CB4151" w:rsidRPr="005B7140">
        <w:t>would help</w:t>
      </w:r>
      <w:r w:rsidR="00CB4151" w:rsidRPr="0049361F">
        <w:rPr>
          <w:b/>
          <w:bCs/>
        </w:rPr>
        <w:t xml:space="preserve"> </w:t>
      </w:r>
      <w:r w:rsidRPr="005B7140">
        <w:rPr>
          <w:b/>
          <w:bCs/>
        </w:rPr>
        <w:t>systematise and strengthen VfM analysis for both adaptive management and accountability purposes.</w:t>
      </w:r>
      <w:r>
        <w:t xml:space="preserve"> </w:t>
      </w:r>
    </w:p>
    <w:p w14:paraId="63FF2061" w14:textId="6B5F02BF" w:rsidR="00987607" w:rsidRDefault="00987607" w:rsidP="00987607">
      <w:r>
        <w:t xml:space="preserve">Across the two years of Phase 2, staffing </w:t>
      </w:r>
      <w:r w:rsidR="000C7740">
        <w:t xml:space="preserve">and </w:t>
      </w:r>
      <w:r>
        <w:t>support costs accounted for around 47</w:t>
      </w:r>
      <w:r w:rsidR="00D64E5A">
        <w:t xml:space="preserve"> per cent</w:t>
      </w:r>
      <w:r>
        <w:t xml:space="preserve"> of total expenditure</w:t>
      </w:r>
      <w:r w:rsidR="00EA7F99">
        <w:t>,</w:t>
      </w:r>
      <w:r>
        <w:t xml:space="preserve"> operational costs 7</w:t>
      </w:r>
      <w:r w:rsidR="00D64E5A">
        <w:t xml:space="preserve"> per cent</w:t>
      </w:r>
      <w:r w:rsidR="009F6904">
        <w:t>, and</w:t>
      </w:r>
      <w:r>
        <w:t xml:space="preserve"> program costs</w:t>
      </w:r>
      <w:r w:rsidR="0020509A">
        <w:t xml:space="preserve"> 45 per cent</w:t>
      </w:r>
      <w:r>
        <w:t xml:space="preserve">. This compares favourably with Phase 1, when program </w:t>
      </w:r>
      <w:r w:rsidR="0020509A">
        <w:t>expenditure</w:t>
      </w:r>
      <w:r>
        <w:t xml:space="preserve"> was just 36</w:t>
      </w:r>
      <w:r w:rsidR="00003191">
        <w:t xml:space="preserve"> per cent</w:t>
      </w:r>
      <w:r>
        <w:t xml:space="preserve"> of total </w:t>
      </w:r>
      <w:r w:rsidR="00003191">
        <w:t>spending</w:t>
      </w:r>
      <w:r>
        <w:t>.</w:t>
      </w:r>
    </w:p>
    <w:p w14:paraId="4D8A1B34" w14:textId="77777777" w:rsidR="00987607" w:rsidRDefault="00987607" w:rsidP="00987607">
      <w:r>
        <w:t xml:space="preserve">Indicative VfM calculations highlight the costs of working in a difficult private sector environment and pursuing inclusivity objectives as well as economic benefits. During Phase 2, total spend per ‘household or small enterprise benefitting from additional income increase’ was close to AUD15,000, and it cost AUD17 to generate each dollar of net additional income for those beneficiaries. Total spend per job created was nearly AUD63,000. </w:t>
      </w:r>
      <w:r>
        <w:rPr>
          <w:lang w:val="en-US"/>
        </w:rPr>
        <w:t xml:space="preserve">Strongim Bisnis’ </w:t>
      </w:r>
      <w:r>
        <w:t xml:space="preserve">AUD3.58m </w:t>
      </w:r>
      <w:r w:rsidRPr="00B341F2">
        <w:t xml:space="preserve">direct partnership investments </w:t>
      </w:r>
      <w:r w:rsidRPr="00B341F2">
        <w:rPr>
          <w:lang w:val="en-US"/>
        </w:rPr>
        <w:t>in</w:t>
      </w:r>
      <w:r>
        <w:rPr>
          <w:lang w:val="en-US"/>
        </w:rPr>
        <w:t xml:space="preserve"> Phase 2 </w:t>
      </w:r>
      <w:r>
        <w:t xml:space="preserve">have leveraged financial and in-kind </w:t>
      </w:r>
      <w:r>
        <w:rPr>
          <w:lang w:val="en-US"/>
        </w:rPr>
        <w:t>contributions of</w:t>
      </w:r>
      <w:r>
        <w:t xml:space="preserve"> AUD1.12m from private sector partners – a ratio of about 3:1. </w:t>
      </w:r>
    </w:p>
    <w:p w14:paraId="46427E4B" w14:textId="26160C63" w:rsidR="00987607" w:rsidRDefault="00987607" w:rsidP="00987607">
      <w:pPr>
        <w:rPr>
          <w:rFonts w:ascii="Arial" w:hAnsi="Arial" w:cs="Arial"/>
          <w:szCs w:val="20"/>
        </w:rPr>
      </w:pPr>
      <w:r>
        <w:t>Related to VfM, is adherence to private sector engagement</w:t>
      </w:r>
      <w:r w:rsidR="00CF2845" w:rsidRPr="00CF2845">
        <w:t xml:space="preserve"> </w:t>
      </w:r>
      <w:r w:rsidR="00CF2845">
        <w:t>principles</w:t>
      </w:r>
      <w:r>
        <w:t xml:space="preserve">. Consultations confirmed that </w:t>
      </w:r>
      <w:r>
        <w:rPr>
          <w:rFonts w:ascii="Arial" w:hAnsi="Arial" w:cs="Arial"/>
          <w:szCs w:val="20"/>
        </w:rPr>
        <w:t xml:space="preserve">partners would not have been able to fund the interventions themselves, at least not </w:t>
      </w:r>
      <w:r w:rsidR="0069638A">
        <w:rPr>
          <w:rFonts w:ascii="Arial" w:hAnsi="Arial" w:cs="Arial"/>
          <w:szCs w:val="20"/>
        </w:rPr>
        <w:t>in</w:t>
      </w:r>
      <w:r>
        <w:rPr>
          <w:rFonts w:ascii="Arial" w:hAnsi="Arial" w:cs="Arial"/>
          <w:szCs w:val="20"/>
        </w:rPr>
        <w:t xml:space="preserve"> the near future</w:t>
      </w:r>
      <w:r w:rsidR="00883E02" w:rsidRPr="00883E02">
        <w:rPr>
          <w:rFonts w:ascii="Arial" w:hAnsi="Arial" w:cs="Arial"/>
          <w:szCs w:val="20"/>
        </w:rPr>
        <w:t xml:space="preserve"> </w:t>
      </w:r>
      <w:r w:rsidR="00883E02">
        <w:rPr>
          <w:rFonts w:ascii="Arial" w:hAnsi="Arial" w:cs="Arial"/>
          <w:szCs w:val="20"/>
        </w:rPr>
        <w:t>(</w:t>
      </w:r>
      <w:r w:rsidR="00883E02" w:rsidRPr="00DF31B9">
        <w:rPr>
          <w:rFonts w:ascii="Arial" w:hAnsi="Arial" w:cs="Arial"/>
          <w:b/>
          <w:bCs/>
          <w:szCs w:val="20"/>
        </w:rPr>
        <w:t>additionality</w:t>
      </w:r>
      <w:r w:rsidR="00883E02">
        <w:rPr>
          <w:rFonts w:ascii="Arial" w:hAnsi="Arial" w:cs="Arial"/>
          <w:b/>
          <w:bCs/>
          <w:szCs w:val="20"/>
        </w:rPr>
        <w:t>)</w:t>
      </w:r>
      <w:r>
        <w:rPr>
          <w:rFonts w:ascii="Arial" w:hAnsi="Arial" w:cs="Arial"/>
          <w:szCs w:val="20"/>
        </w:rPr>
        <w:t xml:space="preserve">. </w:t>
      </w:r>
      <w:r>
        <w:t xml:space="preserve">The </w:t>
      </w:r>
      <w:r w:rsidRPr="006607DD">
        <w:rPr>
          <w:b/>
          <w:bCs/>
        </w:rPr>
        <w:t>minimal concessionality</w:t>
      </w:r>
      <w:r>
        <w:t xml:space="preserve"> principle is more difficult to assess, partly due to a lack of clear expectations or requirements around cost-sharing. </w:t>
      </w:r>
      <w:r w:rsidRPr="00BC2E62">
        <w:rPr>
          <w:b/>
          <w:bCs/>
        </w:rPr>
        <w:t>Fairness</w:t>
      </w:r>
      <w:r>
        <w:t xml:space="preserve"> and </w:t>
      </w:r>
      <w:r w:rsidRPr="00BC2E62">
        <w:rPr>
          <w:b/>
          <w:bCs/>
        </w:rPr>
        <w:t>neutrality</w:t>
      </w:r>
      <w:r>
        <w:t xml:space="preserve"> are of concern to some stakeholders, relating to</w:t>
      </w:r>
      <w:r>
        <w:rPr>
          <w:rFonts w:ascii="Arial" w:hAnsi="Arial" w:cs="Arial"/>
          <w:szCs w:val="20"/>
        </w:rPr>
        <w:t xml:space="preserve"> </w:t>
      </w:r>
      <w:r w:rsidRPr="00760DFC">
        <w:rPr>
          <w:rFonts w:ascii="Arial" w:hAnsi="Arial" w:cs="Arial"/>
          <w:b/>
          <w:bCs/>
          <w:szCs w:val="20"/>
        </w:rPr>
        <w:t>transparency</w:t>
      </w:r>
      <w:r>
        <w:rPr>
          <w:rFonts w:ascii="Arial" w:hAnsi="Arial" w:cs="Arial"/>
          <w:szCs w:val="20"/>
        </w:rPr>
        <w:t xml:space="preserve"> issues discussed further below.</w:t>
      </w:r>
    </w:p>
    <w:p w14:paraId="7FF3EC5E" w14:textId="77777777" w:rsidR="00987607" w:rsidRPr="003E0064" w:rsidRDefault="00987607" w:rsidP="00646A03">
      <w:pPr>
        <w:pStyle w:val="Heading2NOTOC"/>
        <w:rPr>
          <w:rStyle w:val="normaltextrun"/>
          <w:color w:val="414141" w:themeColor="text2" w:themeShade="BF"/>
        </w:rPr>
      </w:pPr>
      <w:r w:rsidRPr="003E0064">
        <w:rPr>
          <w:rStyle w:val="normaltextrun"/>
          <w:color w:val="414141" w:themeColor="text2" w:themeShade="BF"/>
        </w:rPr>
        <w:t>KEQ2: To what extent did Strongim Bisnis deliver outcomes for women, youth and people living with disabilities?</w:t>
      </w:r>
      <w:bookmarkEnd w:id="4"/>
    </w:p>
    <w:p w14:paraId="4BBFCC48" w14:textId="1DCC44E0" w:rsidR="00987607" w:rsidRPr="001578B5" w:rsidRDefault="00987607" w:rsidP="00987607">
      <w:r w:rsidRPr="001578B5">
        <w:t xml:space="preserve">The Strongim Bisnis Gender and Inclusion Action Plan (2021) sets out a clear strategy for applying a twin track approach based on private sector engagement (PSE) and gender equality principles. </w:t>
      </w:r>
      <w:r>
        <w:t>Good</w:t>
      </w:r>
      <w:r w:rsidRPr="000C06D6">
        <w:t xml:space="preserve"> progress </w:t>
      </w:r>
      <w:r>
        <w:t>was made</w:t>
      </w:r>
      <w:r w:rsidRPr="000C06D6">
        <w:t xml:space="preserve"> </w:t>
      </w:r>
      <w:r>
        <w:t>in</w:t>
      </w:r>
      <w:r w:rsidRPr="000C06D6">
        <w:t xml:space="preserve"> Phase 2 in supporting economic empowerment and social inclusion </w:t>
      </w:r>
      <w:r>
        <w:t>for</w:t>
      </w:r>
      <w:r w:rsidRPr="000C06D6">
        <w:t xml:space="preserve"> women and youth</w:t>
      </w:r>
      <w:r>
        <w:t xml:space="preserve">, as outlined under KEQ1 (EOPO3). </w:t>
      </w:r>
      <w:r w:rsidR="00861FCC">
        <w:t>P</w:t>
      </w:r>
      <w:r w:rsidR="00861FCC" w:rsidRPr="001578B5">
        <w:t xml:space="preserve">artners </w:t>
      </w:r>
      <w:r w:rsidR="00861FCC">
        <w:t>recognise and appreciate t</w:t>
      </w:r>
      <w:r w:rsidRPr="001578B5">
        <w:t xml:space="preserve">he program’s efforts to </w:t>
      </w:r>
      <w:r>
        <w:t>reach and support</w:t>
      </w:r>
      <w:r w:rsidRPr="001578B5">
        <w:t xml:space="preserve"> </w:t>
      </w:r>
      <w:r>
        <w:t>marginalised groups</w:t>
      </w:r>
      <w:r w:rsidR="00861FCC">
        <w:t xml:space="preserve">, </w:t>
      </w:r>
      <w:r w:rsidR="003A0E27">
        <w:t>and some</w:t>
      </w:r>
      <w:r w:rsidRPr="001578B5">
        <w:t xml:space="preserve"> businesses </w:t>
      </w:r>
      <w:r w:rsidR="003A0E27">
        <w:t>have sought</w:t>
      </w:r>
      <w:r w:rsidRPr="001578B5">
        <w:t xml:space="preserve"> </w:t>
      </w:r>
      <w:r>
        <w:t xml:space="preserve">opportunities </w:t>
      </w:r>
      <w:r w:rsidR="00DF5C5D">
        <w:t>to improve</w:t>
      </w:r>
      <w:r>
        <w:t xml:space="preserve"> inclusiveness</w:t>
      </w:r>
      <w:r w:rsidRPr="001578B5">
        <w:t xml:space="preserve">. </w:t>
      </w:r>
    </w:p>
    <w:p w14:paraId="781DF3DB" w14:textId="76B3229F" w:rsidR="00260B56" w:rsidRDefault="00987607" w:rsidP="00987607">
      <w:r>
        <w:rPr>
          <w:b/>
          <w:bCs/>
        </w:rPr>
        <w:t xml:space="preserve">Sectoral (value chain) </w:t>
      </w:r>
      <w:r w:rsidRPr="00881868">
        <w:rPr>
          <w:b/>
          <w:bCs/>
        </w:rPr>
        <w:t xml:space="preserve">initiatives </w:t>
      </w:r>
      <w:r>
        <w:rPr>
          <w:b/>
          <w:bCs/>
        </w:rPr>
        <w:t>achieved greater outreach</w:t>
      </w:r>
      <w:r w:rsidRPr="00881868">
        <w:rPr>
          <w:b/>
          <w:bCs/>
        </w:rPr>
        <w:t xml:space="preserve"> </w:t>
      </w:r>
      <w:r w:rsidR="00BA441E">
        <w:rPr>
          <w:b/>
          <w:bCs/>
        </w:rPr>
        <w:t xml:space="preserve">for women and youth </w:t>
      </w:r>
      <w:r w:rsidRPr="00881868">
        <w:rPr>
          <w:b/>
          <w:bCs/>
        </w:rPr>
        <w:t>than GEDSI specific interventions</w:t>
      </w:r>
      <w:r>
        <w:rPr>
          <w:b/>
          <w:bCs/>
        </w:rPr>
        <w:t xml:space="preserve">, </w:t>
      </w:r>
      <w:r w:rsidRPr="003179FB">
        <w:t>demonstrating the success of mainstreaming.</w:t>
      </w:r>
      <w:r w:rsidRPr="00DF5C5D">
        <w:t xml:space="preserve"> </w:t>
      </w:r>
      <w:r>
        <w:t xml:space="preserve">Around one-quarter of current partnerships are in the standalone WEE/SI portfolio, and on most indicators, the WEE/SI interventions accounted for one-quarter or less of the total Phase 2 results. The exception is in capacity building, where WEE/SI activities accounted for 35% of reach for women, 43% for youth and 100% for people living with a disability. Stakeholder consultations </w:t>
      </w:r>
      <w:r w:rsidRPr="007D2E57">
        <w:t xml:space="preserve">highlighted particular benefits for </w:t>
      </w:r>
      <w:r w:rsidRPr="007D2E57">
        <w:rPr>
          <w:b/>
          <w:bCs/>
        </w:rPr>
        <w:t>youth</w:t>
      </w:r>
      <w:r w:rsidRPr="007D2E57">
        <w:t xml:space="preserve"> during Phase 2, including capacity building and job creation, with</w:t>
      </w:r>
      <w:r>
        <w:t xml:space="preserve"> impacts reported across various target sectors and reaching outer provinces. </w:t>
      </w:r>
    </w:p>
    <w:p w14:paraId="3CA16623" w14:textId="1D223E2C" w:rsidR="00987607" w:rsidRPr="00CB1C1E" w:rsidRDefault="00DA0638" w:rsidP="00987607">
      <w:r w:rsidRPr="005B7140">
        <w:rPr>
          <w:bCs/>
        </w:rPr>
        <w:t xml:space="preserve">While the </w:t>
      </w:r>
      <w:r w:rsidR="00F62E16" w:rsidRPr="005B7140">
        <w:rPr>
          <w:i/>
          <w:iCs/>
        </w:rPr>
        <w:t>quantitative</w:t>
      </w:r>
      <w:r w:rsidR="00F62E16" w:rsidRPr="00F9606C">
        <w:t xml:space="preserve"> results </w:t>
      </w:r>
      <w:r w:rsidR="001D46D0">
        <w:t xml:space="preserve">for </w:t>
      </w:r>
      <w:r w:rsidR="001D46D0" w:rsidRPr="006F4251">
        <w:rPr>
          <w:b/>
        </w:rPr>
        <w:t>people living with disabilit</w:t>
      </w:r>
      <w:r w:rsidR="001D46D0">
        <w:rPr>
          <w:b/>
        </w:rPr>
        <w:t>y</w:t>
      </w:r>
      <w:r w:rsidR="001D46D0" w:rsidRPr="00F9606C">
        <w:t xml:space="preserve"> </w:t>
      </w:r>
      <w:r w:rsidR="00F62E16" w:rsidRPr="00F9606C">
        <w:t>are limited</w:t>
      </w:r>
      <w:r w:rsidR="0016758B">
        <w:t xml:space="preserve"> </w:t>
      </w:r>
      <w:r w:rsidR="008203A1">
        <w:t>at this point</w:t>
      </w:r>
      <w:r w:rsidR="0016758B">
        <w:t xml:space="preserve">, </w:t>
      </w:r>
      <w:r w:rsidR="004E1173" w:rsidRPr="005B7140">
        <w:rPr>
          <w:i/>
          <w:iCs/>
        </w:rPr>
        <w:t>q</w:t>
      </w:r>
      <w:r w:rsidR="00A828D9" w:rsidRPr="005B7140">
        <w:rPr>
          <w:i/>
          <w:iCs/>
        </w:rPr>
        <w:t>ualitative</w:t>
      </w:r>
      <w:r w:rsidR="00A828D9">
        <w:t xml:space="preserve"> </w:t>
      </w:r>
      <w:r w:rsidR="00375A58">
        <w:t>sources</w:t>
      </w:r>
      <w:r w:rsidR="00A828D9">
        <w:t xml:space="preserve"> point to </w:t>
      </w:r>
      <w:r w:rsidR="00502766">
        <w:t xml:space="preserve">strong results through </w:t>
      </w:r>
      <w:r w:rsidRPr="005B7140">
        <w:rPr>
          <w:bCs/>
        </w:rPr>
        <w:t xml:space="preserve">deliberate efforts to </w:t>
      </w:r>
      <w:r w:rsidR="008D04FC">
        <w:rPr>
          <w:bCs/>
        </w:rPr>
        <w:t xml:space="preserve">achieve </w:t>
      </w:r>
      <w:r w:rsidR="00502766">
        <w:rPr>
          <w:bCs/>
        </w:rPr>
        <w:t>transformative</w:t>
      </w:r>
      <w:r w:rsidR="008D04FC">
        <w:rPr>
          <w:bCs/>
        </w:rPr>
        <w:t xml:space="preserve"> outcomes</w:t>
      </w:r>
      <w:r w:rsidR="00987607" w:rsidRPr="00207821">
        <w:t>.</w:t>
      </w:r>
      <w:r w:rsidR="00987607">
        <w:t xml:space="preserve"> </w:t>
      </w:r>
      <w:r w:rsidR="001C027B">
        <w:t xml:space="preserve">Partnerships such as B-17 (in the tourism sector), </w:t>
      </w:r>
      <w:r w:rsidR="00DE6705">
        <w:t>San Isidro Care Centre</w:t>
      </w:r>
      <w:r w:rsidR="000B171B">
        <w:t xml:space="preserve"> and Pasifiki HR </w:t>
      </w:r>
      <w:r w:rsidR="00182C93">
        <w:t>are especially noteworthy</w:t>
      </w:r>
      <w:r w:rsidR="00652128">
        <w:t>.</w:t>
      </w:r>
      <w:r w:rsidR="00AA0FC9">
        <w:t xml:space="preserve"> </w:t>
      </w:r>
      <w:r w:rsidR="00E54ABC">
        <w:t xml:space="preserve">More broadly, the program has been </w:t>
      </w:r>
      <w:r w:rsidR="0092079A">
        <w:t xml:space="preserve">effectively using its profile and funding to </w:t>
      </w:r>
      <w:r w:rsidR="0055554C">
        <w:t xml:space="preserve">demonstrate and support disability inclusion in </w:t>
      </w:r>
      <w:r w:rsidR="00652128">
        <w:t>Solomon Islands</w:t>
      </w:r>
      <w:r w:rsidR="0055554C">
        <w:t>, for instance through social media, public events and cross-partner collaborations.</w:t>
      </w:r>
    </w:p>
    <w:p w14:paraId="16D81AB8" w14:textId="77777777" w:rsidR="00987607" w:rsidRPr="003E0064" w:rsidRDefault="00987607" w:rsidP="00692441">
      <w:pPr>
        <w:pStyle w:val="Heading2NOTOC"/>
        <w:rPr>
          <w:rStyle w:val="normaltextrun"/>
          <w:color w:val="414141" w:themeColor="text2" w:themeShade="BF"/>
        </w:rPr>
      </w:pPr>
      <w:bookmarkStart w:id="5" w:name="_Toc129266145"/>
      <w:r w:rsidRPr="003E0064">
        <w:rPr>
          <w:rStyle w:val="normaltextrun"/>
          <w:color w:val="414141" w:themeColor="text2" w:themeShade="BF"/>
        </w:rPr>
        <w:t>KEQ3: How was the program viewed by stakeholders in Solomon Islands?</w:t>
      </w:r>
      <w:bookmarkEnd w:id="5"/>
      <w:r w:rsidRPr="003E0064">
        <w:rPr>
          <w:rStyle w:val="normaltextrun"/>
          <w:color w:val="414141" w:themeColor="text2" w:themeShade="BF"/>
        </w:rPr>
        <w:t> </w:t>
      </w:r>
    </w:p>
    <w:p w14:paraId="7B85BBB0" w14:textId="4DD7C5B3" w:rsidR="00987607" w:rsidRPr="009917FC" w:rsidRDefault="00987607" w:rsidP="00987607">
      <w:r w:rsidRPr="00023299">
        <w:rPr>
          <w:b/>
          <w:bCs/>
        </w:rPr>
        <w:t>Strongim Bisnis is overwhelmingly viewed positively</w:t>
      </w:r>
      <w:r w:rsidRPr="008635D0">
        <w:t xml:space="preserve">. </w:t>
      </w:r>
      <w:r>
        <w:t xml:space="preserve">In particular, the program’s </w:t>
      </w:r>
      <w:r w:rsidRPr="0029286D">
        <w:t xml:space="preserve">support </w:t>
      </w:r>
      <w:r>
        <w:t xml:space="preserve">to the </w:t>
      </w:r>
      <w:r w:rsidRPr="0029286D">
        <w:t>tourism industry during the COVID-19 period was described as ‘excellent’</w:t>
      </w:r>
      <w:r>
        <w:t xml:space="preserve">. </w:t>
      </w:r>
      <w:r w:rsidRPr="00B73EDE">
        <w:rPr>
          <w:b/>
          <w:bCs/>
        </w:rPr>
        <w:t xml:space="preserve">Government </w:t>
      </w:r>
      <w:r w:rsidRPr="000167AF">
        <w:t>representatives</w:t>
      </w:r>
      <w:r>
        <w:rPr>
          <w:b/>
          <w:bCs/>
        </w:rPr>
        <w:t xml:space="preserve"> </w:t>
      </w:r>
      <w:r>
        <w:t xml:space="preserve">expressed ‘high respect’ and view the program as a strong partner. </w:t>
      </w:r>
      <w:r>
        <w:rPr>
          <w:b/>
          <w:bCs/>
        </w:rPr>
        <w:t xml:space="preserve">Business partners </w:t>
      </w:r>
      <w:r w:rsidRPr="000D6D6F">
        <w:t>are satisf</w:t>
      </w:r>
      <w:r>
        <w:t>ied</w:t>
      </w:r>
      <w:r w:rsidRPr="000D6D6F">
        <w:t xml:space="preserve"> </w:t>
      </w:r>
      <w:r>
        <w:t>and praised p</w:t>
      </w:r>
      <w:r w:rsidRPr="00640A7D">
        <w:t>rogram staff</w:t>
      </w:r>
      <w:r>
        <w:t xml:space="preserve">. </w:t>
      </w:r>
      <w:r w:rsidRPr="00B63034">
        <w:rPr>
          <w:b/>
          <w:bCs/>
        </w:rPr>
        <w:t xml:space="preserve">End beneficiaries </w:t>
      </w:r>
      <w:r w:rsidRPr="00166510">
        <w:t xml:space="preserve">expressed gratitude for indirect </w:t>
      </w:r>
      <w:r>
        <w:t xml:space="preserve">program </w:t>
      </w:r>
      <w:r w:rsidRPr="00166510">
        <w:t xml:space="preserve">impacts </w:t>
      </w:r>
      <w:r>
        <w:t>on income-earning opportunities. However</w:t>
      </w:r>
      <w:r w:rsidR="00404B21">
        <w:t>,</w:t>
      </w:r>
      <w:r>
        <w:t xml:space="preserve"> while </w:t>
      </w:r>
      <w:r w:rsidRPr="00745278">
        <w:t>Strongim Bisnis is</w:t>
      </w:r>
      <w:r>
        <w:rPr>
          <w:b/>
          <w:bCs/>
        </w:rPr>
        <w:t xml:space="preserve"> </w:t>
      </w:r>
      <w:r w:rsidRPr="00C521F2">
        <w:t>well known and well regarded across the</w:t>
      </w:r>
      <w:r>
        <w:rPr>
          <w:b/>
          <w:bCs/>
        </w:rPr>
        <w:t xml:space="preserve"> established Honiara business community, </w:t>
      </w:r>
      <w:r>
        <w:t>it is</w:t>
      </w:r>
      <w:r>
        <w:rPr>
          <w:b/>
          <w:bCs/>
        </w:rPr>
        <w:t xml:space="preserve"> far less well known in rural areas and in other provinces. </w:t>
      </w:r>
    </w:p>
    <w:p w14:paraId="547E4DA4" w14:textId="19B683D8" w:rsidR="00987607" w:rsidRDefault="00987607" w:rsidP="00987607">
      <w:pPr>
        <w:spacing w:after="120"/>
        <w:rPr>
          <w:rFonts w:ascii="Arial" w:hAnsi="Arial" w:cs="Arial"/>
          <w:bCs/>
          <w:szCs w:val="20"/>
        </w:rPr>
      </w:pPr>
      <w:r w:rsidRPr="00A72BE5">
        <w:t>Many stakeholders also had concerns and/or suggestions for improvement.</w:t>
      </w:r>
      <w:r w:rsidRPr="00972EB4">
        <w:rPr>
          <w:b/>
          <w:bCs/>
        </w:rPr>
        <w:t xml:space="preserve"> </w:t>
      </w:r>
      <w:r w:rsidRPr="00A72BE5">
        <w:t xml:space="preserve">While many praised Strongim Bisnis’ social media presence, there was strong consensus that </w:t>
      </w:r>
      <w:r w:rsidRPr="00A72BE5">
        <w:rPr>
          <w:b/>
          <w:bCs/>
        </w:rPr>
        <w:t xml:space="preserve">further information flow and transparency </w:t>
      </w:r>
      <w:r w:rsidRPr="00A72BE5">
        <w:t xml:space="preserve">was needed to reduce </w:t>
      </w:r>
      <w:r w:rsidR="00404B21">
        <w:t>risks of</w:t>
      </w:r>
      <w:r w:rsidRPr="00A72BE5">
        <w:t xml:space="preserve"> </w:t>
      </w:r>
      <w:r w:rsidRPr="00A72BE5">
        <w:rPr>
          <w:rFonts w:ascii="Arial" w:hAnsi="Arial" w:cs="Arial"/>
          <w:szCs w:val="20"/>
        </w:rPr>
        <w:t xml:space="preserve">confusion. For example, </w:t>
      </w:r>
      <w:r w:rsidRPr="00A72BE5">
        <w:t>partnerships with large companies</w:t>
      </w:r>
      <w:r w:rsidRPr="00A72BE5">
        <w:rPr>
          <w:rFonts w:ascii="Arial" w:hAnsi="Arial" w:cs="Arial"/>
          <w:szCs w:val="20"/>
        </w:rPr>
        <w:t xml:space="preserve"> </w:t>
      </w:r>
      <w:r w:rsidRPr="00A72BE5">
        <w:t>sit uneasily against</w:t>
      </w:r>
      <w:r w:rsidRPr="00A72BE5">
        <w:rPr>
          <w:rFonts w:ascii="Arial" w:hAnsi="Arial" w:cs="Arial"/>
          <w:szCs w:val="20"/>
        </w:rPr>
        <w:t xml:space="preserve"> the </w:t>
      </w:r>
      <w:r w:rsidRPr="00A72BE5">
        <w:t xml:space="preserve">common perception that Strongim Bisnis is intended to support (especially women-led) micro-enterprises and SMEs. </w:t>
      </w:r>
      <w:r>
        <w:t>A</w:t>
      </w:r>
      <w:r w:rsidRPr="00A72BE5">
        <w:t xml:space="preserve"> lack of information on program eligibility and selection criteria was leading to instances of jealousy and a sense of unequal</w:t>
      </w:r>
      <w:r>
        <w:t xml:space="preserve"> opportunity. </w:t>
      </w:r>
      <w:r w:rsidRPr="00F54558">
        <w:rPr>
          <w:b/>
          <w:bCs/>
        </w:rPr>
        <w:t>Government</w:t>
      </w:r>
      <w:r>
        <w:t xml:space="preserve"> stakeholders also sought more information on how investment decisions are </w:t>
      </w:r>
      <w:r w:rsidR="007F7BAA">
        <w:t>made and</w:t>
      </w:r>
      <w:r>
        <w:t xml:space="preserve"> requested</w:t>
      </w:r>
      <w:r w:rsidRPr="005D01E1">
        <w:rPr>
          <w:color w:val="auto"/>
        </w:rPr>
        <w:t xml:space="preserve"> more </w:t>
      </w:r>
      <w:r>
        <w:rPr>
          <w:color w:val="auto"/>
        </w:rPr>
        <w:t>frequent</w:t>
      </w:r>
      <w:r w:rsidRPr="005D01E1">
        <w:rPr>
          <w:color w:val="auto"/>
        </w:rPr>
        <w:t xml:space="preserve"> implementation </w:t>
      </w:r>
      <w:r>
        <w:rPr>
          <w:color w:val="auto"/>
        </w:rPr>
        <w:t xml:space="preserve">updates. </w:t>
      </w:r>
      <w:r>
        <w:rPr>
          <w:rFonts w:ascii="Arial" w:hAnsi="Arial" w:cs="Arial"/>
          <w:bCs/>
          <w:szCs w:val="20"/>
        </w:rPr>
        <w:t xml:space="preserve">Several business partners commented that </w:t>
      </w:r>
      <w:r w:rsidRPr="009D66A2">
        <w:rPr>
          <w:rFonts w:ascii="Arial" w:hAnsi="Arial" w:cs="Arial"/>
          <w:b/>
          <w:szCs w:val="20"/>
        </w:rPr>
        <w:t>procurement processes</w:t>
      </w:r>
      <w:r>
        <w:rPr>
          <w:rFonts w:ascii="Arial" w:hAnsi="Arial" w:cs="Arial"/>
          <w:bCs/>
          <w:szCs w:val="20"/>
        </w:rPr>
        <w:t xml:space="preserve"> were burdensome or very slow. </w:t>
      </w:r>
    </w:p>
    <w:p w14:paraId="0C756C6A" w14:textId="77777777" w:rsidR="00987607" w:rsidRPr="003E0064" w:rsidRDefault="00987607" w:rsidP="00692441">
      <w:pPr>
        <w:pStyle w:val="Heading2NOTOC"/>
        <w:rPr>
          <w:rStyle w:val="normaltextrun"/>
          <w:color w:val="414141" w:themeColor="text2" w:themeShade="BF"/>
        </w:rPr>
      </w:pPr>
      <w:bookmarkStart w:id="6" w:name="_Toc129266146"/>
      <w:r w:rsidRPr="003E0064">
        <w:rPr>
          <w:rStyle w:val="normaltextrun"/>
          <w:color w:val="414141" w:themeColor="text2" w:themeShade="BF"/>
        </w:rPr>
        <w:t xml:space="preserve">KEQ4: Practical recommendations for the refreshed design </w:t>
      </w:r>
      <w:bookmarkEnd w:id="6"/>
    </w:p>
    <w:p w14:paraId="0FCCDE33" w14:textId="14017066" w:rsidR="00987607" w:rsidRPr="00F262A8" w:rsidRDefault="00987607" w:rsidP="005B7140">
      <w:pPr>
        <w:pStyle w:val="ListParagraph"/>
        <w:numPr>
          <w:ilvl w:val="0"/>
          <w:numId w:val="50"/>
        </w:numPr>
        <w:spacing w:after="120"/>
        <w:ind w:left="357" w:hanging="357"/>
        <w:contextualSpacing w:val="0"/>
        <w:rPr>
          <w:rFonts w:ascii="Arial" w:hAnsi="Arial" w:cs="Arial"/>
          <w:szCs w:val="20"/>
        </w:rPr>
      </w:pPr>
      <w:r w:rsidRPr="00F262A8">
        <w:rPr>
          <w:rFonts w:ascii="Arial" w:hAnsi="Arial" w:cs="Arial"/>
          <w:szCs w:val="20"/>
        </w:rPr>
        <w:t xml:space="preserve">The evaluation team’s consultations and assessment of progress in Phase 2 lead to the following </w:t>
      </w:r>
      <w:r w:rsidR="00520EDF">
        <w:rPr>
          <w:rFonts w:ascii="Arial" w:hAnsi="Arial" w:cs="Arial"/>
          <w:bCs/>
          <w:szCs w:val="20"/>
        </w:rPr>
        <w:t>recommendations</w:t>
      </w:r>
      <w:r w:rsidR="00520EDF" w:rsidRPr="005B7140">
        <w:rPr>
          <w:rFonts w:ascii="Arial" w:hAnsi="Arial" w:cs="Arial"/>
          <w:bCs/>
          <w:szCs w:val="20"/>
        </w:rPr>
        <w:t xml:space="preserve"> </w:t>
      </w:r>
      <w:r w:rsidRPr="00F262A8">
        <w:rPr>
          <w:rFonts w:ascii="Arial" w:hAnsi="Arial" w:cs="Arial"/>
          <w:szCs w:val="20"/>
        </w:rPr>
        <w:t xml:space="preserve">regarding elements of the existing program that should be </w:t>
      </w:r>
      <w:r w:rsidRPr="005B7140">
        <w:rPr>
          <w:rFonts w:ascii="Arial" w:hAnsi="Arial" w:cs="Arial"/>
          <w:b/>
          <w:szCs w:val="20"/>
        </w:rPr>
        <w:t>maintained</w:t>
      </w:r>
      <w:r w:rsidRPr="00F262A8">
        <w:rPr>
          <w:rFonts w:ascii="Arial" w:hAnsi="Arial" w:cs="Arial"/>
          <w:szCs w:val="20"/>
        </w:rPr>
        <w:t>.</w:t>
      </w:r>
    </w:p>
    <w:p w14:paraId="4285E3E9" w14:textId="77777777" w:rsidR="00987607" w:rsidRPr="00D40097" w:rsidRDefault="00987607" w:rsidP="00CD12D5">
      <w:pPr>
        <w:pStyle w:val="ListParagraph"/>
        <w:numPr>
          <w:ilvl w:val="1"/>
          <w:numId w:val="43"/>
        </w:numPr>
        <w:spacing w:after="120"/>
        <w:contextualSpacing w:val="0"/>
        <w:rPr>
          <w:rFonts w:ascii="Arial" w:hAnsi="Arial" w:cs="Arial"/>
          <w:b/>
          <w:szCs w:val="20"/>
        </w:rPr>
      </w:pPr>
      <w:r w:rsidRPr="00D40097">
        <w:rPr>
          <w:rFonts w:ascii="Arial" w:hAnsi="Arial" w:cs="Arial"/>
          <w:b/>
          <w:szCs w:val="20"/>
        </w:rPr>
        <w:t>Most elements of the existing program should be maintained into Phase 3.</w:t>
      </w:r>
      <w:r w:rsidRPr="00D40097">
        <w:rPr>
          <w:rFonts w:ascii="Arial" w:hAnsi="Arial" w:cs="Arial"/>
          <w:bCs/>
          <w:szCs w:val="20"/>
        </w:rPr>
        <w:t xml:space="preserve"> Strongim Bisnis has built long-term relationships and trust, established a solid reputation and ‘brand’ and performed reasonably well despite very difficult circumstances.</w:t>
      </w:r>
    </w:p>
    <w:p w14:paraId="25854693" w14:textId="77777777" w:rsidR="00987607" w:rsidRDefault="00987607" w:rsidP="00CD12D5">
      <w:pPr>
        <w:pStyle w:val="ListParagraph"/>
        <w:numPr>
          <w:ilvl w:val="1"/>
          <w:numId w:val="43"/>
        </w:numPr>
        <w:spacing w:after="120"/>
        <w:contextualSpacing w:val="0"/>
        <w:rPr>
          <w:rFonts w:ascii="Arial" w:hAnsi="Arial" w:cs="Arial"/>
          <w:bCs/>
          <w:szCs w:val="20"/>
        </w:rPr>
      </w:pPr>
      <w:r>
        <w:rPr>
          <w:rFonts w:ascii="Arial" w:hAnsi="Arial" w:cs="Arial"/>
          <w:b/>
          <w:szCs w:val="20"/>
        </w:rPr>
        <w:t xml:space="preserve">A </w:t>
      </w:r>
      <w:r w:rsidRPr="008140F6">
        <w:rPr>
          <w:rFonts w:ascii="Arial" w:hAnsi="Arial" w:cs="Arial"/>
          <w:b/>
          <w:szCs w:val="20"/>
        </w:rPr>
        <w:t>flexible and adaptive approach</w:t>
      </w:r>
      <w:r w:rsidRPr="008140F6">
        <w:rPr>
          <w:rFonts w:ascii="Arial" w:hAnsi="Arial" w:cs="Arial"/>
          <w:bCs/>
          <w:szCs w:val="20"/>
        </w:rPr>
        <w:t xml:space="preserve"> should remain a core feature</w:t>
      </w:r>
      <w:r>
        <w:rPr>
          <w:rFonts w:ascii="Arial" w:hAnsi="Arial" w:cs="Arial"/>
          <w:bCs/>
          <w:szCs w:val="20"/>
        </w:rPr>
        <w:t xml:space="preserve"> in Phase 3.</w:t>
      </w:r>
    </w:p>
    <w:p w14:paraId="04F14295" w14:textId="77777777" w:rsidR="00987607" w:rsidRDefault="00987607" w:rsidP="00CD12D5">
      <w:pPr>
        <w:pStyle w:val="ListParagraph"/>
        <w:numPr>
          <w:ilvl w:val="1"/>
          <w:numId w:val="43"/>
        </w:numPr>
        <w:spacing w:after="120"/>
        <w:contextualSpacing w:val="0"/>
        <w:rPr>
          <w:rFonts w:ascii="Arial" w:hAnsi="Arial" w:cs="Arial"/>
          <w:bCs/>
          <w:szCs w:val="20"/>
        </w:rPr>
      </w:pPr>
      <w:r w:rsidRPr="00C575FB">
        <w:rPr>
          <w:rFonts w:ascii="Arial" w:hAnsi="Arial" w:cs="Arial"/>
          <w:b/>
          <w:szCs w:val="20"/>
        </w:rPr>
        <w:t xml:space="preserve">The program should continue to be guided by core </w:t>
      </w:r>
      <w:r>
        <w:rPr>
          <w:rFonts w:ascii="Arial" w:hAnsi="Arial" w:cs="Arial"/>
          <w:b/>
          <w:szCs w:val="20"/>
        </w:rPr>
        <w:t xml:space="preserve">MSD </w:t>
      </w:r>
      <w:r w:rsidRPr="00C575FB">
        <w:rPr>
          <w:rFonts w:ascii="Arial" w:hAnsi="Arial" w:cs="Arial"/>
          <w:b/>
          <w:szCs w:val="20"/>
        </w:rPr>
        <w:t>principles</w:t>
      </w:r>
      <w:r>
        <w:rPr>
          <w:rFonts w:ascii="Arial" w:hAnsi="Arial" w:cs="Arial"/>
          <w:bCs/>
          <w:szCs w:val="20"/>
        </w:rPr>
        <w:t>,</w:t>
      </w:r>
      <w:r w:rsidRPr="00C52F59">
        <w:rPr>
          <w:rFonts w:ascii="Arial" w:hAnsi="Arial" w:cs="Arial"/>
          <w:bCs/>
          <w:szCs w:val="20"/>
        </w:rPr>
        <w:t xml:space="preserve"> </w:t>
      </w:r>
      <w:r>
        <w:rPr>
          <w:rFonts w:ascii="Arial" w:hAnsi="Arial" w:cs="Arial"/>
          <w:bCs/>
          <w:szCs w:val="20"/>
        </w:rPr>
        <w:t>while continuing pragmatic adaptations to the local context.</w:t>
      </w:r>
    </w:p>
    <w:p w14:paraId="3694050D" w14:textId="77777777" w:rsidR="00987607" w:rsidRDefault="00987607" w:rsidP="00CD12D5">
      <w:pPr>
        <w:pStyle w:val="ListParagraph"/>
        <w:numPr>
          <w:ilvl w:val="1"/>
          <w:numId w:val="43"/>
        </w:numPr>
        <w:spacing w:after="120"/>
        <w:contextualSpacing w:val="0"/>
        <w:rPr>
          <w:rFonts w:ascii="Arial" w:hAnsi="Arial" w:cs="Arial"/>
          <w:bCs/>
          <w:szCs w:val="20"/>
        </w:rPr>
      </w:pPr>
      <w:r w:rsidRPr="00FD4C52">
        <w:rPr>
          <w:rFonts w:ascii="Arial" w:hAnsi="Arial" w:cs="Arial"/>
          <w:b/>
          <w:szCs w:val="20"/>
        </w:rPr>
        <w:t xml:space="preserve">Economic and social inclusion criteria should remain paramount </w:t>
      </w:r>
      <w:r w:rsidRPr="00FE0B99">
        <w:rPr>
          <w:rFonts w:ascii="Arial" w:hAnsi="Arial" w:cs="Arial"/>
          <w:bCs/>
          <w:szCs w:val="20"/>
        </w:rPr>
        <w:t>in identifying partners and interventions</w:t>
      </w:r>
      <w:r>
        <w:rPr>
          <w:rFonts w:ascii="Arial" w:hAnsi="Arial" w:cs="Arial"/>
          <w:bCs/>
          <w:szCs w:val="20"/>
        </w:rPr>
        <w:t xml:space="preserve">, while </w:t>
      </w:r>
      <w:r>
        <w:rPr>
          <w:rFonts w:ascii="Arial" w:hAnsi="Arial" w:cs="Arial"/>
          <w:lang w:val="en-US"/>
        </w:rPr>
        <w:t>acknowledging valuable side-benefits such as environmental improvement</w:t>
      </w:r>
      <w:r w:rsidRPr="00FE0B99">
        <w:rPr>
          <w:rFonts w:ascii="Arial" w:hAnsi="Arial" w:cs="Arial"/>
          <w:bCs/>
          <w:szCs w:val="20"/>
        </w:rPr>
        <w:t>.</w:t>
      </w:r>
    </w:p>
    <w:p w14:paraId="6792A308" w14:textId="77777777" w:rsidR="00987607" w:rsidRPr="00FE0B99" w:rsidRDefault="00987607" w:rsidP="00CD12D5">
      <w:pPr>
        <w:pStyle w:val="ListParagraph"/>
        <w:numPr>
          <w:ilvl w:val="1"/>
          <w:numId w:val="43"/>
        </w:numPr>
        <w:spacing w:after="120"/>
        <w:contextualSpacing w:val="0"/>
        <w:rPr>
          <w:rFonts w:ascii="Arial" w:hAnsi="Arial" w:cs="Arial"/>
          <w:bCs/>
          <w:szCs w:val="20"/>
        </w:rPr>
      </w:pPr>
      <w:r w:rsidRPr="00C334A7">
        <w:rPr>
          <w:rFonts w:ascii="Arial" w:hAnsi="Arial" w:cs="Arial"/>
          <w:b/>
          <w:szCs w:val="20"/>
        </w:rPr>
        <w:t xml:space="preserve">Most of </w:t>
      </w:r>
      <w:r>
        <w:rPr>
          <w:rFonts w:ascii="Arial" w:hAnsi="Arial" w:cs="Arial"/>
          <w:b/>
          <w:szCs w:val="20"/>
        </w:rPr>
        <w:t>Strongim Bisnis’</w:t>
      </w:r>
      <w:r w:rsidRPr="00C334A7">
        <w:rPr>
          <w:rFonts w:ascii="Arial" w:hAnsi="Arial" w:cs="Arial"/>
          <w:b/>
          <w:szCs w:val="20"/>
        </w:rPr>
        <w:t xml:space="preserve"> current sectors remain appropriate</w:t>
      </w:r>
      <w:r>
        <w:rPr>
          <w:rFonts w:ascii="Arial" w:hAnsi="Arial" w:cs="Arial"/>
          <w:b/>
          <w:szCs w:val="20"/>
        </w:rPr>
        <w:t xml:space="preserve"> </w:t>
      </w:r>
      <w:r w:rsidRPr="005D0D99">
        <w:rPr>
          <w:rFonts w:ascii="Arial" w:hAnsi="Arial" w:cs="Arial"/>
          <w:bCs/>
          <w:szCs w:val="20"/>
        </w:rPr>
        <w:t>but should be regularly reviewed.</w:t>
      </w:r>
      <w:r w:rsidRPr="005D0D99">
        <w:rPr>
          <w:rFonts w:ascii="Arial" w:hAnsi="Arial" w:cs="Arial"/>
          <w:bCs/>
          <w:lang w:val="en-US"/>
        </w:rPr>
        <w:t xml:space="preserve"> The Financial Services sector could benefit from</w:t>
      </w:r>
      <w:r w:rsidRPr="005D0D99">
        <w:rPr>
          <w:rFonts w:ascii="Arial" w:hAnsi="Arial" w:cs="Arial"/>
          <w:bCs/>
          <w:szCs w:val="20"/>
        </w:rPr>
        <w:t xml:space="preserve"> a fres</w:t>
      </w:r>
      <w:r>
        <w:rPr>
          <w:rFonts w:ascii="Arial" w:hAnsi="Arial" w:cs="Arial"/>
          <w:bCs/>
          <w:szCs w:val="20"/>
        </w:rPr>
        <w:t>h approach.</w:t>
      </w:r>
    </w:p>
    <w:p w14:paraId="7F85458A" w14:textId="09BE3816" w:rsidR="00987607" w:rsidRPr="0027115C" w:rsidRDefault="00987607" w:rsidP="00CD12D5">
      <w:pPr>
        <w:pStyle w:val="ListParagraph"/>
        <w:numPr>
          <w:ilvl w:val="1"/>
          <w:numId w:val="43"/>
        </w:numPr>
        <w:spacing w:after="120"/>
        <w:contextualSpacing w:val="0"/>
        <w:rPr>
          <w:rFonts w:ascii="Arial" w:hAnsi="Arial" w:cs="Arial"/>
          <w:bCs/>
          <w:szCs w:val="20"/>
        </w:rPr>
      </w:pPr>
      <w:r w:rsidRPr="0027115C">
        <w:rPr>
          <w:rFonts w:ascii="Arial" w:hAnsi="Arial" w:cs="Arial"/>
          <w:b/>
          <w:szCs w:val="20"/>
        </w:rPr>
        <w:t>Strongim Bisnis should retain its twin-track approach to GEDSI</w:t>
      </w:r>
      <w:r w:rsidR="00652128" w:rsidRPr="005B7140">
        <w:rPr>
          <w:rFonts w:ascii="Arial" w:hAnsi="Arial" w:cs="Arial"/>
          <w:bCs/>
          <w:szCs w:val="20"/>
        </w:rPr>
        <w:t>, which</w:t>
      </w:r>
      <w:r w:rsidR="00652128">
        <w:rPr>
          <w:rFonts w:ascii="Arial" w:hAnsi="Arial" w:cs="Arial"/>
          <w:b/>
          <w:szCs w:val="20"/>
        </w:rPr>
        <w:t xml:space="preserve"> </w:t>
      </w:r>
      <w:r w:rsidR="00652128" w:rsidRPr="00F9606C">
        <w:rPr>
          <w:rFonts w:ascii="Arial" w:hAnsi="Arial" w:cs="Arial"/>
          <w:bCs/>
          <w:lang w:val="en-US"/>
        </w:rPr>
        <w:t xml:space="preserve">is </w:t>
      </w:r>
      <w:r w:rsidR="00652128">
        <w:rPr>
          <w:rFonts w:ascii="Arial" w:hAnsi="Arial" w:cs="Arial"/>
          <w:bCs/>
          <w:lang w:val="en-US"/>
        </w:rPr>
        <w:t xml:space="preserve">delivering strong results particularly for </w:t>
      </w:r>
      <w:r w:rsidR="00652128" w:rsidRPr="005B7140">
        <w:rPr>
          <w:rFonts w:ascii="Arial" w:hAnsi="Arial" w:cs="Arial"/>
          <w:b/>
          <w:lang w:val="en-US"/>
        </w:rPr>
        <w:t>women</w:t>
      </w:r>
      <w:r w:rsidR="00652128">
        <w:rPr>
          <w:rFonts w:ascii="Arial" w:hAnsi="Arial" w:cs="Arial"/>
          <w:bCs/>
          <w:lang w:val="en-US"/>
        </w:rPr>
        <w:t xml:space="preserve"> and </w:t>
      </w:r>
      <w:r w:rsidR="00652128" w:rsidRPr="005B7140">
        <w:rPr>
          <w:rFonts w:ascii="Arial" w:hAnsi="Arial" w:cs="Arial"/>
          <w:b/>
          <w:lang w:val="en-US"/>
        </w:rPr>
        <w:t>youth</w:t>
      </w:r>
      <w:r w:rsidRPr="0027115C">
        <w:rPr>
          <w:rFonts w:ascii="Arial" w:hAnsi="Arial" w:cs="Arial"/>
          <w:b/>
          <w:szCs w:val="20"/>
        </w:rPr>
        <w:t xml:space="preserve">. </w:t>
      </w:r>
      <w:r w:rsidR="002548AA" w:rsidRPr="00FB23E9">
        <w:rPr>
          <w:bCs/>
        </w:rPr>
        <w:t>B</w:t>
      </w:r>
      <w:r w:rsidR="002548AA" w:rsidRPr="00FB23E9">
        <w:rPr>
          <w:rFonts w:ascii="Arial" w:hAnsi="Arial" w:cs="Arial"/>
          <w:bCs/>
          <w:lang w:val="en-US"/>
        </w:rPr>
        <w:t>uilding</w:t>
      </w:r>
      <w:r w:rsidR="002548AA" w:rsidRPr="00F9606C">
        <w:rPr>
          <w:rFonts w:ascii="Arial" w:hAnsi="Arial" w:cs="Arial"/>
          <w:lang w:val="en-US"/>
        </w:rPr>
        <w:t xml:space="preserve"> on achievements to date,</w:t>
      </w:r>
      <w:r w:rsidR="001120AE">
        <w:rPr>
          <w:rFonts w:ascii="Arial" w:hAnsi="Arial" w:cs="Arial"/>
          <w:bCs/>
          <w:lang w:val="en-US"/>
        </w:rPr>
        <w:t xml:space="preserve"> program</w:t>
      </w:r>
      <w:r w:rsidR="00E24458">
        <w:rPr>
          <w:rFonts w:ascii="Arial" w:hAnsi="Arial" w:cs="Arial"/>
          <w:bCs/>
          <w:lang w:val="en-US"/>
        </w:rPr>
        <w:t xml:space="preserve"> outcomes for</w:t>
      </w:r>
      <w:r w:rsidR="00FB23E9" w:rsidRPr="005B7140">
        <w:rPr>
          <w:bCs/>
        </w:rPr>
        <w:t xml:space="preserve"> </w:t>
      </w:r>
      <w:r w:rsidR="00FB23E9" w:rsidRPr="00FB23E9">
        <w:rPr>
          <w:b/>
        </w:rPr>
        <w:t>people living with disabilities</w:t>
      </w:r>
      <w:r w:rsidR="00FB23E9" w:rsidRPr="00FB23E9">
        <w:rPr>
          <w:bCs/>
        </w:rPr>
        <w:t xml:space="preserve"> </w:t>
      </w:r>
      <w:r w:rsidR="001120AE">
        <w:t xml:space="preserve">could be </w:t>
      </w:r>
      <w:r w:rsidR="00E67D8A">
        <w:t>strengthened</w:t>
      </w:r>
      <w:r w:rsidR="001120AE">
        <w:t xml:space="preserve"> through</w:t>
      </w:r>
      <w:r w:rsidR="00C47443">
        <w:t xml:space="preserve"> </w:t>
      </w:r>
      <w:r w:rsidR="00FB23E9" w:rsidRPr="00F9606C">
        <w:t>new partnership</w:t>
      </w:r>
      <w:r w:rsidR="002C1125">
        <w:t>s</w:t>
      </w:r>
      <w:r w:rsidR="007C2DC1">
        <w:t>,</w:t>
      </w:r>
      <w:r w:rsidR="00B21452">
        <w:t xml:space="preserve"> </w:t>
      </w:r>
      <w:r w:rsidR="00883C82">
        <w:t xml:space="preserve">continued </w:t>
      </w:r>
      <w:r w:rsidR="00B21452">
        <w:t>su</w:t>
      </w:r>
      <w:r w:rsidR="00FB23E9" w:rsidRPr="00F9606C">
        <w:t>pport for</w:t>
      </w:r>
      <w:r w:rsidR="00B21452">
        <w:t xml:space="preserve"> relevant</w:t>
      </w:r>
      <w:r w:rsidR="00FB23E9" w:rsidRPr="00F9606C">
        <w:t xml:space="preserve"> events and collaborations</w:t>
      </w:r>
      <w:r w:rsidR="007C2DC1">
        <w:t xml:space="preserve">, and </w:t>
      </w:r>
      <w:r w:rsidR="000A1346">
        <w:t>improved</w:t>
      </w:r>
      <w:r w:rsidR="00FB23E9">
        <w:t xml:space="preserve"> access and inclusion in its own workplace. </w:t>
      </w:r>
    </w:p>
    <w:p w14:paraId="36C9C4F5" w14:textId="77777777" w:rsidR="00987607" w:rsidRDefault="00987607" w:rsidP="00CD12D5">
      <w:pPr>
        <w:pStyle w:val="ListParagraph"/>
        <w:numPr>
          <w:ilvl w:val="1"/>
          <w:numId w:val="43"/>
        </w:numPr>
        <w:spacing w:after="120"/>
        <w:contextualSpacing w:val="0"/>
        <w:rPr>
          <w:rFonts w:ascii="Arial" w:hAnsi="Arial" w:cs="Arial"/>
          <w:bCs/>
          <w:szCs w:val="20"/>
        </w:rPr>
      </w:pPr>
      <w:r w:rsidRPr="0027115C">
        <w:rPr>
          <w:rFonts w:ascii="Arial" w:hAnsi="Arial" w:cs="Arial"/>
          <w:b/>
          <w:szCs w:val="20"/>
        </w:rPr>
        <w:t>Strongim Bisnis Phase 3 will inevitably retain its heaviest footprint in and near Honiara</w:t>
      </w:r>
      <w:r w:rsidRPr="0027115C">
        <w:rPr>
          <w:rFonts w:ascii="Arial" w:hAnsi="Arial" w:cs="Arial"/>
          <w:bCs/>
          <w:szCs w:val="20"/>
        </w:rPr>
        <w:t xml:space="preserve">, but should seek cost-efficient opportunities to expand its direct and indirect geographic reach. </w:t>
      </w:r>
    </w:p>
    <w:p w14:paraId="7595AE5D" w14:textId="77777777" w:rsidR="00987607" w:rsidRDefault="00987607" w:rsidP="00CD12D5">
      <w:pPr>
        <w:pStyle w:val="ListParagraph"/>
        <w:numPr>
          <w:ilvl w:val="1"/>
          <w:numId w:val="43"/>
        </w:numPr>
        <w:spacing w:after="120"/>
        <w:contextualSpacing w:val="0"/>
        <w:rPr>
          <w:rFonts w:ascii="Arial" w:hAnsi="Arial" w:cs="Arial"/>
          <w:bCs/>
          <w:szCs w:val="20"/>
        </w:rPr>
      </w:pPr>
      <w:r>
        <w:rPr>
          <w:rFonts w:ascii="Arial" w:hAnsi="Arial" w:cs="Arial"/>
          <w:b/>
          <w:szCs w:val="20"/>
        </w:rPr>
        <w:t>The program should continue</w:t>
      </w:r>
      <w:r w:rsidRPr="000277ED">
        <w:rPr>
          <w:rFonts w:ascii="Arial" w:hAnsi="Arial" w:cs="Arial"/>
          <w:b/>
          <w:szCs w:val="20"/>
        </w:rPr>
        <w:t xml:space="preserve"> to promote </w:t>
      </w:r>
      <w:r>
        <w:rPr>
          <w:rFonts w:ascii="Arial" w:hAnsi="Arial" w:cs="Arial"/>
          <w:b/>
          <w:szCs w:val="20"/>
        </w:rPr>
        <w:t xml:space="preserve">both </w:t>
      </w:r>
      <w:r w:rsidRPr="000277ED">
        <w:rPr>
          <w:rFonts w:ascii="Arial" w:hAnsi="Arial" w:cs="Arial"/>
          <w:b/>
          <w:szCs w:val="20"/>
        </w:rPr>
        <w:t xml:space="preserve">export </w:t>
      </w:r>
      <w:r>
        <w:rPr>
          <w:rFonts w:ascii="Arial" w:hAnsi="Arial" w:cs="Arial"/>
          <w:b/>
          <w:szCs w:val="20"/>
        </w:rPr>
        <w:t>and</w:t>
      </w:r>
      <w:r w:rsidRPr="000277ED">
        <w:rPr>
          <w:rFonts w:ascii="Arial" w:hAnsi="Arial" w:cs="Arial"/>
          <w:b/>
          <w:szCs w:val="20"/>
        </w:rPr>
        <w:t xml:space="preserve"> domestic market</w:t>
      </w:r>
      <w:r>
        <w:rPr>
          <w:rFonts w:ascii="Arial" w:hAnsi="Arial" w:cs="Arial"/>
          <w:b/>
          <w:szCs w:val="20"/>
        </w:rPr>
        <w:t>s</w:t>
      </w:r>
      <w:r>
        <w:rPr>
          <w:rFonts w:ascii="Arial" w:hAnsi="Arial" w:cs="Arial"/>
          <w:bCs/>
          <w:szCs w:val="20"/>
        </w:rPr>
        <w:t>.</w:t>
      </w:r>
    </w:p>
    <w:p w14:paraId="0A4F0AF1" w14:textId="77777777" w:rsidR="00987607" w:rsidRPr="0027115C" w:rsidRDefault="00987607" w:rsidP="00CD12D5">
      <w:pPr>
        <w:pStyle w:val="ListParagraph"/>
        <w:numPr>
          <w:ilvl w:val="1"/>
          <w:numId w:val="43"/>
        </w:numPr>
        <w:spacing w:after="120"/>
        <w:contextualSpacing w:val="0"/>
        <w:rPr>
          <w:rFonts w:ascii="Arial" w:hAnsi="Arial" w:cs="Arial"/>
          <w:bCs/>
          <w:szCs w:val="20"/>
        </w:rPr>
      </w:pPr>
      <w:r w:rsidRPr="00EA36E8">
        <w:rPr>
          <w:rFonts w:ascii="Arial" w:hAnsi="Arial" w:cs="Arial"/>
          <w:b/>
          <w:szCs w:val="20"/>
        </w:rPr>
        <w:t>Collaboration with other development partner</w:t>
      </w:r>
      <w:r>
        <w:rPr>
          <w:rFonts w:ascii="Arial" w:hAnsi="Arial" w:cs="Arial"/>
          <w:b/>
          <w:szCs w:val="20"/>
        </w:rPr>
        <w:t>s and</w:t>
      </w:r>
      <w:r w:rsidRPr="00EA36E8">
        <w:rPr>
          <w:rFonts w:ascii="Arial" w:hAnsi="Arial" w:cs="Arial"/>
          <w:b/>
          <w:szCs w:val="20"/>
        </w:rPr>
        <w:t xml:space="preserve"> programs remain</w:t>
      </w:r>
      <w:r>
        <w:rPr>
          <w:rFonts w:ascii="Arial" w:hAnsi="Arial" w:cs="Arial"/>
          <w:b/>
          <w:szCs w:val="20"/>
        </w:rPr>
        <w:t>s</w:t>
      </w:r>
      <w:r w:rsidRPr="00EA36E8">
        <w:rPr>
          <w:rFonts w:ascii="Arial" w:hAnsi="Arial" w:cs="Arial"/>
          <w:b/>
          <w:szCs w:val="20"/>
        </w:rPr>
        <w:t xml:space="preserve"> essential</w:t>
      </w:r>
      <w:r>
        <w:rPr>
          <w:rFonts w:ascii="Arial" w:hAnsi="Arial" w:cs="Arial"/>
          <w:b/>
          <w:szCs w:val="20"/>
        </w:rPr>
        <w:t>.</w:t>
      </w:r>
    </w:p>
    <w:p w14:paraId="15637B6C" w14:textId="2F8F655C" w:rsidR="00987607" w:rsidRPr="005B7140" w:rsidRDefault="00520EDF" w:rsidP="005B7140">
      <w:pPr>
        <w:pStyle w:val="ListParagraph"/>
        <w:keepNext/>
        <w:numPr>
          <w:ilvl w:val="0"/>
          <w:numId w:val="43"/>
        </w:numPr>
        <w:spacing w:before="240" w:after="120"/>
        <w:ind w:left="357" w:hanging="357"/>
        <w:contextualSpacing w:val="0"/>
        <w:rPr>
          <w:rFonts w:ascii="Arial" w:hAnsi="Arial" w:cs="Arial"/>
          <w:bCs/>
          <w:szCs w:val="20"/>
          <w:u w:val="single"/>
        </w:rPr>
      </w:pPr>
      <w:r w:rsidRPr="005B7140">
        <w:rPr>
          <w:rFonts w:ascii="Arial" w:hAnsi="Arial" w:cs="Arial"/>
          <w:bCs/>
          <w:szCs w:val="20"/>
        </w:rPr>
        <w:t>The</w:t>
      </w:r>
      <w:r w:rsidRPr="005B7140">
        <w:rPr>
          <w:rFonts w:ascii="Arial" w:hAnsi="Arial" w:cs="Arial"/>
          <w:szCs w:val="20"/>
        </w:rPr>
        <w:t xml:space="preserve"> Design Refresh for Phase 3 is an opportunity to acknowledge and build on the considerable adaptation and evolution of the program during Phase 2, and ensure Strongim Bisnis remains fit for purpose.</w:t>
      </w:r>
      <w:r w:rsidRPr="008C2E0A">
        <w:rPr>
          <w:rFonts w:ascii="Arial" w:hAnsi="Arial" w:cs="Arial"/>
          <w:b/>
          <w:szCs w:val="20"/>
        </w:rPr>
        <w:t xml:space="preserve"> </w:t>
      </w:r>
      <w:r>
        <w:rPr>
          <w:rFonts w:ascii="Arial" w:hAnsi="Arial" w:cs="Arial"/>
          <w:bCs/>
          <w:szCs w:val="20"/>
        </w:rPr>
        <w:t xml:space="preserve">The evaluation team recommends </w:t>
      </w:r>
      <w:r w:rsidR="000E3F80" w:rsidRPr="00656E55">
        <w:rPr>
          <w:rFonts w:ascii="Arial" w:hAnsi="Arial" w:cs="Arial"/>
          <w:bCs/>
          <w:szCs w:val="20"/>
        </w:rPr>
        <w:t>the following</w:t>
      </w:r>
      <w:r w:rsidR="000E3F80" w:rsidRPr="00656E55" w:rsidDel="00C0655D">
        <w:rPr>
          <w:rFonts w:ascii="Arial" w:hAnsi="Arial" w:cs="Arial"/>
          <w:bCs/>
          <w:szCs w:val="20"/>
        </w:rPr>
        <w:t xml:space="preserve"> </w:t>
      </w:r>
      <w:r w:rsidR="00C0655D" w:rsidRPr="00656E55">
        <w:rPr>
          <w:rFonts w:ascii="Arial" w:hAnsi="Arial" w:cs="Arial"/>
          <w:b/>
          <w:szCs w:val="20"/>
        </w:rPr>
        <w:t>chang</w:t>
      </w:r>
      <w:r w:rsidR="004D39D8" w:rsidRPr="00656E55">
        <w:rPr>
          <w:rFonts w:ascii="Arial" w:hAnsi="Arial" w:cs="Arial"/>
          <w:b/>
          <w:szCs w:val="20"/>
        </w:rPr>
        <w:t>es</w:t>
      </w:r>
      <w:r w:rsidR="00C0655D" w:rsidRPr="00656E55">
        <w:rPr>
          <w:rFonts w:ascii="Arial" w:hAnsi="Arial" w:cs="Arial"/>
          <w:b/>
          <w:szCs w:val="20"/>
        </w:rPr>
        <w:t xml:space="preserve"> </w:t>
      </w:r>
      <w:r w:rsidR="00987607" w:rsidRPr="00656E55">
        <w:rPr>
          <w:rFonts w:ascii="Arial" w:hAnsi="Arial" w:cs="Arial"/>
          <w:b/>
          <w:szCs w:val="20"/>
        </w:rPr>
        <w:t xml:space="preserve">or </w:t>
      </w:r>
      <w:r w:rsidR="00C0655D" w:rsidRPr="00656E55">
        <w:rPr>
          <w:rFonts w:ascii="Arial" w:hAnsi="Arial" w:cs="Arial"/>
          <w:b/>
          <w:szCs w:val="20"/>
        </w:rPr>
        <w:t>improv</w:t>
      </w:r>
      <w:r w:rsidR="004D39D8" w:rsidRPr="00656E55">
        <w:rPr>
          <w:rFonts w:ascii="Arial" w:hAnsi="Arial" w:cs="Arial"/>
          <w:b/>
          <w:szCs w:val="20"/>
        </w:rPr>
        <w:t>ements</w:t>
      </w:r>
      <w:r w:rsidR="00987607" w:rsidRPr="00656E55">
        <w:rPr>
          <w:rFonts w:ascii="Arial" w:hAnsi="Arial" w:cs="Arial"/>
          <w:bCs/>
          <w:szCs w:val="20"/>
        </w:rPr>
        <w:t>:</w:t>
      </w:r>
    </w:p>
    <w:p w14:paraId="248296BB" w14:textId="77777777" w:rsidR="00987607" w:rsidRPr="00682267" w:rsidRDefault="00987607" w:rsidP="00CD12D5">
      <w:pPr>
        <w:pStyle w:val="ListParagraph"/>
        <w:numPr>
          <w:ilvl w:val="1"/>
          <w:numId w:val="44"/>
        </w:numPr>
        <w:spacing w:after="120"/>
        <w:contextualSpacing w:val="0"/>
        <w:rPr>
          <w:rFonts w:ascii="Arial" w:hAnsi="Arial" w:cs="Arial"/>
          <w:bCs/>
          <w:szCs w:val="20"/>
        </w:rPr>
      </w:pPr>
      <w:r w:rsidRPr="00682267">
        <w:rPr>
          <w:rFonts w:ascii="Arial" w:hAnsi="Arial" w:cs="Arial"/>
          <w:b/>
          <w:szCs w:val="20"/>
        </w:rPr>
        <w:t>Program communications need further attention</w:t>
      </w:r>
      <w:r w:rsidRPr="00682267">
        <w:rPr>
          <w:rFonts w:ascii="Arial" w:hAnsi="Arial" w:cs="Arial"/>
          <w:bCs/>
          <w:szCs w:val="20"/>
        </w:rPr>
        <w:t xml:space="preserve">. Good use is made of social and news media but additional messaging is needed around what Strongim Bisnis does, why, how and with whom. In particular, the rationale for supporting businesses of different sizes needs better articulation. </w:t>
      </w:r>
    </w:p>
    <w:p w14:paraId="40DD5C20" w14:textId="77777777" w:rsidR="00987607" w:rsidRPr="00682267" w:rsidRDefault="00987607" w:rsidP="00CD12D5">
      <w:pPr>
        <w:pStyle w:val="ListParagraph"/>
        <w:numPr>
          <w:ilvl w:val="1"/>
          <w:numId w:val="44"/>
        </w:numPr>
        <w:spacing w:after="120"/>
        <w:contextualSpacing w:val="0"/>
        <w:rPr>
          <w:rFonts w:ascii="Arial" w:hAnsi="Arial" w:cs="Arial"/>
          <w:bCs/>
          <w:szCs w:val="20"/>
        </w:rPr>
      </w:pPr>
      <w:r w:rsidRPr="00682267">
        <w:rPr>
          <w:rFonts w:ascii="Arial" w:hAnsi="Arial" w:cs="Arial"/>
          <w:bCs/>
          <w:szCs w:val="20"/>
        </w:rPr>
        <w:t>SIG stakeholders would welcome</w:t>
      </w:r>
      <w:r w:rsidRPr="00682267">
        <w:rPr>
          <w:rFonts w:ascii="Arial" w:hAnsi="Arial" w:cs="Arial"/>
          <w:b/>
          <w:szCs w:val="20"/>
        </w:rPr>
        <w:t xml:space="preserve"> brief quarterly updates</w:t>
      </w:r>
      <w:r w:rsidRPr="00682267">
        <w:rPr>
          <w:rFonts w:ascii="Arial" w:hAnsi="Arial" w:cs="Arial"/>
          <w:bCs/>
          <w:szCs w:val="20"/>
        </w:rPr>
        <w:t xml:space="preserve"> to improve visibility and avoid overlap.</w:t>
      </w:r>
    </w:p>
    <w:p w14:paraId="07240973" w14:textId="77777777" w:rsidR="00987607" w:rsidRPr="00682267" w:rsidRDefault="00987607" w:rsidP="00CD12D5">
      <w:pPr>
        <w:pStyle w:val="ListParagraph"/>
        <w:numPr>
          <w:ilvl w:val="1"/>
          <w:numId w:val="44"/>
        </w:numPr>
        <w:spacing w:after="120"/>
        <w:contextualSpacing w:val="0"/>
        <w:rPr>
          <w:rFonts w:ascii="Arial" w:hAnsi="Arial" w:cs="Arial"/>
          <w:bCs/>
          <w:szCs w:val="20"/>
        </w:rPr>
      </w:pPr>
      <w:r w:rsidRPr="00682267">
        <w:rPr>
          <w:rFonts w:ascii="Arial" w:hAnsi="Arial" w:cs="Arial"/>
          <w:b/>
          <w:szCs w:val="20"/>
        </w:rPr>
        <w:t>A clearer narrative can now be developed for each sector</w:t>
      </w:r>
      <w:r w:rsidRPr="00682267">
        <w:rPr>
          <w:rFonts w:ascii="Arial" w:hAnsi="Arial" w:cs="Arial"/>
          <w:bCs/>
          <w:szCs w:val="20"/>
        </w:rPr>
        <w:t>. Short sector briefs would serve multiple purposes including information flow to SIG agencies and outreach to potential partners.</w:t>
      </w:r>
    </w:p>
    <w:p w14:paraId="0C8B41BE" w14:textId="77777777" w:rsidR="00987607" w:rsidRPr="00682267" w:rsidRDefault="00987607" w:rsidP="00CD12D5">
      <w:pPr>
        <w:pStyle w:val="ListParagraph"/>
        <w:numPr>
          <w:ilvl w:val="1"/>
          <w:numId w:val="44"/>
        </w:numPr>
        <w:spacing w:after="120"/>
        <w:contextualSpacing w:val="0"/>
        <w:rPr>
          <w:rFonts w:ascii="Arial" w:hAnsi="Arial" w:cs="Arial"/>
          <w:bCs/>
          <w:szCs w:val="20"/>
        </w:rPr>
      </w:pPr>
      <w:r w:rsidRPr="00C8707F">
        <w:rPr>
          <w:rFonts w:ascii="Arial" w:hAnsi="Arial" w:cs="Arial"/>
          <w:b/>
          <w:szCs w:val="20"/>
        </w:rPr>
        <w:t>Greater transparency and clarity around decision-making criteria</w:t>
      </w:r>
      <w:r w:rsidRPr="00682267">
        <w:rPr>
          <w:rFonts w:ascii="Arial" w:hAnsi="Arial" w:cs="Arial"/>
          <w:bCs/>
          <w:szCs w:val="20"/>
        </w:rPr>
        <w:t xml:space="preserve"> </w:t>
      </w:r>
      <w:r>
        <w:rPr>
          <w:rFonts w:ascii="Arial" w:hAnsi="Arial" w:cs="Arial"/>
          <w:bCs/>
          <w:szCs w:val="20"/>
        </w:rPr>
        <w:t>is important</w:t>
      </w:r>
      <w:r w:rsidRPr="00682267">
        <w:rPr>
          <w:rFonts w:ascii="Arial" w:hAnsi="Arial" w:cs="Arial"/>
          <w:bCs/>
          <w:szCs w:val="20"/>
        </w:rPr>
        <w:t xml:space="preserve"> both for accountability and to minimise negative perceptions around favouritism or lack of fairness. </w:t>
      </w:r>
    </w:p>
    <w:p w14:paraId="5565DC01" w14:textId="77777777" w:rsidR="00987607" w:rsidRPr="000C366A" w:rsidRDefault="00987607" w:rsidP="00CD12D5">
      <w:pPr>
        <w:pStyle w:val="ListParagraph"/>
        <w:numPr>
          <w:ilvl w:val="1"/>
          <w:numId w:val="44"/>
        </w:numPr>
        <w:spacing w:after="120"/>
        <w:contextualSpacing w:val="0"/>
        <w:rPr>
          <w:rFonts w:ascii="Arial" w:hAnsi="Arial" w:cs="Arial"/>
          <w:b/>
          <w:szCs w:val="20"/>
        </w:rPr>
      </w:pPr>
      <w:r w:rsidRPr="005A6EAA">
        <w:rPr>
          <w:rFonts w:ascii="Arial" w:hAnsi="Arial" w:cs="Arial"/>
          <w:bCs/>
          <w:szCs w:val="20"/>
        </w:rPr>
        <w:t>The program must ensure adherence to the core PSE guiding principles of</w:t>
      </w:r>
      <w:r w:rsidRPr="000C366A">
        <w:rPr>
          <w:rFonts w:ascii="Arial" w:hAnsi="Arial" w:cs="Arial"/>
          <w:b/>
          <w:szCs w:val="20"/>
        </w:rPr>
        <w:t xml:space="preserve"> additionality, fairness and transparency</w:t>
      </w:r>
      <w:r w:rsidRPr="000C366A">
        <w:rPr>
          <w:rFonts w:ascii="Arial" w:hAnsi="Arial" w:cs="Arial"/>
          <w:bCs/>
          <w:szCs w:val="20"/>
        </w:rPr>
        <w:t>, drawing on recent</w:t>
      </w:r>
      <w:r w:rsidRPr="000C366A">
        <w:rPr>
          <w:rFonts w:ascii="Arial" w:hAnsi="Arial" w:cs="Arial"/>
          <w:b/>
          <w:szCs w:val="20"/>
        </w:rPr>
        <w:t xml:space="preserve"> </w:t>
      </w:r>
      <w:r w:rsidRPr="000C366A">
        <w:rPr>
          <w:rFonts w:ascii="Arial" w:hAnsi="Arial" w:cs="Arial"/>
          <w:bCs/>
          <w:szCs w:val="20"/>
        </w:rPr>
        <w:t>DFAT guidance.</w:t>
      </w:r>
    </w:p>
    <w:p w14:paraId="3FB6053B" w14:textId="2B3045BA" w:rsidR="00987607" w:rsidRDefault="00987607" w:rsidP="00CD12D5">
      <w:pPr>
        <w:pStyle w:val="ListParagraph"/>
        <w:numPr>
          <w:ilvl w:val="1"/>
          <w:numId w:val="44"/>
        </w:numPr>
        <w:spacing w:after="120"/>
        <w:contextualSpacing w:val="0"/>
        <w:rPr>
          <w:rFonts w:ascii="Arial" w:hAnsi="Arial" w:cs="Arial"/>
          <w:bCs/>
          <w:szCs w:val="20"/>
        </w:rPr>
      </w:pPr>
      <w:r w:rsidRPr="005B742F">
        <w:rPr>
          <w:rFonts w:ascii="Arial" w:hAnsi="Arial" w:cs="Arial"/>
          <w:b/>
          <w:szCs w:val="20"/>
        </w:rPr>
        <w:t xml:space="preserve">Market system assessments </w:t>
      </w:r>
      <w:r w:rsidRPr="005A6EAA">
        <w:rPr>
          <w:rFonts w:ascii="Arial" w:hAnsi="Arial" w:cs="Arial"/>
          <w:bCs/>
          <w:szCs w:val="20"/>
        </w:rPr>
        <w:t>for current sectors should be</w:t>
      </w:r>
      <w:r w:rsidRPr="005B742F">
        <w:rPr>
          <w:rFonts w:ascii="Arial" w:hAnsi="Arial" w:cs="Arial"/>
          <w:b/>
          <w:szCs w:val="20"/>
        </w:rPr>
        <w:t xml:space="preserve"> revisited</w:t>
      </w:r>
      <w:r w:rsidRPr="005B742F">
        <w:rPr>
          <w:rFonts w:ascii="Arial" w:hAnsi="Arial" w:cs="Arial"/>
          <w:bCs/>
          <w:szCs w:val="20"/>
        </w:rPr>
        <w:t xml:space="preserve"> early in Phase 3</w:t>
      </w:r>
      <w:r w:rsidR="00F83DC5">
        <w:rPr>
          <w:rFonts w:ascii="Arial" w:hAnsi="Arial" w:cs="Arial"/>
          <w:bCs/>
          <w:szCs w:val="20"/>
        </w:rPr>
        <w:t>,</w:t>
      </w:r>
      <w:r w:rsidRPr="005B742F">
        <w:rPr>
          <w:rFonts w:ascii="Arial" w:hAnsi="Arial" w:cs="Arial"/>
          <w:bCs/>
          <w:szCs w:val="20"/>
        </w:rPr>
        <w:t xml:space="preserve"> </w:t>
      </w:r>
      <w:r w:rsidR="00F83DC5">
        <w:t xml:space="preserve">giving particular attention to opportunities to increase </w:t>
      </w:r>
      <w:r w:rsidR="00F83DC5" w:rsidRPr="005B7140">
        <w:rPr>
          <w:b/>
          <w:bCs/>
        </w:rPr>
        <w:t>job creation</w:t>
      </w:r>
      <w:r w:rsidR="00F83DC5">
        <w:t xml:space="preserve"> outcomes</w:t>
      </w:r>
      <w:r w:rsidR="001B62DC">
        <w:t>.</w:t>
      </w:r>
    </w:p>
    <w:p w14:paraId="44F36D5E" w14:textId="20C54053" w:rsidR="00987607" w:rsidRPr="005A6EAA" w:rsidRDefault="00987607" w:rsidP="00CD12D5">
      <w:pPr>
        <w:pStyle w:val="ListParagraph"/>
        <w:numPr>
          <w:ilvl w:val="1"/>
          <w:numId w:val="44"/>
        </w:numPr>
        <w:spacing w:after="120"/>
        <w:contextualSpacing w:val="0"/>
        <w:rPr>
          <w:rFonts w:ascii="Arial" w:hAnsi="Arial" w:cs="Arial"/>
          <w:szCs w:val="20"/>
        </w:rPr>
      </w:pPr>
      <w:r w:rsidRPr="005A6EAA">
        <w:rPr>
          <w:rFonts w:ascii="Arial" w:hAnsi="Arial" w:cs="Arial"/>
          <w:bCs/>
          <w:szCs w:val="20"/>
        </w:rPr>
        <w:t xml:space="preserve">Opportunities </w:t>
      </w:r>
      <w:r w:rsidRPr="005A6EAA">
        <w:rPr>
          <w:rFonts w:ascii="Arial" w:hAnsi="Arial" w:cs="Arial"/>
          <w:bCs/>
        </w:rPr>
        <w:t>arising from</w:t>
      </w:r>
      <w:r>
        <w:rPr>
          <w:rFonts w:ascii="Arial" w:hAnsi="Arial" w:cs="Arial"/>
          <w:b/>
          <w:bCs/>
        </w:rPr>
        <w:t xml:space="preserve"> temporary labour migration </w:t>
      </w:r>
      <w:r w:rsidRPr="00C625E7">
        <w:rPr>
          <w:rFonts w:ascii="Arial" w:hAnsi="Arial" w:cs="Arial"/>
          <w:b/>
          <w:bCs/>
        </w:rPr>
        <w:t>programs</w:t>
      </w:r>
      <w:r>
        <w:rPr>
          <w:rFonts w:ascii="Arial" w:hAnsi="Arial" w:cs="Arial"/>
          <w:b/>
          <w:bCs/>
        </w:rPr>
        <w:t xml:space="preserve"> </w:t>
      </w:r>
      <w:r w:rsidRPr="005A6EAA">
        <w:rPr>
          <w:rFonts w:ascii="Arial" w:hAnsi="Arial" w:cs="Arial"/>
        </w:rPr>
        <w:t>should be explored.</w:t>
      </w:r>
    </w:p>
    <w:p w14:paraId="49B78D2F" w14:textId="1564A4FB" w:rsidR="00987607" w:rsidRPr="00183129" w:rsidRDefault="00987607" w:rsidP="00CD12D5">
      <w:pPr>
        <w:pStyle w:val="ListParagraph"/>
        <w:numPr>
          <w:ilvl w:val="1"/>
          <w:numId w:val="44"/>
        </w:numPr>
        <w:spacing w:after="120"/>
        <w:contextualSpacing w:val="0"/>
        <w:rPr>
          <w:rFonts w:ascii="Arial" w:hAnsi="Arial" w:cs="Arial"/>
          <w:szCs w:val="20"/>
        </w:rPr>
      </w:pPr>
      <w:r w:rsidRPr="007C0A24">
        <w:rPr>
          <w:rFonts w:ascii="Arial" w:hAnsi="Arial" w:cs="Arial"/>
          <w:b/>
          <w:bCs/>
          <w:lang w:val="en-US"/>
        </w:rPr>
        <w:t xml:space="preserve">Financial </w:t>
      </w:r>
      <w:r>
        <w:rPr>
          <w:rFonts w:ascii="Arial" w:hAnsi="Arial" w:cs="Arial"/>
          <w:b/>
          <w:bCs/>
          <w:lang w:val="en-US"/>
        </w:rPr>
        <w:t>s</w:t>
      </w:r>
      <w:r w:rsidRPr="007C0A24">
        <w:rPr>
          <w:rFonts w:ascii="Arial" w:hAnsi="Arial" w:cs="Arial"/>
          <w:b/>
          <w:bCs/>
          <w:lang w:val="en-US"/>
        </w:rPr>
        <w:t>ervices</w:t>
      </w:r>
      <w:r>
        <w:rPr>
          <w:rFonts w:ascii="Arial" w:hAnsi="Arial" w:cs="Arial"/>
          <w:b/>
          <w:bCs/>
          <w:lang w:val="en-US"/>
        </w:rPr>
        <w:t xml:space="preserve"> (or business skills development)</w:t>
      </w:r>
      <w:r w:rsidRPr="007C0A24">
        <w:rPr>
          <w:rFonts w:ascii="Arial" w:hAnsi="Arial" w:cs="Arial"/>
          <w:b/>
          <w:bCs/>
          <w:lang w:val="en-US"/>
        </w:rPr>
        <w:t xml:space="preserve"> </w:t>
      </w:r>
      <w:r>
        <w:rPr>
          <w:rFonts w:ascii="Arial" w:hAnsi="Arial" w:cs="Arial"/>
          <w:b/>
          <w:bCs/>
          <w:lang w:val="en-US"/>
        </w:rPr>
        <w:t>should be</w:t>
      </w:r>
      <w:r w:rsidRPr="007C0A24">
        <w:rPr>
          <w:rFonts w:ascii="Arial" w:hAnsi="Arial" w:cs="Arial"/>
          <w:b/>
          <w:bCs/>
          <w:lang w:val="en-US"/>
        </w:rPr>
        <w:t xml:space="preserve"> cross-cutting </w:t>
      </w:r>
      <w:r w:rsidRPr="00BB76E5">
        <w:rPr>
          <w:rFonts w:ascii="Arial" w:hAnsi="Arial" w:cs="Arial"/>
          <w:lang w:val="en-US"/>
        </w:rPr>
        <w:t xml:space="preserve">rather than a standalone sector. Closer collaboration </w:t>
      </w:r>
      <w:r w:rsidR="004569A7">
        <w:rPr>
          <w:rFonts w:ascii="Arial" w:hAnsi="Arial" w:cs="Arial"/>
          <w:lang w:val="en-US"/>
        </w:rPr>
        <w:t>with the Australian-funded</w:t>
      </w:r>
      <w:r w:rsidRPr="00EA2493">
        <w:rPr>
          <w:rFonts w:ascii="Arial" w:hAnsi="Arial" w:cs="Arial"/>
          <w:b/>
          <w:bCs/>
          <w:lang w:val="en-US"/>
        </w:rPr>
        <w:t xml:space="preserve"> Pacific Digital Economy </w:t>
      </w:r>
      <w:r w:rsidRPr="0067338A">
        <w:rPr>
          <w:rFonts w:ascii="Arial" w:hAnsi="Arial" w:cs="Arial"/>
          <w:b/>
          <w:bCs/>
          <w:lang w:val="en-US"/>
        </w:rPr>
        <w:t xml:space="preserve">Program </w:t>
      </w:r>
      <w:r>
        <w:rPr>
          <w:rFonts w:ascii="Arial" w:hAnsi="Arial" w:cs="Arial"/>
          <w:b/>
          <w:bCs/>
          <w:lang w:val="en-US"/>
        </w:rPr>
        <w:t xml:space="preserve">(PDEP) </w:t>
      </w:r>
      <w:r w:rsidR="004569A7" w:rsidRPr="005C1A34">
        <w:rPr>
          <w:rFonts w:ascii="Arial" w:hAnsi="Arial" w:cs="Arial"/>
          <w:lang w:val="en-US"/>
        </w:rPr>
        <w:t>delivered by</w:t>
      </w:r>
      <w:r w:rsidR="004569A7">
        <w:rPr>
          <w:rFonts w:ascii="Arial" w:hAnsi="Arial" w:cs="Arial"/>
          <w:b/>
          <w:bCs/>
          <w:lang w:val="en-US"/>
        </w:rPr>
        <w:t xml:space="preserve"> </w:t>
      </w:r>
      <w:r w:rsidR="004569A7" w:rsidRPr="004569A7">
        <w:rPr>
          <w:rFonts w:ascii="Arial" w:hAnsi="Arial" w:cs="Arial"/>
          <w:lang w:val="en-US"/>
        </w:rPr>
        <w:t>UNCDF</w:t>
      </w:r>
      <w:r w:rsidR="004569A7" w:rsidRPr="00EA2493">
        <w:rPr>
          <w:rFonts w:ascii="Arial" w:hAnsi="Arial" w:cs="Arial"/>
          <w:b/>
          <w:bCs/>
          <w:lang w:val="en-US"/>
        </w:rPr>
        <w:t xml:space="preserve"> </w:t>
      </w:r>
      <w:r w:rsidRPr="00803270">
        <w:rPr>
          <w:rFonts w:ascii="Arial" w:hAnsi="Arial" w:cs="Arial"/>
          <w:lang w:val="en-US"/>
        </w:rPr>
        <w:t xml:space="preserve">could be more effective than independent </w:t>
      </w:r>
      <w:r>
        <w:rPr>
          <w:rFonts w:ascii="Arial" w:hAnsi="Arial" w:cs="Arial"/>
          <w:lang w:val="en-US"/>
        </w:rPr>
        <w:t>f</w:t>
      </w:r>
      <w:r w:rsidRPr="00803270">
        <w:rPr>
          <w:rFonts w:ascii="Arial" w:hAnsi="Arial" w:cs="Arial"/>
          <w:lang w:val="en-US"/>
        </w:rPr>
        <w:t xml:space="preserve">inancial </w:t>
      </w:r>
      <w:r>
        <w:rPr>
          <w:rFonts w:ascii="Arial" w:hAnsi="Arial" w:cs="Arial"/>
          <w:lang w:val="en-US"/>
        </w:rPr>
        <w:t>s</w:t>
      </w:r>
      <w:r w:rsidRPr="00803270">
        <w:rPr>
          <w:rFonts w:ascii="Arial" w:hAnsi="Arial" w:cs="Arial"/>
          <w:lang w:val="en-US"/>
        </w:rPr>
        <w:t>ervices interventions.</w:t>
      </w:r>
    </w:p>
    <w:p w14:paraId="21B01C58" w14:textId="77777777" w:rsidR="00987607" w:rsidRPr="00183129" w:rsidRDefault="00987607" w:rsidP="00CD12D5">
      <w:pPr>
        <w:pStyle w:val="ListParagraph"/>
        <w:numPr>
          <w:ilvl w:val="1"/>
          <w:numId w:val="44"/>
        </w:numPr>
        <w:spacing w:after="120"/>
        <w:contextualSpacing w:val="0"/>
        <w:rPr>
          <w:rFonts w:ascii="Arial" w:hAnsi="Arial" w:cs="Arial"/>
          <w:szCs w:val="20"/>
        </w:rPr>
      </w:pPr>
      <w:r w:rsidRPr="00B5662E">
        <w:rPr>
          <w:rFonts w:ascii="Arial" w:hAnsi="Arial" w:cs="Arial"/>
          <w:bCs/>
          <w:szCs w:val="20"/>
        </w:rPr>
        <w:t xml:space="preserve">Further opportunities to </w:t>
      </w:r>
      <w:r w:rsidRPr="00B5662E">
        <w:rPr>
          <w:rFonts w:ascii="Arial" w:hAnsi="Arial" w:cs="Arial"/>
          <w:bCs/>
          <w:lang w:val="en-US"/>
        </w:rPr>
        <w:t>harness</w:t>
      </w:r>
      <w:r w:rsidRPr="006814B1">
        <w:rPr>
          <w:rFonts w:ascii="Arial" w:hAnsi="Arial" w:cs="Arial"/>
          <w:b/>
          <w:lang w:val="en-US"/>
        </w:rPr>
        <w:t xml:space="preserve"> digital technology should be explored</w:t>
      </w:r>
      <w:r>
        <w:rPr>
          <w:rFonts w:ascii="Arial" w:hAnsi="Arial" w:cs="Arial"/>
          <w:lang w:val="en-US"/>
        </w:rPr>
        <w:t>.</w:t>
      </w:r>
    </w:p>
    <w:p w14:paraId="7C3C0E64" w14:textId="6D1CDF4F" w:rsidR="00987607" w:rsidRPr="009A0810" w:rsidRDefault="002431A6" w:rsidP="00CD12D5">
      <w:pPr>
        <w:pStyle w:val="ListParagraph"/>
        <w:numPr>
          <w:ilvl w:val="1"/>
          <w:numId w:val="44"/>
        </w:numPr>
        <w:spacing w:after="120"/>
        <w:contextualSpacing w:val="0"/>
        <w:rPr>
          <w:rFonts w:ascii="Arial" w:hAnsi="Arial" w:cs="Arial"/>
          <w:szCs w:val="20"/>
        </w:rPr>
      </w:pPr>
      <w:r w:rsidRPr="00A20BC7">
        <w:rPr>
          <w:rFonts w:ascii="Arial" w:hAnsi="Arial" w:cs="Arial"/>
          <w:b/>
          <w:bCs/>
        </w:rPr>
        <w:t>C</w:t>
      </w:r>
      <w:r w:rsidR="00CE3946" w:rsidRPr="00A20BC7">
        <w:rPr>
          <w:rFonts w:ascii="Arial" w:hAnsi="Arial" w:cs="Arial"/>
          <w:b/>
          <w:bCs/>
        </w:rPr>
        <w:t>onstruction</w:t>
      </w:r>
      <w:r w:rsidR="00CE3946">
        <w:rPr>
          <w:rFonts w:ascii="Arial" w:hAnsi="Arial" w:cs="Arial"/>
          <w:b/>
          <w:bCs/>
        </w:rPr>
        <w:t xml:space="preserve"> warrants further </w:t>
      </w:r>
      <w:r w:rsidR="00CE3946" w:rsidRPr="005B7140">
        <w:rPr>
          <w:rFonts w:ascii="Arial" w:hAnsi="Arial" w:cs="Arial"/>
          <w:b/>
          <w:bCs/>
        </w:rPr>
        <w:t>consideration</w:t>
      </w:r>
      <w:r w:rsidR="00CE3946" w:rsidRPr="00183129">
        <w:rPr>
          <w:rFonts w:ascii="Arial" w:hAnsi="Arial" w:cs="Arial"/>
        </w:rPr>
        <w:t xml:space="preserve"> </w:t>
      </w:r>
      <w:r w:rsidR="00CE3946">
        <w:rPr>
          <w:rFonts w:ascii="Arial" w:hAnsi="Arial" w:cs="Arial"/>
        </w:rPr>
        <w:t>as a</w:t>
      </w:r>
      <w:r w:rsidR="0057780C">
        <w:rPr>
          <w:rFonts w:ascii="Arial" w:hAnsi="Arial" w:cs="Arial"/>
        </w:rPr>
        <w:t>n</w:t>
      </w:r>
      <w:r w:rsidR="00CE3946">
        <w:rPr>
          <w:rFonts w:ascii="Arial" w:hAnsi="Arial" w:cs="Arial"/>
        </w:rPr>
        <w:t xml:space="preserve"> </w:t>
      </w:r>
      <w:r w:rsidR="0057780C">
        <w:rPr>
          <w:rFonts w:ascii="Arial" w:hAnsi="Arial" w:cs="Arial"/>
        </w:rPr>
        <w:t>additional Strongim Bisnis</w:t>
      </w:r>
      <w:r w:rsidR="00CE3946" w:rsidRPr="00970580">
        <w:rPr>
          <w:rFonts w:ascii="Arial" w:hAnsi="Arial" w:cs="Arial"/>
        </w:rPr>
        <w:t xml:space="preserve"> sector</w:t>
      </w:r>
      <w:r>
        <w:rPr>
          <w:rFonts w:ascii="Arial" w:hAnsi="Arial" w:cs="Arial"/>
        </w:rPr>
        <w:t xml:space="preserve">, given its rapid recent expansion </w:t>
      </w:r>
      <w:r w:rsidR="008F158A">
        <w:rPr>
          <w:rFonts w:ascii="Arial" w:hAnsi="Arial" w:cs="Arial"/>
        </w:rPr>
        <w:t xml:space="preserve">and </w:t>
      </w:r>
      <w:r w:rsidR="00BF63ED">
        <w:rPr>
          <w:rFonts w:ascii="Arial" w:hAnsi="Arial" w:cs="Arial"/>
        </w:rPr>
        <w:t xml:space="preserve">DFAT’s </w:t>
      </w:r>
      <w:r w:rsidR="00B50C3B">
        <w:rPr>
          <w:rFonts w:ascii="Arial" w:hAnsi="Arial" w:cs="Arial"/>
        </w:rPr>
        <w:t xml:space="preserve">concurrent </w:t>
      </w:r>
      <w:r w:rsidR="004D51D2">
        <w:rPr>
          <w:rFonts w:ascii="Arial" w:hAnsi="Arial" w:cs="Arial"/>
        </w:rPr>
        <w:t>funding</w:t>
      </w:r>
      <w:r w:rsidR="006F24EE">
        <w:rPr>
          <w:rFonts w:ascii="Arial" w:hAnsi="Arial" w:cs="Arial"/>
        </w:rPr>
        <w:t xml:space="preserve"> of infrastructure</w:t>
      </w:r>
      <w:r w:rsidR="006B2DDB">
        <w:rPr>
          <w:rFonts w:ascii="Arial" w:hAnsi="Arial" w:cs="Arial"/>
        </w:rPr>
        <w:t xml:space="preserve"> investments</w:t>
      </w:r>
      <w:r w:rsidR="00CE3946">
        <w:rPr>
          <w:rFonts w:ascii="Arial" w:hAnsi="Arial" w:cs="Arial"/>
        </w:rPr>
        <w:t>.</w:t>
      </w:r>
      <w:r w:rsidR="00CE3946" w:rsidRPr="005B7140">
        <w:rPr>
          <w:rFonts w:ascii="Arial" w:hAnsi="Arial" w:cs="Arial"/>
        </w:rPr>
        <w:t xml:space="preserve"> </w:t>
      </w:r>
      <w:r w:rsidR="00561ABB">
        <w:rPr>
          <w:rFonts w:ascii="Arial" w:hAnsi="Arial" w:cs="Arial"/>
        </w:rPr>
        <w:t>A</w:t>
      </w:r>
      <w:r w:rsidR="00561ABB" w:rsidRPr="00F9606C">
        <w:rPr>
          <w:rFonts w:ascii="Arial" w:hAnsi="Arial" w:cs="Arial"/>
        </w:rPr>
        <w:t>dditional</w:t>
      </w:r>
      <w:r w:rsidR="00561ABB" w:rsidRPr="00F9606C">
        <w:rPr>
          <w:rFonts w:ascii="Arial" w:hAnsi="Arial" w:cs="Arial"/>
          <w:b/>
          <w:bCs/>
        </w:rPr>
        <w:t xml:space="preserve"> disability-focused partnerships</w:t>
      </w:r>
      <w:r w:rsidR="00561ABB">
        <w:rPr>
          <w:rFonts w:ascii="Arial" w:hAnsi="Arial" w:cs="Arial"/>
        </w:rPr>
        <w:t xml:space="preserve"> would strengthen the program’s inclusion portfolio. </w:t>
      </w:r>
      <w:r w:rsidR="00931CFC" w:rsidRPr="00F262A8">
        <w:rPr>
          <w:rFonts w:ascii="Arial" w:hAnsi="Arial" w:cs="Arial"/>
        </w:rPr>
        <w:t>I</w:t>
      </w:r>
      <w:r w:rsidR="00931CFC" w:rsidRPr="00E62A19">
        <w:rPr>
          <w:rFonts w:ascii="Arial" w:hAnsi="Arial" w:cs="Arial"/>
        </w:rPr>
        <w:t xml:space="preserve">nformants </w:t>
      </w:r>
      <w:r w:rsidR="00797A2D">
        <w:rPr>
          <w:rFonts w:ascii="Arial" w:hAnsi="Arial" w:cs="Arial"/>
        </w:rPr>
        <w:t>also</w:t>
      </w:r>
      <w:r w:rsidR="00931CFC" w:rsidRPr="00E62A19">
        <w:rPr>
          <w:rFonts w:ascii="Arial" w:hAnsi="Arial" w:cs="Arial"/>
        </w:rPr>
        <w:t xml:space="preserve"> </w:t>
      </w:r>
      <w:r w:rsidR="00931CFC">
        <w:rPr>
          <w:rFonts w:ascii="Arial" w:hAnsi="Arial" w:cs="Arial"/>
        </w:rPr>
        <w:t>suggested</w:t>
      </w:r>
      <w:r w:rsidR="00931CFC" w:rsidRPr="00D14D4C">
        <w:rPr>
          <w:rFonts w:ascii="Arial" w:hAnsi="Arial" w:cs="Arial"/>
        </w:rPr>
        <w:t xml:space="preserve"> </w:t>
      </w:r>
      <w:r w:rsidR="00931CFC" w:rsidRPr="008F4728">
        <w:rPr>
          <w:rFonts w:ascii="Arial" w:hAnsi="Arial" w:cs="Arial"/>
          <w:b/>
          <w:bCs/>
        </w:rPr>
        <w:t>livestock</w:t>
      </w:r>
      <w:r w:rsidR="00931CFC">
        <w:rPr>
          <w:rFonts w:ascii="Arial" w:hAnsi="Arial" w:cs="Arial"/>
        </w:rPr>
        <w:t xml:space="preserve"> and small-scale</w:t>
      </w:r>
      <w:r w:rsidR="00931CFC" w:rsidRPr="00DF31B9">
        <w:rPr>
          <w:rFonts w:ascii="Arial" w:hAnsi="Arial" w:cs="Arial"/>
          <w:b/>
          <w:bCs/>
        </w:rPr>
        <w:t xml:space="preserve"> </w:t>
      </w:r>
      <w:r w:rsidR="00931CFC">
        <w:rPr>
          <w:rFonts w:ascii="Arial" w:hAnsi="Arial" w:cs="Arial"/>
          <w:b/>
          <w:bCs/>
        </w:rPr>
        <w:t>fishing</w:t>
      </w:r>
      <w:r w:rsidR="00931CFC" w:rsidDel="00E05508">
        <w:rPr>
          <w:rFonts w:ascii="Arial" w:hAnsi="Arial" w:cs="Arial"/>
          <w:b/>
        </w:rPr>
        <w:t xml:space="preserve"> </w:t>
      </w:r>
      <w:r w:rsidR="00931CFC" w:rsidRPr="005B7140">
        <w:rPr>
          <w:rFonts w:ascii="Arial" w:hAnsi="Arial" w:cs="Arial"/>
        </w:rPr>
        <w:t>as</w:t>
      </w:r>
      <w:r w:rsidR="00987607" w:rsidRPr="005B7140">
        <w:rPr>
          <w:rFonts w:ascii="Arial" w:hAnsi="Arial" w:cs="Arial"/>
        </w:rPr>
        <w:t xml:space="preserve"> </w:t>
      </w:r>
      <w:r w:rsidR="00011355">
        <w:rPr>
          <w:rFonts w:ascii="Arial" w:hAnsi="Arial" w:cs="Arial"/>
          <w:bCs/>
        </w:rPr>
        <w:t xml:space="preserve">further </w:t>
      </w:r>
      <w:r w:rsidR="00987607" w:rsidRPr="005B7140">
        <w:rPr>
          <w:rFonts w:ascii="Arial" w:hAnsi="Arial" w:cs="Arial"/>
        </w:rPr>
        <w:t xml:space="preserve">‘growth’ </w:t>
      </w:r>
      <w:r w:rsidR="0051737B">
        <w:rPr>
          <w:rFonts w:ascii="Arial" w:hAnsi="Arial" w:cs="Arial"/>
          <w:bCs/>
        </w:rPr>
        <w:t>and/</w:t>
      </w:r>
      <w:r w:rsidR="00987607" w:rsidRPr="005B7140">
        <w:rPr>
          <w:rFonts w:ascii="Arial" w:hAnsi="Arial" w:cs="Arial"/>
        </w:rPr>
        <w:t>or ‘inclusion’ opportunities.</w:t>
      </w:r>
      <w:r w:rsidR="00007A10">
        <w:rPr>
          <w:rFonts w:ascii="Arial" w:hAnsi="Arial" w:cs="Arial"/>
        </w:rPr>
        <w:t xml:space="preserve"> </w:t>
      </w:r>
    </w:p>
    <w:p w14:paraId="27011BE6" w14:textId="77777777" w:rsidR="00987607" w:rsidRPr="00803270" w:rsidRDefault="00987607" w:rsidP="00CD12D5">
      <w:pPr>
        <w:pStyle w:val="ListParagraph"/>
        <w:numPr>
          <w:ilvl w:val="1"/>
          <w:numId w:val="44"/>
        </w:numPr>
        <w:spacing w:after="120"/>
        <w:contextualSpacing w:val="0"/>
        <w:rPr>
          <w:rFonts w:ascii="Arial" w:hAnsi="Arial" w:cs="Arial"/>
          <w:szCs w:val="20"/>
        </w:rPr>
      </w:pPr>
      <w:r w:rsidRPr="002F2992">
        <w:rPr>
          <w:rFonts w:ascii="Arial" w:hAnsi="Arial" w:cs="Arial"/>
          <w:bCs/>
          <w:szCs w:val="20"/>
        </w:rPr>
        <w:t xml:space="preserve">The design refresh should </w:t>
      </w:r>
      <w:r>
        <w:rPr>
          <w:rFonts w:ascii="Arial" w:hAnsi="Arial" w:cs="Arial"/>
          <w:bCs/>
          <w:szCs w:val="20"/>
        </w:rPr>
        <w:t>craft</w:t>
      </w:r>
      <w:r w:rsidRPr="002F2992">
        <w:rPr>
          <w:rFonts w:ascii="Arial" w:hAnsi="Arial" w:cs="Arial"/>
          <w:bCs/>
          <w:szCs w:val="20"/>
        </w:rPr>
        <w:t xml:space="preserve"> a</w:t>
      </w:r>
      <w:r w:rsidRPr="0009121B">
        <w:rPr>
          <w:rFonts w:ascii="Arial" w:hAnsi="Arial" w:cs="Arial"/>
          <w:b/>
          <w:szCs w:val="20"/>
        </w:rPr>
        <w:t xml:space="preserve"> simpler set of EOPOs</w:t>
      </w:r>
      <w:r>
        <w:rPr>
          <w:rFonts w:ascii="Arial" w:hAnsi="Arial" w:cs="Arial"/>
          <w:b/>
          <w:szCs w:val="20"/>
        </w:rPr>
        <w:t xml:space="preserve"> </w:t>
      </w:r>
      <w:r w:rsidRPr="006B266C">
        <w:rPr>
          <w:rFonts w:ascii="Arial" w:hAnsi="Arial" w:cs="Arial"/>
          <w:bCs/>
          <w:szCs w:val="20"/>
        </w:rPr>
        <w:t>linked to an</w:t>
      </w:r>
      <w:r>
        <w:rPr>
          <w:rFonts w:ascii="Arial" w:hAnsi="Arial" w:cs="Arial"/>
          <w:b/>
          <w:szCs w:val="20"/>
        </w:rPr>
        <w:t xml:space="preserve"> updated program logic.</w:t>
      </w:r>
      <w:r>
        <w:rPr>
          <w:rFonts w:ascii="Arial" w:hAnsi="Arial" w:cs="Arial"/>
          <w:bCs/>
          <w:szCs w:val="20"/>
        </w:rPr>
        <w:t xml:space="preserve"> </w:t>
      </w:r>
    </w:p>
    <w:p w14:paraId="70980CE9" w14:textId="2D231F04" w:rsidR="00987607" w:rsidRPr="006B266C" w:rsidRDefault="00987607" w:rsidP="00CD12D5">
      <w:pPr>
        <w:pStyle w:val="ListParagraph"/>
        <w:numPr>
          <w:ilvl w:val="1"/>
          <w:numId w:val="44"/>
        </w:numPr>
        <w:contextualSpacing w:val="0"/>
        <w:rPr>
          <w:rFonts w:ascii="Arial" w:hAnsi="Arial" w:cs="Arial"/>
          <w:b/>
          <w:szCs w:val="20"/>
        </w:rPr>
      </w:pPr>
      <w:r>
        <w:rPr>
          <w:rFonts w:ascii="Arial" w:hAnsi="Arial" w:cs="Arial"/>
          <w:b/>
          <w:szCs w:val="20"/>
        </w:rPr>
        <w:t xml:space="preserve">VfM </w:t>
      </w:r>
      <w:r w:rsidRPr="006B266C">
        <w:rPr>
          <w:rFonts w:ascii="Arial" w:hAnsi="Arial" w:cs="Arial"/>
          <w:b/>
          <w:szCs w:val="20"/>
        </w:rPr>
        <w:t xml:space="preserve">reporting </w:t>
      </w:r>
      <w:r>
        <w:rPr>
          <w:rFonts w:ascii="Arial" w:hAnsi="Arial" w:cs="Arial"/>
          <w:b/>
          <w:szCs w:val="20"/>
        </w:rPr>
        <w:t xml:space="preserve">arrangements </w:t>
      </w:r>
      <w:r w:rsidR="000B1659">
        <w:rPr>
          <w:rFonts w:ascii="Arial" w:hAnsi="Arial" w:cs="Arial"/>
          <w:bCs/>
          <w:szCs w:val="20"/>
        </w:rPr>
        <w:t xml:space="preserve">for Phase 3 </w:t>
      </w:r>
      <w:r w:rsidRPr="00F9076B">
        <w:rPr>
          <w:rFonts w:ascii="Arial" w:hAnsi="Arial" w:cs="Arial"/>
          <w:bCs/>
          <w:szCs w:val="20"/>
        </w:rPr>
        <w:t xml:space="preserve">should be </w:t>
      </w:r>
      <w:r w:rsidRPr="00AF5FCA">
        <w:rPr>
          <w:rFonts w:ascii="Arial" w:hAnsi="Arial" w:cs="Arial"/>
          <w:bCs/>
          <w:szCs w:val="20"/>
        </w:rPr>
        <w:t>agreed,</w:t>
      </w:r>
      <w:r w:rsidRPr="005B7140">
        <w:rPr>
          <w:rFonts w:ascii="Arial" w:hAnsi="Arial" w:cs="Arial"/>
          <w:bCs/>
          <w:szCs w:val="20"/>
        </w:rPr>
        <w:t xml:space="preserve"> </w:t>
      </w:r>
      <w:r w:rsidR="00551538" w:rsidRPr="005B7140">
        <w:rPr>
          <w:rFonts w:ascii="Arial" w:hAnsi="Arial" w:cs="Arial"/>
          <w:bCs/>
          <w:szCs w:val="20"/>
        </w:rPr>
        <w:t xml:space="preserve">building on </w:t>
      </w:r>
      <w:r w:rsidR="003466B2" w:rsidRPr="005B7140">
        <w:rPr>
          <w:rFonts w:ascii="Arial" w:hAnsi="Arial" w:cs="Arial"/>
          <w:bCs/>
          <w:szCs w:val="20"/>
        </w:rPr>
        <w:t xml:space="preserve">recent </w:t>
      </w:r>
      <w:r w:rsidR="00A96B58" w:rsidRPr="005B7140">
        <w:rPr>
          <w:rFonts w:ascii="Arial" w:hAnsi="Arial" w:cs="Arial"/>
          <w:bCs/>
          <w:szCs w:val="20"/>
        </w:rPr>
        <w:t>preparatory work</w:t>
      </w:r>
      <w:r>
        <w:rPr>
          <w:rFonts w:ascii="Arial" w:hAnsi="Arial" w:cs="Arial"/>
          <w:bCs/>
          <w:szCs w:val="20"/>
        </w:rPr>
        <w:t>.</w:t>
      </w:r>
      <w:r w:rsidRPr="006B266C">
        <w:rPr>
          <w:rFonts w:ascii="Arial" w:hAnsi="Arial" w:cs="Arial"/>
          <w:bCs/>
          <w:szCs w:val="20"/>
        </w:rPr>
        <w:t xml:space="preserve"> </w:t>
      </w:r>
    </w:p>
    <w:p w14:paraId="61D728FC" w14:textId="77777777" w:rsidR="00396E1B" w:rsidRDefault="00396E1B" w:rsidP="00D95841"/>
    <w:p w14:paraId="6FC0B74B" w14:textId="77777777" w:rsidR="006948C2" w:rsidRDefault="006948C2" w:rsidP="00D95841">
      <w:pPr>
        <w:sectPr w:rsidR="006948C2" w:rsidSect="00093E8C">
          <w:footerReference w:type="default" r:id="rId16"/>
          <w:footerReference w:type="first" r:id="rId17"/>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pgNumType w:fmt="lowerRoman"/>
          <w:cols w:space="709"/>
          <w:docGrid w:linePitch="360"/>
        </w:sectPr>
      </w:pPr>
    </w:p>
    <w:p w14:paraId="37961267" w14:textId="525DCFDB" w:rsidR="009127D6" w:rsidRDefault="009127D6" w:rsidP="009127D6">
      <w:pPr>
        <w:pStyle w:val="ChapterHeading"/>
      </w:pPr>
      <w:bookmarkStart w:id="7" w:name="_Toc131170434"/>
      <w:r>
        <w:t xml:space="preserve">Introduction and </w:t>
      </w:r>
      <w:r w:rsidR="00C604B4">
        <w:t>Context</w:t>
      </w:r>
      <w:bookmarkEnd w:id="7"/>
    </w:p>
    <w:p w14:paraId="134CC938" w14:textId="0F44691B" w:rsidR="009127D6" w:rsidRPr="00733618" w:rsidRDefault="009127D6" w:rsidP="009127D6">
      <w:r w:rsidRPr="00392EB6">
        <w:rPr>
          <w:b/>
          <w:bCs/>
        </w:rPr>
        <w:t>Private sector resilience, open markets and supply chains, improved livelihoods and inclusive growth</w:t>
      </w:r>
      <w:r w:rsidRPr="00733618">
        <w:rPr>
          <w:b/>
          <w:bCs/>
        </w:rPr>
        <w:t xml:space="preserve"> </w:t>
      </w:r>
      <w:r w:rsidRPr="00392EB6">
        <w:t>are core objectives under Australia’s development partnership with the Solomon Islands</w:t>
      </w:r>
      <w:r w:rsidRPr="00733618">
        <w:rPr>
          <w:vertAlign w:val="superscript"/>
        </w:rPr>
        <w:footnoteReference w:id="3"/>
      </w:r>
      <w:r w:rsidRPr="00733618">
        <w:t xml:space="preserve">. </w:t>
      </w:r>
      <w:r w:rsidRPr="00E53789">
        <w:rPr>
          <w:szCs w:val="20"/>
        </w:rPr>
        <w:t>Strongim Bisnis (</w:t>
      </w:r>
      <w:r w:rsidRPr="00E53789">
        <w:t>AUD</w:t>
      </w:r>
      <w:r w:rsidR="00A7217C">
        <w:t>32</w:t>
      </w:r>
      <w:r w:rsidRPr="00E53789">
        <w:t xml:space="preserve"> million, 2017-23)</w:t>
      </w:r>
      <w:r w:rsidR="00E163F6">
        <w:t>,</w:t>
      </w:r>
      <w:r w:rsidR="00E163F6" w:rsidRPr="00E163F6">
        <w:t xml:space="preserve"> </w:t>
      </w:r>
      <w:r w:rsidR="00E163F6" w:rsidRPr="006C76E4">
        <w:t>managed</w:t>
      </w:r>
      <w:r w:rsidR="00E163F6" w:rsidRPr="00CB2B60">
        <w:t xml:space="preserve"> by Adam Smith International (ASI)</w:t>
      </w:r>
      <w:r w:rsidR="00E163F6">
        <w:t>,</w:t>
      </w:r>
      <w:r w:rsidRPr="00E53789">
        <w:t xml:space="preserve"> </w:t>
      </w:r>
      <w:r w:rsidRPr="00E53789">
        <w:rPr>
          <w:szCs w:val="20"/>
        </w:rPr>
        <w:t>is Australia’s flagship private sector development program</w:t>
      </w:r>
      <w:r>
        <w:rPr>
          <w:szCs w:val="20"/>
        </w:rPr>
        <w:t>.</w:t>
      </w:r>
      <w:r w:rsidRPr="0010071A">
        <w:t xml:space="preserve"> </w:t>
      </w:r>
      <w:r>
        <w:t xml:space="preserve">Phase 2 began in </w:t>
      </w:r>
      <w:r w:rsidR="00F94952">
        <w:t>January</w:t>
      </w:r>
      <w:r w:rsidR="00F94952" w:rsidRPr="006C76E4">
        <w:t xml:space="preserve"> </w:t>
      </w:r>
      <w:r w:rsidRPr="006C76E4">
        <w:t>202</w:t>
      </w:r>
      <w:r w:rsidR="00F94952">
        <w:t>1</w:t>
      </w:r>
      <w:r w:rsidRPr="006C76E4">
        <w:t xml:space="preserve"> </w:t>
      </w:r>
      <w:r>
        <w:t>following a design refresh, and is due for completion in June</w:t>
      </w:r>
      <w:r w:rsidRPr="006C76E4">
        <w:t xml:space="preserve"> 2023</w:t>
      </w:r>
      <w:r>
        <w:t xml:space="preserve">. </w:t>
      </w:r>
      <w:r w:rsidRPr="00B63E70">
        <w:t xml:space="preserve">DFAT commissioned this evaluation in parallel with procurement </w:t>
      </w:r>
      <w:r w:rsidR="00BC7F24">
        <w:t xml:space="preserve">for </w:t>
      </w:r>
      <w:r w:rsidR="00BC7F24" w:rsidRPr="00B63E70">
        <w:t>Phase 3</w:t>
      </w:r>
      <w:r w:rsidRPr="00B63E70">
        <w:t>.</w:t>
      </w:r>
    </w:p>
    <w:p w14:paraId="03D02DFB" w14:textId="3AC4CAC5" w:rsidR="009127D6" w:rsidRDefault="009127D6" w:rsidP="009127D6">
      <w:r w:rsidRPr="00FD211D">
        <w:rPr>
          <w:b/>
          <w:bCs/>
        </w:rPr>
        <w:t>This independent</w:t>
      </w:r>
      <w:r w:rsidRPr="00B63E70">
        <w:t xml:space="preserve"> </w:t>
      </w:r>
      <w:r w:rsidRPr="00B63E70">
        <w:rPr>
          <w:b/>
          <w:bCs/>
        </w:rPr>
        <w:t>evaluation has two primary purposes</w:t>
      </w:r>
      <w:r>
        <w:t xml:space="preserve">: (a) assessing the program’s performance in Phase 2 and (b) generating lessons to inform the Phase 3 design refresh that will be an early task of the incoming managing contractor. Terms of reference for the evaluation are in </w:t>
      </w:r>
      <w:r w:rsidRPr="00712BEC">
        <w:rPr>
          <w:u w:val="single"/>
        </w:rPr>
        <w:t>Annex 1</w:t>
      </w:r>
      <w:r>
        <w:t>.</w:t>
      </w:r>
    </w:p>
    <w:p w14:paraId="6480B858" w14:textId="02CCC439" w:rsidR="009127D6" w:rsidRDefault="009127D6" w:rsidP="009127D6">
      <w:r w:rsidRPr="00E53789">
        <w:rPr>
          <w:b/>
          <w:bCs/>
          <w:szCs w:val="20"/>
        </w:rPr>
        <w:t>Strongim Bisnis works across key market sectors to foster inclusive economic growth and employment opportunities, and improve rural and peri-urban livelihoods.</w:t>
      </w:r>
      <w:r>
        <w:rPr>
          <w:szCs w:val="20"/>
        </w:rPr>
        <w:t xml:space="preserve"> </w:t>
      </w:r>
      <w:r w:rsidRPr="00230446">
        <w:t>It was originally designed as a market systems development (MSD) program and continues to be guided by M</w:t>
      </w:r>
      <w:r>
        <w:t>SD principles</w:t>
      </w:r>
      <w:r w:rsidR="006B2B62">
        <w:t xml:space="preserve">. </w:t>
      </w:r>
      <w:r w:rsidR="002B5A9F">
        <w:t>However,</w:t>
      </w:r>
      <w:r>
        <w:t xml:space="preserve"> increasing flexibility has been applied during Phase 2 in response to local operating conditions. </w:t>
      </w:r>
    </w:p>
    <w:p w14:paraId="0C1B9A24" w14:textId="3129E056" w:rsidR="009127D6" w:rsidRPr="004032E0" w:rsidRDefault="000F0479" w:rsidP="009127D6">
      <w:pPr>
        <w:rPr>
          <w:b/>
          <w:bCs/>
          <w:szCs w:val="20"/>
        </w:rPr>
      </w:pPr>
      <w:r>
        <w:t xml:space="preserve">The </w:t>
      </w:r>
      <w:r w:rsidRPr="006C3927">
        <w:rPr>
          <w:szCs w:val="20"/>
        </w:rPr>
        <w:t xml:space="preserve">Strongim Bisnis </w:t>
      </w:r>
      <w:r>
        <w:t xml:space="preserve">program logic is in </w:t>
      </w:r>
      <w:r w:rsidRPr="00EC473B">
        <w:rPr>
          <w:u w:val="single"/>
        </w:rPr>
        <w:t>Annex 2</w:t>
      </w:r>
      <w:r>
        <w:t>.</w:t>
      </w:r>
      <w:r w:rsidR="009127D6" w:rsidRPr="006C3927">
        <w:rPr>
          <w:szCs w:val="20"/>
        </w:rPr>
        <w:t xml:space="preserve"> Phase 2 has</w:t>
      </w:r>
      <w:r w:rsidR="009127D6">
        <w:rPr>
          <w:b/>
          <w:bCs/>
          <w:szCs w:val="20"/>
        </w:rPr>
        <w:t xml:space="preserve"> three </w:t>
      </w:r>
      <w:r w:rsidR="009127D6" w:rsidRPr="004032E0">
        <w:rPr>
          <w:b/>
          <w:bCs/>
          <w:szCs w:val="20"/>
        </w:rPr>
        <w:t>End of Program Outcomes (EOPOs)</w:t>
      </w:r>
      <w:r w:rsidR="009127D6" w:rsidRPr="006C3927">
        <w:rPr>
          <w:szCs w:val="20"/>
        </w:rPr>
        <w:t>:</w:t>
      </w:r>
    </w:p>
    <w:p w14:paraId="19F4FBA5" w14:textId="66505E43" w:rsidR="009127D6" w:rsidRPr="008D72CC" w:rsidRDefault="009127D6" w:rsidP="004A3A35">
      <w:pPr>
        <w:pBdr>
          <w:top w:val="single" w:sz="4" w:space="1" w:color="auto"/>
          <w:left w:val="single" w:sz="4" w:space="4" w:color="auto"/>
          <w:right w:val="single" w:sz="4" w:space="4" w:color="auto"/>
        </w:pBdr>
        <w:spacing w:after="60" w:line="240" w:lineRule="auto"/>
        <w:rPr>
          <w:rFonts w:ascii="Arial" w:hAnsi="Arial" w:cs="Arial"/>
          <w:b/>
          <w:bCs/>
          <w:i/>
          <w:iCs/>
          <w:sz w:val="18"/>
          <w:szCs w:val="18"/>
        </w:rPr>
      </w:pPr>
      <w:r w:rsidRPr="004032E0">
        <w:rPr>
          <w:rFonts w:ascii="Arial" w:hAnsi="Arial" w:cs="Arial"/>
          <w:b/>
          <w:bCs/>
          <w:i/>
          <w:iCs/>
          <w:sz w:val="18"/>
          <w:szCs w:val="18"/>
        </w:rPr>
        <w:t>EOPO1</w:t>
      </w:r>
      <w:r w:rsidRPr="008D72CC">
        <w:rPr>
          <w:rFonts w:ascii="Arial" w:hAnsi="Arial" w:cs="Arial"/>
          <w:i/>
          <w:iCs/>
          <w:sz w:val="18"/>
          <w:szCs w:val="18"/>
        </w:rPr>
        <w:t xml:space="preserve">: </w:t>
      </w:r>
      <w:r w:rsidRPr="008D72CC">
        <w:rPr>
          <w:rFonts w:ascii="Arial" w:eastAsia="Times New Roman" w:hAnsi="Arial" w:cs="Arial"/>
          <w:i/>
          <w:iCs/>
          <w:color w:val="auto"/>
          <w:sz w:val="18"/>
          <w:szCs w:val="18"/>
        </w:rPr>
        <w:t>Private sector enterprises have demonstrated potential for: increased productivity; greater resilience; better risk management; increased income earning opportunities and access to higher value markets; increased efficient use of assets and labour; and use of new business models that promote increased employment, income</w:t>
      </w:r>
      <w:r w:rsidRPr="19E3E498">
        <w:rPr>
          <w:rFonts w:ascii="Arial" w:eastAsia="Times New Roman" w:hAnsi="Arial" w:cs="Arial"/>
          <w:i/>
          <w:iCs/>
          <w:color w:val="auto"/>
          <w:sz w:val="18"/>
          <w:szCs w:val="18"/>
        </w:rPr>
        <w:t>,</w:t>
      </w:r>
      <w:r w:rsidRPr="008D72CC">
        <w:rPr>
          <w:rFonts w:ascii="Arial" w:eastAsia="Times New Roman" w:hAnsi="Arial" w:cs="Arial"/>
          <w:i/>
          <w:iCs/>
          <w:color w:val="auto"/>
          <w:sz w:val="18"/>
          <w:szCs w:val="18"/>
        </w:rPr>
        <w:t xml:space="preserve"> and trade</w:t>
      </w:r>
      <w:r w:rsidR="006B599F">
        <w:rPr>
          <w:rFonts w:ascii="Arial" w:eastAsia="Times New Roman" w:hAnsi="Arial" w:cs="Arial"/>
          <w:i/>
          <w:iCs/>
          <w:color w:val="auto"/>
          <w:sz w:val="18"/>
          <w:szCs w:val="18"/>
        </w:rPr>
        <w:t>.</w:t>
      </w:r>
    </w:p>
    <w:p w14:paraId="6666B4FE" w14:textId="05EDDAEC" w:rsidR="009127D6" w:rsidRPr="008D72CC" w:rsidRDefault="009127D6" w:rsidP="004A3A35">
      <w:pPr>
        <w:pBdr>
          <w:top w:val="single" w:sz="4" w:space="1" w:color="auto"/>
          <w:left w:val="single" w:sz="4" w:space="4" w:color="auto"/>
          <w:right w:val="single" w:sz="4" w:space="4" w:color="auto"/>
        </w:pBdr>
        <w:spacing w:after="60" w:line="240" w:lineRule="auto"/>
        <w:rPr>
          <w:rFonts w:ascii="Arial" w:hAnsi="Arial" w:cs="Arial"/>
          <w:b/>
          <w:bCs/>
          <w:i/>
          <w:iCs/>
          <w:sz w:val="18"/>
          <w:szCs w:val="18"/>
        </w:rPr>
      </w:pPr>
      <w:r w:rsidRPr="004032E0">
        <w:rPr>
          <w:rFonts w:ascii="Arial" w:hAnsi="Arial" w:cs="Arial"/>
          <w:b/>
          <w:bCs/>
          <w:i/>
          <w:iCs/>
          <w:sz w:val="18"/>
          <w:szCs w:val="18"/>
        </w:rPr>
        <w:t>EOPO2</w:t>
      </w:r>
      <w:r w:rsidRPr="008D72CC">
        <w:rPr>
          <w:rFonts w:ascii="Arial" w:hAnsi="Arial" w:cs="Arial"/>
          <w:i/>
          <w:iCs/>
          <w:sz w:val="18"/>
          <w:szCs w:val="18"/>
        </w:rPr>
        <w:t xml:space="preserve">: </w:t>
      </w:r>
      <w:r w:rsidRPr="008D72CC">
        <w:rPr>
          <w:rFonts w:ascii="Arial" w:eastAsia="Times New Roman" w:hAnsi="Arial" w:cs="Arial"/>
          <w:i/>
          <w:iCs/>
          <w:color w:val="auto"/>
          <w:sz w:val="18"/>
          <w:szCs w:val="18"/>
        </w:rPr>
        <w:t>The private sector and government have worked together to increase opportunities for trade and investment, and form partnerships that encourage business growth and accelerated changes in business practices which result in a more favourable investment climate</w:t>
      </w:r>
      <w:r w:rsidR="006B599F">
        <w:rPr>
          <w:rFonts w:ascii="Arial" w:eastAsia="Times New Roman" w:hAnsi="Arial" w:cs="Arial"/>
          <w:i/>
          <w:iCs/>
          <w:color w:val="auto"/>
          <w:sz w:val="18"/>
          <w:szCs w:val="18"/>
        </w:rPr>
        <w:t>.</w:t>
      </w:r>
    </w:p>
    <w:p w14:paraId="0D3A5C21" w14:textId="7E20B39B" w:rsidR="009127D6" w:rsidRDefault="009127D6" w:rsidP="004A3A35">
      <w:pPr>
        <w:pBdr>
          <w:top w:val="single" w:sz="4" w:space="1" w:color="auto"/>
          <w:left w:val="single" w:sz="4" w:space="4" w:color="auto"/>
          <w:right w:val="single" w:sz="4" w:space="4" w:color="auto"/>
        </w:pBdr>
        <w:spacing w:after="60" w:line="240" w:lineRule="auto"/>
        <w:rPr>
          <w:rFonts w:ascii="Arial" w:eastAsia="Times New Roman" w:hAnsi="Arial" w:cs="Arial"/>
          <w:i/>
          <w:iCs/>
          <w:color w:val="auto"/>
          <w:sz w:val="18"/>
          <w:szCs w:val="18"/>
        </w:rPr>
      </w:pPr>
      <w:r w:rsidRPr="004032E0">
        <w:rPr>
          <w:rFonts w:ascii="Arial" w:hAnsi="Arial" w:cs="Arial"/>
          <w:b/>
          <w:bCs/>
          <w:i/>
          <w:iCs/>
          <w:sz w:val="18"/>
          <w:szCs w:val="18"/>
        </w:rPr>
        <w:t>EOPO3</w:t>
      </w:r>
      <w:r w:rsidRPr="008D72CC">
        <w:rPr>
          <w:rFonts w:ascii="Arial" w:hAnsi="Arial" w:cs="Arial"/>
          <w:i/>
          <w:iCs/>
          <w:sz w:val="18"/>
          <w:szCs w:val="18"/>
        </w:rPr>
        <w:t xml:space="preserve">: </w:t>
      </w:r>
      <w:r w:rsidRPr="008D72CC">
        <w:rPr>
          <w:rFonts w:ascii="Arial" w:eastAsia="Times New Roman" w:hAnsi="Arial" w:cs="Arial"/>
          <w:i/>
          <w:iCs/>
          <w:color w:val="auto"/>
          <w:sz w:val="18"/>
          <w:szCs w:val="18"/>
        </w:rPr>
        <w:t>Women, youth and people living with disabilities have improved economic empowerment, measured by their participation in EOPOs 1 and 2 above, and demonstrated success of specific social inclusion measures</w:t>
      </w:r>
      <w:r w:rsidR="006B599F">
        <w:rPr>
          <w:rFonts w:ascii="Arial" w:eastAsia="Times New Roman" w:hAnsi="Arial" w:cs="Arial"/>
          <w:i/>
          <w:iCs/>
          <w:color w:val="auto"/>
          <w:sz w:val="18"/>
          <w:szCs w:val="18"/>
        </w:rPr>
        <w:t>.</w:t>
      </w:r>
    </w:p>
    <w:p w14:paraId="7CC94DD8" w14:textId="23C44329" w:rsidR="00FF3891" w:rsidRDefault="00FF3891" w:rsidP="00FF3891">
      <w:r w:rsidRPr="00576428">
        <w:t>In its first phase, Strongim Bisnis focused on the</w:t>
      </w:r>
      <w:r w:rsidRPr="00DA3C4C">
        <w:rPr>
          <w:b/>
          <w:bCs/>
        </w:rPr>
        <w:t xml:space="preserve"> cocoa, coconut and tourism sectors.</w:t>
      </w:r>
      <w:r>
        <w:t xml:space="preserve"> Following an independent review in 2019, the second phase was expanded to also </w:t>
      </w:r>
      <w:r w:rsidR="00D04EBA">
        <w:t>cover</w:t>
      </w:r>
      <w:r>
        <w:t xml:space="preserve"> </w:t>
      </w:r>
      <w:r w:rsidRPr="008D7C3F">
        <w:rPr>
          <w:b/>
          <w:bCs/>
        </w:rPr>
        <w:t>financial services</w:t>
      </w:r>
      <w:r>
        <w:t xml:space="preserve">, </w:t>
      </w:r>
      <w:r w:rsidRPr="008D7C3F">
        <w:rPr>
          <w:b/>
          <w:bCs/>
        </w:rPr>
        <w:t>timber</w:t>
      </w:r>
      <w:r>
        <w:t xml:space="preserve">, </w:t>
      </w:r>
      <w:r w:rsidRPr="008D7C3F">
        <w:rPr>
          <w:b/>
          <w:bCs/>
        </w:rPr>
        <w:t>horticulture</w:t>
      </w:r>
      <w:r>
        <w:t xml:space="preserve"> (Guadalcanal) and </w:t>
      </w:r>
      <w:r w:rsidRPr="008D7C3F">
        <w:rPr>
          <w:b/>
          <w:bCs/>
        </w:rPr>
        <w:t>waste management</w:t>
      </w:r>
      <w:r>
        <w:t xml:space="preserve">, as well as targeted </w:t>
      </w:r>
      <w:r w:rsidRPr="008D7C3F">
        <w:rPr>
          <w:b/>
          <w:bCs/>
        </w:rPr>
        <w:t>women’s economic empowerment and social inclusion</w:t>
      </w:r>
      <w:r>
        <w:t xml:space="preserve"> (WEE/SI) initiatives outside those sectors.</w:t>
      </w:r>
      <w:r w:rsidRPr="00985A2D">
        <w:t xml:space="preserve"> </w:t>
      </w:r>
      <w:r>
        <w:t xml:space="preserve">Strongim Bisnis currently </w:t>
      </w:r>
      <w:r w:rsidR="00601E5D">
        <w:t xml:space="preserve">has </w:t>
      </w:r>
      <w:r>
        <w:t xml:space="preserve">44 </w:t>
      </w:r>
      <w:r w:rsidR="00601E5D">
        <w:t xml:space="preserve">active </w:t>
      </w:r>
      <w:r>
        <w:t>partners</w:t>
      </w:r>
      <w:r w:rsidR="001E379E">
        <w:t>hips</w:t>
      </w:r>
      <w:r>
        <w:t>, mostly in Guadalcanal but with a few in Western and Central Provinces</w:t>
      </w:r>
      <w:r w:rsidR="007E7A84">
        <w:t xml:space="preserve"> (</w:t>
      </w:r>
      <w:r w:rsidR="007E7A84" w:rsidRPr="00CC756D">
        <w:rPr>
          <w:u w:val="single"/>
        </w:rPr>
        <w:t>Annex 3</w:t>
      </w:r>
      <w:r w:rsidR="007E7A84">
        <w:t>)</w:t>
      </w:r>
      <w:r>
        <w:t xml:space="preserve">. </w:t>
      </w:r>
      <w:r w:rsidR="00B72457">
        <w:t>Most partners</w:t>
      </w:r>
      <w:r w:rsidR="003C43A8">
        <w:t xml:space="preserve"> a</w:t>
      </w:r>
      <w:r w:rsidR="00B72457">
        <w:t>re private entrepreneurs</w:t>
      </w:r>
      <w:r w:rsidR="003C43A8">
        <w:t>;</w:t>
      </w:r>
      <w:r w:rsidR="00B72457">
        <w:t xml:space="preserve"> a few are </w:t>
      </w:r>
      <w:r w:rsidR="007A4718">
        <w:t>g</w:t>
      </w:r>
      <w:r w:rsidR="00B72457">
        <w:t xml:space="preserve">overnment </w:t>
      </w:r>
      <w:r w:rsidR="007A4718">
        <w:t>agencies or</w:t>
      </w:r>
      <w:r w:rsidR="00B72457">
        <w:t xml:space="preserve"> community groups.</w:t>
      </w:r>
    </w:p>
    <w:p w14:paraId="23F408F4" w14:textId="6DEA6C43" w:rsidR="00D4202A" w:rsidRDefault="009127D6" w:rsidP="009127D6">
      <w:r w:rsidRPr="00323DAC">
        <w:rPr>
          <w:b/>
          <w:bCs/>
        </w:rPr>
        <w:t xml:space="preserve">Strongim Bisnis operates </w:t>
      </w:r>
      <w:r>
        <w:rPr>
          <w:b/>
          <w:bCs/>
        </w:rPr>
        <w:t>with</w:t>
      </w:r>
      <w:r w:rsidRPr="00323DAC">
        <w:rPr>
          <w:b/>
          <w:bCs/>
        </w:rPr>
        <w:t>in a challenging context.</w:t>
      </w:r>
      <w:r>
        <w:t xml:space="preserve"> Despite positive policy intent</w:t>
      </w:r>
      <w:r>
        <w:rPr>
          <w:rStyle w:val="FootnoteReference"/>
        </w:rPr>
        <w:footnoteReference w:id="4"/>
      </w:r>
      <w:r>
        <w:t xml:space="preserve"> and on-going government and development partner efforts to improve the business landscape, in 2020 the Solomon Islands was ranked at 136 of 190 countries on the Ease of Doing Business index.</w:t>
      </w:r>
      <w:r>
        <w:rPr>
          <w:rStyle w:val="FootnoteReference"/>
        </w:rPr>
        <w:footnoteReference w:id="5"/>
      </w:r>
      <w:r>
        <w:t xml:space="preserve"> </w:t>
      </w:r>
      <w:r w:rsidRPr="005E759E">
        <w:rPr>
          <w:b/>
          <w:bCs/>
        </w:rPr>
        <w:t>Electricity</w:t>
      </w:r>
      <w:r>
        <w:t xml:space="preserve"> costs are among the highest in the world and coverage is limited outside urban areas. </w:t>
      </w:r>
      <w:r w:rsidR="00D61C80">
        <w:t xml:space="preserve">Businesses also contend with high </w:t>
      </w:r>
      <w:r w:rsidR="00D61C80" w:rsidRPr="005E759E">
        <w:rPr>
          <w:b/>
          <w:bCs/>
        </w:rPr>
        <w:t>fuel</w:t>
      </w:r>
      <w:r w:rsidR="00D61C80">
        <w:t xml:space="preserve"> prices, geographic </w:t>
      </w:r>
      <w:r w:rsidR="00D61C80" w:rsidRPr="005E759E">
        <w:rPr>
          <w:b/>
          <w:bCs/>
        </w:rPr>
        <w:t>remoteness</w:t>
      </w:r>
      <w:r w:rsidR="00D61C80">
        <w:t xml:space="preserve">, dispersed populations, </w:t>
      </w:r>
      <w:r w:rsidR="00D61C80" w:rsidRPr="00A44669">
        <w:t xml:space="preserve">poor </w:t>
      </w:r>
      <w:r w:rsidR="00D61C80">
        <w:t xml:space="preserve">transport and internet </w:t>
      </w:r>
      <w:r w:rsidR="00D61C80" w:rsidRPr="005E759E">
        <w:rPr>
          <w:b/>
          <w:bCs/>
        </w:rPr>
        <w:t>connectivity</w:t>
      </w:r>
      <w:r w:rsidR="00D61C80">
        <w:t xml:space="preserve">, and inadequate banking, financial and government </w:t>
      </w:r>
      <w:r w:rsidR="00D61C80" w:rsidRPr="005E759E">
        <w:rPr>
          <w:b/>
          <w:bCs/>
        </w:rPr>
        <w:t>services</w:t>
      </w:r>
      <w:r w:rsidR="00D61C80">
        <w:t>.</w:t>
      </w:r>
      <w:r w:rsidR="00D61C80" w:rsidRPr="00643B95">
        <w:rPr>
          <w:b/>
          <w:bCs/>
        </w:rPr>
        <w:t xml:space="preserve"> </w:t>
      </w:r>
      <w:r w:rsidR="00D61C80" w:rsidRPr="00643B95">
        <w:t xml:space="preserve">Low </w:t>
      </w:r>
      <w:r w:rsidR="00D61C80">
        <w:t xml:space="preserve">national </w:t>
      </w:r>
      <w:r w:rsidR="00D61C80" w:rsidRPr="00643B95">
        <w:t>literacy and numeracy rates</w:t>
      </w:r>
      <w:r w:rsidR="00D61C80">
        <w:t xml:space="preserve"> and limited </w:t>
      </w:r>
      <w:r w:rsidR="00D61C80" w:rsidRPr="00C7699F">
        <w:rPr>
          <w:b/>
          <w:bCs/>
        </w:rPr>
        <w:t>skills</w:t>
      </w:r>
      <w:r w:rsidR="00D61C80">
        <w:t xml:space="preserve"> development affect entrepreneurship and business </w:t>
      </w:r>
      <w:r w:rsidR="00D61C80" w:rsidRPr="005448DD">
        <w:t xml:space="preserve">growth. </w:t>
      </w:r>
      <w:r w:rsidR="00D61C80" w:rsidRPr="002821B1">
        <w:rPr>
          <w:b/>
          <w:bCs/>
        </w:rPr>
        <w:t>Water</w:t>
      </w:r>
      <w:r w:rsidR="00D61C80">
        <w:t xml:space="preserve"> supply is lacking in many areas, and </w:t>
      </w:r>
      <w:r w:rsidR="00D61C80" w:rsidRPr="002821B1">
        <w:rPr>
          <w:b/>
          <w:bCs/>
        </w:rPr>
        <w:t>natural shocks</w:t>
      </w:r>
      <w:r w:rsidR="00D61C80" w:rsidRPr="00773130">
        <w:rPr>
          <w:b/>
          <w:bCs/>
        </w:rPr>
        <w:t xml:space="preserve"> </w:t>
      </w:r>
      <w:r w:rsidR="00D61C80">
        <w:t>such as</w:t>
      </w:r>
      <w:r w:rsidR="00D61C80" w:rsidRPr="00773130">
        <w:t xml:space="preserve"> cyclones</w:t>
      </w:r>
      <w:r w:rsidR="00D61C80">
        <w:t>,</w:t>
      </w:r>
      <w:r w:rsidR="00D61C80" w:rsidRPr="00773130">
        <w:t xml:space="preserve"> earthquakes </w:t>
      </w:r>
      <w:r w:rsidR="00D61C80">
        <w:t>and</w:t>
      </w:r>
      <w:r w:rsidR="00D61C80" w:rsidRPr="00773130">
        <w:t xml:space="preserve"> tsunamis</w:t>
      </w:r>
      <w:r w:rsidR="00D61C80">
        <w:t xml:space="preserve"> also cause significant disruption.</w:t>
      </w:r>
      <w:r w:rsidR="00D61C80" w:rsidRPr="00773130">
        <w:t xml:space="preserve"> </w:t>
      </w:r>
      <w:r w:rsidRPr="726ED450">
        <w:rPr>
          <w:b/>
          <w:bCs/>
        </w:rPr>
        <w:t xml:space="preserve">COVID-19 </w:t>
      </w:r>
      <w:r w:rsidRPr="005E759E">
        <w:t xml:space="preserve">added a further significant challenge, </w:t>
      </w:r>
      <w:r w:rsidR="0069414F">
        <w:t xml:space="preserve">as did </w:t>
      </w:r>
      <w:r w:rsidR="0069414F" w:rsidRPr="00CB396F">
        <w:rPr>
          <w:b/>
          <w:bCs/>
        </w:rPr>
        <w:t xml:space="preserve">civil unrest </w:t>
      </w:r>
      <w:r w:rsidR="0069414F">
        <w:t xml:space="preserve">in late 2021. </w:t>
      </w:r>
      <w:r>
        <w:t xml:space="preserve">Most </w:t>
      </w:r>
      <w:r w:rsidR="00D4202A">
        <w:t xml:space="preserve">international </w:t>
      </w:r>
      <w:r w:rsidR="00D4202A" w:rsidRPr="005E759E">
        <w:t>Strongim Bisnis</w:t>
      </w:r>
      <w:r w:rsidR="00D4202A">
        <w:t xml:space="preserve"> </w:t>
      </w:r>
      <w:r>
        <w:t xml:space="preserve">staff operated remotely for much of Phase 2. The </w:t>
      </w:r>
      <w:r w:rsidR="00B52AEF">
        <w:t>Government’s</w:t>
      </w:r>
      <w:r>
        <w:t xml:space="preserve"> COVID response, supported by development partners including Australia, mitigated economic impacts to some extent, but </w:t>
      </w:r>
      <w:r w:rsidR="00175589">
        <w:t>recovery is slow</w:t>
      </w:r>
      <w:r>
        <w:t>.</w:t>
      </w:r>
      <w:r w:rsidR="001811D8">
        <w:t xml:space="preserve"> </w:t>
      </w:r>
    </w:p>
    <w:p w14:paraId="2A59A433" w14:textId="43E42F36" w:rsidR="009127D6" w:rsidRDefault="00344867" w:rsidP="009127D6">
      <w:r w:rsidRPr="002821B1">
        <w:rPr>
          <w:b/>
          <w:bCs/>
        </w:rPr>
        <w:t>Construction</w:t>
      </w:r>
      <w:r w:rsidR="00E93430" w:rsidRPr="002821B1">
        <w:rPr>
          <w:b/>
          <w:bCs/>
        </w:rPr>
        <w:t xml:space="preserve"> </w:t>
      </w:r>
      <w:r w:rsidR="00E93430" w:rsidRPr="004243F2">
        <w:t>activities</w:t>
      </w:r>
      <w:r w:rsidR="001811D8" w:rsidRPr="002821B1">
        <w:rPr>
          <w:b/>
          <w:bCs/>
        </w:rPr>
        <w:t xml:space="preserve"> </w:t>
      </w:r>
      <w:r w:rsidR="00267545">
        <w:t>for</w:t>
      </w:r>
      <w:r w:rsidR="001811D8" w:rsidRPr="00267545">
        <w:t xml:space="preserve"> </w:t>
      </w:r>
      <w:r w:rsidR="00C604B4">
        <w:t xml:space="preserve">the </w:t>
      </w:r>
      <w:r w:rsidR="001811D8" w:rsidRPr="00267545">
        <w:t xml:space="preserve">Pacific Games </w:t>
      </w:r>
      <w:r w:rsidR="00B53DAC" w:rsidRPr="00267545">
        <w:t xml:space="preserve">in November 2023 </w:t>
      </w:r>
      <w:r w:rsidR="0034325A" w:rsidRPr="00267545">
        <w:t>are</w:t>
      </w:r>
      <w:r w:rsidR="001811D8" w:rsidRPr="00267545">
        <w:t xml:space="preserve"> provid</w:t>
      </w:r>
      <w:r w:rsidR="0034325A" w:rsidRPr="00267545">
        <w:t>ing</w:t>
      </w:r>
      <w:r w:rsidR="001811D8" w:rsidRPr="00267545">
        <w:t xml:space="preserve"> a short-term economic boost.</w:t>
      </w:r>
      <w:r w:rsidR="009127D6">
        <w:t xml:space="preserve"> </w:t>
      </w:r>
      <w:r w:rsidR="00FC6E32" w:rsidRPr="00267545">
        <w:rPr>
          <w:b/>
          <w:bCs/>
        </w:rPr>
        <w:t>Temporary labour migration</w:t>
      </w:r>
      <w:r w:rsidR="00FC6E32">
        <w:t xml:space="preserve"> </w:t>
      </w:r>
      <w:r w:rsidR="00267545">
        <w:t>to Australia and New Zealand is</w:t>
      </w:r>
      <w:r w:rsidR="00FC6E32">
        <w:t xml:space="preserve"> </w:t>
      </w:r>
      <w:r w:rsidR="006D02E3">
        <w:t>expanding</w:t>
      </w:r>
      <w:r w:rsidR="00FC6E32">
        <w:t xml:space="preserve"> in economic importance.</w:t>
      </w:r>
      <w:r w:rsidR="009127D6">
        <w:t xml:space="preserve"> </w:t>
      </w:r>
    </w:p>
    <w:p w14:paraId="29A22E0D" w14:textId="227349B6" w:rsidR="00F66ACB" w:rsidRDefault="002F6FDB" w:rsidP="00F66ACB">
      <w:pPr>
        <w:pStyle w:val="ChapterHeading"/>
      </w:pPr>
      <w:bookmarkStart w:id="8" w:name="_Toc131170435"/>
      <w:r>
        <w:t xml:space="preserve">Approach and </w:t>
      </w:r>
      <w:r w:rsidR="00BF3F2E">
        <w:t>Methodology</w:t>
      </w:r>
      <w:bookmarkEnd w:id="8"/>
      <w:r w:rsidR="00BF3F2E">
        <w:t xml:space="preserve"> </w:t>
      </w:r>
    </w:p>
    <w:p w14:paraId="203CFB38" w14:textId="296DF9F9" w:rsidR="20ED09E7" w:rsidRDefault="009D12BC" w:rsidP="34059C1B">
      <w:pPr>
        <w:pStyle w:val="Heading1"/>
      </w:pPr>
      <w:bookmarkStart w:id="9" w:name="_Toc131170436"/>
      <w:r>
        <w:t>Key Evaluation Questions</w:t>
      </w:r>
      <w:bookmarkEnd w:id="9"/>
    </w:p>
    <w:p w14:paraId="4A2A8127" w14:textId="41F7439A" w:rsidR="002B60AB" w:rsidRPr="005A0619" w:rsidRDefault="00B46E73" w:rsidP="00FE0EDB">
      <w:r>
        <w:t>Th</w:t>
      </w:r>
      <w:r w:rsidR="009D12BC">
        <w:t>is end-of-program</w:t>
      </w:r>
      <w:r>
        <w:t xml:space="preserve"> evaluation </w:t>
      </w:r>
      <w:r w:rsidR="00D61A62">
        <w:t>focuses on</w:t>
      </w:r>
      <w:r w:rsidR="001F663C" w:rsidRPr="005A0619">
        <w:t xml:space="preserve"> </w:t>
      </w:r>
      <w:r w:rsidR="000E6A40">
        <w:t xml:space="preserve">the </w:t>
      </w:r>
      <w:r w:rsidR="00272DD8" w:rsidRPr="005A0619">
        <w:t>four key evaluation questions</w:t>
      </w:r>
      <w:r w:rsidR="00156304" w:rsidRPr="005A0619">
        <w:t xml:space="preserve"> </w:t>
      </w:r>
      <w:r w:rsidR="000E6A40">
        <w:t>(KEQs)</w:t>
      </w:r>
      <w:r w:rsidR="00552415">
        <w:t xml:space="preserve"> shown in Table 1.</w:t>
      </w:r>
    </w:p>
    <w:p w14:paraId="31C6D664" w14:textId="77777777" w:rsidR="00552415" w:rsidRPr="00CB2B60" w:rsidRDefault="00552415" w:rsidP="00552415">
      <w:pPr>
        <w:pStyle w:val="Caption"/>
        <w:keepNext/>
        <w:rPr>
          <w:sz w:val="20"/>
          <w:szCs w:val="20"/>
        </w:rPr>
      </w:pPr>
      <w:r w:rsidRPr="00CB2B60">
        <w:rPr>
          <w:sz w:val="20"/>
          <w:szCs w:val="20"/>
        </w:rPr>
        <w:t xml:space="preserve">Table </w:t>
      </w:r>
      <w:r>
        <w:rPr>
          <w:sz w:val="20"/>
          <w:szCs w:val="20"/>
        </w:rPr>
        <w:t>1</w:t>
      </w:r>
      <w:r w:rsidRPr="00CB2B60">
        <w:rPr>
          <w:sz w:val="20"/>
          <w:szCs w:val="20"/>
        </w:rPr>
        <w:t>: Key evaluation questions</w:t>
      </w:r>
    </w:p>
    <w:tbl>
      <w:tblPr>
        <w:tblStyle w:val="DefaultTable"/>
        <w:tblW w:w="9776" w:type="dxa"/>
        <w:tblLayout w:type="fixed"/>
        <w:tblCellMar>
          <w:top w:w="57" w:type="dxa"/>
          <w:bottom w:w="57" w:type="dxa"/>
        </w:tblCellMar>
        <w:tblLook w:val="0620" w:firstRow="1" w:lastRow="0" w:firstColumn="0" w:lastColumn="0" w:noHBand="1" w:noVBand="1"/>
      </w:tblPr>
      <w:tblGrid>
        <w:gridCol w:w="3397"/>
        <w:gridCol w:w="6379"/>
      </w:tblGrid>
      <w:tr w:rsidR="008D1A40" w:rsidRPr="00506F8F" w14:paraId="3F2A104D" w14:textId="77777777" w:rsidTr="00CD63CE">
        <w:trPr>
          <w:cnfStyle w:val="100000000000" w:firstRow="1" w:lastRow="0" w:firstColumn="0" w:lastColumn="0" w:oddVBand="0" w:evenVBand="0" w:oddHBand="0" w:evenHBand="0" w:firstRowFirstColumn="0" w:firstRowLastColumn="0" w:lastRowFirstColumn="0" w:lastRowLastColumn="0"/>
          <w:tblHeader/>
        </w:trPr>
        <w:tc>
          <w:tcPr>
            <w:tcW w:w="3397" w:type="dxa"/>
            <w:hideMark/>
          </w:tcPr>
          <w:p w14:paraId="1F486BCB" w14:textId="35CCE2DE" w:rsidR="008D1A40" w:rsidRPr="00CB2B60" w:rsidRDefault="008D1A40" w:rsidP="00552415">
            <w:pPr>
              <w:pStyle w:val="TableHeading"/>
              <w:numPr>
                <w:ilvl w:val="0"/>
                <w:numId w:val="34"/>
              </w:numPr>
              <w:spacing w:before="0" w:after="0"/>
              <w:rPr>
                <w:sz w:val="18"/>
                <w:szCs w:val="18"/>
              </w:rPr>
            </w:pPr>
            <w:r w:rsidRPr="00CB2B60">
              <w:rPr>
                <w:sz w:val="18"/>
                <w:szCs w:val="18"/>
              </w:rPr>
              <w:t xml:space="preserve">Key </w:t>
            </w:r>
            <w:r w:rsidR="000E6A40">
              <w:rPr>
                <w:sz w:val="18"/>
                <w:szCs w:val="18"/>
              </w:rPr>
              <w:t xml:space="preserve">Evaluation </w:t>
            </w:r>
            <w:r w:rsidRPr="00CB2B60">
              <w:rPr>
                <w:sz w:val="18"/>
                <w:szCs w:val="18"/>
              </w:rPr>
              <w:t>Questions</w:t>
            </w:r>
          </w:p>
        </w:tc>
        <w:tc>
          <w:tcPr>
            <w:tcW w:w="6379" w:type="dxa"/>
            <w:hideMark/>
          </w:tcPr>
          <w:p w14:paraId="385C11F7" w14:textId="77777777" w:rsidR="008D1A40" w:rsidRPr="00CB2B60" w:rsidRDefault="008D1A40" w:rsidP="00552415">
            <w:pPr>
              <w:pStyle w:val="TableHeading"/>
              <w:numPr>
                <w:ilvl w:val="0"/>
                <w:numId w:val="34"/>
              </w:numPr>
              <w:spacing w:before="0" w:after="0"/>
              <w:rPr>
                <w:sz w:val="18"/>
                <w:szCs w:val="18"/>
              </w:rPr>
            </w:pPr>
            <w:r w:rsidRPr="00CB2B60">
              <w:rPr>
                <w:sz w:val="18"/>
                <w:szCs w:val="18"/>
              </w:rPr>
              <w:t>Sub-questions</w:t>
            </w:r>
          </w:p>
        </w:tc>
      </w:tr>
      <w:tr w:rsidR="008D1A40" w:rsidRPr="0050757C" w14:paraId="0B914FD1" w14:textId="77777777" w:rsidTr="00973F08">
        <w:tc>
          <w:tcPr>
            <w:tcW w:w="3397"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289BD835" w14:textId="26C9512C" w:rsidR="008D1A40" w:rsidRPr="005E76C2" w:rsidRDefault="008D1A40" w:rsidP="005E76C2">
            <w:pPr>
              <w:pStyle w:val="ListParagraph"/>
              <w:numPr>
                <w:ilvl w:val="0"/>
                <w:numId w:val="36"/>
              </w:numPr>
              <w:spacing w:after="0" w:line="240" w:lineRule="auto"/>
              <w:rPr>
                <w:sz w:val="18"/>
                <w:szCs w:val="18"/>
              </w:rPr>
            </w:pPr>
            <w:r w:rsidRPr="005E76C2">
              <w:rPr>
                <w:sz w:val="18"/>
                <w:szCs w:val="18"/>
              </w:rPr>
              <w:t xml:space="preserve">To what extent were Strongim Bisnis </w:t>
            </w:r>
            <w:r w:rsidRPr="005E76C2">
              <w:rPr>
                <w:color w:val="auto"/>
                <w:sz w:val="18"/>
                <w:szCs w:val="18"/>
              </w:rPr>
              <w:t>Phase 2</w:t>
            </w:r>
            <w:r w:rsidRPr="005E76C2">
              <w:rPr>
                <w:sz w:val="18"/>
                <w:szCs w:val="18"/>
              </w:rPr>
              <w:t xml:space="preserve"> End of Program Outcomes (EOPOs) achieved?</w:t>
            </w:r>
          </w:p>
        </w:tc>
        <w:tc>
          <w:tcPr>
            <w:tcW w:w="6379"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7DC24304" w14:textId="77777777" w:rsidR="008D1A40" w:rsidRPr="008639D4" w:rsidRDefault="008D1A40" w:rsidP="0029374A">
            <w:pPr>
              <w:pStyle w:val="TableText"/>
              <w:numPr>
                <w:ilvl w:val="1"/>
                <w:numId w:val="36"/>
              </w:numPr>
              <w:spacing w:before="0" w:after="0" w:line="240" w:lineRule="auto"/>
              <w:ind w:left="397" w:hanging="397"/>
              <w:rPr>
                <w:color w:val="auto"/>
                <w:sz w:val="18"/>
                <w:szCs w:val="18"/>
              </w:rPr>
            </w:pPr>
            <w:r w:rsidRPr="008639D4">
              <w:rPr>
                <w:color w:val="auto"/>
                <w:sz w:val="18"/>
                <w:szCs w:val="18"/>
              </w:rPr>
              <w:t xml:space="preserve">To what extent were </w:t>
            </w:r>
            <w:r w:rsidRPr="00973F08">
              <w:rPr>
                <w:color w:val="auto"/>
                <w:sz w:val="18"/>
                <w:szCs w:val="18"/>
              </w:rPr>
              <w:t>intended</w:t>
            </w:r>
            <w:r w:rsidRPr="008639D4">
              <w:rPr>
                <w:color w:val="auto"/>
                <w:sz w:val="18"/>
                <w:szCs w:val="18"/>
              </w:rPr>
              <w:t xml:space="preserve"> EOPOs achieved?</w:t>
            </w:r>
          </w:p>
          <w:p w14:paraId="2091E186" w14:textId="77777777" w:rsidR="008D1A40" w:rsidRPr="008639D4" w:rsidRDefault="008D1A40" w:rsidP="0029374A">
            <w:pPr>
              <w:pStyle w:val="TableText"/>
              <w:numPr>
                <w:ilvl w:val="1"/>
                <w:numId w:val="36"/>
              </w:numPr>
              <w:spacing w:before="0" w:after="0" w:line="240" w:lineRule="auto"/>
              <w:ind w:left="397" w:hanging="397"/>
              <w:rPr>
                <w:sz w:val="18"/>
                <w:szCs w:val="18"/>
              </w:rPr>
            </w:pPr>
            <w:r w:rsidRPr="008639D4">
              <w:rPr>
                <w:sz w:val="18"/>
                <w:szCs w:val="18"/>
              </w:rPr>
              <w:t>Did the program achieve impacts beyond those articulated as intended outcomes. If so, what were those impacts?</w:t>
            </w:r>
          </w:p>
          <w:p w14:paraId="178588E8" w14:textId="77777777" w:rsidR="008D1A40" w:rsidRPr="008639D4" w:rsidRDefault="008D1A40" w:rsidP="0029374A">
            <w:pPr>
              <w:pStyle w:val="TableText"/>
              <w:numPr>
                <w:ilvl w:val="1"/>
                <w:numId w:val="36"/>
              </w:numPr>
              <w:spacing w:before="0" w:after="0" w:line="240" w:lineRule="auto"/>
              <w:ind w:left="397" w:hanging="397"/>
              <w:rPr>
                <w:sz w:val="18"/>
                <w:szCs w:val="18"/>
              </w:rPr>
            </w:pPr>
            <w:r w:rsidRPr="008639D4">
              <w:rPr>
                <w:sz w:val="18"/>
                <w:szCs w:val="18"/>
              </w:rPr>
              <w:t>Did the program effectively support Australia’s broader objective to promote Solomon Islands COVID-19 economic response and recovery, private sector resilience, open markets and supply chains, improved livelihoods, and inclusive growth?</w:t>
            </w:r>
          </w:p>
          <w:p w14:paraId="78E1DABC" w14:textId="658B56FB" w:rsidR="008D1A40" w:rsidRPr="00B730A6" w:rsidRDefault="008D1A40" w:rsidP="0029374A">
            <w:pPr>
              <w:pStyle w:val="TableText"/>
              <w:numPr>
                <w:ilvl w:val="1"/>
                <w:numId w:val="36"/>
              </w:numPr>
              <w:spacing w:before="0" w:after="0" w:line="240" w:lineRule="auto"/>
              <w:ind w:left="397" w:hanging="397"/>
              <w:rPr>
                <w:sz w:val="18"/>
                <w:szCs w:val="18"/>
              </w:rPr>
            </w:pPr>
            <w:r w:rsidRPr="008639D4">
              <w:rPr>
                <w:sz w:val="18"/>
                <w:szCs w:val="18"/>
              </w:rPr>
              <w:t>Was the program value for money for the Australian Government?</w:t>
            </w:r>
          </w:p>
        </w:tc>
      </w:tr>
      <w:tr w:rsidR="008D1A40" w:rsidRPr="0050757C" w14:paraId="0F2F6115" w14:textId="77777777" w:rsidTr="00973F08">
        <w:tc>
          <w:tcPr>
            <w:tcW w:w="3397"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51560CAC" w14:textId="27033469" w:rsidR="008D1A40" w:rsidRPr="00CB2B60" w:rsidRDefault="008D1A40" w:rsidP="005E76C2">
            <w:pPr>
              <w:pStyle w:val="ListParagraph"/>
              <w:numPr>
                <w:ilvl w:val="0"/>
                <w:numId w:val="36"/>
              </w:numPr>
              <w:spacing w:after="0" w:line="240" w:lineRule="auto"/>
              <w:rPr>
                <w:sz w:val="18"/>
                <w:szCs w:val="18"/>
              </w:rPr>
            </w:pPr>
            <w:r w:rsidRPr="00CB2B60">
              <w:rPr>
                <w:sz w:val="18"/>
                <w:szCs w:val="18"/>
              </w:rPr>
              <w:t>To what extent did Strongim Bisnis deliver outcomes for women, youth and people living with disabilities?</w:t>
            </w:r>
          </w:p>
        </w:tc>
        <w:tc>
          <w:tcPr>
            <w:tcW w:w="6379"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6D31163F" w14:textId="57353DD9" w:rsidR="008D1A40" w:rsidRPr="00B730A6" w:rsidRDefault="008D1A40" w:rsidP="0006001B">
            <w:pPr>
              <w:pStyle w:val="TableText"/>
              <w:ind w:left="397" w:hanging="397"/>
              <w:rPr>
                <w:sz w:val="18"/>
                <w:szCs w:val="18"/>
              </w:rPr>
            </w:pPr>
            <w:r>
              <w:rPr>
                <w:sz w:val="18"/>
                <w:szCs w:val="18"/>
              </w:rPr>
              <w:t>2.1</w:t>
            </w:r>
            <w:r w:rsidR="009D48CA">
              <w:rPr>
                <w:sz w:val="18"/>
                <w:szCs w:val="18"/>
              </w:rPr>
              <w:t>.</w:t>
            </w:r>
            <w:r>
              <w:rPr>
                <w:sz w:val="18"/>
                <w:szCs w:val="18"/>
              </w:rPr>
              <w:t xml:space="preserve"> </w:t>
            </w:r>
            <w:r>
              <w:tab/>
            </w:r>
            <w:r w:rsidRPr="00B730A6">
              <w:rPr>
                <w:sz w:val="18"/>
                <w:szCs w:val="18"/>
              </w:rPr>
              <w:t xml:space="preserve">Were any approaches used by the program </w:t>
            </w:r>
            <w:r w:rsidRPr="00B730A6">
              <w:rPr>
                <w:sz w:val="18"/>
                <w:szCs w:val="18"/>
                <w:u w:val="single"/>
              </w:rPr>
              <w:t>more effective</w:t>
            </w:r>
            <w:r w:rsidRPr="00B730A6">
              <w:rPr>
                <w:sz w:val="18"/>
                <w:szCs w:val="18"/>
              </w:rPr>
              <w:t xml:space="preserve"> than others at delivering results for women, youth or people living with disabilities?</w:t>
            </w:r>
          </w:p>
        </w:tc>
      </w:tr>
      <w:tr w:rsidR="008D1A40" w:rsidRPr="0050757C" w14:paraId="5AA2EF79" w14:textId="77777777" w:rsidTr="00973F08">
        <w:tc>
          <w:tcPr>
            <w:tcW w:w="3397"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0ED06762" w14:textId="77777777" w:rsidR="008D1A40" w:rsidRPr="00CB2B60" w:rsidRDefault="008D1A40" w:rsidP="005E76C2">
            <w:pPr>
              <w:pStyle w:val="ListParagraph"/>
              <w:numPr>
                <w:ilvl w:val="0"/>
                <w:numId w:val="36"/>
              </w:numPr>
              <w:spacing w:after="0" w:line="240" w:lineRule="auto"/>
              <w:rPr>
                <w:sz w:val="18"/>
                <w:szCs w:val="18"/>
              </w:rPr>
            </w:pPr>
            <w:r w:rsidRPr="00CB2B60">
              <w:rPr>
                <w:sz w:val="18"/>
                <w:szCs w:val="18"/>
              </w:rPr>
              <w:t>How was the program viewed by stakeholders in Solomon Islands? (including the SIG, recipients of program funds, other sector stakeholders)</w:t>
            </w:r>
          </w:p>
        </w:tc>
        <w:tc>
          <w:tcPr>
            <w:tcW w:w="6379"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6C1AC921" w14:textId="7185AAC1" w:rsidR="008D1A40" w:rsidRPr="00B730A6" w:rsidRDefault="008D1A40" w:rsidP="0006001B">
            <w:pPr>
              <w:pStyle w:val="TableText"/>
              <w:spacing w:before="0" w:after="0" w:line="240" w:lineRule="auto"/>
              <w:ind w:left="397" w:hanging="397"/>
              <w:rPr>
                <w:sz w:val="18"/>
                <w:szCs w:val="18"/>
              </w:rPr>
            </w:pPr>
            <w:r>
              <w:rPr>
                <w:sz w:val="18"/>
                <w:szCs w:val="18"/>
              </w:rPr>
              <w:t>3.1</w:t>
            </w:r>
            <w:r w:rsidR="009D48CA">
              <w:rPr>
                <w:sz w:val="18"/>
                <w:szCs w:val="18"/>
              </w:rPr>
              <w:t>.</w:t>
            </w:r>
            <w:r>
              <w:tab/>
            </w:r>
            <w:r w:rsidRPr="00B730A6">
              <w:rPr>
                <w:sz w:val="18"/>
                <w:szCs w:val="18"/>
              </w:rPr>
              <w:t>Which elements were regarded as successful and why?</w:t>
            </w:r>
          </w:p>
        </w:tc>
      </w:tr>
      <w:tr w:rsidR="008D1A40" w:rsidRPr="0050757C" w14:paraId="46EBDE01" w14:textId="77777777" w:rsidTr="00973F08">
        <w:tc>
          <w:tcPr>
            <w:tcW w:w="3397"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5482349B" w14:textId="77777777" w:rsidR="008D1A40" w:rsidRPr="00CB2B60" w:rsidRDefault="008D1A40" w:rsidP="005E76C2">
            <w:pPr>
              <w:pStyle w:val="ListParagraph"/>
              <w:numPr>
                <w:ilvl w:val="0"/>
                <w:numId w:val="36"/>
              </w:numPr>
              <w:spacing w:after="0" w:line="240" w:lineRule="auto"/>
              <w:rPr>
                <w:sz w:val="18"/>
                <w:szCs w:val="18"/>
              </w:rPr>
            </w:pPr>
            <w:r w:rsidRPr="00CB2B60">
              <w:rPr>
                <w:sz w:val="18"/>
                <w:szCs w:val="18"/>
              </w:rPr>
              <w:t>Outline practical recommendations for the refreshed Strongim Bisnis program design team, on:</w:t>
            </w:r>
          </w:p>
        </w:tc>
        <w:tc>
          <w:tcPr>
            <w:tcW w:w="6379" w:type="dxa"/>
            <w:tcBorders>
              <w:top w:val="single" w:sz="4" w:space="0" w:color="1D336D" w:themeColor="background2"/>
              <w:left w:val="single" w:sz="4" w:space="0" w:color="1D336D" w:themeColor="background2"/>
              <w:bottom w:val="single" w:sz="4" w:space="0" w:color="1D336D" w:themeColor="background2"/>
              <w:right w:val="single" w:sz="4" w:space="0" w:color="1D336D" w:themeColor="background2"/>
            </w:tcBorders>
            <w:hideMark/>
          </w:tcPr>
          <w:p w14:paraId="222912AD" w14:textId="7B22D6EE" w:rsidR="008D1A40" w:rsidRPr="00CB2B60" w:rsidRDefault="008D1A40" w:rsidP="0006001B">
            <w:pPr>
              <w:pStyle w:val="TableText"/>
              <w:spacing w:before="0" w:after="0" w:line="240" w:lineRule="auto"/>
              <w:ind w:left="397" w:hanging="397"/>
              <w:rPr>
                <w:sz w:val="18"/>
                <w:szCs w:val="18"/>
              </w:rPr>
            </w:pPr>
            <w:r>
              <w:rPr>
                <w:sz w:val="18"/>
                <w:szCs w:val="18"/>
              </w:rPr>
              <w:t>4.1</w:t>
            </w:r>
            <w:r w:rsidR="009D48CA">
              <w:rPr>
                <w:sz w:val="18"/>
                <w:szCs w:val="18"/>
              </w:rPr>
              <w:t>.</w:t>
            </w:r>
            <w:r>
              <w:tab/>
            </w:r>
            <w:r>
              <w:rPr>
                <w:sz w:val="18"/>
                <w:szCs w:val="18"/>
              </w:rPr>
              <w:t>W</w:t>
            </w:r>
            <w:r w:rsidRPr="00CB2B60">
              <w:rPr>
                <w:sz w:val="18"/>
                <w:szCs w:val="18"/>
              </w:rPr>
              <w:t>hich elements of the existing program should be maintained and why</w:t>
            </w:r>
            <w:r>
              <w:rPr>
                <w:sz w:val="18"/>
                <w:szCs w:val="18"/>
              </w:rPr>
              <w:t>?</w:t>
            </w:r>
          </w:p>
          <w:p w14:paraId="1CBE2DB3" w14:textId="72C2B3B0" w:rsidR="008D1A40" w:rsidRPr="00CB2B60" w:rsidRDefault="008D1A40" w:rsidP="0006001B">
            <w:pPr>
              <w:pStyle w:val="TableText"/>
              <w:spacing w:before="0" w:after="0" w:line="240" w:lineRule="auto"/>
              <w:ind w:left="397" w:hanging="397"/>
              <w:rPr>
                <w:sz w:val="18"/>
                <w:szCs w:val="18"/>
              </w:rPr>
            </w:pPr>
            <w:r>
              <w:rPr>
                <w:sz w:val="18"/>
                <w:szCs w:val="18"/>
              </w:rPr>
              <w:t>4.2</w:t>
            </w:r>
            <w:r w:rsidR="009D48CA">
              <w:rPr>
                <w:sz w:val="18"/>
                <w:szCs w:val="18"/>
              </w:rPr>
              <w:t>.</w:t>
            </w:r>
            <w:r>
              <w:tab/>
            </w:r>
            <w:r>
              <w:rPr>
                <w:sz w:val="18"/>
                <w:szCs w:val="18"/>
              </w:rPr>
              <w:t>H</w:t>
            </w:r>
            <w:r w:rsidRPr="00CB2B60">
              <w:rPr>
                <w:sz w:val="18"/>
                <w:szCs w:val="18"/>
              </w:rPr>
              <w:t>ow elements of the existing program should be changed and why.</w:t>
            </w:r>
          </w:p>
        </w:tc>
      </w:tr>
    </w:tbl>
    <w:p w14:paraId="3853AED0" w14:textId="5DC17F51" w:rsidR="00B32A56" w:rsidRDefault="00B32A56" w:rsidP="00B32A56">
      <w:pPr>
        <w:pStyle w:val="Heading1"/>
      </w:pPr>
      <w:bookmarkStart w:id="10" w:name="_Toc131170437"/>
      <w:r>
        <w:t>Methodology</w:t>
      </w:r>
      <w:bookmarkEnd w:id="10"/>
    </w:p>
    <w:p w14:paraId="582E489B" w14:textId="02C0F081" w:rsidR="006B783C" w:rsidRDefault="008C48C9" w:rsidP="0021435C">
      <w:r>
        <w:rPr>
          <w:rStyle w:val="normaltextrun"/>
          <w:rFonts w:ascii="Arial" w:hAnsi="Arial" w:cs="Arial"/>
          <w:color w:val="000000"/>
          <w:szCs w:val="20"/>
        </w:rPr>
        <w:t xml:space="preserve">The evaluation </w:t>
      </w:r>
      <w:r w:rsidR="00F62E50">
        <w:rPr>
          <w:rStyle w:val="normaltextrun"/>
          <w:rFonts w:ascii="Arial" w:hAnsi="Arial" w:cs="Arial"/>
          <w:color w:val="000000"/>
          <w:szCs w:val="20"/>
        </w:rPr>
        <w:t>draws on</w:t>
      </w:r>
      <w:r>
        <w:rPr>
          <w:rStyle w:val="normaltextrun"/>
          <w:rFonts w:ascii="Arial" w:hAnsi="Arial" w:cs="Arial"/>
          <w:color w:val="000000"/>
          <w:szCs w:val="20"/>
        </w:rPr>
        <w:t xml:space="preserve"> </w:t>
      </w:r>
      <w:r w:rsidR="00F62E50">
        <w:rPr>
          <w:rStyle w:val="normaltextrun"/>
          <w:rFonts w:ascii="Arial" w:hAnsi="Arial" w:cs="Arial"/>
          <w:color w:val="000000"/>
          <w:szCs w:val="20"/>
        </w:rPr>
        <w:t xml:space="preserve">both quantitative and qualitative </w:t>
      </w:r>
      <w:r w:rsidR="00E32979">
        <w:rPr>
          <w:rStyle w:val="normaltextrun"/>
          <w:rFonts w:ascii="Arial" w:hAnsi="Arial" w:cs="Arial"/>
          <w:color w:val="000000"/>
          <w:szCs w:val="20"/>
        </w:rPr>
        <w:t>methods</w:t>
      </w:r>
      <w:r w:rsidR="00EE2C9C">
        <w:rPr>
          <w:rStyle w:val="normaltextrun"/>
          <w:rFonts w:ascii="Arial" w:hAnsi="Arial" w:cs="Arial"/>
          <w:color w:val="000000"/>
          <w:szCs w:val="20"/>
        </w:rPr>
        <w:t xml:space="preserve"> </w:t>
      </w:r>
      <w:r w:rsidR="00BE2D54">
        <w:rPr>
          <w:rStyle w:val="normaltextrun"/>
          <w:rFonts w:ascii="Arial" w:hAnsi="Arial" w:cs="Arial"/>
          <w:color w:val="000000"/>
          <w:szCs w:val="20"/>
        </w:rPr>
        <w:t>to enable</w:t>
      </w:r>
      <w:r w:rsidR="008B79D1">
        <w:rPr>
          <w:rStyle w:val="normaltextrun"/>
          <w:rFonts w:ascii="Arial" w:hAnsi="Arial" w:cs="Arial"/>
          <w:color w:val="000000"/>
          <w:szCs w:val="20"/>
        </w:rPr>
        <w:t xml:space="preserve"> triangulation</w:t>
      </w:r>
      <w:r w:rsidR="00BE2D54">
        <w:rPr>
          <w:rStyle w:val="normaltextrun"/>
          <w:rFonts w:ascii="Arial" w:hAnsi="Arial" w:cs="Arial"/>
          <w:color w:val="000000"/>
          <w:szCs w:val="20"/>
        </w:rPr>
        <w:t xml:space="preserve"> of </w:t>
      </w:r>
      <w:r w:rsidR="00203DE6">
        <w:rPr>
          <w:rStyle w:val="normaltextrun"/>
          <w:rFonts w:ascii="Arial" w:hAnsi="Arial" w:cs="Arial"/>
          <w:color w:val="000000"/>
          <w:szCs w:val="20"/>
        </w:rPr>
        <w:t>findings</w:t>
      </w:r>
      <w:r w:rsidR="00CB17B4">
        <w:rPr>
          <w:rStyle w:val="normaltextrun"/>
          <w:rFonts w:ascii="Arial" w:hAnsi="Arial" w:cs="Arial"/>
          <w:color w:val="000000"/>
          <w:szCs w:val="20"/>
        </w:rPr>
        <w:t xml:space="preserve">. </w:t>
      </w:r>
      <w:r w:rsidR="00F81F24">
        <w:rPr>
          <w:rStyle w:val="normaltextrun"/>
          <w:rFonts w:ascii="Arial" w:hAnsi="Arial" w:cs="Arial"/>
          <w:color w:val="000000"/>
          <w:szCs w:val="20"/>
        </w:rPr>
        <w:t xml:space="preserve">The team </w:t>
      </w:r>
      <w:r w:rsidR="0021435C">
        <w:t xml:space="preserve">reviewed </w:t>
      </w:r>
      <w:r w:rsidR="001A315C">
        <w:t>over</w:t>
      </w:r>
      <w:r w:rsidR="00D84899">
        <w:t xml:space="preserve"> 50</w:t>
      </w:r>
      <w:r w:rsidR="0021435C">
        <w:t xml:space="preserve"> program</w:t>
      </w:r>
      <w:r w:rsidR="00A744B8">
        <w:t>-related reports and other</w:t>
      </w:r>
      <w:r w:rsidR="0021435C">
        <w:t xml:space="preserve"> documents</w:t>
      </w:r>
      <w:r w:rsidR="003F283A">
        <w:t>, mostly focusing on the period 2020 to 2023.</w:t>
      </w:r>
      <w:r w:rsidR="0021435C">
        <w:t xml:space="preserve"> </w:t>
      </w:r>
      <w:r w:rsidR="00561C81">
        <w:t>D</w:t>
      </w:r>
      <w:r w:rsidR="0021435C">
        <w:t>etailed spreadsheets from the Monitoring and Results Measurement (MRM) system</w:t>
      </w:r>
      <w:r w:rsidR="00BA2B5A">
        <w:t xml:space="preserve"> </w:t>
      </w:r>
      <w:r w:rsidR="00561C81">
        <w:t>provided</w:t>
      </w:r>
      <w:r w:rsidR="00BA2B5A">
        <w:t xml:space="preserve"> the primary data source for the quantitative assessments</w:t>
      </w:r>
      <w:r w:rsidR="00777985">
        <w:t xml:space="preserve"> of KEQ1</w:t>
      </w:r>
      <w:r w:rsidR="0021435C">
        <w:t xml:space="preserve">. </w:t>
      </w:r>
    </w:p>
    <w:p w14:paraId="422A3342" w14:textId="17DC0A7B" w:rsidR="00D545DE" w:rsidRDefault="00221F18" w:rsidP="00BE2661">
      <w:r>
        <w:t>K</w:t>
      </w:r>
      <w:r w:rsidR="003F2996">
        <w:t xml:space="preserve">ey stakeholder categories identified </w:t>
      </w:r>
      <w:r w:rsidR="00C6349E">
        <w:t xml:space="preserve">during </w:t>
      </w:r>
      <w:r w:rsidR="00A50C04">
        <w:t xml:space="preserve">the </w:t>
      </w:r>
      <w:r w:rsidR="00C6349E">
        <w:t>inception</w:t>
      </w:r>
      <w:r w:rsidR="00A50C04">
        <w:t xml:space="preserve"> phase</w:t>
      </w:r>
      <w:r w:rsidR="003F2996">
        <w:t xml:space="preserve"> included </w:t>
      </w:r>
      <w:r w:rsidR="008B6EB2">
        <w:t>DFAT,</w:t>
      </w:r>
      <w:r w:rsidR="008164CB">
        <w:t xml:space="preserve"> the </w:t>
      </w:r>
      <w:r w:rsidR="00325D66">
        <w:t>Strongim Bisnis</w:t>
      </w:r>
      <w:r w:rsidR="008164CB">
        <w:t xml:space="preserve"> team</w:t>
      </w:r>
      <w:r w:rsidR="00EC3A22">
        <w:t>, program partners</w:t>
      </w:r>
      <w:r w:rsidR="00EE2AFE">
        <w:t xml:space="preserve"> and beneficiaries</w:t>
      </w:r>
      <w:r w:rsidR="00EC3A22">
        <w:t>,</w:t>
      </w:r>
      <w:r w:rsidR="00AD6E0C">
        <w:t xml:space="preserve"> </w:t>
      </w:r>
      <w:r w:rsidR="0005587B">
        <w:t>Solomon Island Government (</w:t>
      </w:r>
      <w:r w:rsidR="00AD6E0C">
        <w:t>SIG</w:t>
      </w:r>
      <w:r w:rsidR="0005587B">
        <w:t>)</w:t>
      </w:r>
      <w:r w:rsidR="00AD6E0C">
        <w:t xml:space="preserve"> agencies</w:t>
      </w:r>
      <w:r w:rsidR="00C06804">
        <w:t>,</w:t>
      </w:r>
      <w:r w:rsidR="009D4F31">
        <w:t xml:space="preserve"> civil society organisations and development partners</w:t>
      </w:r>
      <w:r w:rsidR="00215497">
        <w:t>/programs.</w:t>
      </w:r>
      <w:r w:rsidR="00537E0E">
        <w:t xml:space="preserve"> </w:t>
      </w:r>
      <w:r w:rsidR="00A50C04">
        <w:t>T</w:t>
      </w:r>
      <w:r w:rsidR="00BC46D0">
        <w:t>he</w:t>
      </w:r>
      <w:r w:rsidR="005F5BCA">
        <w:t xml:space="preserve"> evaluation team</w:t>
      </w:r>
      <w:r w:rsidR="009E4149">
        <w:t xml:space="preserve"> </w:t>
      </w:r>
      <w:r w:rsidR="008A5760">
        <w:t>purposively selected</w:t>
      </w:r>
      <w:r w:rsidR="009E4149">
        <w:t xml:space="preserve"> an</w:t>
      </w:r>
      <w:r w:rsidR="00BE2661">
        <w:t xml:space="preserve"> indicative short-list of </w:t>
      </w:r>
      <w:r w:rsidR="007E59A9">
        <w:t xml:space="preserve">24 </w:t>
      </w:r>
      <w:r w:rsidR="00BE2661">
        <w:t>partners for interview</w:t>
      </w:r>
      <w:r w:rsidR="00E3532A">
        <w:t xml:space="preserve"> </w:t>
      </w:r>
      <w:r w:rsidR="004623C8">
        <w:t>from</w:t>
      </w:r>
      <w:r w:rsidR="008A5760">
        <w:t xml:space="preserve"> </w:t>
      </w:r>
      <w:r w:rsidR="0097329C">
        <w:t>the program’s</w:t>
      </w:r>
      <w:r w:rsidR="008A5760">
        <w:t xml:space="preserve"> current partner</w:t>
      </w:r>
      <w:r w:rsidR="005B5070">
        <w:t>ship</w:t>
      </w:r>
      <w:r w:rsidR="0097329C" w:rsidRPr="0097329C">
        <w:t xml:space="preserve"> </w:t>
      </w:r>
      <w:r w:rsidR="0097329C">
        <w:t>spreadsheet</w:t>
      </w:r>
      <w:r w:rsidR="00BC46D0">
        <w:t xml:space="preserve">, </w:t>
      </w:r>
      <w:r w:rsidR="006F66EF">
        <w:t>including</w:t>
      </w:r>
      <w:r w:rsidR="00BC46D0">
        <w:t xml:space="preserve"> </w:t>
      </w:r>
      <w:r w:rsidR="00BE2661">
        <w:t>at least one from each sector</w:t>
      </w:r>
      <w:r w:rsidR="00D47580">
        <w:t xml:space="preserve"> and</w:t>
      </w:r>
      <w:r w:rsidR="00BE2661">
        <w:t xml:space="preserve"> </w:t>
      </w:r>
      <w:r w:rsidR="00FB662E">
        <w:t>with</w:t>
      </w:r>
      <w:r w:rsidR="00BC46D0">
        <w:t xml:space="preserve"> </w:t>
      </w:r>
      <w:r w:rsidR="00BE2661">
        <w:t>high and low-value partners</w:t>
      </w:r>
      <w:r w:rsidR="00E5252F">
        <w:t xml:space="preserve"> </w:t>
      </w:r>
      <w:r w:rsidR="008E138E">
        <w:t>in various</w:t>
      </w:r>
      <w:r w:rsidR="00BE2661">
        <w:t xml:space="preserve"> locations</w:t>
      </w:r>
      <w:r w:rsidR="00AE09A0">
        <w:t xml:space="preserve"> (</w:t>
      </w:r>
      <w:r w:rsidR="00776485">
        <w:t>see also</w:t>
      </w:r>
      <w:r w:rsidR="00AE09A0">
        <w:t xml:space="preserve"> Tables A3.1 and A3.2)</w:t>
      </w:r>
      <w:r w:rsidR="00BC46D0">
        <w:t xml:space="preserve">. </w:t>
      </w:r>
    </w:p>
    <w:p w14:paraId="1CC4401C" w14:textId="0B9A6158" w:rsidR="0021435C" w:rsidRPr="001F3729" w:rsidRDefault="0021435C" w:rsidP="0021435C">
      <w:r>
        <w:t xml:space="preserve">The </w:t>
      </w:r>
      <w:r w:rsidR="00170D5A">
        <w:t xml:space="preserve">evaluation </w:t>
      </w:r>
      <w:r>
        <w:t>team</w:t>
      </w:r>
      <w:r w:rsidR="00170D5A">
        <w:rPr>
          <w:rStyle w:val="FootnoteReference"/>
        </w:rPr>
        <w:footnoteReference w:id="6"/>
      </w:r>
      <w:r>
        <w:t xml:space="preserve"> </w:t>
      </w:r>
      <w:r w:rsidR="00723A83">
        <w:t>then</w:t>
      </w:r>
      <w:r>
        <w:t xml:space="preserve"> spent 15 days in-country</w:t>
      </w:r>
      <w:r w:rsidR="00777985" w:rsidRPr="00777985">
        <w:rPr>
          <w:rStyle w:val="normaltextrun"/>
          <w:rFonts w:ascii="Arial" w:hAnsi="Arial" w:cs="Arial"/>
          <w:color w:val="000000"/>
          <w:szCs w:val="20"/>
        </w:rPr>
        <w:t xml:space="preserve"> </w:t>
      </w:r>
      <w:r w:rsidR="00777985">
        <w:rPr>
          <w:rStyle w:val="normaltextrun"/>
          <w:rFonts w:ascii="Arial" w:hAnsi="Arial" w:cs="Arial"/>
          <w:color w:val="000000"/>
          <w:szCs w:val="20"/>
        </w:rPr>
        <w:t>in February 2023</w:t>
      </w:r>
      <w:r>
        <w:t xml:space="preserve">, </w:t>
      </w:r>
      <w:r w:rsidR="005738A6">
        <w:t>consulting with</w:t>
      </w:r>
      <w:r>
        <w:t xml:space="preserve"> stakeholders </w:t>
      </w:r>
      <w:r w:rsidR="00756F53">
        <w:t xml:space="preserve">and observing business operations </w:t>
      </w:r>
      <w:r w:rsidR="005738A6">
        <w:rPr>
          <w:rStyle w:val="normaltextrun"/>
          <w:rFonts w:ascii="Arial" w:hAnsi="Arial" w:cs="Arial"/>
          <w:color w:val="000000"/>
          <w:szCs w:val="20"/>
        </w:rPr>
        <w:t>in Guadalcanal (Honiara and coastal locations to the east and west), and Western Province (Gizo, Kolombangara, Munda and Noro)</w:t>
      </w:r>
      <w:r>
        <w:t xml:space="preserve">. </w:t>
      </w:r>
      <w:r w:rsidR="00D47580">
        <w:t xml:space="preserve">The team split in two to maximise coverage, and progressively </w:t>
      </w:r>
      <w:r w:rsidR="00535AF4">
        <w:t>expanded</w:t>
      </w:r>
      <w:r w:rsidR="00D47580">
        <w:t xml:space="preserve"> </w:t>
      </w:r>
      <w:r w:rsidR="00C044BA">
        <w:t xml:space="preserve">the </w:t>
      </w:r>
      <w:r w:rsidR="0027683D">
        <w:t>consultation</w:t>
      </w:r>
      <w:r w:rsidR="005B54D6">
        <w:t xml:space="preserve"> </w:t>
      </w:r>
      <w:r w:rsidR="00C044BA">
        <w:t xml:space="preserve">list </w:t>
      </w:r>
      <w:r w:rsidR="005B54D6">
        <w:t xml:space="preserve">based on </w:t>
      </w:r>
      <w:r w:rsidR="0017503F">
        <w:t xml:space="preserve">emerging points of difference and </w:t>
      </w:r>
      <w:r w:rsidR="00F641ED">
        <w:t>expected value-add</w:t>
      </w:r>
      <w:r w:rsidR="00D47580">
        <w:t>.</w:t>
      </w:r>
      <w:r w:rsidR="00FF23A6">
        <w:t xml:space="preserve"> </w:t>
      </w:r>
      <w:r w:rsidR="006D700E">
        <w:t>Stakeholders interviewed</w:t>
      </w:r>
      <w:r>
        <w:t xml:space="preserve"> </w:t>
      </w:r>
      <w:r w:rsidR="00FB66D1">
        <w:t>during the mission</w:t>
      </w:r>
      <w:r>
        <w:t xml:space="preserve"> included Australian High Commission (DFAT) officers, Strongim Bisnis staff, senior SIG representatives and about three-quarters </w:t>
      </w:r>
      <w:r w:rsidR="0071170E">
        <w:t xml:space="preserve">(32) </w:t>
      </w:r>
      <w:r>
        <w:t>of current Strongim Bisnis partners</w:t>
      </w:r>
      <w:r w:rsidR="004F3628">
        <w:t xml:space="preserve">, covering all </w:t>
      </w:r>
      <w:r w:rsidR="004152BF">
        <w:rPr>
          <w:rFonts w:cstheme="minorHAnsi"/>
          <w:szCs w:val="20"/>
        </w:rPr>
        <w:t xml:space="preserve">Strongim Bisnis target sectors and representing varying levels of </w:t>
      </w:r>
      <w:r w:rsidR="001C4B1F">
        <w:rPr>
          <w:rFonts w:cstheme="minorHAnsi"/>
          <w:szCs w:val="20"/>
        </w:rPr>
        <w:t xml:space="preserve">financial investment and </w:t>
      </w:r>
      <w:r w:rsidR="004152BF">
        <w:rPr>
          <w:rFonts w:cstheme="minorHAnsi"/>
          <w:szCs w:val="20"/>
        </w:rPr>
        <w:t>partnership maturity</w:t>
      </w:r>
      <w:r w:rsidR="004F3628">
        <w:rPr>
          <w:rFonts w:cstheme="minorHAnsi"/>
          <w:szCs w:val="20"/>
        </w:rPr>
        <w:t xml:space="preserve">. </w:t>
      </w:r>
      <w:r w:rsidR="00DE0C68">
        <w:t xml:space="preserve">In addition, the team met with several groups of ‘end-beneficiaries’ </w:t>
      </w:r>
      <w:r w:rsidR="00D35468">
        <w:t xml:space="preserve">(male and female) </w:t>
      </w:r>
      <w:r w:rsidR="008D1E36">
        <w:t>in the timber, horticulture</w:t>
      </w:r>
      <w:r w:rsidR="00D35468">
        <w:t>, financial services</w:t>
      </w:r>
      <w:r w:rsidR="008D1E36">
        <w:t xml:space="preserve"> and WEE/SI sectors. </w:t>
      </w:r>
      <w:r w:rsidR="00C44366">
        <w:t>O</w:t>
      </w:r>
      <w:r w:rsidR="00550F11">
        <w:t xml:space="preserve">ther relevant stakeholders </w:t>
      </w:r>
      <w:r w:rsidR="00C44366">
        <w:t xml:space="preserve">consulted </w:t>
      </w:r>
      <w:r w:rsidR="00212DC2">
        <w:t>were</w:t>
      </w:r>
      <w:r w:rsidR="00550F11">
        <w:t xml:space="preserve"> the Solomon Islands Chamber of Commerce and Industry</w:t>
      </w:r>
      <w:r w:rsidR="00B65820">
        <w:t xml:space="preserve"> (SICCI)</w:t>
      </w:r>
      <w:r w:rsidR="00550F11">
        <w:t>, Asian Development Bank</w:t>
      </w:r>
      <w:r w:rsidR="00B65820">
        <w:t xml:space="preserve"> (ADB)</w:t>
      </w:r>
      <w:r w:rsidR="00550F11">
        <w:t>, the UN Capital Development Fund</w:t>
      </w:r>
      <w:r w:rsidR="00B65820">
        <w:t xml:space="preserve"> (UNCDF)</w:t>
      </w:r>
      <w:r w:rsidR="00550F11">
        <w:t xml:space="preserve">, </w:t>
      </w:r>
      <w:r w:rsidR="00B65820">
        <w:t>New Zealand MFAT,</w:t>
      </w:r>
      <w:r w:rsidR="00550F11">
        <w:t xml:space="preserve"> and the Pacific Horticultural and Agricultural Market Access </w:t>
      </w:r>
      <w:r w:rsidR="00B65820">
        <w:t>(PHAMA</w:t>
      </w:r>
      <w:r w:rsidR="003B3692">
        <w:t xml:space="preserve">) </w:t>
      </w:r>
      <w:r w:rsidR="00550F11">
        <w:t>Plus Program</w:t>
      </w:r>
      <w:r w:rsidR="00E65605">
        <w:t>. Further details are provided in</w:t>
      </w:r>
      <w:r w:rsidR="00C44366">
        <w:t xml:space="preserve"> Table 2 </w:t>
      </w:r>
      <w:r w:rsidR="00E65605">
        <w:t>below and</w:t>
      </w:r>
      <w:r w:rsidR="00C44366">
        <w:t xml:space="preserve"> Annex 4</w:t>
      </w:r>
      <w:r w:rsidR="003B3692">
        <w:t>.</w:t>
      </w:r>
    </w:p>
    <w:p w14:paraId="03961CF4" w14:textId="3C9511D6" w:rsidR="00CD2F3E" w:rsidRDefault="004D294B" w:rsidP="00CD2F3E">
      <w:pPr>
        <w:pStyle w:val="ListBullet"/>
        <w:numPr>
          <w:ilvl w:val="0"/>
          <w:numId w:val="0"/>
        </w:numPr>
      </w:pPr>
      <w:r>
        <w:t xml:space="preserve">All interviews were semi-structured, based on interview guides prepared in advance for each category of </w:t>
      </w:r>
      <w:r w:rsidR="009F452F">
        <w:t>stakeholder</w:t>
      </w:r>
      <w:r>
        <w:t xml:space="preserve">. Where appropriate, the </w:t>
      </w:r>
      <w:r w:rsidR="00DE4B6C">
        <w:t xml:space="preserve">team </w:t>
      </w:r>
      <w:r w:rsidR="00A134A1">
        <w:t>used</w:t>
      </w:r>
      <w:r w:rsidR="00DE4B6C">
        <w:t xml:space="preserve"> </w:t>
      </w:r>
      <w:r w:rsidR="00DE4B6C" w:rsidRPr="0029347F">
        <w:rPr>
          <w:i/>
          <w:iCs/>
        </w:rPr>
        <w:t>tokstori</w:t>
      </w:r>
      <w:r w:rsidR="00764961">
        <w:rPr>
          <w:rStyle w:val="FootnoteReference"/>
          <w:i/>
          <w:iCs/>
        </w:rPr>
        <w:footnoteReference w:id="7"/>
      </w:r>
      <w:r w:rsidR="00DE4B6C">
        <w:t xml:space="preserve"> </w:t>
      </w:r>
      <w:r w:rsidR="00A134A1">
        <w:t xml:space="preserve">methods </w:t>
      </w:r>
      <w:r>
        <w:t xml:space="preserve">to put partners and beneficiaries at ease and encourage them to share their experience and views. </w:t>
      </w:r>
      <w:r w:rsidR="00807D58">
        <w:t>As well as taking detailed notes, t</w:t>
      </w:r>
      <w:r w:rsidR="00792955">
        <w:t xml:space="preserve">he team recorded </w:t>
      </w:r>
      <w:r w:rsidR="00DE4B6C">
        <w:t xml:space="preserve">most </w:t>
      </w:r>
      <w:r w:rsidR="00792955">
        <w:t>interviews</w:t>
      </w:r>
      <w:r w:rsidR="00D82D6A">
        <w:t xml:space="preserve"> (with </w:t>
      </w:r>
      <w:r w:rsidR="00251EC5">
        <w:t>consent)</w:t>
      </w:r>
      <w:r w:rsidR="00792955">
        <w:t xml:space="preserve">. </w:t>
      </w:r>
      <w:r w:rsidR="00275631">
        <w:t>Regular debrief</w:t>
      </w:r>
      <w:r w:rsidR="00BA2EEA">
        <w:t>s</w:t>
      </w:r>
      <w:r w:rsidR="00275631">
        <w:t xml:space="preserve"> </w:t>
      </w:r>
      <w:r w:rsidR="00792955">
        <w:t xml:space="preserve">enabled quick distillation of key findings and emerging narratives </w:t>
      </w:r>
      <w:r w:rsidR="00804532">
        <w:t>for</w:t>
      </w:r>
      <w:r w:rsidR="00792955">
        <w:t xml:space="preserve"> check</w:t>
      </w:r>
      <w:r w:rsidR="00804532">
        <w:t>ing</w:t>
      </w:r>
      <w:r w:rsidR="00792955">
        <w:t xml:space="preserve"> in subsequent interviews and triangulat</w:t>
      </w:r>
      <w:r w:rsidR="00804532">
        <w:t>ion</w:t>
      </w:r>
      <w:r w:rsidR="00792955">
        <w:t xml:space="preserve"> </w:t>
      </w:r>
      <w:r w:rsidR="00782086">
        <w:t>against</w:t>
      </w:r>
      <w:r w:rsidR="00792955">
        <w:t xml:space="preserve"> quantitative MRM data.</w:t>
      </w:r>
      <w:r w:rsidR="00CD3455">
        <w:t xml:space="preserve"> </w:t>
      </w:r>
    </w:p>
    <w:p w14:paraId="001AA581" w14:textId="1B7C5E1D" w:rsidR="00E50BE7" w:rsidRDefault="008E62F5" w:rsidP="00CD2F3E">
      <w:pPr>
        <w:pStyle w:val="ListBullet"/>
        <w:numPr>
          <w:ilvl w:val="0"/>
          <w:numId w:val="0"/>
        </w:numPr>
      </w:pPr>
      <w:r>
        <w:t>The evaluation was carried out in accordance with DFAT</w:t>
      </w:r>
      <w:r w:rsidR="00911616">
        <w:t>’s</w:t>
      </w:r>
      <w:r>
        <w:t xml:space="preserve"> Ethical Research and Evaluation Guidance Note (2021)</w:t>
      </w:r>
      <w:r w:rsidR="004F2C7D">
        <w:t xml:space="preserve"> and</w:t>
      </w:r>
      <w:r w:rsidR="004A5C31">
        <w:t xml:space="preserve"> </w:t>
      </w:r>
      <w:r w:rsidR="00AB4B79">
        <w:t>related</w:t>
      </w:r>
      <w:r>
        <w:t xml:space="preserve"> policies and standards</w:t>
      </w:r>
      <w:r w:rsidR="00017710">
        <w:t xml:space="preserve">, </w:t>
      </w:r>
      <w:r w:rsidR="00AB4B79">
        <w:t>including</w:t>
      </w:r>
      <w:r w:rsidR="00017710">
        <w:t xml:space="preserve"> with regard to </w:t>
      </w:r>
      <w:r>
        <w:t>confidentiality</w:t>
      </w:r>
      <w:r w:rsidR="00017710">
        <w:t xml:space="preserve"> and </w:t>
      </w:r>
      <w:r w:rsidR="004F2C7D">
        <w:t xml:space="preserve">secure </w:t>
      </w:r>
      <w:r w:rsidR="00DF4741">
        <w:t xml:space="preserve">data </w:t>
      </w:r>
      <w:r w:rsidR="004F2C7D">
        <w:t>storage</w:t>
      </w:r>
      <w:r>
        <w:t>.</w:t>
      </w:r>
    </w:p>
    <w:p w14:paraId="151D572F" w14:textId="2385660D" w:rsidR="00E968B5" w:rsidRPr="001F6D75" w:rsidRDefault="00E968B5" w:rsidP="001F6D75">
      <w:pPr>
        <w:pStyle w:val="Caption"/>
        <w:keepNext/>
        <w:rPr>
          <w:sz w:val="20"/>
          <w:szCs w:val="20"/>
        </w:rPr>
      </w:pPr>
      <w:r w:rsidRPr="001F6D75">
        <w:rPr>
          <w:sz w:val="20"/>
          <w:szCs w:val="20"/>
        </w:rPr>
        <w:t xml:space="preserve">Table </w:t>
      </w:r>
      <w:r w:rsidR="001F6D75" w:rsidRPr="001F6D75">
        <w:rPr>
          <w:sz w:val="20"/>
          <w:szCs w:val="20"/>
        </w:rPr>
        <w:t>2</w:t>
      </w:r>
      <w:r w:rsidRPr="001F6D75">
        <w:rPr>
          <w:sz w:val="20"/>
          <w:szCs w:val="20"/>
        </w:rPr>
        <w:t xml:space="preserve">: </w:t>
      </w:r>
      <w:r w:rsidR="0098226B">
        <w:rPr>
          <w:sz w:val="20"/>
          <w:szCs w:val="20"/>
        </w:rPr>
        <w:t xml:space="preserve">Sectoral distribution of </w:t>
      </w:r>
      <w:r w:rsidR="002E2441">
        <w:rPr>
          <w:sz w:val="20"/>
          <w:szCs w:val="20"/>
        </w:rPr>
        <w:t>Strongim Bisnis partners consulted</w:t>
      </w:r>
    </w:p>
    <w:tbl>
      <w:tblPr>
        <w:tblStyle w:val="DefaultTable"/>
        <w:tblW w:w="6663" w:type="dxa"/>
        <w:tblLayout w:type="fixed"/>
        <w:tblCellMar>
          <w:top w:w="28" w:type="dxa"/>
          <w:bottom w:w="28" w:type="dxa"/>
        </w:tblCellMar>
        <w:tblLook w:val="04A0" w:firstRow="1" w:lastRow="0" w:firstColumn="1" w:lastColumn="0" w:noHBand="0" w:noVBand="1"/>
      </w:tblPr>
      <w:tblGrid>
        <w:gridCol w:w="2835"/>
        <w:gridCol w:w="2127"/>
        <w:gridCol w:w="1701"/>
      </w:tblGrid>
      <w:tr w:rsidR="00B423BA" w:rsidRPr="006B3BD9" w14:paraId="48C69C7C" w14:textId="77777777" w:rsidTr="00CD63CE">
        <w:trPr>
          <w:cnfStyle w:val="100000000000" w:firstRow="1" w:lastRow="0" w:firstColumn="0" w:lastColumn="0" w:oddVBand="0" w:evenVBand="0" w:oddHBand="0" w:evenHBand="0" w:firstRowFirstColumn="0" w:firstRowLastColumn="0" w:lastRowFirstColumn="0" w:lastRowLastColumn="0"/>
          <w:trHeight w:val="213"/>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614B741D" w14:textId="34EDDC61" w:rsidR="00B423BA" w:rsidRPr="00F32D18" w:rsidRDefault="00B423BA" w:rsidP="00A5259D">
            <w:pPr>
              <w:spacing w:after="0" w:line="240" w:lineRule="auto"/>
              <w:textAlignment w:val="baseline"/>
              <w:rPr>
                <w:rFonts w:ascii="Segoe UI" w:eastAsia="Times New Roman" w:hAnsi="Segoe UI" w:cs="Segoe UI"/>
                <w:b/>
                <w:bCs/>
                <w:color w:val="auto"/>
                <w:szCs w:val="20"/>
                <w:lang w:val="en-US"/>
              </w:rPr>
            </w:pPr>
            <w:r w:rsidRPr="00F32D18">
              <w:rPr>
                <w:rFonts w:ascii="Arial" w:eastAsia="Times New Roman" w:hAnsi="Arial" w:cs="Arial"/>
                <w:b/>
                <w:bCs/>
                <w:color w:val="auto"/>
                <w:position w:val="1"/>
                <w:szCs w:val="20"/>
              </w:rPr>
              <w:t>Sector</w:t>
            </w:r>
          </w:p>
        </w:tc>
        <w:tc>
          <w:tcPr>
            <w:tcW w:w="2127" w:type="dxa"/>
            <w:hideMark/>
          </w:tcPr>
          <w:p w14:paraId="26B25BB2" w14:textId="56515B21" w:rsidR="00B423BA" w:rsidRPr="00F32D18" w:rsidRDefault="001F6D75" w:rsidP="00D37132">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color w:val="auto"/>
                <w:szCs w:val="20"/>
                <w:lang w:val="en-US"/>
              </w:rPr>
            </w:pPr>
            <w:r>
              <w:rPr>
                <w:rFonts w:ascii="Arial" w:eastAsia="Times New Roman" w:hAnsi="Arial" w:cs="Arial"/>
                <w:b/>
                <w:bCs/>
                <w:color w:val="auto"/>
                <w:position w:val="1"/>
                <w:szCs w:val="20"/>
              </w:rPr>
              <w:t>Partners c</w:t>
            </w:r>
            <w:r w:rsidR="00B423BA" w:rsidRPr="00F32D18">
              <w:rPr>
                <w:rFonts w:ascii="Arial" w:eastAsia="Times New Roman" w:hAnsi="Arial" w:cs="Arial"/>
                <w:b/>
                <w:bCs/>
                <w:color w:val="auto"/>
                <w:position w:val="1"/>
                <w:szCs w:val="20"/>
              </w:rPr>
              <w:t>onsulted</w:t>
            </w:r>
          </w:p>
        </w:tc>
        <w:tc>
          <w:tcPr>
            <w:tcW w:w="1701" w:type="dxa"/>
            <w:hideMark/>
          </w:tcPr>
          <w:p w14:paraId="2374895E" w14:textId="4D6903F9" w:rsidR="00B423BA" w:rsidRPr="00F32D18" w:rsidRDefault="00B423BA" w:rsidP="00D37132">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i/>
                <w:iCs/>
                <w:color w:val="auto"/>
                <w:szCs w:val="20"/>
                <w:lang w:val="en-US"/>
              </w:rPr>
            </w:pPr>
            <w:r w:rsidRPr="001F6D75">
              <w:rPr>
                <w:rFonts w:ascii="Arial" w:eastAsia="Times New Roman" w:hAnsi="Arial" w:cs="Arial"/>
                <w:b/>
                <w:bCs/>
                <w:color w:val="auto"/>
                <w:position w:val="1"/>
                <w:szCs w:val="20"/>
              </w:rPr>
              <w:t>Total partner</w:t>
            </w:r>
            <w:r w:rsidR="007810A5">
              <w:rPr>
                <w:rFonts w:ascii="Arial" w:eastAsia="Times New Roman" w:hAnsi="Arial" w:cs="Arial"/>
                <w:b/>
                <w:bCs/>
                <w:color w:val="auto"/>
                <w:position w:val="1"/>
                <w:szCs w:val="20"/>
              </w:rPr>
              <w:t>s</w:t>
            </w:r>
            <w:r w:rsidR="00617222">
              <w:rPr>
                <w:rFonts w:ascii="Arial" w:eastAsia="Times New Roman" w:hAnsi="Arial" w:cs="Arial"/>
                <w:b/>
                <w:bCs/>
                <w:color w:val="auto"/>
                <w:position w:val="1"/>
                <w:szCs w:val="20"/>
              </w:rPr>
              <w:t>*</w:t>
            </w:r>
          </w:p>
        </w:tc>
      </w:tr>
      <w:tr w:rsidR="00B423BA" w:rsidRPr="006B3BD9" w14:paraId="5C0CC296" w14:textId="77777777" w:rsidTr="0029347F">
        <w:trPr>
          <w:trHeight w:val="177"/>
        </w:trPr>
        <w:tc>
          <w:tcPr>
            <w:cnfStyle w:val="001000000000" w:firstRow="0" w:lastRow="0" w:firstColumn="1" w:lastColumn="0" w:oddVBand="0" w:evenVBand="0" w:oddHBand="0" w:evenHBand="0" w:firstRowFirstColumn="0" w:firstRowLastColumn="0" w:lastRowFirstColumn="0" w:lastRowLastColumn="0"/>
            <w:tcW w:w="2835" w:type="dxa"/>
            <w:hideMark/>
          </w:tcPr>
          <w:p w14:paraId="066E29E0" w14:textId="4543C476"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Timber</w:t>
            </w:r>
          </w:p>
        </w:tc>
        <w:tc>
          <w:tcPr>
            <w:tcW w:w="2127" w:type="dxa"/>
            <w:hideMark/>
          </w:tcPr>
          <w:p w14:paraId="4B492E45" w14:textId="46B3E873" w:rsidR="00B423BA" w:rsidRPr="00F32D18"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F32D18">
              <w:rPr>
                <w:rFonts w:ascii="Arial" w:eastAsia="Times New Roman" w:hAnsi="Arial" w:cs="Arial"/>
                <w:color w:val="auto"/>
                <w:szCs w:val="20"/>
              </w:rPr>
              <w:t>3</w:t>
            </w:r>
          </w:p>
        </w:tc>
        <w:tc>
          <w:tcPr>
            <w:tcW w:w="1701" w:type="dxa"/>
            <w:hideMark/>
          </w:tcPr>
          <w:p w14:paraId="5180FA3C" w14:textId="1E7000EB" w:rsidR="00B423BA" w:rsidRPr="007810A5"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3</w:t>
            </w:r>
          </w:p>
        </w:tc>
      </w:tr>
      <w:tr w:rsidR="00B423BA" w:rsidRPr="006B3BD9" w14:paraId="4C094763" w14:textId="77777777" w:rsidTr="0029347F">
        <w:trPr>
          <w:cnfStyle w:val="000000010000" w:firstRow="0" w:lastRow="0" w:firstColumn="0" w:lastColumn="0" w:oddVBand="0" w:evenVBand="0" w:oddHBand="0" w:evenHBand="1"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835" w:type="dxa"/>
            <w:hideMark/>
          </w:tcPr>
          <w:p w14:paraId="7091D8D2" w14:textId="5DB8FDC5"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Financial Services</w:t>
            </w:r>
          </w:p>
        </w:tc>
        <w:tc>
          <w:tcPr>
            <w:tcW w:w="2127" w:type="dxa"/>
            <w:hideMark/>
          </w:tcPr>
          <w:p w14:paraId="2637D272" w14:textId="5F642055" w:rsidR="00B423BA" w:rsidRPr="00F32D18" w:rsidRDefault="00B423BA"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sidRPr="00F32D18">
              <w:rPr>
                <w:rFonts w:ascii="Arial" w:eastAsia="Times New Roman" w:hAnsi="Arial" w:cs="Arial"/>
                <w:color w:val="auto"/>
                <w:szCs w:val="20"/>
              </w:rPr>
              <w:t>2</w:t>
            </w:r>
          </w:p>
        </w:tc>
        <w:tc>
          <w:tcPr>
            <w:tcW w:w="1701" w:type="dxa"/>
            <w:hideMark/>
          </w:tcPr>
          <w:p w14:paraId="46913774" w14:textId="56F1B476" w:rsidR="00B423BA" w:rsidRPr="007810A5" w:rsidRDefault="00B423BA"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2</w:t>
            </w:r>
          </w:p>
        </w:tc>
      </w:tr>
      <w:tr w:rsidR="00B423BA" w:rsidRPr="006B3BD9" w14:paraId="79716C6C" w14:textId="77777777" w:rsidTr="0029347F">
        <w:trPr>
          <w:trHeight w:val="233"/>
        </w:trPr>
        <w:tc>
          <w:tcPr>
            <w:cnfStyle w:val="001000000000" w:firstRow="0" w:lastRow="0" w:firstColumn="1" w:lastColumn="0" w:oddVBand="0" w:evenVBand="0" w:oddHBand="0" w:evenHBand="0" w:firstRowFirstColumn="0" w:firstRowLastColumn="0" w:lastRowFirstColumn="0" w:lastRowLastColumn="0"/>
            <w:tcW w:w="2835" w:type="dxa"/>
            <w:hideMark/>
          </w:tcPr>
          <w:p w14:paraId="1B049089" w14:textId="5A748E15"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Waste Management</w:t>
            </w:r>
          </w:p>
        </w:tc>
        <w:tc>
          <w:tcPr>
            <w:tcW w:w="2127" w:type="dxa"/>
            <w:hideMark/>
          </w:tcPr>
          <w:p w14:paraId="19299D02" w14:textId="7268C2A1" w:rsidR="00B423BA" w:rsidRPr="00F32D18"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F32D18">
              <w:rPr>
                <w:rFonts w:ascii="Arial" w:eastAsia="Times New Roman" w:hAnsi="Arial" w:cs="Arial"/>
                <w:color w:val="auto"/>
                <w:szCs w:val="20"/>
              </w:rPr>
              <w:t>3</w:t>
            </w:r>
          </w:p>
        </w:tc>
        <w:tc>
          <w:tcPr>
            <w:tcW w:w="1701" w:type="dxa"/>
            <w:hideMark/>
          </w:tcPr>
          <w:p w14:paraId="6C7902E8" w14:textId="66E6804E" w:rsidR="00B423BA" w:rsidRPr="007810A5"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4</w:t>
            </w:r>
          </w:p>
        </w:tc>
      </w:tr>
      <w:tr w:rsidR="00B423BA" w:rsidRPr="006B3BD9" w14:paraId="54D4C073" w14:textId="77777777" w:rsidTr="0029347F">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835" w:type="dxa"/>
            <w:hideMark/>
          </w:tcPr>
          <w:p w14:paraId="0F596C0A" w14:textId="644710DA"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Tourism</w:t>
            </w:r>
          </w:p>
        </w:tc>
        <w:tc>
          <w:tcPr>
            <w:tcW w:w="2127" w:type="dxa"/>
            <w:hideMark/>
          </w:tcPr>
          <w:p w14:paraId="74927866" w14:textId="7479D664" w:rsidR="00B423BA" w:rsidRPr="00F32D18" w:rsidRDefault="00B423BA"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sidRPr="00F32D18">
              <w:rPr>
                <w:rFonts w:ascii="Arial" w:eastAsia="Times New Roman" w:hAnsi="Arial" w:cs="Arial"/>
                <w:color w:val="auto"/>
                <w:szCs w:val="20"/>
              </w:rPr>
              <w:t>5</w:t>
            </w:r>
          </w:p>
        </w:tc>
        <w:tc>
          <w:tcPr>
            <w:tcW w:w="1701" w:type="dxa"/>
            <w:hideMark/>
          </w:tcPr>
          <w:p w14:paraId="3221C6CF" w14:textId="63CAB582" w:rsidR="00B423BA" w:rsidRPr="007810A5" w:rsidRDefault="00B423BA"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7</w:t>
            </w:r>
          </w:p>
        </w:tc>
      </w:tr>
      <w:tr w:rsidR="00B423BA" w:rsidRPr="006B3BD9" w14:paraId="3D416F56" w14:textId="77777777" w:rsidTr="0029347F">
        <w:trPr>
          <w:trHeight w:val="147"/>
        </w:trPr>
        <w:tc>
          <w:tcPr>
            <w:cnfStyle w:val="001000000000" w:firstRow="0" w:lastRow="0" w:firstColumn="1" w:lastColumn="0" w:oddVBand="0" w:evenVBand="0" w:oddHBand="0" w:evenHBand="0" w:firstRowFirstColumn="0" w:firstRowLastColumn="0" w:lastRowFirstColumn="0" w:lastRowLastColumn="0"/>
            <w:tcW w:w="2835" w:type="dxa"/>
            <w:hideMark/>
          </w:tcPr>
          <w:p w14:paraId="00E7E009" w14:textId="59C9248C"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Coconut</w:t>
            </w:r>
          </w:p>
        </w:tc>
        <w:tc>
          <w:tcPr>
            <w:tcW w:w="2127" w:type="dxa"/>
            <w:hideMark/>
          </w:tcPr>
          <w:p w14:paraId="5A8A6E18" w14:textId="7BDAABB8" w:rsidR="00B423BA" w:rsidRPr="00F32D18"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F32D18">
              <w:rPr>
                <w:rFonts w:ascii="Arial" w:eastAsia="Times New Roman" w:hAnsi="Arial" w:cs="Arial"/>
                <w:color w:val="auto"/>
                <w:szCs w:val="20"/>
              </w:rPr>
              <w:t>3</w:t>
            </w:r>
          </w:p>
        </w:tc>
        <w:tc>
          <w:tcPr>
            <w:tcW w:w="1701" w:type="dxa"/>
            <w:hideMark/>
          </w:tcPr>
          <w:p w14:paraId="0BAE6ABC" w14:textId="14D6BA87" w:rsidR="00B423BA" w:rsidRPr="007810A5"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5</w:t>
            </w:r>
          </w:p>
        </w:tc>
      </w:tr>
      <w:tr w:rsidR="00B423BA" w:rsidRPr="006B3BD9" w14:paraId="4C841135" w14:textId="77777777" w:rsidTr="0029347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35" w:type="dxa"/>
            <w:hideMark/>
          </w:tcPr>
          <w:p w14:paraId="12590332" w14:textId="692B0DDE"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Cocoa</w:t>
            </w:r>
          </w:p>
        </w:tc>
        <w:tc>
          <w:tcPr>
            <w:tcW w:w="2127" w:type="dxa"/>
            <w:hideMark/>
          </w:tcPr>
          <w:p w14:paraId="7BDC5D8B" w14:textId="44FE2CD9" w:rsidR="00B423BA" w:rsidRPr="00F32D18" w:rsidRDefault="00B423BA"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sidRPr="00F32D18">
              <w:rPr>
                <w:rFonts w:ascii="Arial" w:eastAsia="Times New Roman" w:hAnsi="Arial" w:cs="Arial"/>
                <w:color w:val="auto"/>
                <w:szCs w:val="20"/>
              </w:rPr>
              <w:t>2</w:t>
            </w:r>
          </w:p>
        </w:tc>
        <w:tc>
          <w:tcPr>
            <w:tcW w:w="1701" w:type="dxa"/>
            <w:hideMark/>
          </w:tcPr>
          <w:p w14:paraId="4FFD892B" w14:textId="6BDFBDAD" w:rsidR="00B423BA" w:rsidRPr="007810A5" w:rsidRDefault="00B423BA"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5</w:t>
            </w:r>
          </w:p>
        </w:tc>
      </w:tr>
      <w:tr w:rsidR="00B423BA" w:rsidRPr="006B3BD9" w14:paraId="56CDAE30" w14:textId="77777777" w:rsidTr="0029347F">
        <w:trPr>
          <w:trHeight w:val="203"/>
        </w:trPr>
        <w:tc>
          <w:tcPr>
            <w:cnfStyle w:val="001000000000" w:firstRow="0" w:lastRow="0" w:firstColumn="1" w:lastColumn="0" w:oddVBand="0" w:evenVBand="0" w:oddHBand="0" w:evenHBand="0" w:firstRowFirstColumn="0" w:firstRowLastColumn="0" w:lastRowFirstColumn="0" w:lastRowLastColumn="0"/>
            <w:tcW w:w="2835" w:type="dxa"/>
            <w:hideMark/>
          </w:tcPr>
          <w:p w14:paraId="01950F40" w14:textId="21B24108"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GDL Horticulture</w:t>
            </w:r>
          </w:p>
        </w:tc>
        <w:tc>
          <w:tcPr>
            <w:tcW w:w="2127" w:type="dxa"/>
            <w:hideMark/>
          </w:tcPr>
          <w:p w14:paraId="4E76BA6E" w14:textId="54B7B8AF" w:rsidR="00B423BA" w:rsidRPr="00F32D18"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F32D18">
              <w:rPr>
                <w:rFonts w:ascii="Arial" w:eastAsia="Times New Roman" w:hAnsi="Arial" w:cs="Arial"/>
                <w:color w:val="auto"/>
                <w:szCs w:val="20"/>
              </w:rPr>
              <w:t>5</w:t>
            </w:r>
          </w:p>
        </w:tc>
        <w:tc>
          <w:tcPr>
            <w:tcW w:w="1701" w:type="dxa"/>
            <w:hideMark/>
          </w:tcPr>
          <w:p w14:paraId="3BDADFEF" w14:textId="6270817C" w:rsidR="00B423BA" w:rsidRPr="007810A5"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8</w:t>
            </w:r>
          </w:p>
        </w:tc>
      </w:tr>
      <w:tr w:rsidR="00B423BA" w:rsidRPr="006B3BD9" w14:paraId="67C46011" w14:textId="77777777" w:rsidTr="0029347F">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2BA04387" w14:textId="4A5AB7D3" w:rsidR="00B423BA" w:rsidRPr="00F32D18" w:rsidRDefault="00B423BA" w:rsidP="00A5259D">
            <w:pPr>
              <w:spacing w:after="0" w:line="240" w:lineRule="auto"/>
              <w:textAlignment w:val="baseline"/>
              <w:rPr>
                <w:rFonts w:ascii="Segoe UI" w:eastAsia="Times New Roman" w:hAnsi="Segoe UI" w:cs="Segoe UI"/>
                <w:color w:val="auto"/>
                <w:szCs w:val="20"/>
                <w:lang w:val="en-US"/>
              </w:rPr>
            </w:pPr>
            <w:r w:rsidRPr="00F32D18">
              <w:rPr>
                <w:rFonts w:ascii="Arial" w:eastAsia="Times New Roman" w:hAnsi="Arial" w:cs="Arial"/>
                <w:color w:val="auto"/>
                <w:szCs w:val="20"/>
              </w:rPr>
              <w:t>WEE/SI</w:t>
            </w:r>
          </w:p>
        </w:tc>
        <w:tc>
          <w:tcPr>
            <w:tcW w:w="2127" w:type="dxa"/>
            <w:hideMark/>
          </w:tcPr>
          <w:p w14:paraId="3E4B4E96" w14:textId="4EDBE297" w:rsidR="00B423BA" w:rsidRPr="00F32D18" w:rsidRDefault="00BF221C"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Pr>
                <w:rFonts w:ascii="Arial" w:eastAsia="Times New Roman" w:hAnsi="Arial" w:cs="Arial"/>
                <w:color w:val="auto"/>
                <w:szCs w:val="20"/>
              </w:rPr>
              <w:t>9</w:t>
            </w:r>
          </w:p>
        </w:tc>
        <w:tc>
          <w:tcPr>
            <w:tcW w:w="1701" w:type="dxa"/>
            <w:hideMark/>
          </w:tcPr>
          <w:p w14:paraId="6A12A156" w14:textId="75173F17" w:rsidR="00B423BA" w:rsidRPr="007810A5" w:rsidRDefault="00B423BA" w:rsidP="00D37132">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Cs w:val="20"/>
                <w:lang w:val="en-US"/>
              </w:rPr>
            </w:pPr>
            <w:r w:rsidRPr="007810A5">
              <w:rPr>
                <w:rFonts w:ascii="Arial" w:eastAsia="Times New Roman" w:hAnsi="Arial" w:cs="Arial"/>
                <w:color w:val="auto"/>
                <w:szCs w:val="20"/>
              </w:rPr>
              <w:t>11</w:t>
            </w:r>
          </w:p>
        </w:tc>
      </w:tr>
      <w:tr w:rsidR="00B423BA" w:rsidRPr="006B3BD9" w14:paraId="3090B4ED" w14:textId="77777777" w:rsidTr="0029347F">
        <w:trPr>
          <w:trHeight w:val="17"/>
        </w:trPr>
        <w:tc>
          <w:tcPr>
            <w:cnfStyle w:val="001000000000" w:firstRow="0" w:lastRow="0" w:firstColumn="1" w:lastColumn="0" w:oddVBand="0" w:evenVBand="0" w:oddHBand="0" w:evenHBand="0" w:firstRowFirstColumn="0" w:firstRowLastColumn="0" w:lastRowFirstColumn="0" w:lastRowLastColumn="0"/>
            <w:tcW w:w="2835" w:type="dxa"/>
            <w:hideMark/>
          </w:tcPr>
          <w:p w14:paraId="73A667BB" w14:textId="6CA3E977" w:rsidR="00B423BA" w:rsidRPr="006B3BD9" w:rsidRDefault="00B423BA" w:rsidP="00A5259D">
            <w:pPr>
              <w:spacing w:after="0" w:line="240" w:lineRule="auto"/>
              <w:textAlignment w:val="baseline"/>
              <w:rPr>
                <w:rFonts w:ascii="Segoe UI" w:eastAsia="Times New Roman" w:hAnsi="Segoe UI" w:cs="Segoe UI"/>
                <w:b/>
                <w:bCs/>
                <w:i/>
                <w:iCs/>
                <w:color w:val="auto"/>
                <w:szCs w:val="20"/>
              </w:rPr>
            </w:pPr>
            <w:r w:rsidRPr="006B3BD9">
              <w:rPr>
                <w:rFonts w:ascii="Arial" w:eastAsia="Times New Roman" w:hAnsi="Arial" w:cs="Arial"/>
                <w:b/>
                <w:bCs/>
                <w:i/>
                <w:iCs/>
                <w:color w:val="auto"/>
                <w:szCs w:val="20"/>
              </w:rPr>
              <w:t>Total</w:t>
            </w:r>
          </w:p>
        </w:tc>
        <w:tc>
          <w:tcPr>
            <w:tcW w:w="2127" w:type="dxa"/>
            <w:hideMark/>
          </w:tcPr>
          <w:p w14:paraId="51E65EED" w14:textId="77777777" w:rsidR="00B423BA" w:rsidRPr="006B3BD9"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i/>
                <w:iCs/>
                <w:color w:val="auto"/>
                <w:szCs w:val="20"/>
              </w:rPr>
            </w:pPr>
            <w:r w:rsidRPr="006B3BD9">
              <w:rPr>
                <w:rFonts w:ascii="Arial" w:eastAsia="Times New Roman" w:hAnsi="Arial" w:cs="Arial"/>
                <w:b/>
                <w:bCs/>
                <w:i/>
                <w:iCs/>
                <w:color w:val="auto"/>
                <w:szCs w:val="20"/>
              </w:rPr>
              <w:t>32​</w:t>
            </w:r>
          </w:p>
        </w:tc>
        <w:tc>
          <w:tcPr>
            <w:tcW w:w="1701" w:type="dxa"/>
            <w:hideMark/>
          </w:tcPr>
          <w:p w14:paraId="0DD49CD1" w14:textId="4D18D0B5" w:rsidR="00B423BA" w:rsidRPr="006B3BD9" w:rsidRDefault="00B423BA" w:rsidP="00D37132">
            <w:pPr>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i/>
                <w:iCs/>
                <w:color w:val="auto"/>
                <w:szCs w:val="20"/>
              </w:rPr>
            </w:pPr>
            <w:r w:rsidRPr="006B3BD9">
              <w:rPr>
                <w:rFonts w:ascii="Arial" w:eastAsia="Times New Roman" w:hAnsi="Arial" w:cs="Arial"/>
                <w:b/>
                <w:bCs/>
                <w:i/>
                <w:iCs/>
                <w:color w:val="auto"/>
                <w:szCs w:val="20"/>
              </w:rPr>
              <w:t>45</w:t>
            </w:r>
          </w:p>
        </w:tc>
      </w:tr>
    </w:tbl>
    <w:p w14:paraId="368A4768" w14:textId="13C98A7F" w:rsidR="00617222" w:rsidRDefault="00617222" w:rsidP="00617222">
      <w:pPr>
        <w:spacing w:after="40" w:line="240" w:lineRule="auto"/>
        <w:rPr>
          <w:sz w:val="18"/>
          <w:szCs w:val="18"/>
        </w:rPr>
      </w:pPr>
      <w:r w:rsidRPr="000C3BBA">
        <w:rPr>
          <w:sz w:val="18"/>
          <w:szCs w:val="18"/>
        </w:rPr>
        <w:t xml:space="preserve">* </w:t>
      </w:r>
      <w:r>
        <w:rPr>
          <w:sz w:val="18"/>
          <w:szCs w:val="18"/>
        </w:rPr>
        <w:t xml:space="preserve">There are 44 current </w:t>
      </w:r>
      <w:r w:rsidRPr="00617222">
        <w:rPr>
          <w:sz w:val="18"/>
          <w:szCs w:val="18"/>
        </w:rPr>
        <w:t>partnerships</w:t>
      </w:r>
      <w:r>
        <w:rPr>
          <w:sz w:val="18"/>
          <w:szCs w:val="18"/>
        </w:rPr>
        <w:t>, but o</w:t>
      </w:r>
      <w:r w:rsidRPr="000C3BBA">
        <w:rPr>
          <w:sz w:val="18"/>
          <w:szCs w:val="18"/>
        </w:rPr>
        <w:t xml:space="preserve">ne </w:t>
      </w:r>
      <w:r>
        <w:rPr>
          <w:sz w:val="18"/>
          <w:szCs w:val="18"/>
        </w:rPr>
        <w:t>involves</w:t>
      </w:r>
      <w:r w:rsidRPr="000C3BBA">
        <w:rPr>
          <w:sz w:val="18"/>
          <w:szCs w:val="18"/>
        </w:rPr>
        <w:t xml:space="preserve"> two separate partners</w:t>
      </w:r>
      <w:r>
        <w:rPr>
          <w:sz w:val="18"/>
          <w:szCs w:val="18"/>
        </w:rPr>
        <w:t>.</w:t>
      </w:r>
    </w:p>
    <w:p w14:paraId="3C6024EF" w14:textId="06A72A3D" w:rsidR="00782DE3" w:rsidRPr="00E52360" w:rsidRDefault="0095792C" w:rsidP="0029347F">
      <w:pPr>
        <w:pStyle w:val="Heading1"/>
      </w:pPr>
      <w:bookmarkStart w:id="11" w:name="_Toc131170438"/>
      <w:r w:rsidRPr="00E52360">
        <w:t>Limitations</w:t>
      </w:r>
      <w:bookmarkEnd w:id="11"/>
    </w:p>
    <w:p w14:paraId="3BD747F8" w14:textId="77777777" w:rsidR="0033368D" w:rsidRDefault="00FB169E" w:rsidP="00ED200D">
      <w:r>
        <w:t xml:space="preserve">Each Strongim Bisnis partner is different, so the evaluation team tried to meet as many as possible to ensure a rich cross-section of information and experience. </w:t>
      </w:r>
      <w:r w:rsidR="00BF20A9">
        <w:t>However, t</w:t>
      </w:r>
      <w:r w:rsidR="002548A5">
        <w:t>ime constraints inevitably limited the range of consultations and the depth of document</w:t>
      </w:r>
      <w:r w:rsidR="003274B7">
        <w:t>ary and data</w:t>
      </w:r>
      <w:r w:rsidR="002548A5">
        <w:t xml:space="preserve"> analysis</w:t>
      </w:r>
      <w:r w:rsidR="00A56651">
        <w:t xml:space="preserve"> that were feasible</w:t>
      </w:r>
      <w:r w:rsidR="003274B7">
        <w:t xml:space="preserve">. </w:t>
      </w:r>
    </w:p>
    <w:p w14:paraId="7DA26B6F" w14:textId="4AA7A7D0" w:rsidR="002F1810" w:rsidRDefault="004B1E04" w:rsidP="00ED200D">
      <w:r>
        <w:t>Poor road conditions</w:t>
      </w:r>
      <w:r w:rsidR="006D501A">
        <w:t xml:space="preserve"> and the enthusiasm of partners</w:t>
      </w:r>
      <w:r w:rsidR="00500A00">
        <w:t xml:space="preserve"> and beneficiaries</w:t>
      </w:r>
      <w:r>
        <w:t xml:space="preserve"> </w:t>
      </w:r>
      <w:r w:rsidR="006027E2">
        <w:t>to show off</w:t>
      </w:r>
      <w:r w:rsidR="006300A4">
        <w:t xml:space="preserve"> new</w:t>
      </w:r>
      <w:r w:rsidR="006027E2">
        <w:t xml:space="preserve"> facilities and share views </w:t>
      </w:r>
      <w:r w:rsidR="007A5029">
        <w:t xml:space="preserve">meant </w:t>
      </w:r>
      <w:r w:rsidR="00500A00">
        <w:t xml:space="preserve">some visits took longer than anticipated, </w:t>
      </w:r>
      <w:r w:rsidR="00035351">
        <w:t>while</w:t>
      </w:r>
      <w:r w:rsidR="00500A00">
        <w:t xml:space="preserve"> others </w:t>
      </w:r>
      <w:r w:rsidR="00032FF7">
        <w:t xml:space="preserve">had to be </w:t>
      </w:r>
      <w:r w:rsidR="007F36B4">
        <w:t>condensed</w:t>
      </w:r>
      <w:r w:rsidR="00032FF7">
        <w:t xml:space="preserve">. </w:t>
      </w:r>
      <w:r w:rsidR="005641F3">
        <w:t xml:space="preserve">Poor weather </w:t>
      </w:r>
      <w:r w:rsidR="00F03F30">
        <w:t>on the final day</w:t>
      </w:r>
      <w:r w:rsidR="005641F3">
        <w:t xml:space="preserve"> of the Western Province visits </w:t>
      </w:r>
      <w:r w:rsidR="005B0119">
        <w:t xml:space="preserve">prevented planned follow-up with </w:t>
      </w:r>
      <w:r w:rsidR="00EA7434">
        <w:t xml:space="preserve">women’s groups involved </w:t>
      </w:r>
      <w:r w:rsidR="00BA3094">
        <w:t>in</w:t>
      </w:r>
      <w:r w:rsidR="00EA7434">
        <w:t xml:space="preserve"> plastics recycling.</w:t>
      </w:r>
      <w:r w:rsidR="00EC3E80">
        <w:t xml:space="preserve"> </w:t>
      </w:r>
      <w:r w:rsidR="000E63BF">
        <w:t>A</w:t>
      </w:r>
      <w:r w:rsidR="002B395E">
        <w:t xml:space="preserve"> </w:t>
      </w:r>
      <w:r w:rsidR="000E63BF">
        <w:t xml:space="preserve">few key partners were not able to meet with the team during the evaluation timeframe – notably </w:t>
      </w:r>
      <w:r w:rsidR="002B395E">
        <w:t>Solomon Islands Women in Business Association</w:t>
      </w:r>
      <w:r w:rsidR="000E63BF">
        <w:t xml:space="preserve"> (SIWIBA) </w:t>
      </w:r>
      <w:r w:rsidR="002B395E">
        <w:t xml:space="preserve">and San Isidro </w:t>
      </w:r>
      <w:r w:rsidR="0094746B">
        <w:t>Care Cen</w:t>
      </w:r>
      <w:r w:rsidR="000E63BF">
        <w:t>t</w:t>
      </w:r>
      <w:r w:rsidR="0094746B">
        <w:t>re</w:t>
      </w:r>
      <w:r w:rsidR="002B395E">
        <w:t>.</w:t>
      </w:r>
      <w:r w:rsidR="009812BE">
        <w:t xml:space="preserve"> </w:t>
      </w:r>
      <w:r w:rsidR="001C1B85" w:rsidRPr="001C1B85">
        <w:rPr>
          <w:i/>
          <w:iCs/>
        </w:rPr>
        <w:t>Former</w:t>
      </w:r>
      <w:r w:rsidR="001C1B85">
        <w:t xml:space="preserve"> partners engaged earlier </w:t>
      </w:r>
      <w:r w:rsidR="0029347F">
        <w:t>in</w:t>
      </w:r>
      <w:r w:rsidR="001C1B85">
        <w:t xml:space="preserve"> the program were not interviewed.</w:t>
      </w:r>
      <w:r w:rsidR="00B25AC1">
        <w:t xml:space="preserve"> </w:t>
      </w:r>
      <w:r w:rsidR="00B33CDB">
        <w:t xml:space="preserve">For the majority of partnerships, only the business owners </w:t>
      </w:r>
      <w:r w:rsidR="00722E4E">
        <w:t xml:space="preserve">themselves were interviewed, </w:t>
      </w:r>
      <w:r w:rsidR="00765291">
        <w:t xml:space="preserve">so </w:t>
      </w:r>
      <w:r w:rsidR="00B8771B">
        <w:t>exploration of e</w:t>
      </w:r>
      <w:r w:rsidR="00765291">
        <w:t>nd</w:t>
      </w:r>
      <w:r w:rsidR="007C6962">
        <w:t>-</w:t>
      </w:r>
      <w:r w:rsidR="00765291">
        <w:t>beneficiar</w:t>
      </w:r>
      <w:r w:rsidR="007C6962">
        <w:t>y</w:t>
      </w:r>
      <w:r w:rsidR="00765291">
        <w:t xml:space="preserve"> impacts </w:t>
      </w:r>
      <w:r w:rsidR="00FF7FE5">
        <w:t>is based on</w:t>
      </w:r>
      <w:r w:rsidR="00B8771B">
        <w:t xml:space="preserve"> MRM data and discussions</w:t>
      </w:r>
      <w:r w:rsidR="005373DA" w:rsidRPr="005373DA">
        <w:t xml:space="preserve"> </w:t>
      </w:r>
      <w:r w:rsidR="005373DA">
        <w:t>with a small number of group</w:t>
      </w:r>
      <w:r w:rsidR="00CD6133">
        <w:t xml:space="preserve">s </w:t>
      </w:r>
      <w:r w:rsidR="00006C9D">
        <w:t>of</w:t>
      </w:r>
      <w:r w:rsidR="00CD6133">
        <w:t xml:space="preserve"> out-growers</w:t>
      </w:r>
      <w:r w:rsidR="00006C9D">
        <w:t>, workers</w:t>
      </w:r>
      <w:r w:rsidR="00CD6133">
        <w:t xml:space="preserve"> and childcare facility users</w:t>
      </w:r>
      <w:r w:rsidR="007C6962">
        <w:t>.</w:t>
      </w:r>
      <w:r w:rsidR="00765291">
        <w:t xml:space="preserve"> </w:t>
      </w:r>
    </w:p>
    <w:p w14:paraId="3C7DA8BF" w14:textId="77777777" w:rsidR="009D2EE8" w:rsidRDefault="003A20C6" w:rsidP="00ED200D">
      <w:r>
        <w:t>The evaluation team originally intended to interrogate the MRM system in detail prior to the in-country mission</w:t>
      </w:r>
      <w:r w:rsidR="00967168">
        <w:t>,</w:t>
      </w:r>
      <w:r w:rsidR="00517FA2">
        <w:t xml:space="preserve"> to identify trends and specific issues to explore during consultations. </w:t>
      </w:r>
      <w:r w:rsidR="00E65006">
        <w:t>However t</w:t>
      </w:r>
      <w:r w:rsidR="00287827">
        <w:t xml:space="preserve">his sequencing </w:t>
      </w:r>
      <w:r w:rsidR="00E65006">
        <w:t>proved</w:t>
      </w:r>
      <w:r w:rsidR="00287827">
        <w:t xml:space="preserve"> not </w:t>
      </w:r>
      <w:r w:rsidR="00E65006">
        <w:t xml:space="preserve">to be </w:t>
      </w:r>
      <w:r w:rsidR="00287827">
        <w:t xml:space="preserve">feasible, since </w:t>
      </w:r>
      <w:r w:rsidR="00EB0EF4">
        <w:t>Strongim Bisnis</w:t>
      </w:r>
      <w:r w:rsidR="00287827">
        <w:t xml:space="preserve"> were still compiling</w:t>
      </w:r>
      <w:r w:rsidR="00517FA2">
        <w:t xml:space="preserve"> the latest data</w:t>
      </w:r>
      <w:r w:rsidR="00F10F6F">
        <w:t xml:space="preserve"> in preparation for Annual Report drafting</w:t>
      </w:r>
      <w:r w:rsidR="0034168E">
        <w:t xml:space="preserve">. </w:t>
      </w:r>
      <w:r w:rsidR="007D5291">
        <w:t>MRM</w:t>
      </w:r>
      <w:r w:rsidR="003A1159">
        <w:t xml:space="preserve"> spreadsheets</w:t>
      </w:r>
      <w:r w:rsidR="00F75694">
        <w:t xml:space="preserve"> </w:t>
      </w:r>
      <w:r w:rsidR="0034168E">
        <w:t xml:space="preserve">were </w:t>
      </w:r>
      <w:r w:rsidR="007D5291">
        <w:t xml:space="preserve">provided to the </w:t>
      </w:r>
      <w:r w:rsidR="00B36592">
        <w:t xml:space="preserve">evaluation </w:t>
      </w:r>
      <w:r w:rsidR="007D5291">
        <w:t>team</w:t>
      </w:r>
      <w:r w:rsidR="00F75694">
        <w:t xml:space="preserve"> </w:t>
      </w:r>
      <w:r w:rsidR="0057648B">
        <w:t>after leaving Solomon Islands</w:t>
      </w:r>
      <w:r w:rsidR="00982A9C">
        <w:t xml:space="preserve">, and have underpinned much of </w:t>
      </w:r>
      <w:r w:rsidR="009822AB">
        <w:t xml:space="preserve">the </w:t>
      </w:r>
      <w:r w:rsidR="00423EBE">
        <w:t>assessment that follows</w:t>
      </w:r>
      <w:r>
        <w:t xml:space="preserve">. </w:t>
      </w:r>
    </w:p>
    <w:p w14:paraId="63F77AA0" w14:textId="0BE33721" w:rsidR="002F1810" w:rsidRDefault="00F30A78" w:rsidP="00ED200D">
      <w:r>
        <w:t>Notwithstanding the limitations</w:t>
      </w:r>
      <w:r w:rsidR="009D2EE8">
        <w:t xml:space="preserve">, the </w:t>
      </w:r>
      <w:r w:rsidR="00C77FCE">
        <w:t xml:space="preserve">extensive </w:t>
      </w:r>
      <w:r w:rsidR="009D2EE8">
        <w:t xml:space="preserve">in-person consultations </w:t>
      </w:r>
      <w:r w:rsidR="003E12E7">
        <w:t>combined with</w:t>
      </w:r>
      <w:r>
        <w:t xml:space="preserve"> quantitative </w:t>
      </w:r>
      <w:r w:rsidR="006721FC">
        <w:t xml:space="preserve">analysis of </w:t>
      </w:r>
      <w:r w:rsidR="00E96CE3">
        <w:t xml:space="preserve">MRM </w:t>
      </w:r>
      <w:r>
        <w:t xml:space="preserve">data have </w:t>
      </w:r>
      <w:r w:rsidR="000759FF">
        <w:t xml:space="preserve">provided ample evidence to </w:t>
      </w:r>
      <w:r w:rsidR="00FB03DE">
        <w:t>ensure robust</w:t>
      </w:r>
      <w:r w:rsidR="000759FF">
        <w:t xml:space="preserve"> </w:t>
      </w:r>
      <w:r>
        <w:t xml:space="preserve">evaluation </w:t>
      </w:r>
      <w:r w:rsidR="00441D80">
        <w:t>findings</w:t>
      </w:r>
      <w:r w:rsidR="0082204C">
        <w:t xml:space="preserve"> </w:t>
      </w:r>
      <w:r w:rsidR="00A11582">
        <w:t xml:space="preserve">are presented </w:t>
      </w:r>
      <w:r w:rsidR="00C14DC1">
        <w:t>in this report</w:t>
      </w:r>
      <w:r w:rsidR="00441D80">
        <w:t>.</w:t>
      </w:r>
      <w:r w:rsidR="00936F53" w:rsidRPr="00936F53">
        <w:t xml:space="preserve"> </w:t>
      </w:r>
    </w:p>
    <w:p w14:paraId="07856AAF" w14:textId="77777777" w:rsidR="001B5FB6" w:rsidRDefault="001B5FB6" w:rsidP="00F67D65">
      <w:pPr>
        <w:pStyle w:val="ChapterHeading"/>
      </w:pPr>
      <w:bookmarkStart w:id="12" w:name="_Toc131170439"/>
      <w:r>
        <w:t>Findings against Key Evaluation Questions (KEQs)</w:t>
      </w:r>
      <w:bookmarkEnd w:id="12"/>
    </w:p>
    <w:p w14:paraId="4D532749" w14:textId="79DBB20E" w:rsidR="007E596E" w:rsidRDefault="001E1FCE" w:rsidP="001E1FCE">
      <w:pPr>
        <w:pStyle w:val="Heading1"/>
      </w:pPr>
      <w:bookmarkStart w:id="13" w:name="_Toc131170440"/>
      <w:r w:rsidRPr="00C044CC">
        <w:t xml:space="preserve">KEQ1: </w:t>
      </w:r>
      <w:r w:rsidR="00786F0C">
        <w:rPr>
          <w:rStyle w:val="normaltextrun"/>
        </w:rPr>
        <w:t>T</w:t>
      </w:r>
      <w:r w:rsidRPr="00C044CC">
        <w:rPr>
          <w:rStyle w:val="normaltextrun"/>
        </w:rPr>
        <w:t>o what extent were Strongim Bisnis Phase 2 End of Program Outcomes (EOPOs) achieved?</w:t>
      </w:r>
      <w:bookmarkEnd w:id="13"/>
      <w:r w:rsidRPr="00C044CC">
        <w:rPr>
          <w:rStyle w:val="normaltextrun"/>
        </w:rPr>
        <w:t xml:space="preserve"> </w:t>
      </w:r>
    </w:p>
    <w:p w14:paraId="65818E7D" w14:textId="139D7548" w:rsidR="001F2D6E" w:rsidRPr="00F7307B" w:rsidRDefault="001F2D6E" w:rsidP="001F2D6E">
      <w:r>
        <w:t xml:space="preserve">Evidence to assess KEQ1 is drawn from </w:t>
      </w:r>
      <w:r w:rsidR="00C87450">
        <w:t>the Strongim Bisnis MRM system</w:t>
      </w:r>
      <w:r w:rsidR="002D11B2">
        <w:t xml:space="preserve"> and Annual Reports, </w:t>
      </w:r>
      <w:r w:rsidR="00D90FC6">
        <w:t>supplemented by</w:t>
      </w:r>
      <w:r w:rsidR="00914349">
        <w:t xml:space="preserve"> </w:t>
      </w:r>
      <w:r w:rsidR="00072D30">
        <w:t xml:space="preserve">responses </w:t>
      </w:r>
      <w:r w:rsidR="00D90FC6">
        <w:t xml:space="preserve">from </w:t>
      </w:r>
      <w:r w:rsidR="00FB746A">
        <w:t>partners and others consulted</w:t>
      </w:r>
      <w:r w:rsidR="00FF66FC">
        <w:t xml:space="preserve"> during fieldwork.</w:t>
      </w:r>
      <w:r w:rsidR="00F145BB">
        <w:t xml:space="preserve"> </w:t>
      </w:r>
      <w:r w:rsidR="003943CC">
        <w:t>Summaries of key</w:t>
      </w:r>
      <w:r w:rsidR="003152CA">
        <w:t xml:space="preserve"> MRM system data are provided in </w:t>
      </w:r>
      <w:r w:rsidR="0024008C" w:rsidRPr="00AC7ABA">
        <w:rPr>
          <w:u w:val="single"/>
        </w:rPr>
        <w:t>Annex 5</w:t>
      </w:r>
      <w:r w:rsidR="0024008C">
        <w:t xml:space="preserve"> </w:t>
      </w:r>
      <w:r w:rsidR="00AC7ABA">
        <w:t>tables</w:t>
      </w:r>
      <w:r w:rsidR="00780121">
        <w:t>: Table 5.1</w:t>
      </w:r>
      <w:r w:rsidR="00FA0739">
        <w:t xml:space="preserve"> </w:t>
      </w:r>
      <w:r w:rsidR="00CC7F59">
        <w:t>for the overall program (Phases 1 and 2</w:t>
      </w:r>
      <w:r w:rsidR="006312CF">
        <w:t>)</w:t>
      </w:r>
      <w:r w:rsidR="00780121">
        <w:t>; Table 5.2 for actual versus planned results (Phase 2); and Table 5.3 disaggregated by sector (Phase 2)</w:t>
      </w:r>
      <w:r w:rsidR="00AC7ABA">
        <w:t>.</w:t>
      </w:r>
      <w:r w:rsidR="00A63742">
        <w:t xml:space="preserve"> </w:t>
      </w:r>
    </w:p>
    <w:p w14:paraId="11CB5767" w14:textId="672BD2BA" w:rsidR="000604CF" w:rsidRPr="003E0064" w:rsidRDefault="00B019A6" w:rsidP="003E0064">
      <w:pPr>
        <w:pStyle w:val="Heading2NOTOC"/>
        <w:rPr>
          <w:rStyle w:val="normaltextrun"/>
          <w:color w:val="414141" w:themeColor="text2" w:themeShade="BF"/>
        </w:rPr>
      </w:pPr>
      <w:bookmarkStart w:id="14" w:name="_Toc131170441"/>
      <w:r w:rsidRPr="003E0064">
        <w:rPr>
          <w:rStyle w:val="normaltextrun"/>
          <w:color w:val="414141" w:themeColor="text2" w:themeShade="BF"/>
        </w:rPr>
        <w:t>SubQ</w:t>
      </w:r>
      <w:r w:rsidR="00F618AB" w:rsidRPr="003E0064">
        <w:rPr>
          <w:rStyle w:val="normaltextrun"/>
          <w:color w:val="414141" w:themeColor="text2" w:themeShade="BF"/>
        </w:rPr>
        <w:t>1</w:t>
      </w:r>
      <w:r w:rsidR="005C3AB3" w:rsidRPr="003E0064">
        <w:rPr>
          <w:rStyle w:val="normaltextrun"/>
          <w:color w:val="414141" w:themeColor="text2" w:themeShade="BF"/>
        </w:rPr>
        <w:t>.1</w:t>
      </w:r>
      <w:r w:rsidRPr="003E0064">
        <w:rPr>
          <w:rStyle w:val="normaltextrun"/>
          <w:color w:val="414141" w:themeColor="text2" w:themeShade="BF"/>
        </w:rPr>
        <w:t xml:space="preserve">: </w:t>
      </w:r>
      <w:r w:rsidR="000604CF" w:rsidRPr="003E0064">
        <w:rPr>
          <w:rStyle w:val="normaltextrun"/>
          <w:color w:val="414141" w:themeColor="text2" w:themeShade="BF"/>
        </w:rPr>
        <w:t>To what extent were intended EOPO</w:t>
      </w:r>
      <w:r w:rsidR="00D41051" w:rsidRPr="003E0064">
        <w:rPr>
          <w:rStyle w:val="normaltextrun"/>
          <w:color w:val="414141" w:themeColor="text2" w:themeShade="BF"/>
        </w:rPr>
        <w:t>’</w:t>
      </w:r>
      <w:r w:rsidR="000604CF" w:rsidRPr="003E0064">
        <w:rPr>
          <w:rStyle w:val="normaltextrun"/>
          <w:color w:val="414141" w:themeColor="text2" w:themeShade="BF"/>
        </w:rPr>
        <w:t>s achieved?</w:t>
      </w:r>
      <w:bookmarkEnd w:id="14"/>
      <w:r w:rsidR="000604CF" w:rsidRPr="003E0064">
        <w:rPr>
          <w:rStyle w:val="normaltextrun"/>
          <w:color w:val="414141" w:themeColor="text2" w:themeShade="BF"/>
        </w:rPr>
        <w:t> </w:t>
      </w:r>
    </w:p>
    <w:p w14:paraId="6A32B272" w14:textId="0A25CADD" w:rsidR="0094608B" w:rsidRPr="0094608B" w:rsidRDefault="0094608B" w:rsidP="0094608B">
      <w:r>
        <w:t>The discussion that follows considers each of the three EOPOs in turn.</w:t>
      </w:r>
    </w:p>
    <w:p w14:paraId="322A0016" w14:textId="0094D016" w:rsidR="00555E9F" w:rsidRPr="00555E9F" w:rsidRDefault="00555E9F" w:rsidP="00CC64A9">
      <w:pPr>
        <w:pBdr>
          <w:top w:val="single" w:sz="4" w:space="1" w:color="auto"/>
          <w:left w:val="single" w:sz="4" w:space="4" w:color="auto"/>
          <w:bottom w:val="single" w:sz="4" w:space="1" w:color="auto"/>
          <w:right w:val="single" w:sz="4" w:space="4" w:color="auto"/>
        </w:pBdr>
        <w:shd w:val="clear" w:color="auto" w:fill="C4CFEF" w:themeFill="background2" w:themeFillTint="33"/>
        <w:autoSpaceDE w:val="0"/>
        <w:autoSpaceDN w:val="0"/>
        <w:adjustRightInd w:val="0"/>
        <w:spacing w:after="0" w:line="240" w:lineRule="auto"/>
      </w:pPr>
      <w:r w:rsidRPr="00555E9F">
        <w:rPr>
          <w:b/>
          <w:bCs/>
        </w:rPr>
        <w:t>EOPO1</w:t>
      </w:r>
      <w:r w:rsidRPr="00555E9F">
        <w:t>. Private sector enterprises have demonstrated potential for: increased productivity; greater</w:t>
      </w:r>
      <w:r>
        <w:t xml:space="preserve"> </w:t>
      </w:r>
      <w:r w:rsidRPr="00555E9F">
        <w:t>resilience; better risk management; increased income earning opportunities and access to</w:t>
      </w:r>
      <w:r>
        <w:t xml:space="preserve"> </w:t>
      </w:r>
      <w:r w:rsidRPr="00555E9F">
        <w:t>higher value markets; increased efficient use of assets and labour; and use of new business</w:t>
      </w:r>
      <w:r>
        <w:t xml:space="preserve"> </w:t>
      </w:r>
      <w:r w:rsidRPr="00555E9F">
        <w:t xml:space="preserve">models that promote increased employment, </w:t>
      </w:r>
      <w:r w:rsidR="00782DE3" w:rsidRPr="00555E9F">
        <w:t>income,</w:t>
      </w:r>
      <w:r w:rsidRPr="00555E9F">
        <w:t xml:space="preserve"> and </w:t>
      </w:r>
      <w:r w:rsidR="00782DE3" w:rsidRPr="00555E9F">
        <w:t>trade.</w:t>
      </w:r>
    </w:p>
    <w:p w14:paraId="680B1932" w14:textId="73A0F1D3" w:rsidR="001F7C67" w:rsidRDefault="00AF3AA4" w:rsidP="001F7C67">
      <w:pPr>
        <w:pStyle w:val="Heading3"/>
      </w:pPr>
      <w:r>
        <w:t xml:space="preserve">EOPO1: </w:t>
      </w:r>
      <w:r w:rsidR="001F7C67">
        <w:t>MRM data and annual reports</w:t>
      </w:r>
    </w:p>
    <w:p w14:paraId="7C476C5D" w14:textId="57C5ECB2" w:rsidR="00C92934" w:rsidRDefault="00150613" w:rsidP="004C13C5">
      <w:r>
        <w:t xml:space="preserve">The MRM system </w:t>
      </w:r>
      <w:r w:rsidR="00722360">
        <w:t xml:space="preserve">common </w:t>
      </w:r>
      <w:r>
        <w:t xml:space="preserve">indicators </w:t>
      </w:r>
      <w:r w:rsidR="00C04FC3">
        <w:t>used to assess</w:t>
      </w:r>
      <w:r>
        <w:t xml:space="preserve"> EOPO1 are</w:t>
      </w:r>
      <w:r w:rsidR="00035CA3">
        <w:t xml:space="preserve"> listed in Table </w:t>
      </w:r>
      <w:r w:rsidR="00A050F7">
        <w:t>3</w:t>
      </w:r>
      <w:r w:rsidR="00035CA3">
        <w:t xml:space="preserve"> below, along with </w:t>
      </w:r>
      <w:r w:rsidR="00AC4B75">
        <w:t>total results reported for</w:t>
      </w:r>
      <w:r w:rsidR="006F5EE6">
        <w:t xml:space="preserve"> 2021 and 2022.</w:t>
      </w:r>
      <w:r w:rsidR="00A1711C">
        <w:t xml:space="preserve"> In absolute terms, </w:t>
      </w:r>
      <w:r w:rsidR="00E54DDB">
        <w:t xml:space="preserve">positive results </w:t>
      </w:r>
      <w:r w:rsidR="00A0543C">
        <w:t>have been</w:t>
      </w:r>
      <w:r w:rsidR="00E54DDB">
        <w:t xml:space="preserve"> achieved across all </w:t>
      </w:r>
      <w:r w:rsidR="00DC0778">
        <w:t>1</w:t>
      </w:r>
      <w:r w:rsidR="004019B7">
        <w:t>7</w:t>
      </w:r>
      <w:r w:rsidR="00DC0778">
        <w:t xml:space="preserve"> </w:t>
      </w:r>
      <w:r w:rsidR="009B1F6D">
        <w:t xml:space="preserve">EOPO1 </w:t>
      </w:r>
      <w:r w:rsidR="004019B7">
        <w:t>indicators</w:t>
      </w:r>
      <w:r w:rsidR="009B1F6D">
        <w:t xml:space="preserve">. </w:t>
      </w:r>
      <w:r w:rsidR="00A562DC">
        <w:t>The income of n</w:t>
      </w:r>
      <w:r w:rsidR="00DB723E">
        <w:t xml:space="preserve">early 500 households and small enterprises </w:t>
      </w:r>
      <w:r w:rsidR="00A562DC">
        <w:t>increased</w:t>
      </w:r>
      <w:r w:rsidR="00562930">
        <w:t xml:space="preserve"> by a total of </w:t>
      </w:r>
      <w:r w:rsidR="00C11FFF">
        <w:t>over AUD435,000.</w:t>
      </w:r>
      <w:r w:rsidR="00A562DC">
        <w:t xml:space="preserve"> </w:t>
      </w:r>
      <w:r w:rsidR="00B73ED0">
        <w:t>Strongim Bisnis interventions leveraged over AUD1.12</w:t>
      </w:r>
      <w:r w:rsidR="00F61565">
        <w:t xml:space="preserve"> million</w:t>
      </w:r>
      <w:r w:rsidR="002D6EED">
        <w:t xml:space="preserve">, </w:t>
      </w:r>
      <w:r w:rsidR="00841962">
        <w:t xml:space="preserve">sales of </w:t>
      </w:r>
      <w:r w:rsidR="3EC8C44C">
        <w:t>value-added</w:t>
      </w:r>
      <w:r w:rsidR="00841962">
        <w:t xml:space="preserve"> products increased by nearly AUD1 million, and </w:t>
      </w:r>
      <w:r w:rsidR="007B3F26">
        <w:t>exports valued at over AUD340,000 were facilitated.</w:t>
      </w:r>
      <w:r w:rsidR="002D6EED">
        <w:t xml:space="preserve"> </w:t>
      </w:r>
      <w:r w:rsidR="00231D14">
        <w:t xml:space="preserve">Despite </w:t>
      </w:r>
      <w:r w:rsidR="00BB7507">
        <w:t>the</w:t>
      </w:r>
      <w:r w:rsidR="00231D14">
        <w:t xml:space="preserve"> international border</w:t>
      </w:r>
      <w:r w:rsidR="00800FD9" w:rsidRPr="00800FD9">
        <w:t xml:space="preserve"> </w:t>
      </w:r>
      <w:r w:rsidR="00800FD9">
        <w:t>closure</w:t>
      </w:r>
      <w:r w:rsidR="00231D14">
        <w:t xml:space="preserve">, </w:t>
      </w:r>
      <w:r w:rsidR="005B11B7">
        <w:t xml:space="preserve">tourism sector interventions </w:t>
      </w:r>
      <w:r w:rsidR="000634DC">
        <w:t xml:space="preserve">managed to tap the hitherto neglected </w:t>
      </w:r>
      <w:r w:rsidR="00B353EF">
        <w:t xml:space="preserve">domestic tourism market, </w:t>
      </w:r>
      <w:r w:rsidR="003E55BA">
        <w:t xml:space="preserve">helping save </w:t>
      </w:r>
      <w:r w:rsidR="00A335BB">
        <w:t xml:space="preserve">jobs </w:t>
      </w:r>
      <w:r w:rsidR="00294E91">
        <w:t>(and even creat</w:t>
      </w:r>
      <w:r w:rsidR="001E66D1">
        <w:t>ing</w:t>
      </w:r>
      <w:r w:rsidR="00294E91">
        <w:t xml:space="preserve"> a few new ones), and </w:t>
      </w:r>
      <w:r w:rsidR="00535C3D">
        <w:t xml:space="preserve">enabling </w:t>
      </w:r>
      <w:r w:rsidR="00293B13">
        <w:t xml:space="preserve">over </w:t>
      </w:r>
      <w:r w:rsidR="00E06E38">
        <w:t xml:space="preserve">1100 </w:t>
      </w:r>
      <w:r w:rsidR="00BC278B">
        <w:t>visit</w:t>
      </w:r>
      <w:r w:rsidR="00556749">
        <w:t>or</w:t>
      </w:r>
      <w:r w:rsidR="00293B13">
        <w:t>s to tourist sites</w:t>
      </w:r>
      <w:r w:rsidR="00556749">
        <w:t xml:space="preserve"> </w:t>
      </w:r>
      <w:r w:rsidR="00586B4C">
        <w:t xml:space="preserve">over the </w:t>
      </w:r>
      <w:r w:rsidR="1B9F2591">
        <w:t>two-year</w:t>
      </w:r>
      <w:r w:rsidR="00586B4C">
        <w:t xml:space="preserve"> period.</w:t>
      </w:r>
    </w:p>
    <w:p w14:paraId="4FB6C49D" w14:textId="58566E0E" w:rsidR="00775A97" w:rsidRDefault="006B22DE" w:rsidP="008D28C2">
      <w:pPr>
        <w:spacing w:before="240"/>
        <w:rPr>
          <w:lang w:val="en-US"/>
        </w:rPr>
      </w:pPr>
      <w:r>
        <w:t xml:space="preserve">While </w:t>
      </w:r>
      <w:r w:rsidR="00315B64">
        <w:t xml:space="preserve">targets were not set for the EOPO </w:t>
      </w:r>
      <w:r w:rsidR="006C28F8">
        <w:t>indicators</w:t>
      </w:r>
      <w:r w:rsidR="00F03BC8" w:rsidRPr="00F03BC8">
        <w:t xml:space="preserve"> </w:t>
      </w:r>
      <w:r w:rsidR="00F03BC8">
        <w:t>at overall program or phase level</w:t>
      </w:r>
      <w:r w:rsidR="006C28F8">
        <w:t xml:space="preserve">, </w:t>
      </w:r>
      <w:r w:rsidR="00A0543C">
        <w:t xml:space="preserve">annual </w:t>
      </w:r>
      <w:r w:rsidR="00C214BC">
        <w:t xml:space="preserve">targets are set for </w:t>
      </w:r>
      <w:r w:rsidR="006E2E5A">
        <w:t xml:space="preserve">many indicators </w:t>
      </w:r>
      <w:r w:rsidR="00DF3DCE">
        <w:t>as part of the annual planning process</w:t>
      </w:r>
      <w:r w:rsidR="00FB2CEF">
        <w:rPr>
          <w:rStyle w:val="FootnoteReference"/>
        </w:rPr>
        <w:footnoteReference w:id="8"/>
      </w:r>
      <w:r w:rsidR="00FB2CEF">
        <w:t>.</w:t>
      </w:r>
      <w:r w:rsidR="00DF3DCE">
        <w:t xml:space="preserve"> </w:t>
      </w:r>
      <w:r w:rsidR="008B266E">
        <w:t>T</w:t>
      </w:r>
      <w:r w:rsidR="00315901">
        <w:t>he results for 2021 and 2022 against the respective annual targets for those years</w:t>
      </w:r>
      <w:r w:rsidR="008B266E">
        <w:t xml:space="preserve"> are summarised in Table </w:t>
      </w:r>
      <w:r w:rsidR="00142F07">
        <w:t>3</w:t>
      </w:r>
      <w:r w:rsidR="008B266E">
        <w:t xml:space="preserve"> and provided in more detail in</w:t>
      </w:r>
      <w:r w:rsidR="00F5556F">
        <w:t xml:space="preserve"> </w:t>
      </w:r>
      <w:r w:rsidR="008B266E">
        <w:t>Table A5.2 (</w:t>
      </w:r>
      <w:r w:rsidR="008B266E" w:rsidRPr="006B0499">
        <w:rPr>
          <w:u w:val="single"/>
        </w:rPr>
        <w:t>Annex 5</w:t>
      </w:r>
      <w:r w:rsidR="008B266E">
        <w:t xml:space="preserve">). </w:t>
      </w:r>
      <w:r w:rsidR="004828F7">
        <w:t>Th</w:t>
      </w:r>
      <w:r w:rsidR="008B266E">
        <w:t>e figures</w:t>
      </w:r>
      <w:r w:rsidR="004828F7">
        <w:t xml:space="preserve"> show a mixed picture </w:t>
      </w:r>
      <w:r w:rsidR="001E6DAC">
        <w:t xml:space="preserve">both across years and across </w:t>
      </w:r>
      <w:r w:rsidR="00A25538">
        <w:t xml:space="preserve">target </w:t>
      </w:r>
      <w:r w:rsidR="001E6DAC">
        <w:t xml:space="preserve">indicators. In 2021, </w:t>
      </w:r>
      <w:r w:rsidR="00621DAF">
        <w:t xml:space="preserve">results were below target on </w:t>
      </w:r>
      <w:r w:rsidR="007C2503">
        <w:t>6</w:t>
      </w:r>
      <w:r w:rsidR="00164671">
        <w:t xml:space="preserve"> of the 1</w:t>
      </w:r>
      <w:r w:rsidR="0052705E">
        <w:t>3 target</w:t>
      </w:r>
      <w:r w:rsidR="00164671">
        <w:t xml:space="preserve"> indicators</w:t>
      </w:r>
      <w:r w:rsidR="00B0661F">
        <w:t xml:space="preserve"> relevant to EOPO1</w:t>
      </w:r>
      <w:r w:rsidR="00437CB2">
        <w:t xml:space="preserve"> </w:t>
      </w:r>
      <w:r w:rsidR="0053187C">
        <w:t>–</w:t>
      </w:r>
      <w:r w:rsidR="00437CB2">
        <w:t xml:space="preserve"> </w:t>
      </w:r>
      <w:r w:rsidR="0053187C">
        <w:t xml:space="preserve">reflecting </w:t>
      </w:r>
      <w:r w:rsidR="00F94CEE">
        <w:t>significant disruptions</w:t>
      </w:r>
      <w:r w:rsidR="00A41BE3">
        <w:t xml:space="preserve"> associated with COVID-19</w:t>
      </w:r>
      <w:r w:rsidR="00927108">
        <w:t xml:space="preserve"> and the </w:t>
      </w:r>
      <w:r w:rsidR="00455C54">
        <w:t>riots</w:t>
      </w:r>
      <w:r w:rsidR="00927108">
        <w:t xml:space="preserve"> in </w:t>
      </w:r>
      <w:r w:rsidR="00455C54">
        <w:t>Honiara</w:t>
      </w:r>
      <w:r w:rsidR="00927108">
        <w:t xml:space="preserve"> in November 2021</w:t>
      </w:r>
      <w:r w:rsidR="00BE59E6">
        <w:t xml:space="preserve">, </w:t>
      </w:r>
      <w:r w:rsidR="000C13AC">
        <w:t>associated with</w:t>
      </w:r>
      <w:r w:rsidR="00BE59E6">
        <w:t xml:space="preserve"> delayed reporting from several investments</w:t>
      </w:r>
      <w:r w:rsidR="00A41BE3">
        <w:t>.</w:t>
      </w:r>
      <w:r w:rsidR="0011352C">
        <w:t xml:space="preserve"> </w:t>
      </w:r>
      <w:r w:rsidR="00F94CEE">
        <w:t xml:space="preserve">The </w:t>
      </w:r>
      <w:r w:rsidR="00BD6C34">
        <w:t>Annual Report for 2021 desc</w:t>
      </w:r>
      <w:r w:rsidR="00931954">
        <w:t>ribes the year as</w:t>
      </w:r>
      <w:r w:rsidR="00BD6C34">
        <w:t xml:space="preserve"> </w:t>
      </w:r>
      <w:r w:rsidR="008D28C2">
        <w:t>‘</w:t>
      </w:r>
      <w:r w:rsidR="008D28C2" w:rsidRPr="00B62D64">
        <w:rPr>
          <w:lang w:val="en-US"/>
        </w:rPr>
        <w:t>one of the toughest on record</w:t>
      </w:r>
      <w:r w:rsidR="008D28C2">
        <w:rPr>
          <w:lang w:val="en-US"/>
        </w:rPr>
        <w:t>’</w:t>
      </w:r>
      <w:r w:rsidR="008D28C2" w:rsidRPr="00B62D64">
        <w:rPr>
          <w:lang w:val="en-US"/>
        </w:rPr>
        <w:t xml:space="preserve"> for </w:t>
      </w:r>
      <w:r w:rsidR="000C0E79">
        <w:rPr>
          <w:lang w:val="en-US"/>
        </w:rPr>
        <w:t>micro and small-medium enterprises (</w:t>
      </w:r>
      <w:r w:rsidR="008D28C2" w:rsidRPr="00B62D64">
        <w:rPr>
          <w:lang w:val="en-US"/>
        </w:rPr>
        <w:t>MSMEs</w:t>
      </w:r>
      <w:r w:rsidR="000C0E79">
        <w:rPr>
          <w:lang w:val="en-US"/>
        </w:rPr>
        <w:t xml:space="preserve">) in Solomon </w:t>
      </w:r>
      <w:r w:rsidR="0EB18A65">
        <w:rPr>
          <w:lang w:val="en-US"/>
        </w:rPr>
        <w:t>Islands and</w:t>
      </w:r>
      <w:r w:rsidR="00F9671C">
        <w:rPr>
          <w:lang w:val="en-US"/>
        </w:rPr>
        <w:t xml:space="preserve"> suggests that </w:t>
      </w:r>
      <w:r w:rsidR="00DC4CC9">
        <w:rPr>
          <w:lang w:val="en-US"/>
        </w:rPr>
        <w:t xml:space="preserve">the willingness of private sector partners to </w:t>
      </w:r>
      <w:r w:rsidR="0031337F">
        <w:rPr>
          <w:lang w:val="en-US"/>
        </w:rPr>
        <w:t xml:space="preserve">sign on with Strongim Bisnis </w:t>
      </w:r>
      <w:r w:rsidR="00F23024">
        <w:rPr>
          <w:lang w:val="en-US"/>
        </w:rPr>
        <w:t>should be seen as</w:t>
      </w:r>
      <w:r w:rsidR="00F23F07">
        <w:rPr>
          <w:lang w:val="en-US"/>
        </w:rPr>
        <w:t xml:space="preserve"> </w:t>
      </w:r>
      <w:r w:rsidR="000A5B52">
        <w:rPr>
          <w:lang w:val="en-US"/>
        </w:rPr>
        <w:t>evidence</w:t>
      </w:r>
      <w:r w:rsidR="00BC4BBC">
        <w:rPr>
          <w:lang w:val="en-US"/>
        </w:rPr>
        <w:t xml:space="preserve"> </w:t>
      </w:r>
      <w:r w:rsidR="009B5ED2">
        <w:rPr>
          <w:lang w:val="en-US"/>
        </w:rPr>
        <w:t>that</w:t>
      </w:r>
      <w:r w:rsidR="00BC4BBC">
        <w:rPr>
          <w:lang w:val="en-US"/>
        </w:rPr>
        <w:t xml:space="preserve"> </w:t>
      </w:r>
      <w:r w:rsidR="005575C0">
        <w:rPr>
          <w:lang w:val="en-US"/>
        </w:rPr>
        <w:t>the program</w:t>
      </w:r>
      <w:r w:rsidR="009B5ED2">
        <w:rPr>
          <w:lang w:val="en-US"/>
        </w:rPr>
        <w:t xml:space="preserve"> remained</w:t>
      </w:r>
      <w:r w:rsidR="005575C0">
        <w:rPr>
          <w:lang w:val="en-US"/>
        </w:rPr>
        <w:t xml:space="preserve"> effective despite the </w:t>
      </w:r>
      <w:r w:rsidR="00F23024">
        <w:rPr>
          <w:lang w:val="en-US"/>
        </w:rPr>
        <w:t>many</w:t>
      </w:r>
      <w:r w:rsidR="00402ABE">
        <w:rPr>
          <w:lang w:val="en-US"/>
        </w:rPr>
        <w:t xml:space="preserve"> challenges.</w:t>
      </w:r>
      <w:r w:rsidR="00422E8E">
        <w:rPr>
          <w:lang w:val="en-US"/>
        </w:rPr>
        <w:t xml:space="preserve"> During 2021, </w:t>
      </w:r>
      <w:r w:rsidR="00D67D39">
        <w:rPr>
          <w:lang w:val="en-US"/>
        </w:rPr>
        <w:t>new agreements were signed with sixteen existing partners and eight new ones.</w:t>
      </w:r>
    </w:p>
    <w:p w14:paraId="32E319BB" w14:textId="4520E8B0" w:rsidR="006E1F5C" w:rsidRDefault="007A599E" w:rsidP="004C13C5">
      <w:r>
        <w:t>In 2021, t</w:t>
      </w:r>
      <w:r w:rsidR="00EF589A">
        <w:t xml:space="preserve">he </w:t>
      </w:r>
      <w:r w:rsidR="00DA16CD">
        <w:t xml:space="preserve">lowest </w:t>
      </w:r>
      <w:r w:rsidR="009037DC">
        <w:t xml:space="preserve">ratio of </w:t>
      </w:r>
      <w:r w:rsidR="009F4FD1">
        <w:t xml:space="preserve">actual to expected </w:t>
      </w:r>
      <w:r>
        <w:t>results</w:t>
      </w:r>
      <w:r w:rsidR="009F4FD1">
        <w:t xml:space="preserve"> </w:t>
      </w:r>
      <w:r w:rsidR="002A2167">
        <w:t xml:space="preserve">was </w:t>
      </w:r>
      <w:r w:rsidR="00CB36AF">
        <w:t xml:space="preserve">on </w:t>
      </w:r>
      <w:r w:rsidR="00D70A51">
        <w:t>improved</w:t>
      </w:r>
      <w:r w:rsidR="00D122F9">
        <w:t xml:space="preserve"> </w:t>
      </w:r>
      <w:r w:rsidR="00AF2BB0">
        <w:t xml:space="preserve">access </w:t>
      </w:r>
      <w:r w:rsidR="00D70A51">
        <w:t>to markets and information</w:t>
      </w:r>
      <w:r w:rsidR="00AF2BB0">
        <w:t xml:space="preserve"> (</w:t>
      </w:r>
      <w:r w:rsidR="00297904">
        <w:t>31</w:t>
      </w:r>
      <w:r w:rsidR="00EF4E79">
        <w:t>%</w:t>
      </w:r>
      <w:r w:rsidR="007D3C26">
        <w:t xml:space="preserve"> of target</w:t>
      </w:r>
      <w:r w:rsidR="00EF4E79">
        <w:t>)</w:t>
      </w:r>
      <w:r w:rsidR="00D96EFA">
        <w:t xml:space="preserve">. </w:t>
      </w:r>
      <w:r w:rsidR="0011352C">
        <w:t xml:space="preserve">Despite the difficult environment, </w:t>
      </w:r>
      <w:r w:rsidR="00EF1661">
        <w:t xml:space="preserve">results </w:t>
      </w:r>
      <w:r w:rsidR="00DC2F88">
        <w:t xml:space="preserve">met or exceeded expectations </w:t>
      </w:r>
      <w:r w:rsidR="00597B30">
        <w:t xml:space="preserve">for the remaining </w:t>
      </w:r>
      <w:r w:rsidR="00297904">
        <w:t>7</w:t>
      </w:r>
      <w:r w:rsidR="00597B30">
        <w:t xml:space="preserve"> </w:t>
      </w:r>
      <w:r w:rsidR="00932B4E">
        <w:t>targets</w:t>
      </w:r>
      <w:r w:rsidR="00E569DD">
        <w:t xml:space="preserve"> </w:t>
      </w:r>
      <w:r w:rsidR="007578A5">
        <w:t xml:space="preserve">– notably </w:t>
      </w:r>
      <w:r w:rsidR="00147591">
        <w:t xml:space="preserve">the value of sales of </w:t>
      </w:r>
      <w:r w:rsidR="3D4AED7F">
        <w:t>value-added</w:t>
      </w:r>
      <w:r w:rsidR="00147591">
        <w:t xml:space="preserve"> products (nearly six times the target), and </w:t>
      </w:r>
      <w:r w:rsidR="00A03558">
        <w:t>the number of recipients of capacity building support</w:t>
      </w:r>
      <w:r w:rsidR="00C102BC">
        <w:t xml:space="preserve"> </w:t>
      </w:r>
      <w:r w:rsidR="002232CF">
        <w:t>(</w:t>
      </w:r>
      <w:r w:rsidR="00244168">
        <w:t>over three times</w:t>
      </w:r>
      <w:r w:rsidR="00026F36">
        <w:t xml:space="preserve"> the target)</w:t>
      </w:r>
      <w:r w:rsidR="00A4137F">
        <w:t>.</w:t>
      </w:r>
      <w:r w:rsidR="00C355AD">
        <w:t xml:space="preserve"> </w:t>
      </w:r>
      <w:r w:rsidR="00B14D22">
        <w:t xml:space="preserve">The target for the </w:t>
      </w:r>
      <w:r w:rsidR="0076659F">
        <w:t>former</w:t>
      </w:r>
      <w:r w:rsidR="00B14D22">
        <w:t xml:space="preserve"> was raised </w:t>
      </w:r>
      <w:r w:rsidR="00DD71F9">
        <w:t xml:space="preserve">substantially </w:t>
      </w:r>
      <w:r w:rsidR="00B14D22">
        <w:t>in</w:t>
      </w:r>
      <w:r w:rsidR="00AB5AF2">
        <w:t xml:space="preserve"> 2022, and </w:t>
      </w:r>
      <w:r w:rsidR="00063804">
        <w:t>again exceeded</w:t>
      </w:r>
      <w:r w:rsidR="00DA3A5A">
        <w:t xml:space="preserve">. </w:t>
      </w:r>
    </w:p>
    <w:p w14:paraId="61FB9BC2" w14:textId="7C1B1B33" w:rsidR="00804A3C" w:rsidRDefault="0064427E" w:rsidP="004C13C5">
      <w:r>
        <w:t xml:space="preserve">Annual report narrative is not yet available for 2022, but </w:t>
      </w:r>
      <w:r w:rsidR="00174080">
        <w:t xml:space="preserve">the international border was closed for several months and </w:t>
      </w:r>
      <w:r w:rsidR="009A1A9B">
        <w:t>economic conditions remained precarious.</w:t>
      </w:r>
      <w:r w:rsidR="00DE092B">
        <w:t xml:space="preserve"> Despite this, j</w:t>
      </w:r>
      <w:r w:rsidR="00E73970">
        <w:t xml:space="preserve">ust </w:t>
      </w:r>
      <w:r w:rsidR="00D649ED">
        <w:t>three</w:t>
      </w:r>
      <w:r w:rsidR="00E73970">
        <w:t xml:space="preserve"> EOPO1 target</w:t>
      </w:r>
      <w:r w:rsidR="000D6A16">
        <w:t xml:space="preserve"> indicators </w:t>
      </w:r>
      <w:r w:rsidR="00E73970">
        <w:t>were under-achieved</w:t>
      </w:r>
      <w:r w:rsidR="004C13C5">
        <w:t xml:space="preserve"> in 2022</w:t>
      </w:r>
      <w:r w:rsidR="007D3BC1">
        <w:t xml:space="preserve"> – </w:t>
      </w:r>
      <w:r w:rsidR="00D649ED">
        <w:t>two</w:t>
      </w:r>
      <w:r w:rsidR="007D3BC1">
        <w:t xml:space="preserve"> </w:t>
      </w:r>
      <w:r w:rsidR="00266884">
        <w:t>of them</w:t>
      </w:r>
      <w:r w:rsidR="007D3BC1">
        <w:t xml:space="preserve"> pertaining to </w:t>
      </w:r>
      <w:r w:rsidR="001227E9">
        <w:t>adoption of improved business practices</w:t>
      </w:r>
      <w:r w:rsidR="00D234A4">
        <w:t>, which also under-performed in 2021.</w:t>
      </w:r>
      <w:r w:rsidR="00163AC5">
        <w:t xml:space="preserve"> </w:t>
      </w:r>
      <w:r w:rsidR="00266884" w:rsidRPr="0008289F">
        <w:t xml:space="preserve">Only 14% of an ambitious </w:t>
      </w:r>
      <w:r w:rsidR="00453523" w:rsidRPr="0008289F">
        <w:t xml:space="preserve">2022 </w:t>
      </w:r>
      <w:r w:rsidR="00266884" w:rsidRPr="0008289F">
        <w:t xml:space="preserve">target for export facilitation (#9) was achieved – </w:t>
      </w:r>
      <w:r w:rsidR="00905255">
        <w:t>with the</w:t>
      </w:r>
      <w:r w:rsidR="00266884" w:rsidRPr="0008289F">
        <w:t xml:space="preserve"> actual result dropp</w:t>
      </w:r>
      <w:r w:rsidR="00905255">
        <w:t>ing</w:t>
      </w:r>
      <w:r w:rsidR="00266884" w:rsidRPr="0008289F">
        <w:t xml:space="preserve"> below the 2021 </w:t>
      </w:r>
      <w:r w:rsidR="00905255">
        <w:t>figure</w:t>
      </w:r>
      <w:r w:rsidR="00266884" w:rsidRPr="0008289F">
        <w:t xml:space="preserve">. </w:t>
      </w:r>
      <w:r w:rsidR="00A74707">
        <w:t xml:space="preserve">Given the </w:t>
      </w:r>
      <w:r w:rsidR="00D97DAD">
        <w:t>many</w:t>
      </w:r>
      <w:r w:rsidR="00A74707">
        <w:t xml:space="preserve"> additional partnerships signed in 2021 (24), it is perhaps unsurprising that t</w:t>
      </w:r>
      <w:r w:rsidR="00E76777">
        <w:t>he c</w:t>
      </w:r>
      <w:r w:rsidR="00FC54F8">
        <w:t xml:space="preserve">apacity-building </w:t>
      </w:r>
      <w:r w:rsidR="0044189C">
        <w:t>target</w:t>
      </w:r>
      <w:r w:rsidR="00C50DDE">
        <w:t xml:space="preserve"> </w:t>
      </w:r>
      <w:r w:rsidR="00E9319E">
        <w:t>again exceeded expectations in 2022.</w:t>
      </w:r>
    </w:p>
    <w:p w14:paraId="5858631F" w14:textId="42D5E4FC" w:rsidR="00861492" w:rsidRDefault="00861492" w:rsidP="004C13C5">
      <w:r>
        <w:t xml:space="preserve">The </w:t>
      </w:r>
      <w:r w:rsidR="00943C86">
        <w:t xml:space="preserve">disruptions of COVID-19 and civil unrest have doubtless made it challenging to set </w:t>
      </w:r>
      <w:r w:rsidR="002016F2">
        <w:t xml:space="preserve">realistic targets during Phase 2. </w:t>
      </w:r>
      <w:r w:rsidR="60528AC5">
        <w:t>However,</w:t>
      </w:r>
      <w:r w:rsidR="007C7353">
        <w:t xml:space="preserve"> the overall picture that emerges </w:t>
      </w:r>
      <w:r w:rsidR="00D41CFC">
        <w:t xml:space="preserve">from </w:t>
      </w:r>
      <w:r w:rsidR="000A2377">
        <w:t xml:space="preserve">the </w:t>
      </w:r>
      <w:r w:rsidR="00574945">
        <w:t>results data</w:t>
      </w:r>
      <w:r w:rsidR="00D41CFC">
        <w:t xml:space="preserve"> </w:t>
      </w:r>
      <w:r w:rsidR="007C7353">
        <w:t xml:space="preserve">is that </w:t>
      </w:r>
      <w:r w:rsidR="003A2231">
        <w:t xml:space="preserve">it has proven easier to meet expectations for </w:t>
      </w:r>
      <w:r w:rsidR="00C967FC">
        <w:t xml:space="preserve">output indicators – such as </w:t>
      </w:r>
      <w:r w:rsidR="00993DE1">
        <w:t>delivery of capacity building</w:t>
      </w:r>
      <w:r w:rsidR="00DC0CB4">
        <w:t xml:space="preserve">, </w:t>
      </w:r>
      <w:r w:rsidR="00902BF2">
        <w:t>communications and events</w:t>
      </w:r>
      <w:r w:rsidR="003A2231">
        <w:t xml:space="preserve"> –</w:t>
      </w:r>
      <w:r w:rsidR="00993DE1">
        <w:t xml:space="preserve"> </w:t>
      </w:r>
      <w:r w:rsidR="00D41CFC">
        <w:t xml:space="preserve">than </w:t>
      </w:r>
      <w:r w:rsidR="003A2231">
        <w:t>for</w:t>
      </w:r>
      <w:r w:rsidR="0044461E">
        <w:t xml:space="preserve"> </w:t>
      </w:r>
      <w:r w:rsidR="009C5FCC">
        <w:t xml:space="preserve">more complex </w:t>
      </w:r>
      <w:r w:rsidR="002434CB">
        <w:t xml:space="preserve">intermediate </w:t>
      </w:r>
      <w:r w:rsidR="009C5FCC">
        <w:t xml:space="preserve">outcomes such as adoption of improved </w:t>
      </w:r>
      <w:r w:rsidR="002434CB">
        <w:t>business practices.</w:t>
      </w:r>
      <w:r w:rsidR="006509FD">
        <w:t xml:space="preserve"> </w:t>
      </w:r>
      <w:r w:rsidR="008476A5">
        <w:t xml:space="preserve">This </w:t>
      </w:r>
      <w:r w:rsidR="00604189">
        <w:t>may also</w:t>
      </w:r>
      <w:r w:rsidR="008476A5">
        <w:t xml:space="preserve"> reflect the early stage of many of the partnerships. </w:t>
      </w:r>
      <w:r w:rsidR="006509FD">
        <w:t xml:space="preserve">Nevertheless, the strong showing on </w:t>
      </w:r>
      <w:r w:rsidR="0045162D">
        <w:t>value addition</w:t>
      </w:r>
      <w:r w:rsidR="00B81D45">
        <w:t>,</w:t>
      </w:r>
      <w:r w:rsidR="00351A1F">
        <w:t xml:space="preserve"> derived </w:t>
      </w:r>
      <w:r w:rsidR="004A065B">
        <w:t xml:space="preserve">primarily from the </w:t>
      </w:r>
      <w:r w:rsidR="00D443FD">
        <w:t xml:space="preserve">coconut, </w:t>
      </w:r>
      <w:r w:rsidR="0055019F">
        <w:t>t</w:t>
      </w:r>
      <w:r w:rsidR="00D443FD">
        <w:t>ourism, timber and coc</w:t>
      </w:r>
      <w:r w:rsidR="0055019F">
        <w:t xml:space="preserve">oa sectors </w:t>
      </w:r>
      <w:r w:rsidR="009D4505">
        <w:t>(see Table A5.3)</w:t>
      </w:r>
      <w:r w:rsidR="005377F3">
        <w:t xml:space="preserve">, </w:t>
      </w:r>
      <w:r w:rsidR="00537F5C">
        <w:t xml:space="preserve">is </w:t>
      </w:r>
      <w:r w:rsidR="006E5276">
        <w:t xml:space="preserve">an important measure of success </w:t>
      </w:r>
      <w:r w:rsidR="007565FB">
        <w:t>for Strongim Bisnis.</w:t>
      </w:r>
    </w:p>
    <w:p w14:paraId="03BCC6D9" w14:textId="0293A25B" w:rsidR="00B15EE2" w:rsidRPr="003F492E" w:rsidRDefault="00B15EE2" w:rsidP="003F492E">
      <w:pPr>
        <w:pStyle w:val="Caption"/>
        <w:keepNext/>
        <w:rPr>
          <w:sz w:val="20"/>
          <w:szCs w:val="20"/>
        </w:rPr>
      </w:pPr>
      <w:r w:rsidRPr="003F492E">
        <w:rPr>
          <w:sz w:val="20"/>
          <w:szCs w:val="20"/>
        </w:rPr>
        <w:t xml:space="preserve">Table </w:t>
      </w:r>
      <w:r w:rsidR="005605DB" w:rsidRPr="003F492E">
        <w:rPr>
          <w:sz w:val="20"/>
          <w:szCs w:val="20"/>
        </w:rPr>
        <w:t>3</w:t>
      </w:r>
      <w:r w:rsidRPr="003F492E">
        <w:rPr>
          <w:sz w:val="20"/>
          <w:szCs w:val="20"/>
        </w:rPr>
        <w:t>: EOPO1 Indicators and Phase 2 Results</w:t>
      </w:r>
    </w:p>
    <w:tbl>
      <w:tblPr>
        <w:tblW w:w="5000" w:type="pct"/>
        <w:tblLayout w:type="fixed"/>
        <w:tblCellMar>
          <w:bottom w:w="28" w:type="dxa"/>
        </w:tblCellMar>
        <w:tblLook w:val="04A0" w:firstRow="1" w:lastRow="0" w:firstColumn="1" w:lastColumn="0" w:noHBand="0" w:noVBand="1"/>
      </w:tblPr>
      <w:tblGrid>
        <w:gridCol w:w="565"/>
        <w:gridCol w:w="564"/>
        <w:gridCol w:w="5953"/>
        <w:gridCol w:w="1135"/>
        <w:gridCol w:w="707"/>
        <w:gridCol w:w="709"/>
      </w:tblGrid>
      <w:tr w:rsidR="009B5777" w:rsidRPr="00B15EE2" w14:paraId="1E097C42" w14:textId="74B268B4" w:rsidTr="00CD63CE">
        <w:trPr>
          <w:trHeight w:val="518"/>
          <w:tblHeader/>
        </w:trPr>
        <w:tc>
          <w:tcPr>
            <w:tcW w:w="293" w:type="pct"/>
            <w:vMerge w:val="restart"/>
            <w:tcBorders>
              <w:top w:val="single" w:sz="4" w:space="0" w:color="auto"/>
              <w:left w:val="single" w:sz="4" w:space="0" w:color="auto"/>
              <w:right w:val="single" w:sz="4" w:space="0" w:color="auto"/>
            </w:tcBorders>
            <w:shd w:val="clear" w:color="auto" w:fill="1D336D" w:themeFill="background2"/>
            <w:textDirection w:val="btLr"/>
            <w:vAlign w:val="center"/>
          </w:tcPr>
          <w:p w14:paraId="700A7B71" w14:textId="22551721" w:rsidR="009B5777" w:rsidRPr="001E7502" w:rsidRDefault="00E87B63" w:rsidP="00E87B63">
            <w:pPr>
              <w:spacing w:after="0" w:line="240" w:lineRule="auto"/>
              <w:ind w:left="113" w:right="113"/>
              <w:jc w:val="center"/>
              <w:rPr>
                <w:rFonts w:eastAsia="Times New Roman" w:cstheme="minorHAnsi"/>
                <w:b/>
                <w:color w:val="FFFFFF" w:themeColor="background1"/>
                <w:sz w:val="18"/>
                <w:szCs w:val="18"/>
              </w:rPr>
            </w:pPr>
            <w:r>
              <w:rPr>
                <w:rFonts w:eastAsia="Times New Roman" w:cstheme="minorHAnsi"/>
                <w:b/>
                <w:color w:val="FFFFFF" w:themeColor="background1"/>
                <w:sz w:val="18"/>
                <w:szCs w:val="18"/>
              </w:rPr>
              <w:t>Common Indicator #</w:t>
            </w:r>
          </w:p>
        </w:tc>
        <w:tc>
          <w:tcPr>
            <w:tcW w:w="293" w:type="pct"/>
            <w:vMerge w:val="restart"/>
            <w:tcBorders>
              <w:top w:val="single" w:sz="4" w:space="0" w:color="auto"/>
              <w:left w:val="single" w:sz="4" w:space="0" w:color="auto"/>
              <w:right w:val="single" w:sz="4" w:space="0" w:color="auto"/>
            </w:tcBorders>
            <w:shd w:val="clear" w:color="auto" w:fill="1D336D" w:themeFill="background2"/>
            <w:textDirection w:val="btLr"/>
            <w:vAlign w:val="center"/>
          </w:tcPr>
          <w:p w14:paraId="2AE5E08F" w14:textId="3ECA850C" w:rsidR="009B5777" w:rsidRPr="001E7502" w:rsidRDefault="009B5777" w:rsidP="009B5777">
            <w:pPr>
              <w:spacing w:after="0" w:line="240" w:lineRule="auto"/>
              <w:ind w:left="113" w:right="113"/>
              <w:jc w:val="center"/>
              <w:rPr>
                <w:rFonts w:eastAsia="Times New Roman" w:cstheme="minorHAnsi"/>
                <w:b/>
                <w:color w:val="FFFFFF" w:themeColor="background1"/>
                <w:sz w:val="18"/>
                <w:szCs w:val="18"/>
              </w:rPr>
            </w:pPr>
            <w:r>
              <w:rPr>
                <w:rFonts w:eastAsia="Times New Roman" w:cstheme="minorHAnsi"/>
                <w:b/>
                <w:bCs/>
                <w:color w:val="FFFFFF" w:themeColor="background1"/>
                <w:sz w:val="18"/>
                <w:szCs w:val="18"/>
              </w:rPr>
              <w:t xml:space="preserve">Target </w:t>
            </w:r>
            <w:r w:rsidR="00E87B63">
              <w:rPr>
                <w:rFonts w:eastAsia="Times New Roman" w:cstheme="minorHAnsi"/>
                <w:b/>
                <w:bCs/>
                <w:color w:val="FFFFFF" w:themeColor="background1"/>
                <w:sz w:val="18"/>
                <w:szCs w:val="18"/>
              </w:rPr>
              <w:t>Indicator #</w:t>
            </w:r>
          </w:p>
        </w:tc>
        <w:tc>
          <w:tcPr>
            <w:tcW w:w="3090" w:type="pct"/>
            <w:vMerge w:val="restart"/>
            <w:tcBorders>
              <w:top w:val="single" w:sz="4" w:space="0" w:color="auto"/>
              <w:left w:val="single" w:sz="4" w:space="0" w:color="auto"/>
              <w:right w:val="single" w:sz="4" w:space="0" w:color="auto"/>
            </w:tcBorders>
            <w:shd w:val="clear" w:color="auto" w:fill="1D336D" w:themeFill="background2"/>
            <w:noWrap/>
            <w:vAlign w:val="center"/>
            <w:hideMark/>
          </w:tcPr>
          <w:p w14:paraId="4AE13D61" w14:textId="7BF78A57" w:rsidR="009B5777" w:rsidRPr="001E7502" w:rsidRDefault="009B5777" w:rsidP="009B5777">
            <w:pPr>
              <w:spacing w:after="0" w:line="240" w:lineRule="auto"/>
              <w:jc w:val="center"/>
              <w:rPr>
                <w:rFonts w:eastAsia="Times New Roman" w:cstheme="minorHAnsi"/>
                <w:b/>
                <w:color w:val="FFFFFF" w:themeColor="background1"/>
                <w:sz w:val="18"/>
                <w:szCs w:val="18"/>
              </w:rPr>
            </w:pPr>
            <w:r w:rsidRPr="001E7502">
              <w:rPr>
                <w:rFonts w:eastAsia="Times New Roman" w:cstheme="minorHAnsi"/>
                <w:b/>
                <w:color w:val="FFFFFF" w:themeColor="background1"/>
                <w:sz w:val="18"/>
                <w:szCs w:val="18"/>
              </w:rPr>
              <w:t>Indicator</w:t>
            </w:r>
            <w:r>
              <w:rPr>
                <w:rFonts w:eastAsia="Times New Roman" w:cstheme="minorHAnsi"/>
                <w:b/>
                <w:color w:val="FFFFFF" w:themeColor="background1"/>
                <w:sz w:val="18"/>
                <w:szCs w:val="18"/>
              </w:rPr>
              <w:t xml:space="preserve"> </w:t>
            </w:r>
          </w:p>
        </w:tc>
        <w:tc>
          <w:tcPr>
            <w:tcW w:w="589" w:type="pct"/>
            <w:vMerge w:val="restart"/>
            <w:tcBorders>
              <w:top w:val="single" w:sz="4" w:space="0" w:color="auto"/>
              <w:left w:val="single" w:sz="4" w:space="0" w:color="auto"/>
              <w:right w:val="nil"/>
            </w:tcBorders>
            <w:shd w:val="clear" w:color="auto" w:fill="1D336D" w:themeFill="background2"/>
            <w:hideMark/>
          </w:tcPr>
          <w:p w14:paraId="612C40BB" w14:textId="77777777" w:rsidR="009B5777" w:rsidRDefault="009B5777" w:rsidP="009B5777">
            <w:pPr>
              <w:spacing w:after="0" w:line="240" w:lineRule="auto"/>
              <w:jc w:val="center"/>
              <w:rPr>
                <w:rFonts w:eastAsia="Times New Roman" w:cstheme="minorHAnsi"/>
                <w:b/>
                <w:bCs/>
                <w:color w:val="FFFFFF" w:themeColor="background1"/>
                <w:sz w:val="18"/>
                <w:szCs w:val="18"/>
              </w:rPr>
            </w:pPr>
            <w:r w:rsidRPr="001E7502">
              <w:rPr>
                <w:rFonts w:eastAsia="Times New Roman" w:cstheme="minorHAnsi"/>
                <w:b/>
                <w:color w:val="FFFFFF" w:themeColor="background1"/>
                <w:sz w:val="18"/>
                <w:szCs w:val="18"/>
              </w:rPr>
              <w:t xml:space="preserve">Phase 2 Actuals Achieved to Date </w:t>
            </w:r>
          </w:p>
          <w:p w14:paraId="3DFC95BE" w14:textId="166CA615" w:rsidR="009B5777" w:rsidRPr="001E7502" w:rsidRDefault="009B5777" w:rsidP="009B5777">
            <w:pPr>
              <w:spacing w:after="0" w:line="240" w:lineRule="auto"/>
              <w:jc w:val="center"/>
              <w:rPr>
                <w:rFonts w:eastAsia="Times New Roman" w:cstheme="minorHAnsi"/>
                <w:b/>
                <w:color w:val="FFFFFF" w:themeColor="background1"/>
                <w:sz w:val="18"/>
                <w:szCs w:val="18"/>
              </w:rPr>
            </w:pPr>
            <w:r w:rsidRPr="001E7502">
              <w:rPr>
                <w:rFonts w:eastAsia="Times New Roman" w:cstheme="minorHAnsi"/>
                <w:b/>
                <w:color w:val="FFFFFF" w:themeColor="background1"/>
                <w:sz w:val="18"/>
                <w:szCs w:val="18"/>
              </w:rPr>
              <w:t>(2021-22)</w:t>
            </w:r>
          </w:p>
        </w:tc>
        <w:tc>
          <w:tcPr>
            <w:tcW w:w="735" w:type="pct"/>
            <w:gridSpan w:val="2"/>
            <w:tcBorders>
              <w:top w:val="single" w:sz="4" w:space="0" w:color="auto"/>
              <w:left w:val="single" w:sz="4" w:space="0" w:color="auto"/>
              <w:bottom w:val="single" w:sz="4" w:space="0" w:color="auto"/>
              <w:right w:val="nil"/>
            </w:tcBorders>
            <w:shd w:val="clear" w:color="auto" w:fill="4E72D0" w:themeFill="background2" w:themeFillTint="99"/>
          </w:tcPr>
          <w:p w14:paraId="41530CCC" w14:textId="0BF7AE88" w:rsidR="009B5777" w:rsidRDefault="009B5777" w:rsidP="009B5777">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 of annual target achieved</w:t>
            </w:r>
          </w:p>
        </w:tc>
      </w:tr>
      <w:tr w:rsidR="009B5777" w:rsidRPr="00B15EE2" w14:paraId="427850F1" w14:textId="77777777" w:rsidTr="00CD63CE">
        <w:trPr>
          <w:trHeight w:val="517"/>
          <w:tblHeader/>
        </w:trPr>
        <w:tc>
          <w:tcPr>
            <w:tcW w:w="293" w:type="pct"/>
            <w:vMerge/>
            <w:tcBorders>
              <w:right w:val="single" w:sz="4" w:space="0" w:color="auto"/>
            </w:tcBorders>
            <w:vAlign w:val="center"/>
          </w:tcPr>
          <w:p w14:paraId="314440D7" w14:textId="77777777" w:rsidR="009B5777" w:rsidRPr="001E7502" w:rsidRDefault="009B5777" w:rsidP="009B5777">
            <w:pPr>
              <w:spacing w:after="0" w:line="240" w:lineRule="auto"/>
              <w:jc w:val="center"/>
              <w:rPr>
                <w:rFonts w:eastAsia="Times New Roman" w:cstheme="minorHAnsi"/>
                <w:b/>
                <w:bCs/>
                <w:color w:val="FFFFFF" w:themeColor="background1"/>
                <w:sz w:val="18"/>
                <w:szCs w:val="18"/>
              </w:rPr>
            </w:pPr>
          </w:p>
        </w:tc>
        <w:tc>
          <w:tcPr>
            <w:tcW w:w="293" w:type="pct"/>
            <w:vMerge/>
            <w:tcBorders>
              <w:left w:val="single" w:sz="4" w:space="0" w:color="auto"/>
              <w:right w:val="single" w:sz="4" w:space="0" w:color="auto"/>
            </w:tcBorders>
          </w:tcPr>
          <w:p w14:paraId="62394CD0" w14:textId="77777777" w:rsidR="009B5777" w:rsidRPr="001E7502" w:rsidRDefault="009B5777" w:rsidP="009B5777">
            <w:pPr>
              <w:spacing w:after="0" w:line="240" w:lineRule="auto"/>
              <w:jc w:val="center"/>
              <w:rPr>
                <w:rFonts w:eastAsia="Times New Roman" w:cstheme="minorHAnsi"/>
                <w:b/>
                <w:bCs/>
                <w:color w:val="FFFFFF" w:themeColor="background1"/>
                <w:sz w:val="18"/>
                <w:szCs w:val="18"/>
              </w:rPr>
            </w:pPr>
          </w:p>
        </w:tc>
        <w:tc>
          <w:tcPr>
            <w:tcW w:w="3090" w:type="pct"/>
            <w:vMerge/>
            <w:tcBorders>
              <w:left w:val="single" w:sz="4" w:space="0" w:color="auto"/>
            </w:tcBorders>
            <w:noWrap/>
            <w:vAlign w:val="center"/>
          </w:tcPr>
          <w:p w14:paraId="22785458" w14:textId="031FC6F8" w:rsidR="009B5777" w:rsidRPr="001E7502" w:rsidRDefault="009B5777" w:rsidP="009B5777">
            <w:pPr>
              <w:spacing w:after="0" w:line="240" w:lineRule="auto"/>
              <w:jc w:val="center"/>
              <w:rPr>
                <w:rFonts w:eastAsia="Times New Roman" w:cstheme="minorHAnsi"/>
                <w:b/>
                <w:bCs/>
                <w:color w:val="FFFFFF" w:themeColor="background1"/>
                <w:sz w:val="18"/>
                <w:szCs w:val="18"/>
              </w:rPr>
            </w:pPr>
          </w:p>
        </w:tc>
        <w:tc>
          <w:tcPr>
            <w:tcW w:w="589" w:type="pct"/>
            <w:vMerge/>
          </w:tcPr>
          <w:p w14:paraId="7D487E72" w14:textId="77777777" w:rsidR="009B5777" w:rsidRPr="001E7502" w:rsidRDefault="009B5777" w:rsidP="009B5777">
            <w:pPr>
              <w:spacing w:after="0" w:line="240" w:lineRule="auto"/>
              <w:jc w:val="center"/>
              <w:rPr>
                <w:rFonts w:eastAsia="Times New Roman" w:cstheme="minorHAnsi"/>
                <w:b/>
                <w:bCs/>
                <w:color w:val="FFFFFF" w:themeColor="background1"/>
                <w:sz w:val="18"/>
                <w:szCs w:val="18"/>
              </w:rPr>
            </w:pPr>
          </w:p>
        </w:tc>
        <w:tc>
          <w:tcPr>
            <w:tcW w:w="367" w:type="pct"/>
            <w:tcBorders>
              <w:top w:val="single" w:sz="4" w:space="0" w:color="auto"/>
              <w:left w:val="single" w:sz="4" w:space="0" w:color="auto"/>
              <w:bottom w:val="single" w:sz="4" w:space="0" w:color="auto"/>
              <w:right w:val="nil"/>
            </w:tcBorders>
            <w:shd w:val="clear" w:color="auto" w:fill="4E72D0" w:themeFill="background2" w:themeFillTint="99"/>
          </w:tcPr>
          <w:p w14:paraId="4E8BEBE4" w14:textId="4A3F6F08" w:rsidR="009B5777" w:rsidRPr="001E7502" w:rsidRDefault="009B5777" w:rsidP="009B5777">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2021</w:t>
            </w:r>
          </w:p>
        </w:tc>
        <w:tc>
          <w:tcPr>
            <w:tcW w:w="368" w:type="pct"/>
            <w:tcBorders>
              <w:left w:val="single" w:sz="4" w:space="0" w:color="auto"/>
              <w:bottom w:val="single" w:sz="4" w:space="0" w:color="auto"/>
              <w:right w:val="nil"/>
            </w:tcBorders>
            <w:shd w:val="clear" w:color="auto" w:fill="4E72D0" w:themeFill="background2" w:themeFillTint="99"/>
          </w:tcPr>
          <w:p w14:paraId="68E55EF2" w14:textId="7E935E05" w:rsidR="009B5777" w:rsidRPr="001E7502" w:rsidRDefault="009B5777" w:rsidP="009B5777">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2022</w:t>
            </w:r>
          </w:p>
        </w:tc>
      </w:tr>
      <w:tr w:rsidR="00AE1ECE" w:rsidRPr="00411A98" w14:paraId="1B6B3DB4" w14:textId="282A1B86"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C29B65" w14:textId="2F104293"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w:t>
            </w:r>
          </w:p>
        </w:tc>
        <w:tc>
          <w:tcPr>
            <w:tcW w:w="293" w:type="pct"/>
            <w:tcBorders>
              <w:top w:val="single" w:sz="4" w:space="0" w:color="auto"/>
              <w:left w:val="single" w:sz="4" w:space="0" w:color="auto"/>
              <w:bottom w:val="single" w:sz="4" w:space="0" w:color="auto"/>
              <w:right w:val="single" w:sz="4" w:space="0" w:color="auto"/>
            </w:tcBorders>
            <w:vAlign w:val="center"/>
          </w:tcPr>
          <w:p w14:paraId="033F465C" w14:textId="2D939A2F" w:rsidR="009B5777" w:rsidRPr="001E7502" w:rsidRDefault="009B5777" w:rsidP="009B5777">
            <w:pPr>
              <w:spacing w:after="0" w:line="240" w:lineRule="auto"/>
              <w:rPr>
                <w:rFonts w:eastAsia="Times New Roman" w:cstheme="minorHAnsi"/>
                <w:color w:val="212121"/>
                <w:sz w:val="18"/>
                <w:szCs w:val="18"/>
              </w:rPr>
            </w:pPr>
            <w:r>
              <w:rPr>
                <w:rFonts w:eastAsia="Times New Roman" w:cstheme="minorHAnsi"/>
                <w:color w:val="000000"/>
                <w:sz w:val="18"/>
                <w:szCs w:val="18"/>
              </w:rPr>
              <w:t>n/a</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6CF0A878" w14:textId="469803B4"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Number of households and small enterprises benefitting from additional income increase</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677C0225"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497</w:t>
            </w:r>
          </w:p>
        </w:tc>
        <w:tc>
          <w:tcPr>
            <w:tcW w:w="367" w:type="pct"/>
            <w:tcBorders>
              <w:top w:val="single" w:sz="4" w:space="0" w:color="auto"/>
              <w:left w:val="nil"/>
              <w:bottom w:val="single" w:sz="4" w:space="0" w:color="auto"/>
              <w:right w:val="single" w:sz="4" w:space="0" w:color="auto"/>
            </w:tcBorders>
            <w:shd w:val="clear" w:color="auto" w:fill="E1E7F7"/>
            <w:vAlign w:val="center"/>
          </w:tcPr>
          <w:p w14:paraId="5B7A2B99" w14:textId="188E382F"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c>
          <w:tcPr>
            <w:tcW w:w="368" w:type="pct"/>
            <w:tcBorders>
              <w:top w:val="single" w:sz="4" w:space="0" w:color="auto"/>
              <w:left w:val="nil"/>
              <w:bottom w:val="single" w:sz="4" w:space="0" w:color="auto"/>
              <w:right w:val="single" w:sz="4" w:space="0" w:color="auto"/>
            </w:tcBorders>
            <w:shd w:val="clear" w:color="auto" w:fill="E1E7F7"/>
            <w:vAlign w:val="center"/>
          </w:tcPr>
          <w:p w14:paraId="40E9521D" w14:textId="04593CB3"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r>
      <w:tr w:rsidR="00AE1ECE" w:rsidRPr="00411A98" w14:paraId="73144A67" w14:textId="17C2AF1C"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B02B95" w14:textId="1DD6BF5F"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2</w:t>
            </w:r>
          </w:p>
        </w:tc>
        <w:tc>
          <w:tcPr>
            <w:tcW w:w="293" w:type="pct"/>
            <w:tcBorders>
              <w:top w:val="single" w:sz="4" w:space="0" w:color="auto"/>
              <w:left w:val="single" w:sz="4" w:space="0" w:color="auto"/>
              <w:bottom w:val="single" w:sz="4" w:space="0" w:color="auto"/>
              <w:right w:val="single" w:sz="4" w:space="0" w:color="auto"/>
            </w:tcBorders>
            <w:vAlign w:val="center"/>
          </w:tcPr>
          <w:p w14:paraId="4555CCF8" w14:textId="128ED618" w:rsidR="009B5777" w:rsidRPr="08123348" w:rsidRDefault="009B5777" w:rsidP="009B5777">
            <w:pPr>
              <w:spacing w:after="0" w:line="240" w:lineRule="auto"/>
              <w:rPr>
                <w:rFonts w:eastAsia="Times New Roman" w:cstheme="minorBidi"/>
                <w:color w:val="212121"/>
                <w:sz w:val="18"/>
                <w:szCs w:val="18"/>
              </w:rPr>
            </w:pPr>
            <w:r>
              <w:rPr>
                <w:rFonts w:eastAsia="Times New Roman" w:cstheme="minorHAnsi"/>
                <w:color w:val="000000"/>
                <w:sz w:val="18"/>
                <w:szCs w:val="18"/>
              </w:rPr>
              <w:t>n/a</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7C2AEA52" w14:textId="2651B143" w:rsidR="009B5777" w:rsidRPr="001E7502" w:rsidRDefault="009B5777" w:rsidP="009B5777">
            <w:pPr>
              <w:spacing w:after="0" w:line="240" w:lineRule="auto"/>
              <w:rPr>
                <w:rFonts w:eastAsia="Times New Roman" w:cstheme="minorBidi"/>
                <w:color w:val="212121"/>
                <w:sz w:val="18"/>
                <w:szCs w:val="18"/>
              </w:rPr>
            </w:pPr>
            <w:r w:rsidRPr="08123348">
              <w:rPr>
                <w:rFonts w:eastAsia="Times New Roman" w:cstheme="minorBidi"/>
                <w:color w:val="212121"/>
                <w:sz w:val="18"/>
                <w:szCs w:val="18"/>
              </w:rPr>
              <w:t>Net additional income increases of household and small enterprise beneficiaries (AUD)</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156C3404" w14:textId="4AC04496" w:rsidR="009B5777" w:rsidRPr="001E7502" w:rsidRDefault="009B5777" w:rsidP="009B5777">
            <w:pPr>
              <w:spacing w:after="0" w:line="240" w:lineRule="auto"/>
              <w:jc w:val="right"/>
              <w:rPr>
                <w:rFonts w:eastAsia="Times New Roman" w:cstheme="minorHAnsi"/>
                <w:color w:val="212121"/>
                <w:sz w:val="18"/>
                <w:szCs w:val="18"/>
              </w:rPr>
            </w:pPr>
            <w:r w:rsidRPr="001E7502">
              <w:rPr>
                <w:rFonts w:eastAsia="Times New Roman" w:cstheme="minorHAnsi"/>
                <w:color w:val="212121"/>
                <w:sz w:val="18"/>
                <w:szCs w:val="18"/>
              </w:rPr>
              <w:t>435,439</w:t>
            </w:r>
          </w:p>
        </w:tc>
        <w:tc>
          <w:tcPr>
            <w:tcW w:w="367" w:type="pct"/>
            <w:tcBorders>
              <w:top w:val="single" w:sz="4" w:space="0" w:color="auto"/>
              <w:left w:val="nil"/>
              <w:bottom w:val="single" w:sz="4" w:space="0" w:color="auto"/>
              <w:right w:val="single" w:sz="4" w:space="0" w:color="auto"/>
            </w:tcBorders>
            <w:shd w:val="clear" w:color="auto" w:fill="E1E7F7"/>
            <w:vAlign w:val="center"/>
          </w:tcPr>
          <w:p w14:paraId="623D60F1" w14:textId="02B280A3" w:rsidR="009B5777" w:rsidRPr="001E7502" w:rsidRDefault="00407984" w:rsidP="009B5777">
            <w:pPr>
              <w:spacing w:after="0" w:line="240" w:lineRule="auto"/>
              <w:jc w:val="right"/>
              <w:rPr>
                <w:rFonts w:eastAsia="Times New Roman" w:cstheme="minorHAnsi"/>
                <w:color w:val="212121"/>
                <w:sz w:val="18"/>
                <w:szCs w:val="18"/>
              </w:rPr>
            </w:pPr>
            <w:r>
              <w:rPr>
                <w:rFonts w:eastAsia="Times New Roman" w:cstheme="minorHAnsi"/>
                <w:color w:val="000000"/>
                <w:sz w:val="18"/>
                <w:szCs w:val="18"/>
              </w:rPr>
              <w:t>n/a</w:t>
            </w:r>
          </w:p>
        </w:tc>
        <w:tc>
          <w:tcPr>
            <w:tcW w:w="368" w:type="pct"/>
            <w:tcBorders>
              <w:top w:val="single" w:sz="4" w:space="0" w:color="auto"/>
              <w:left w:val="nil"/>
              <w:bottom w:val="single" w:sz="4" w:space="0" w:color="auto"/>
              <w:right w:val="single" w:sz="4" w:space="0" w:color="auto"/>
            </w:tcBorders>
            <w:shd w:val="clear" w:color="auto" w:fill="E1E7F7"/>
            <w:vAlign w:val="center"/>
          </w:tcPr>
          <w:p w14:paraId="459816D7" w14:textId="47ACD770" w:rsidR="009B5777" w:rsidRPr="001E7502" w:rsidRDefault="00407984" w:rsidP="009B5777">
            <w:pPr>
              <w:spacing w:after="0" w:line="240" w:lineRule="auto"/>
              <w:jc w:val="right"/>
              <w:rPr>
                <w:rFonts w:eastAsia="Times New Roman" w:cstheme="minorHAnsi"/>
                <w:color w:val="212121"/>
                <w:sz w:val="18"/>
                <w:szCs w:val="18"/>
              </w:rPr>
            </w:pPr>
            <w:r>
              <w:rPr>
                <w:rFonts w:eastAsia="Times New Roman" w:cstheme="minorHAnsi"/>
                <w:color w:val="000000"/>
                <w:sz w:val="18"/>
                <w:szCs w:val="18"/>
              </w:rPr>
              <w:t>n/a</w:t>
            </w:r>
          </w:p>
        </w:tc>
      </w:tr>
      <w:tr w:rsidR="00AE1ECE" w:rsidRPr="00411A98" w14:paraId="39566502" w14:textId="7B25F3E0"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E80208" w14:textId="30C0DD63"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3*</w:t>
            </w:r>
          </w:p>
        </w:tc>
        <w:tc>
          <w:tcPr>
            <w:tcW w:w="293" w:type="pct"/>
            <w:tcBorders>
              <w:top w:val="single" w:sz="4" w:space="0" w:color="auto"/>
              <w:left w:val="single" w:sz="4" w:space="0" w:color="auto"/>
              <w:bottom w:val="single" w:sz="4" w:space="0" w:color="auto"/>
              <w:right w:val="single" w:sz="4" w:space="0" w:color="auto"/>
            </w:tcBorders>
            <w:vAlign w:val="center"/>
          </w:tcPr>
          <w:p w14:paraId="716D59C6" w14:textId="0CB8021B" w:rsidR="009B5777" w:rsidRPr="001E7502" w:rsidRDefault="009B5777" w:rsidP="009B5777">
            <w:pPr>
              <w:spacing w:after="0" w:line="240" w:lineRule="auto"/>
              <w:rPr>
                <w:rFonts w:eastAsia="Times New Roman" w:cstheme="minorHAnsi"/>
                <w:color w:val="212121"/>
                <w:sz w:val="18"/>
                <w:szCs w:val="18"/>
              </w:rPr>
            </w:pPr>
            <w:r>
              <w:rPr>
                <w:rFonts w:eastAsia="Times New Roman" w:cstheme="minorHAnsi"/>
                <w:color w:val="000000"/>
                <w:sz w:val="18"/>
                <w:szCs w:val="18"/>
              </w:rPr>
              <w:t>n/a</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6C774029" w14:textId="0D87FF66"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Number of new jobs (FTE) created or maintained/saved attributable to Strongim Bisnis interventions</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35E550B8"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117</w:t>
            </w:r>
          </w:p>
        </w:tc>
        <w:tc>
          <w:tcPr>
            <w:tcW w:w="367" w:type="pct"/>
            <w:tcBorders>
              <w:top w:val="single" w:sz="4" w:space="0" w:color="auto"/>
              <w:left w:val="nil"/>
              <w:bottom w:val="single" w:sz="4" w:space="0" w:color="auto"/>
              <w:right w:val="single" w:sz="4" w:space="0" w:color="auto"/>
            </w:tcBorders>
            <w:shd w:val="clear" w:color="auto" w:fill="E1E7F7"/>
            <w:vAlign w:val="center"/>
          </w:tcPr>
          <w:p w14:paraId="6F4D2C33" w14:textId="5BF785A7"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c>
          <w:tcPr>
            <w:tcW w:w="368" w:type="pct"/>
            <w:tcBorders>
              <w:top w:val="single" w:sz="4" w:space="0" w:color="auto"/>
              <w:left w:val="nil"/>
              <w:bottom w:val="single" w:sz="4" w:space="0" w:color="auto"/>
              <w:right w:val="single" w:sz="4" w:space="0" w:color="auto"/>
            </w:tcBorders>
            <w:shd w:val="clear" w:color="auto" w:fill="E1E7F7"/>
            <w:vAlign w:val="center"/>
          </w:tcPr>
          <w:p w14:paraId="53089927" w14:textId="7342B117"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r>
      <w:tr w:rsidR="00AE1ECE" w:rsidRPr="00411A98" w14:paraId="6C5062F1" w14:textId="17E7005A" w:rsidTr="00AE1ECE">
        <w:trPr>
          <w:trHeight w:val="430"/>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9C9EF9" w14:textId="6A87F27E"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6*</w:t>
            </w:r>
          </w:p>
        </w:tc>
        <w:tc>
          <w:tcPr>
            <w:tcW w:w="293" w:type="pct"/>
            <w:tcBorders>
              <w:top w:val="single" w:sz="4" w:space="0" w:color="auto"/>
              <w:left w:val="single" w:sz="4" w:space="0" w:color="auto"/>
              <w:bottom w:val="single" w:sz="4" w:space="0" w:color="auto"/>
              <w:right w:val="single" w:sz="4" w:space="0" w:color="auto"/>
            </w:tcBorders>
            <w:vAlign w:val="center"/>
          </w:tcPr>
          <w:p w14:paraId="162F5B69" w14:textId="0A357FCF"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000000"/>
                <w:sz w:val="18"/>
                <w:szCs w:val="18"/>
              </w:rPr>
              <w:t>1</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426DC01D" w14:textId="11FD3340"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212121"/>
                <w:sz w:val="18"/>
                <w:szCs w:val="18"/>
              </w:rPr>
              <w:t>Number of household and small enterprise beneficiaries adopting improved business practice</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076FEFD5" w14:textId="77777777" w:rsidR="009B5777" w:rsidRPr="001409B4" w:rsidRDefault="009B5777" w:rsidP="009B5777">
            <w:pPr>
              <w:spacing w:after="0" w:line="240" w:lineRule="auto"/>
              <w:jc w:val="right"/>
              <w:rPr>
                <w:rFonts w:eastAsia="Times New Roman" w:cstheme="minorHAnsi"/>
                <w:color w:val="000000"/>
                <w:sz w:val="18"/>
                <w:szCs w:val="18"/>
              </w:rPr>
            </w:pPr>
            <w:r w:rsidRPr="001409B4">
              <w:rPr>
                <w:rFonts w:eastAsia="Times New Roman" w:cstheme="minorHAnsi"/>
                <w:color w:val="000000"/>
                <w:sz w:val="18"/>
                <w:szCs w:val="18"/>
              </w:rPr>
              <w:t>238</w:t>
            </w:r>
          </w:p>
        </w:tc>
        <w:tc>
          <w:tcPr>
            <w:tcW w:w="367" w:type="pct"/>
            <w:tcBorders>
              <w:top w:val="single" w:sz="4" w:space="0" w:color="auto"/>
              <w:left w:val="nil"/>
              <w:bottom w:val="single" w:sz="4" w:space="0" w:color="auto"/>
              <w:right w:val="single" w:sz="4" w:space="0" w:color="auto"/>
            </w:tcBorders>
            <w:shd w:val="clear" w:color="auto" w:fill="E1E7F7"/>
            <w:vAlign w:val="center"/>
          </w:tcPr>
          <w:p w14:paraId="4EDC4F9D" w14:textId="76368930" w:rsidR="009B5777" w:rsidRPr="001409B4" w:rsidRDefault="009B5777" w:rsidP="009B5777">
            <w:pPr>
              <w:spacing w:after="0" w:line="240" w:lineRule="auto"/>
              <w:jc w:val="right"/>
              <w:rPr>
                <w:rFonts w:eastAsia="Times New Roman" w:cstheme="minorHAnsi"/>
                <w:color w:val="000000"/>
                <w:sz w:val="18"/>
                <w:szCs w:val="18"/>
              </w:rPr>
            </w:pPr>
            <w:r w:rsidRPr="001409B4">
              <w:rPr>
                <w:rFonts w:eastAsia="Times New Roman" w:cstheme="minorHAnsi"/>
                <w:color w:val="000000"/>
                <w:sz w:val="18"/>
                <w:szCs w:val="18"/>
              </w:rPr>
              <w:t>54</w:t>
            </w:r>
          </w:p>
        </w:tc>
        <w:tc>
          <w:tcPr>
            <w:tcW w:w="368" w:type="pct"/>
            <w:tcBorders>
              <w:top w:val="single" w:sz="4" w:space="0" w:color="auto"/>
              <w:left w:val="nil"/>
              <w:bottom w:val="single" w:sz="4" w:space="0" w:color="auto"/>
              <w:right w:val="single" w:sz="4" w:space="0" w:color="auto"/>
            </w:tcBorders>
            <w:shd w:val="clear" w:color="auto" w:fill="E1E7F7"/>
            <w:vAlign w:val="center"/>
          </w:tcPr>
          <w:p w14:paraId="16BA9B15" w14:textId="30DF8B40" w:rsidR="009B5777" w:rsidRPr="001409B4" w:rsidRDefault="009B5777" w:rsidP="009B5777">
            <w:pPr>
              <w:spacing w:after="0" w:line="240" w:lineRule="auto"/>
              <w:jc w:val="right"/>
              <w:rPr>
                <w:rFonts w:eastAsia="Times New Roman" w:cstheme="minorHAnsi"/>
                <w:color w:val="000000"/>
                <w:sz w:val="18"/>
                <w:szCs w:val="18"/>
              </w:rPr>
            </w:pPr>
            <w:r w:rsidRPr="001409B4">
              <w:rPr>
                <w:rFonts w:eastAsia="Times New Roman" w:cstheme="minorHAnsi"/>
                <w:color w:val="000000"/>
                <w:sz w:val="18"/>
                <w:szCs w:val="18"/>
              </w:rPr>
              <w:t>74</w:t>
            </w:r>
          </w:p>
        </w:tc>
      </w:tr>
      <w:tr w:rsidR="00AE1ECE" w:rsidRPr="00411A98" w14:paraId="57E41466" w14:textId="0B8F71C9" w:rsidTr="008A4A81">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007C2" w14:textId="17DD6862"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7</w:t>
            </w:r>
          </w:p>
        </w:tc>
        <w:tc>
          <w:tcPr>
            <w:tcW w:w="293" w:type="pct"/>
            <w:tcBorders>
              <w:top w:val="single" w:sz="4" w:space="0" w:color="auto"/>
              <w:left w:val="single" w:sz="4" w:space="0" w:color="auto"/>
              <w:bottom w:val="single" w:sz="4" w:space="0" w:color="auto"/>
              <w:right w:val="single" w:sz="4" w:space="0" w:color="auto"/>
            </w:tcBorders>
            <w:vAlign w:val="center"/>
          </w:tcPr>
          <w:p w14:paraId="42AFBF6F" w14:textId="4174CBF1"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000000"/>
                <w:sz w:val="18"/>
                <w:szCs w:val="18"/>
              </w:rPr>
              <w:t>5</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0A9F7" w14:textId="065C6B93" w:rsidR="009B5777" w:rsidRPr="005D04B3" w:rsidRDefault="009B5777" w:rsidP="008A4A81">
            <w:pPr>
              <w:spacing w:after="0" w:line="240" w:lineRule="auto"/>
              <w:rPr>
                <w:rFonts w:eastAsia="Times New Roman" w:cstheme="minorHAnsi"/>
                <w:color w:val="212121"/>
                <w:sz w:val="18"/>
                <w:szCs w:val="18"/>
              </w:rPr>
            </w:pPr>
            <w:r w:rsidRPr="001409B4">
              <w:rPr>
                <w:rFonts w:eastAsia="Times New Roman" w:cstheme="minorHAnsi"/>
                <w:color w:val="212121"/>
                <w:sz w:val="18"/>
                <w:szCs w:val="18"/>
              </w:rPr>
              <w:t>Number of household and small enterprise beneficiaries with improved access to markets or information or products/services</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45B550A8" w14:textId="77777777" w:rsidR="009B5777" w:rsidRPr="005D04B3" w:rsidRDefault="009B5777" w:rsidP="009B5777">
            <w:pPr>
              <w:spacing w:after="0" w:line="240" w:lineRule="auto"/>
              <w:jc w:val="right"/>
              <w:rPr>
                <w:rFonts w:eastAsia="Times New Roman" w:cstheme="minorHAnsi"/>
                <w:color w:val="000000"/>
                <w:sz w:val="18"/>
                <w:szCs w:val="18"/>
              </w:rPr>
            </w:pPr>
            <w:r w:rsidRPr="005D04B3">
              <w:rPr>
                <w:rFonts w:eastAsia="Times New Roman" w:cstheme="minorHAnsi"/>
                <w:color w:val="000000"/>
                <w:sz w:val="18"/>
                <w:szCs w:val="18"/>
              </w:rPr>
              <w:t>1287</w:t>
            </w:r>
          </w:p>
        </w:tc>
        <w:tc>
          <w:tcPr>
            <w:tcW w:w="367" w:type="pct"/>
            <w:tcBorders>
              <w:top w:val="single" w:sz="4" w:space="0" w:color="auto"/>
              <w:left w:val="nil"/>
              <w:bottom w:val="single" w:sz="4" w:space="0" w:color="auto"/>
              <w:right w:val="single" w:sz="4" w:space="0" w:color="auto"/>
            </w:tcBorders>
            <w:shd w:val="clear" w:color="auto" w:fill="E1E7F7"/>
            <w:vAlign w:val="center"/>
          </w:tcPr>
          <w:p w14:paraId="0A83B746" w14:textId="694B5742" w:rsidR="009B5777" w:rsidRPr="008759EA" w:rsidRDefault="009B5777" w:rsidP="009B5777">
            <w:pPr>
              <w:spacing w:after="0" w:line="240" w:lineRule="auto"/>
              <w:jc w:val="right"/>
              <w:rPr>
                <w:rFonts w:eastAsia="Times New Roman" w:cstheme="minorHAnsi"/>
                <w:color w:val="000000"/>
                <w:sz w:val="18"/>
                <w:szCs w:val="18"/>
              </w:rPr>
            </w:pPr>
            <w:r w:rsidRPr="00A07C3E">
              <w:rPr>
                <w:rFonts w:eastAsia="Times New Roman" w:cstheme="minorHAnsi"/>
                <w:color w:val="000000"/>
                <w:sz w:val="18"/>
                <w:szCs w:val="18"/>
              </w:rPr>
              <w:t>31</w:t>
            </w:r>
          </w:p>
        </w:tc>
        <w:tc>
          <w:tcPr>
            <w:tcW w:w="368" w:type="pct"/>
            <w:tcBorders>
              <w:top w:val="single" w:sz="4" w:space="0" w:color="auto"/>
              <w:left w:val="nil"/>
              <w:bottom w:val="single" w:sz="4" w:space="0" w:color="auto"/>
              <w:right w:val="single" w:sz="4" w:space="0" w:color="auto"/>
            </w:tcBorders>
            <w:shd w:val="clear" w:color="auto" w:fill="E1E7F7"/>
            <w:vAlign w:val="center"/>
          </w:tcPr>
          <w:p w14:paraId="16CACE58" w14:textId="7AEEDDB9" w:rsidR="009B5777" w:rsidRPr="00040A2C" w:rsidRDefault="009B5777" w:rsidP="009B5777">
            <w:pPr>
              <w:spacing w:after="0" w:line="240" w:lineRule="auto"/>
              <w:jc w:val="right"/>
              <w:rPr>
                <w:rFonts w:eastAsia="Times New Roman" w:cstheme="minorHAnsi"/>
                <w:color w:val="000000"/>
                <w:sz w:val="18"/>
                <w:szCs w:val="18"/>
              </w:rPr>
            </w:pPr>
            <w:r w:rsidRPr="00040A2C">
              <w:rPr>
                <w:rFonts w:eastAsia="Times New Roman" w:cstheme="minorHAnsi"/>
                <w:color w:val="000000"/>
                <w:sz w:val="18"/>
                <w:szCs w:val="18"/>
              </w:rPr>
              <w:t>180</w:t>
            </w:r>
          </w:p>
        </w:tc>
      </w:tr>
      <w:tr w:rsidR="00AE1ECE" w:rsidRPr="00411A98" w14:paraId="20768F44" w14:textId="1BA65DF2"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CFD0DD" w14:textId="23FA490D"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9</w:t>
            </w:r>
          </w:p>
        </w:tc>
        <w:tc>
          <w:tcPr>
            <w:tcW w:w="293" w:type="pct"/>
            <w:tcBorders>
              <w:top w:val="single" w:sz="4" w:space="0" w:color="auto"/>
              <w:left w:val="single" w:sz="4" w:space="0" w:color="auto"/>
              <w:bottom w:val="single" w:sz="4" w:space="0" w:color="auto"/>
              <w:right w:val="single" w:sz="4" w:space="0" w:color="auto"/>
            </w:tcBorders>
            <w:vAlign w:val="center"/>
          </w:tcPr>
          <w:p w14:paraId="2C0D7DB1" w14:textId="38C0A8AE"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000000"/>
                <w:sz w:val="18"/>
                <w:szCs w:val="18"/>
              </w:rPr>
              <w:t>6</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63EF5EF3" w14:textId="2AF9D2BF"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212121"/>
                <w:sz w:val="18"/>
                <w:szCs w:val="18"/>
              </w:rPr>
              <w:t>Number of market actors providing new/improved product/services</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711A7E92" w14:textId="77777777" w:rsidR="009B5777" w:rsidRPr="005D04B3" w:rsidRDefault="009B5777" w:rsidP="009B5777">
            <w:pPr>
              <w:spacing w:after="0" w:line="240" w:lineRule="auto"/>
              <w:jc w:val="right"/>
              <w:rPr>
                <w:rFonts w:eastAsia="Times New Roman" w:cstheme="minorHAnsi"/>
                <w:color w:val="000000"/>
                <w:sz w:val="18"/>
                <w:szCs w:val="18"/>
              </w:rPr>
            </w:pPr>
            <w:r w:rsidRPr="005D04B3">
              <w:rPr>
                <w:rFonts w:eastAsia="Times New Roman" w:cstheme="minorHAnsi"/>
                <w:color w:val="000000"/>
                <w:sz w:val="18"/>
                <w:szCs w:val="18"/>
              </w:rPr>
              <w:t>39</w:t>
            </w:r>
          </w:p>
        </w:tc>
        <w:tc>
          <w:tcPr>
            <w:tcW w:w="367" w:type="pct"/>
            <w:tcBorders>
              <w:top w:val="single" w:sz="4" w:space="0" w:color="auto"/>
              <w:left w:val="nil"/>
              <w:bottom w:val="single" w:sz="4" w:space="0" w:color="auto"/>
              <w:right w:val="single" w:sz="4" w:space="0" w:color="auto"/>
            </w:tcBorders>
            <w:shd w:val="clear" w:color="auto" w:fill="E1E7F7"/>
            <w:vAlign w:val="center"/>
          </w:tcPr>
          <w:p w14:paraId="6BB343C7" w14:textId="418047CF" w:rsidR="009B5777" w:rsidRPr="008759EA" w:rsidRDefault="009B5777" w:rsidP="009B5777">
            <w:pPr>
              <w:spacing w:after="0" w:line="240" w:lineRule="auto"/>
              <w:jc w:val="right"/>
              <w:rPr>
                <w:rFonts w:eastAsia="Times New Roman" w:cstheme="minorHAnsi"/>
                <w:color w:val="000000"/>
                <w:sz w:val="18"/>
                <w:szCs w:val="18"/>
              </w:rPr>
            </w:pPr>
            <w:r w:rsidRPr="00A07C3E">
              <w:rPr>
                <w:rFonts w:eastAsia="Times New Roman" w:cstheme="minorHAnsi"/>
                <w:color w:val="000000"/>
                <w:sz w:val="18"/>
                <w:szCs w:val="18"/>
              </w:rPr>
              <w:t>40</w:t>
            </w:r>
          </w:p>
        </w:tc>
        <w:tc>
          <w:tcPr>
            <w:tcW w:w="368" w:type="pct"/>
            <w:tcBorders>
              <w:top w:val="single" w:sz="4" w:space="0" w:color="auto"/>
              <w:left w:val="nil"/>
              <w:bottom w:val="single" w:sz="4" w:space="0" w:color="auto"/>
              <w:right w:val="single" w:sz="4" w:space="0" w:color="auto"/>
            </w:tcBorders>
            <w:shd w:val="clear" w:color="auto" w:fill="E1E7F7"/>
            <w:vAlign w:val="center"/>
          </w:tcPr>
          <w:p w14:paraId="07BB9D98" w14:textId="0E3485D9" w:rsidR="009B5777" w:rsidRPr="00040A2C" w:rsidRDefault="009B5777" w:rsidP="009B5777">
            <w:pPr>
              <w:spacing w:after="0" w:line="240" w:lineRule="auto"/>
              <w:jc w:val="right"/>
              <w:rPr>
                <w:rFonts w:eastAsia="Times New Roman" w:cstheme="minorHAnsi"/>
                <w:color w:val="000000"/>
                <w:sz w:val="18"/>
                <w:szCs w:val="18"/>
              </w:rPr>
            </w:pPr>
            <w:r w:rsidRPr="00040A2C">
              <w:rPr>
                <w:rFonts w:eastAsia="Times New Roman" w:cstheme="minorHAnsi"/>
                <w:color w:val="000000"/>
                <w:sz w:val="18"/>
                <w:szCs w:val="18"/>
              </w:rPr>
              <w:t>145</w:t>
            </w:r>
          </w:p>
        </w:tc>
      </w:tr>
      <w:tr w:rsidR="00AE1ECE" w:rsidRPr="00411A98" w14:paraId="3A2318F8" w14:textId="19EF123A"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DB9818" w14:textId="53D13C35"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10</w:t>
            </w:r>
          </w:p>
        </w:tc>
        <w:tc>
          <w:tcPr>
            <w:tcW w:w="293" w:type="pct"/>
            <w:tcBorders>
              <w:top w:val="single" w:sz="4" w:space="0" w:color="auto"/>
              <w:left w:val="single" w:sz="4" w:space="0" w:color="auto"/>
              <w:bottom w:val="single" w:sz="4" w:space="0" w:color="auto"/>
              <w:right w:val="single" w:sz="4" w:space="0" w:color="auto"/>
            </w:tcBorders>
            <w:vAlign w:val="center"/>
          </w:tcPr>
          <w:p w14:paraId="55F53698" w14:textId="5213E3AA" w:rsidR="009B5777" w:rsidRPr="001409B4" w:rsidRDefault="009B5777" w:rsidP="009B5777">
            <w:pPr>
              <w:spacing w:after="0" w:line="240" w:lineRule="auto"/>
              <w:rPr>
                <w:rFonts w:eastAsia="Times New Roman" w:cstheme="minorBidi"/>
                <w:color w:val="212121"/>
                <w:sz w:val="18"/>
                <w:szCs w:val="18"/>
              </w:rPr>
            </w:pPr>
            <w:r w:rsidRPr="001409B4">
              <w:rPr>
                <w:rFonts w:eastAsia="Times New Roman" w:cstheme="minorHAnsi"/>
                <w:color w:val="212121"/>
                <w:sz w:val="18"/>
                <w:szCs w:val="18"/>
              </w:rPr>
              <w:t>8</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7F62F0A7" w14:textId="0ED970DD" w:rsidR="009B5777" w:rsidRPr="001409B4" w:rsidRDefault="009B5777" w:rsidP="009B5777">
            <w:pPr>
              <w:spacing w:after="0" w:line="240" w:lineRule="auto"/>
              <w:rPr>
                <w:rFonts w:eastAsia="Times New Roman" w:cstheme="minorBidi"/>
                <w:color w:val="212121"/>
                <w:sz w:val="18"/>
                <w:szCs w:val="18"/>
              </w:rPr>
            </w:pPr>
            <w:r w:rsidRPr="001409B4">
              <w:rPr>
                <w:rFonts w:eastAsia="Times New Roman" w:cstheme="minorBidi"/>
                <w:color w:val="212121"/>
                <w:sz w:val="18"/>
                <w:szCs w:val="18"/>
              </w:rPr>
              <w:t>Value of sales of value-added products (AUD)</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11B7256A" w14:textId="3E6A5EB4" w:rsidR="009B5777" w:rsidRPr="001409B4" w:rsidRDefault="009B5777" w:rsidP="009B5777">
            <w:pPr>
              <w:spacing w:after="0" w:line="240" w:lineRule="auto"/>
              <w:jc w:val="right"/>
              <w:rPr>
                <w:rFonts w:eastAsia="Times New Roman" w:cstheme="minorHAnsi"/>
                <w:color w:val="212121"/>
                <w:sz w:val="18"/>
                <w:szCs w:val="18"/>
              </w:rPr>
            </w:pPr>
            <w:r w:rsidRPr="001409B4">
              <w:rPr>
                <w:rFonts w:eastAsia="Times New Roman" w:cstheme="minorHAnsi"/>
                <w:color w:val="212121"/>
                <w:sz w:val="18"/>
                <w:szCs w:val="18"/>
              </w:rPr>
              <w:t>999,105</w:t>
            </w:r>
          </w:p>
        </w:tc>
        <w:tc>
          <w:tcPr>
            <w:tcW w:w="367" w:type="pct"/>
            <w:tcBorders>
              <w:top w:val="single" w:sz="4" w:space="0" w:color="auto"/>
              <w:left w:val="nil"/>
              <w:bottom w:val="single" w:sz="4" w:space="0" w:color="auto"/>
              <w:right w:val="single" w:sz="4" w:space="0" w:color="auto"/>
            </w:tcBorders>
            <w:shd w:val="clear" w:color="auto" w:fill="E1E7F7"/>
            <w:vAlign w:val="center"/>
          </w:tcPr>
          <w:p w14:paraId="46266BD2" w14:textId="443B976E" w:rsidR="009B5777" w:rsidRPr="001409B4" w:rsidRDefault="009B5777" w:rsidP="009B5777">
            <w:pPr>
              <w:spacing w:after="0" w:line="240" w:lineRule="auto"/>
              <w:jc w:val="right"/>
              <w:rPr>
                <w:rFonts w:eastAsia="Times New Roman" w:cstheme="minorHAnsi"/>
                <w:color w:val="212121"/>
                <w:sz w:val="18"/>
                <w:szCs w:val="18"/>
              </w:rPr>
            </w:pPr>
            <w:r w:rsidRPr="001409B4">
              <w:rPr>
                <w:rFonts w:eastAsia="Times New Roman" w:cstheme="minorHAnsi"/>
                <w:color w:val="212121"/>
                <w:sz w:val="18"/>
                <w:szCs w:val="18"/>
              </w:rPr>
              <w:t>582</w:t>
            </w:r>
          </w:p>
        </w:tc>
        <w:tc>
          <w:tcPr>
            <w:tcW w:w="368" w:type="pct"/>
            <w:tcBorders>
              <w:top w:val="single" w:sz="4" w:space="0" w:color="auto"/>
              <w:left w:val="nil"/>
              <w:bottom w:val="single" w:sz="4" w:space="0" w:color="auto"/>
              <w:right w:val="single" w:sz="4" w:space="0" w:color="auto"/>
            </w:tcBorders>
            <w:shd w:val="clear" w:color="auto" w:fill="E1E7F7"/>
            <w:vAlign w:val="center"/>
          </w:tcPr>
          <w:p w14:paraId="697CDC90" w14:textId="25FA5F29" w:rsidR="009B5777" w:rsidRPr="001409B4" w:rsidRDefault="009B5777" w:rsidP="009B5777">
            <w:pPr>
              <w:spacing w:after="0" w:line="240" w:lineRule="auto"/>
              <w:jc w:val="right"/>
              <w:rPr>
                <w:rFonts w:eastAsia="Times New Roman" w:cstheme="minorHAnsi"/>
                <w:color w:val="212121"/>
                <w:sz w:val="18"/>
                <w:szCs w:val="18"/>
              </w:rPr>
            </w:pPr>
            <w:r w:rsidRPr="001409B4">
              <w:rPr>
                <w:rFonts w:eastAsia="Times New Roman" w:cstheme="minorHAnsi"/>
                <w:color w:val="212121"/>
                <w:sz w:val="18"/>
                <w:szCs w:val="18"/>
              </w:rPr>
              <w:t>119</w:t>
            </w:r>
          </w:p>
        </w:tc>
      </w:tr>
      <w:tr w:rsidR="00AE1ECE" w:rsidRPr="00411A98" w14:paraId="7F906F42" w14:textId="1FD6CC59" w:rsidTr="00AE1ECE">
        <w:trPr>
          <w:trHeight w:val="232"/>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796A7F" w14:textId="1CFF97D8"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11</w:t>
            </w:r>
          </w:p>
        </w:tc>
        <w:tc>
          <w:tcPr>
            <w:tcW w:w="293" w:type="pct"/>
            <w:tcBorders>
              <w:top w:val="single" w:sz="4" w:space="0" w:color="auto"/>
              <w:left w:val="single" w:sz="4" w:space="0" w:color="auto"/>
              <w:bottom w:val="single" w:sz="4" w:space="0" w:color="auto"/>
              <w:right w:val="single" w:sz="4" w:space="0" w:color="auto"/>
            </w:tcBorders>
            <w:vAlign w:val="center"/>
          </w:tcPr>
          <w:p w14:paraId="24A48DA9" w14:textId="6011E365"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000000"/>
                <w:sz w:val="18"/>
                <w:szCs w:val="18"/>
              </w:rPr>
              <w:t>7</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6F81A42E" w14:textId="4B5F74AF"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212121"/>
                <w:sz w:val="18"/>
                <w:szCs w:val="18"/>
              </w:rPr>
              <w:t>Number of market actors expanding business</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5B845A7E" w14:textId="77777777" w:rsidR="009B5777" w:rsidRPr="005D04B3" w:rsidRDefault="009B5777" w:rsidP="009B5777">
            <w:pPr>
              <w:spacing w:after="0" w:line="240" w:lineRule="auto"/>
              <w:jc w:val="right"/>
              <w:rPr>
                <w:rFonts w:eastAsia="Times New Roman" w:cstheme="minorHAnsi"/>
                <w:color w:val="000000"/>
                <w:sz w:val="18"/>
                <w:szCs w:val="18"/>
              </w:rPr>
            </w:pPr>
            <w:r w:rsidRPr="005D04B3">
              <w:rPr>
                <w:rFonts w:eastAsia="Times New Roman" w:cstheme="minorHAnsi"/>
                <w:color w:val="000000"/>
                <w:sz w:val="18"/>
                <w:szCs w:val="18"/>
              </w:rPr>
              <w:t>38</w:t>
            </w:r>
          </w:p>
        </w:tc>
        <w:tc>
          <w:tcPr>
            <w:tcW w:w="367" w:type="pct"/>
            <w:tcBorders>
              <w:top w:val="single" w:sz="4" w:space="0" w:color="auto"/>
              <w:left w:val="nil"/>
              <w:bottom w:val="single" w:sz="4" w:space="0" w:color="auto"/>
              <w:right w:val="single" w:sz="4" w:space="0" w:color="auto"/>
            </w:tcBorders>
            <w:shd w:val="clear" w:color="auto" w:fill="E1E7F7"/>
            <w:vAlign w:val="center"/>
          </w:tcPr>
          <w:p w14:paraId="78D8FBA8" w14:textId="05CAE294" w:rsidR="009B5777" w:rsidRPr="008759EA" w:rsidRDefault="009B5777" w:rsidP="009B5777">
            <w:pPr>
              <w:spacing w:after="0" w:line="240" w:lineRule="auto"/>
              <w:jc w:val="right"/>
              <w:rPr>
                <w:rFonts w:eastAsia="Times New Roman" w:cstheme="minorHAnsi"/>
                <w:color w:val="000000"/>
                <w:sz w:val="18"/>
                <w:szCs w:val="18"/>
              </w:rPr>
            </w:pPr>
            <w:r w:rsidRPr="00A07C3E">
              <w:rPr>
                <w:rFonts w:eastAsia="Times New Roman" w:cstheme="minorHAnsi"/>
                <w:color w:val="000000"/>
                <w:sz w:val="18"/>
                <w:szCs w:val="18"/>
              </w:rPr>
              <w:t>52</w:t>
            </w:r>
          </w:p>
        </w:tc>
        <w:tc>
          <w:tcPr>
            <w:tcW w:w="368" w:type="pct"/>
            <w:tcBorders>
              <w:top w:val="single" w:sz="4" w:space="0" w:color="auto"/>
              <w:left w:val="nil"/>
              <w:bottom w:val="single" w:sz="4" w:space="0" w:color="auto"/>
              <w:right w:val="single" w:sz="4" w:space="0" w:color="auto"/>
            </w:tcBorders>
            <w:shd w:val="clear" w:color="auto" w:fill="E1E7F7"/>
            <w:vAlign w:val="center"/>
          </w:tcPr>
          <w:p w14:paraId="4822D6D5" w14:textId="43E92E02" w:rsidR="009B5777" w:rsidRPr="00040A2C" w:rsidRDefault="009B5777" w:rsidP="009B5777">
            <w:pPr>
              <w:spacing w:after="0" w:line="240" w:lineRule="auto"/>
              <w:jc w:val="right"/>
              <w:rPr>
                <w:rFonts w:eastAsia="Times New Roman" w:cstheme="minorHAnsi"/>
                <w:color w:val="000000"/>
                <w:sz w:val="18"/>
                <w:szCs w:val="18"/>
              </w:rPr>
            </w:pPr>
            <w:r w:rsidRPr="00040A2C">
              <w:rPr>
                <w:rFonts w:eastAsia="Times New Roman" w:cstheme="minorHAnsi"/>
                <w:color w:val="000000"/>
                <w:sz w:val="18"/>
                <w:szCs w:val="18"/>
              </w:rPr>
              <w:t>250</w:t>
            </w:r>
          </w:p>
        </w:tc>
      </w:tr>
      <w:tr w:rsidR="00AE1ECE" w:rsidRPr="00411A98" w14:paraId="2697EC21" w14:textId="5354A0E6"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48111" w14:textId="1471041A"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12</w:t>
            </w:r>
          </w:p>
        </w:tc>
        <w:tc>
          <w:tcPr>
            <w:tcW w:w="293" w:type="pct"/>
            <w:tcBorders>
              <w:top w:val="single" w:sz="4" w:space="0" w:color="auto"/>
              <w:left w:val="single" w:sz="4" w:space="0" w:color="auto"/>
              <w:bottom w:val="single" w:sz="4" w:space="0" w:color="auto"/>
              <w:right w:val="single" w:sz="4" w:space="0" w:color="auto"/>
            </w:tcBorders>
            <w:vAlign w:val="center"/>
          </w:tcPr>
          <w:p w14:paraId="4FA2902C" w14:textId="294D9673" w:rsidR="009B5777" w:rsidRPr="001409B4" w:rsidRDefault="009B5777" w:rsidP="009B5777">
            <w:pPr>
              <w:spacing w:after="0" w:line="240" w:lineRule="auto"/>
              <w:rPr>
                <w:rFonts w:eastAsia="Times New Roman" w:cstheme="minorHAnsi"/>
                <w:color w:val="212121"/>
                <w:sz w:val="18"/>
                <w:szCs w:val="18"/>
              </w:rPr>
            </w:pPr>
            <w:r w:rsidRPr="001409B4">
              <w:rPr>
                <w:rFonts w:eastAsia="Times New Roman" w:cstheme="minorHAnsi"/>
                <w:color w:val="212121"/>
                <w:sz w:val="18"/>
                <w:szCs w:val="18"/>
              </w:rPr>
              <w:t>9</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63092EDC" w14:textId="4402F766"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Value of exports facilitated (AUD)</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72579FBC" w14:textId="4057DE77" w:rsidR="009B5777" w:rsidRPr="001E7502" w:rsidRDefault="009B5777" w:rsidP="009B5777">
            <w:pPr>
              <w:spacing w:after="0" w:line="240" w:lineRule="auto"/>
              <w:jc w:val="right"/>
              <w:rPr>
                <w:rFonts w:eastAsia="Times New Roman" w:cstheme="minorHAnsi"/>
                <w:color w:val="212121"/>
                <w:sz w:val="18"/>
                <w:szCs w:val="18"/>
              </w:rPr>
            </w:pPr>
            <w:r w:rsidRPr="001E7502">
              <w:rPr>
                <w:rFonts w:eastAsia="Times New Roman" w:cstheme="minorHAnsi"/>
                <w:color w:val="212121"/>
                <w:sz w:val="18"/>
                <w:szCs w:val="18"/>
              </w:rPr>
              <w:t>341,057</w:t>
            </w:r>
          </w:p>
        </w:tc>
        <w:tc>
          <w:tcPr>
            <w:tcW w:w="367" w:type="pct"/>
            <w:tcBorders>
              <w:top w:val="single" w:sz="4" w:space="0" w:color="auto"/>
              <w:left w:val="nil"/>
              <w:bottom w:val="single" w:sz="4" w:space="0" w:color="auto"/>
              <w:right w:val="single" w:sz="4" w:space="0" w:color="auto"/>
            </w:tcBorders>
            <w:shd w:val="clear" w:color="auto" w:fill="E1E7F7"/>
            <w:vAlign w:val="center"/>
          </w:tcPr>
          <w:p w14:paraId="31C2226A" w14:textId="28AB2201" w:rsidR="009B5777" w:rsidRPr="001E7502" w:rsidRDefault="009B5777" w:rsidP="009B5777">
            <w:pPr>
              <w:spacing w:after="0" w:line="240" w:lineRule="auto"/>
              <w:jc w:val="right"/>
              <w:rPr>
                <w:rFonts w:eastAsia="Times New Roman" w:cstheme="minorHAnsi"/>
                <w:color w:val="212121"/>
                <w:sz w:val="18"/>
                <w:szCs w:val="18"/>
              </w:rPr>
            </w:pPr>
            <w:r>
              <w:rPr>
                <w:rFonts w:eastAsia="Times New Roman" w:cstheme="minorHAnsi"/>
                <w:color w:val="212121"/>
                <w:sz w:val="18"/>
                <w:szCs w:val="18"/>
              </w:rPr>
              <w:t>184</w:t>
            </w:r>
          </w:p>
        </w:tc>
        <w:tc>
          <w:tcPr>
            <w:tcW w:w="368" w:type="pct"/>
            <w:tcBorders>
              <w:top w:val="single" w:sz="4" w:space="0" w:color="auto"/>
              <w:left w:val="nil"/>
              <w:bottom w:val="single" w:sz="4" w:space="0" w:color="auto"/>
              <w:right w:val="single" w:sz="4" w:space="0" w:color="auto"/>
            </w:tcBorders>
            <w:shd w:val="clear" w:color="auto" w:fill="E1E7F7"/>
            <w:vAlign w:val="center"/>
          </w:tcPr>
          <w:p w14:paraId="2B277367" w14:textId="5649A2AA" w:rsidR="009B5777" w:rsidRPr="001E7502" w:rsidRDefault="009B5777" w:rsidP="009B5777">
            <w:pPr>
              <w:spacing w:after="0" w:line="240" w:lineRule="auto"/>
              <w:jc w:val="right"/>
              <w:rPr>
                <w:rFonts w:eastAsia="Times New Roman" w:cstheme="minorHAnsi"/>
                <w:color w:val="212121"/>
                <w:sz w:val="18"/>
                <w:szCs w:val="18"/>
              </w:rPr>
            </w:pPr>
            <w:r>
              <w:rPr>
                <w:rFonts w:eastAsia="Times New Roman" w:cstheme="minorHAnsi"/>
                <w:color w:val="212121"/>
                <w:sz w:val="18"/>
                <w:szCs w:val="18"/>
              </w:rPr>
              <w:t>14</w:t>
            </w:r>
          </w:p>
        </w:tc>
      </w:tr>
      <w:tr w:rsidR="00AE1ECE" w:rsidRPr="00411A98" w14:paraId="78E3A3C1" w14:textId="063FD213"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63485" w14:textId="4EB709A0"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13</w:t>
            </w:r>
          </w:p>
        </w:tc>
        <w:tc>
          <w:tcPr>
            <w:tcW w:w="293" w:type="pct"/>
            <w:tcBorders>
              <w:top w:val="single" w:sz="4" w:space="0" w:color="auto"/>
              <w:left w:val="single" w:sz="4" w:space="0" w:color="auto"/>
              <w:bottom w:val="single" w:sz="4" w:space="0" w:color="auto"/>
              <w:right w:val="single" w:sz="4" w:space="0" w:color="auto"/>
            </w:tcBorders>
            <w:vAlign w:val="center"/>
          </w:tcPr>
          <w:p w14:paraId="40C9DD8D" w14:textId="20917DD1" w:rsidR="009B5777" w:rsidRPr="001E7502" w:rsidRDefault="009B5777" w:rsidP="009B5777">
            <w:pPr>
              <w:spacing w:after="0" w:line="240" w:lineRule="auto"/>
              <w:rPr>
                <w:rFonts w:eastAsia="Times New Roman" w:cstheme="minorHAnsi"/>
                <w:color w:val="212121"/>
                <w:sz w:val="18"/>
                <w:szCs w:val="18"/>
              </w:rPr>
            </w:pPr>
            <w:r>
              <w:rPr>
                <w:rFonts w:eastAsia="Times New Roman" w:cstheme="minorHAnsi"/>
                <w:color w:val="000000"/>
                <w:sz w:val="18"/>
                <w:szCs w:val="18"/>
              </w:rPr>
              <w:t>n/a</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2D4A7925" w14:textId="1B08C39F"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Number of new foreign/domestic investments in the tourism sector</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1D163B0A"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5</w:t>
            </w:r>
          </w:p>
        </w:tc>
        <w:tc>
          <w:tcPr>
            <w:tcW w:w="367" w:type="pct"/>
            <w:tcBorders>
              <w:top w:val="single" w:sz="4" w:space="0" w:color="auto"/>
              <w:left w:val="nil"/>
              <w:bottom w:val="single" w:sz="4" w:space="0" w:color="auto"/>
              <w:right w:val="single" w:sz="4" w:space="0" w:color="auto"/>
            </w:tcBorders>
            <w:shd w:val="clear" w:color="auto" w:fill="E1E7F7"/>
            <w:vAlign w:val="center"/>
          </w:tcPr>
          <w:p w14:paraId="6EBDD68B" w14:textId="1F070394"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c>
          <w:tcPr>
            <w:tcW w:w="368" w:type="pct"/>
            <w:tcBorders>
              <w:top w:val="single" w:sz="4" w:space="0" w:color="auto"/>
              <w:left w:val="nil"/>
              <w:bottom w:val="single" w:sz="4" w:space="0" w:color="auto"/>
              <w:right w:val="single" w:sz="4" w:space="0" w:color="auto"/>
            </w:tcBorders>
            <w:shd w:val="clear" w:color="auto" w:fill="E1E7F7"/>
            <w:vAlign w:val="center"/>
          </w:tcPr>
          <w:p w14:paraId="4644E427" w14:textId="69AD7337"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r>
      <w:tr w:rsidR="00AE1ECE" w:rsidRPr="00411A98" w14:paraId="3EE82A9C" w14:textId="5EFEFED3"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09E642" w14:textId="5EF91118"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14</w:t>
            </w:r>
          </w:p>
        </w:tc>
        <w:tc>
          <w:tcPr>
            <w:tcW w:w="293" w:type="pct"/>
            <w:tcBorders>
              <w:top w:val="single" w:sz="4" w:space="0" w:color="auto"/>
              <w:left w:val="single" w:sz="4" w:space="0" w:color="auto"/>
              <w:bottom w:val="single" w:sz="4" w:space="0" w:color="auto"/>
              <w:right w:val="single" w:sz="4" w:space="0" w:color="auto"/>
            </w:tcBorders>
            <w:vAlign w:val="center"/>
          </w:tcPr>
          <w:p w14:paraId="6F469188" w14:textId="08946BB5" w:rsidR="009B5777" w:rsidRPr="001E7502" w:rsidRDefault="009B5777" w:rsidP="009B5777">
            <w:pPr>
              <w:spacing w:after="0" w:line="240" w:lineRule="auto"/>
              <w:rPr>
                <w:rFonts w:eastAsia="Times New Roman" w:cstheme="minorHAnsi"/>
                <w:color w:val="212121"/>
                <w:sz w:val="18"/>
                <w:szCs w:val="18"/>
              </w:rPr>
            </w:pPr>
            <w:r>
              <w:rPr>
                <w:rFonts w:eastAsia="Times New Roman" w:cstheme="minorHAnsi"/>
                <w:color w:val="000000"/>
                <w:sz w:val="18"/>
                <w:szCs w:val="18"/>
              </w:rPr>
              <w:t>n/a</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500E1AFF" w14:textId="77DA2DB7"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 xml:space="preserve">Number of additional visitors to Solomon Island tourism operator sites as a result of Strongim Bisnis interventions </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482E9A74"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1119</w:t>
            </w:r>
          </w:p>
        </w:tc>
        <w:tc>
          <w:tcPr>
            <w:tcW w:w="367" w:type="pct"/>
            <w:tcBorders>
              <w:top w:val="single" w:sz="4" w:space="0" w:color="auto"/>
              <w:left w:val="nil"/>
              <w:bottom w:val="single" w:sz="4" w:space="0" w:color="auto"/>
              <w:right w:val="single" w:sz="4" w:space="0" w:color="auto"/>
            </w:tcBorders>
            <w:shd w:val="clear" w:color="auto" w:fill="E1E7F7"/>
            <w:vAlign w:val="center"/>
          </w:tcPr>
          <w:p w14:paraId="728ABFAD" w14:textId="4ECDDE5C"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c>
          <w:tcPr>
            <w:tcW w:w="368" w:type="pct"/>
            <w:tcBorders>
              <w:top w:val="single" w:sz="4" w:space="0" w:color="auto"/>
              <w:left w:val="nil"/>
              <w:bottom w:val="single" w:sz="4" w:space="0" w:color="auto"/>
              <w:right w:val="single" w:sz="4" w:space="0" w:color="auto"/>
            </w:tcBorders>
            <w:shd w:val="clear" w:color="auto" w:fill="E1E7F7"/>
            <w:vAlign w:val="center"/>
          </w:tcPr>
          <w:p w14:paraId="0283DBE0" w14:textId="6B133681" w:rsidR="009B5777" w:rsidRPr="001E7502" w:rsidRDefault="00407984"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r>
      <w:tr w:rsidR="00AE1ECE" w:rsidRPr="00411A98" w14:paraId="0A192062" w14:textId="2F004699" w:rsidTr="00CB35A1">
        <w:trPr>
          <w:trHeight w:val="424"/>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F237DD" w14:textId="0BB2C710"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16*</w:t>
            </w:r>
          </w:p>
        </w:tc>
        <w:tc>
          <w:tcPr>
            <w:tcW w:w="293" w:type="pct"/>
            <w:tcBorders>
              <w:top w:val="single" w:sz="4" w:space="0" w:color="auto"/>
              <w:left w:val="single" w:sz="4" w:space="0" w:color="auto"/>
              <w:bottom w:val="single" w:sz="4" w:space="0" w:color="auto"/>
              <w:right w:val="single" w:sz="4" w:space="0" w:color="auto"/>
            </w:tcBorders>
            <w:vAlign w:val="center"/>
          </w:tcPr>
          <w:p w14:paraId="55638F7F" w14:textId="40F4BBBF"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000000"/>
                <w:sz w:val="18"/>
                <w:szCs w:val="18"/>
              </w:rPr>
              <w:t>12</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76DAC" w14:textId="77F9B361" w:rsidR="009B5777" w:rsidRPr="001E7502" w:rsidRDefault="009B5777" w:rsidP="00CB35A1">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 xml:space="preserve">Number of recipients of capacity building support </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76F758DD"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2210</w:t>
            </w:r>
          </w:p>
        </w:tc>
        <w:tc>
          <w:tcPr>
            <w:tcW w:w="367" w:type="pct"/>
            <w:tcBorders>
              <w:top w:val="single" w:sz="4" w:space="0" w:color="auto"/>
              <w:left w:val="nil"/>
              <w:bottom w:val="single" w:sz="4" w:space="0" w:color="auto"/>
              <w:right w:val="single" w:sz="4" w:space="0" w:color="auto"/>
            </w:tcBorders>
            <w:shd w:val="clear" w:color="auto" w:fill="E1E7F7"/>
            <w:vAlign w:val="center"/>
          </w:tcPr>
          <w:p w14:paraId="335FB8A1" w14:textId="1C75A755"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322</w:t>
            </w:r>
          </w:p>
        </w:tc>
        <w:tc>
          <w:tcPr>
            <w:tcW w:w="368" w:type="pct"/>
            <w:tcBorders>
              <w:top w:val="single" w:sz="4" w:space="0" w:color="auto"/>
              <w:left w:val="nil"/>
              <w:bottom w:val="single" w:sz="4" w:space="0" w:color="auto"/>
              <w:right w:val="single" w:sz="4" w:space="0" w:color="auto"/>
            </w:tcBorders>
            <w:shd w:val="clear" w:color="auto" w:fill="E1E7F7"/>
            <w:vAlign w:val="center"/>
          </w:tcPr>
          <w:p w14:paraId="7D39B005" w14:textId="32A4E3E5"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319</w:t>
            </w:r>
          </w:p>
        </w:tc>
      </w:tr>
      <w:tr w:rsidR="00AE1ECE" w:rsidRPr="00411A98" w14:paraId="28E318B3" w14:textId="11970E25"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2DCB67" w14:textId="073F134B"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19</w:t>
            </w:r>
          </w:p>
        </w:tc>
        <w:tc>
          <w:tcPr>
            <w:tcW w:w="293" w:type="pct"/>
            <w:tcBorders>
              <w:top w:val="single" w:sz="4" w:space="0" w:color="auto"/>
              <w:left w:val="single" w:sz="4" w:space="0" w:color="auto"/>
              <w:bottom w:val="single" w:sz="4" w:space="0" w:color="auto"/>
              <w:right w:val="single" w:sz="4" w:space="0" w:color="auto"/>
            </w:tcBorders>
            <w:vAlign w:val="center"/>
          </w:tcPr>
          <w:p w14:paraId="17B912A1" w14:textId="07D362AF"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000000"/>
                <w:sz w:val="18"/>
                <w:szCs w:val="18"/>
              </w:rPr>
              <w:t>14</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00FBFA17" w14:textId="2978A24F"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Number of market actors supported by Strongim Bisnis</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5DB5F775"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33</w:t>
            </w:r>
          </w:p>
        </w:tc>
        <w:tc>
          <w:tcPr>
            <w:tcW w:w="367" w:type="pct"/>
            <w:tcBorders>
              <w:top w:val="single" w:sz="4" w:space="0" w:color="auto"/>
              <w:left w:val="nil"/>
              <w:bottom w:val="single" w:sz="4" w:space="0" w:color="auto"/>
              <w:right w:val="single" w:sz="4" w:space="0" w:color="auto"/>
            </w:tcBorders>
            <w:shd w:val="clear" w:color="auto" w:fill="E1E7F7"/>
            <w:vAlign w:val="center"/>
          </w:tcPr>
          <w:p w14:paraId="6C7E06DF" w14:textId="1EC0CDA5"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76</w:t>
            </w:r>
          </w:p>
        </w:tc>
        <w:tc>
          <w:tcPr>
            <w:tcW w:w="368" w:type="pct"/>
            <w:tcBorders>
              <w:top w:val="single" w:sz="4" w:space="0" w:color="auto"/>
              <w:left w:val="nil"/>
              <w:bottom w:val="single" w:sz="4" w:space="0" w:color="auto"/>
              <w:right w:val="single" w:sz="4" w:space="0" w:color="auto"/>
            </w:tcBorders>
            <w:shd w:val="clear" w:color="auto" w:fill="E1E7F7"/>
            <w:vAlign w:val="center"/>
          </w:tcPr>
          <w:p w14:paraId="55C71C4C" w14:textId="23327A57"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175</w:t>
            </w:r>
          </w:p>
        </w:tc>
      </w:tr>
      <w:tr w:rsidR="00AE1ECE" w:rsidRPr="00411A98" w14:paraId="7CAB6B04" w14:textId="17CF1549"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C3E224" w14:textId="19D3CB23"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20</w:t>
            </w:r>
          </w:p>
        </w:tc>
        <w:tc>
          <w:tcPr>
            <w:tcW w:w="293" w:type="pct"/>
            <w:tcBorders>
              <w:top w:val="single" w:sz="4" w:space="0" w:color="auto"/>
              <w:left w:val="single" w:sz="4" w:space="0" w:color="auto"/>
              <w:bottom w:val="single" w:sz="4" w:space="0" w:color="auto"/>
              <w:right w:val="single" w:sz="4" w:space="0" w:color="auto"/>
            </w:tcBorders>
            <w:vAlign w:val="center"/>
          </w:tcPr>
          <w:p w14:paraId="0CCED9AB" w14:textId="537D9450"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15</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2B375E20" w14:textId="53F971AD"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Contributions (financial and non-financial) by market actors (AUD)</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0622B5F7" w14:textId="409622ED" w:rsidR="009B5777" w:rsidRPr="001E7502" w:rsidRDefault="009B5777" w:rsidP="009B5777">
            <w:pPr>
              <w:spacing w:after="0" w:line="240" w:lineRule="auto"/>
              <w:jc w:val="right"/>
              <w:rPr>
                <w:rFonts w:eastAsia="Times New Roman" w:cstheme="minorHAnsi"/>
                <w:color w:val="212121"/>
                <w:sz w:val="18"/>
                <w:szCs w:val="18"/>
              </w:rPr>
            </w:pPr>
            <w:r w:rsidRPr="001E7502">
              <w:rPr>
                <w:rFonts w:eastAsia="Times New Roman" w:cstheme="minorHAnsi"/>
                <w:color w:val="212121"/>
                <w:sz w:val="18"/>
                <w:szCs w:val="18"/>
              </w:rPr>
              <w:t>1,120,575</w:t>
            </w:r>
          </w:p>
        </w:tc>
        <w:tc>
          <w:tcPr>
            <w:tcW w:w="367" w:type="pct"/>
            <w:tcBorders>
              <w:top w:val="single" w:sz="4" w:space="0" w:color="auto"/>
              <w:left w:val="nil"/>
              <w:bottom w:val="single" w:sz="4" w:space="0" w:color="auto"/>
              <w:right w:val="single" w:sz="4" w:space="0" w:color="auto"/>
            </w:tcBorders>
            <w:shd w:val="clear" w:color="auto" w:fill="E1E7F7"/>
            <w:vAlign w:val="center"/>
          </w:tcPr>
          <w:p w14:paraId="3D9BA052" w14:textId="357E8F50" w:rsidR="009B5777" w:rsidRPr="001E7502" w:rsidRDefault="009B5777" w:rsidP="009B5777">
            <w:pPr>
              <w:spacing w:after="0" w:line="240" w:lineRule="auto"/>
              <w:jc w:val="right"/>
              <w:rPr>
                <w:rFonts w:eastAsia="Times New Roman" w:cstheme="minorHAnsi"/>
                <w:color w:val="212121"/>
                <w:sz w:val="18"/>
                <w:szCs w:val="18"/>
              </w:rPr>
            </w:pPr>
            <w:r>
              <w:rPr>
                <w:rFonts w:eastAsia="Times New Roman" w:cstheme="minorHAnsi"/>
                <w:color w:val="212121"/>
                <w:sz w:val="18"/>
                <w:szCs w:val="18"/>
              </w:rPr>
              <w:t>107</w:t>
            </w:r>
          </w:p>
        </w:tc>
        <w:tc>
          <w:tcPr>
            <w:tcW w:w="368" w:type="pct"/>
            <w:tcBorders>
              <w:top w:val="single" w:sz="4" w:space="0" w:color="auto"/>
              <w:left w:val="nil"/>
              <w:bottom w:val="single" w:sz="4" w:space="0" w:color="auto"/>
              <w:right w:val="single" w:sz="4" w:space="0" w:color="auto"/>
            </w:tcBorders>
            <w:shd w:val="clear" w:color="auto" w:fill="E1E7F7"/>
            <w:vAlign w:val="center"/>
          </w:tcPr>
          <w:p w14:paraId="5243B7EF" w14:textId="505D96DE" w:rsidR="009B5777" w:rsidRPr="001E7502" w:rsidRDefault="009B5777" w:rsidP="009B5777">
            <w:pPr>
              <w:spacing w:after="0" w:line="240" w:lineRule="auto"/>
              <w:jc w:val="right"/>
              <w:rPr>
                <w:rFonts w:eastAsia="Times New Roman" w:cstheme="minorHAnsi"/>
                <w:color w:val="212121"/>
                <w:sz w:val="18"/>
                <w:szCs w:val="18"/>
              </w:rPr>
            </w:pPr>
            <w:r>
              <w:rPr>
                <w:rFonts w:eastAsia="Times New Roman" w:cstheme="minorHAnsi"/>
                <w:color w:val="212121"/>
                <w:sz w:val="18"/>
                <w:szCs w:val="18"/>
              </w:rPr>
              <w:t>142</w:t>
            </w:r>
          </w:p>
        </w:tc>
      </w:tr>
      <w:tr w:rsidR="00AE1ECE" w:rsidRPr="00411A98" w14:paraId="06AD98B2" w14:textId="7DBD8286"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07F54B" w14:textId="3CB32EE0"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21**</w:t>
            </w:r>
          </w:p>
        </w:tc>
        <w:tc>
          <w:tcPr>
            <w:tcW w:w="293" w:type="pct"/>
            <w:tcBorders>
              <w:top w:val="single" w:sz="4" w:space="0" w:color="auto"/>
              <w:left w:val="single" w:sz="4" w:space="0" w:color="auto"/>
              <w:bottom w:val="single" w:sz="4" w:space="0" w:color="auto"/>
              <w:right w:val="single" w:sz="4" w:space="0" w:color="auto"/>
            </w:tcBorders>
            <w:vAlign w:val="center"/>
          </w:tcPr>
          <w:p w14:paraId="6F32624F" w14:textId="13AF9882"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000000"/>
                <w:sz w:val="18"/>
                <w:szCs w:val="18"/>
              </w:rPr>
              <w:t>16</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573571B0" w14:textId="79C02156"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Number of events supported for encouraging market actor participation/innovation*</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385742E2"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21</w:t>
            </w:r>
          </w:p>
        </w:tc>
        <w:tc>
          <w:tcPr>
            <w:tcW w:w="367" w:type="pct"/>
            <w:tcBorders>
              <w:top w:val="single" w:sz="4" w:space="0" w:color="auto"/>
              <w:left w:val="nil"/>
              <w:bottom w:val="single" w:sz="4" w:space="0" w:color="auto"/>
              <w:right w:val="single" w:sz="4" w:space="0" w:color="auto"/>
            </w:tcBorders>
            <w:shd w:val="clear" w:color="auto" w:fill="E1E7F7"/>
            <w:vAlign w:val="center"/>
          </w:tcPr>
          <w:p w14:paraId="022D80AE" w14:textId="468349D9"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100</w:t>
            </w:r>
          </w:p>
        </w:tc>
        <w:tc>
          <w:tcPr>
            <w:tcW w:w="368" w:type="pct"/>
            <w:tcBorders>
              <w:top w:val="single" w:sz="4" w:space="0" w:color="auto"/>
              <w:left w:val="nil"/>
              <w:bottom w:val="single" w:sz="4" w:space="0" w:color="auto"/>
              <w:right w:val="single" w:sz="4" w:space="0" w:color="auto"/>
            </w:tcBorders>
            <w:shd w:val="clear" w:color="auto" w:fill="E1E7F7"/>
            <w:vAlign w:val="center"/>
          </w:tcPr>
          <w:p w14:paraId="5E9A90D7" w14:textId="708384BC"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90</w:t>
            </w:r>
          </w:p>
        </w:tc>
      </w:tr>
      <w:tr w:rsidR="00AE1ECE" w:rsidRPr="00411A98" w14:paraId="48C368FA" w14:textId="3672E692"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49495C" w14:textId="75CDA54D"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22**</w:t>
            </w:r>
          </w:p>
        </w:tc>
        <w:tc>
          <w:tcPr>
            <w:tcW w:w="293" w:type="pct"/>
            <w:tcBorders>
              <w:top w:val="single" w:sz="4" w:space="0" w:color="auto"/>
              <w:left w:val="single" w:sz="4" w:space="0" w:color="auto"/>
              <w:bottom w:val="single" w:sz="4" w:space="0" w:color="auto"/>
              <w:right w:val="single" w:sz="4" w:space="0" w:color="auto"/>
            </w:tcBorders>
            <w:vAlign w:val="center"/>
          </w:tcPr>
          <w:p w14:paraId="04691B2B" w14:textId="527A65BA"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000000"/>
                <w:sz w:val="18"/>
                <w:szCs w:val="18"/>
              </w:rPr>
              <w:t>17</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4CC787CE" w14:textId="5224C063"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Number of contributions to the consultations of development partners and Solomon Island government agencies to influence complementarity and evidence-based decisions making that empowers the private sector*</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1DB1CAF2"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30</w:t>
            </w:r>
          </w:p>
        </w:tc>
        <w:tc>
          <w:tcPr>
            <w:tcW w:w="367" w:type="pct"/>
            <w:tcBorders>
              <w:top w:val="single" w:sz="4" w:space="0" w:color="auto"/>
              <w:left w:val="nil"/>
              <w:bottom w:val="single" w:sz="4" w:space="0" w:color="auto"/>
              <w:right w:val="single" w:sz="4" w:space="0" w:color="auto"/>
            </w:tcBorders>
            <w:shd w:val="clear" w:color="auto" w:fill="E1E7F7"/>
            <w:vAlign w:val="center"/>
          </w:tcPr>
          <w:p w14:paraId="4B48FDD5" w14:textId="2D4B6325"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160</w:t>
            </w:r>
          </w:p>
        </w:tc>
        <w:tc>
          <w:tcPr>
            <w:tcW w:w="368" w:type="pct"/>
            <w:tcBorders>
              <w:top w:val="single" w:sz="4" w:space="0" w:color="auto"/>
              <w:left w:val="nil"/>
              <w:bottom w:val="single" w:sz="4" w:space="0" w:color="auto"/>
              <w:right w:val="single" w:sz="4" w:space="0" w:color="auto"/>
            </w:tcBorders>
            <w:shd w:val="clear" w:color="auto" w:fill="E1E7F7"/>
            <w:vAlign w:val="center"/>
          </w:tcPr>
          <w:p w14:paraId="0D4872F9" w14:textId="3169D21F"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140</w:t>
            </w:r>
          </w:p>
        </w:tc>
      </w:tr>
      <w:tr w:rsidR="00AE1ECE" w:rsidRPr="00411A98" w14:paraId="6B4144BA" w14:textId="52181EDA"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4E946B" w14:textId="5FA907F4" w:rsidR="009B5777" w:rsidRPr="001E7502" w:rsidRDefault="009B5777" w:rsidP="009B5777">
            <w:pPr>
              <w:spacing w:after="0" w:line="240" w:lineRule="auto"/>
              <w:rPr>
                <w:rFonts w:eastAsia="Times New Roman" w:cstheme="minorHAnsi"/>
                <w:color w:val="212121"/>
                <w:sz w:val="18"/>
                <w:szCs w:val="18"/>
              </w:rPr>
            </w:pPr>
            <w:r w:rsidRPr="001E7502">
              <w:rPr>
                <w:rFonts w:cstheme="minorHAnsi"/>
                <w:color w:val="212121"/>
                <w:sz w:val="18"/>
                <w:szCs w:val="18"/>
              </w:rPr>
              <w:t>23**</w:t>
            </w:r>
          </w:p>
        </w:tc>
        <w:tc>
          <w:tcPr>
            <w:tcW w:w="293" w:type="pct"/>
            <w:tcBorders>
              <w:top w:val="single" w:sz="4" w:space="0" w:color="auto"/>
              <w:left w:val="single" w:sz="4" w:space="0" w:color="auto"/>
              <w:bottom w:val="single" w:sz="4" w:space="0" w:color="auto"/>
              <w:right w:val="single" w:sz="4" w:space="0" w:color="auto"/>
            </w:tcBorders>
            <w:vAlign w:val="center"/>
          </w:tcPr>
          <w:p w14:paraId="1FCA151B" w14:textId="3C9D7ABF"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000000"/>
                <w:sz w:val="18"/>
                <w:szCs w:val="18"/>
              </w:rPr>
              <w:t>18</w:t>
            </w:r>
          </w:p>
        </w:tc>
        <w:tc>
          <w:tcPr>
            <w:tcW w:w="3090" w:type="pct"/>
            <w:tcBorders>
              <w:top w:val="single" w:sz="4" w:space="0" w:color="auto"/>
              <w:left w:val="single" w:sz="4" w:space="0" w:color="auto"/>
              <w:bottom w:val="single" w:sz="4" w:space="0" w:color="auto"/>
              <w:right w:val="single" w:sz="4" w:space="0" w:color="auto"/>
            </w:tcBorders>
            <w:shd w:val="clear" w:color="auto" w:fill="auto"/>
            <w:hideMark/>
          </w:tcPr>
          <w:p w14:paraId="0B9F081B" w14:textId="5A5F1935" w:rsidR="009B5777" w:rsidRPr="001E7502" w:rsidRDefault="009B5777" w:rsidP="009B5777">
            <w:pPr>
              <w:spacing w:after="0" w:line="240" w:lineRule="auto"/>
              <w:rPr>
                <w:rFonts w:eastAsia="Times New Roman" w:cstheme="minorHAnsi"/>
                <w:color w:val="212121"/>
                <w:sz w:val="18"/>
                <w:szCs w:val="18"/>
              </w:rPr>
            </w:pPr>
            <w:r w:rsidRPr="001E7502">
              <w:rPr>
                <w:rFonts w:eastAsia="Times New Roman" w:cstheme="minorHAnsi"/>
                <w:color w:val="212121"/>
                <w:sz w:val="18"/>
                <w:szCs w:val="18"/>
              </w:rPr>
              <w:t>Number of public communiques for encouraging market actor participation and innovation*</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6F0699A5" w14:textId="77777777" w:rsidR="009B5777" w:rsidRPr="001E7502" w:rsidRDefault="009B5777" w:rsidP="009B5777">
            <w:pPr>
              <w:spacing w:after="0" w:line="240" w:lineRule="auto"/>
              <w:jc w:val="right"/>
              <w:rPr>
                <w:rFonts w:eastAsia="Times New Roman" w:cstheme="minorHAnsi"/>
                <w:color w:val="000000"/>
                <w:sz w:val="18"/>
                <w:szCs w:val="18"/>
              </w:rPr>
            </w:pPr>
            <w:r w:rsidRPr="001E7502">
              <w:rPr>
                <w:rFonts w:eastAsia="Times New Roman" w:cstheme="minorHAnsi"/>
                <w:color w:val="000000"/>
                <w:sz w:val="18"/>
                <w:szCs w:val="18"/>
              </w:rPr>
              <w:t>32</w:t>
            </w:r>
          </w:p>
        </w:tc>
        <w:tc>
          <w:tcPr>
            <w:tcW w:w="367" w:type="pct"/>
            <w:tcBorders>
              <w:top w:val="single" w:sz="4" w:space="0" w:color="auto"/>
              <w:left w:val="nil"/>
              <w:bottom w:val="single" w:sz="4" w:space="0" w:color="auto"/>
              <w:right w:val="single" w:sz="4" w:space="0" w:color="auto"/>
            </w:tcBorders>
            <w:shd w:val="clear" w:color="auto" w:fill="E1E7F7"/>
            <w:vAlign w:val="center"/>
          </w:tcPr>
          <w:p w14:paraId="4F6A87F7" w14:textId="36D23436"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107</w:t>
            </w:r>
          </w:p>
        </w:tc>
        <w:tc>
          <w:tcPr>
            <w:tcW w:w="368" w:type="pct"/>
            <w:tcBorders>
              <w:top w:val="single" w:sz="4" w:space="0" w:color="auto"/>
              <w:left w:val="nil"/>
              <w:bottom w:val="single" w:sz="4" w:space="0" w:color="auto"/>
              <w:right w:val="single" w:sz="4" w:space="0" w:color="auto"/>
            </w:tcBorders>
            <w:shd w:val="clear" w:color="auto" w:fill="E1E7F7"/>
            <w:vAlign w:val="center"/>
          </w:tcPr>
          <w:p w14:paraId="48026B21" w14:textId="11CE6579"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107</w:t>
            </w:r>
          </w:p>
        </w:tc>
      </w:tr>
      <w:tr w:rsidR="00AE1ECE" w:rsidRPr="00411A98" w14:paraId="1BEC6691" w14:textId="77777777" w:rsidTr="00AE1ECE">
        <w:trPr>
          <w:trHeight w:val="227"/>
        </w:trPr>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47488" w14:textId="5E21F412" w:rsidR="009B5777" w:rsidRPr="001E7502" w:rsidRDefault="009B5777" w:rsidP="009B5777">
            <w:pPr>
              <w:spacing w:after="0" w:line="240" w:lineRule="auto"/>
              <w:rPr>
                <w:rFonts w:cstheme="minorHAnsi"/>
                <w:color w:val="212121"/>
                <w:sz w:val="18"/>
                <w:szCs w:val="18"/>
              </w:rPr>
            </w:pPr>
            <w:r>
              <w:rPr>
                <w:rFonts w:cstheme="minorHAnsi"/>
                <w:color w:val="212121"/>
                <w:sz w:val="18"/>
                <w:szCs w:val="18"/>
              </w:rPr>
              <w:t xml:space="preserve"> -</w:t>
            </w:r>
          </w:p>
        </w:tc>
        <w:tc>
          <w:tcPr>
            <w:tcW w:w="293" w:type="pct"/>
            <w:tcBorders>
              <w:top w:val="single" w:sz="4" w:space="0" w:color="auto"/>
              <w:left w:val="single" w:sz="4" w:space="0" w:color="auto"/>
              <w:bottom w:val="single" w:sz="4" w:space="0" w:color="auto"/>
              <w:right w:val="single" w:sz="4" w:space="0" w:color="auto"/>
            </w:tcBorders>
            <w:vAlign w:val="center"/>
          </w:tcPr>
          <w:p w14:paraId="5736430E" w14:textId="007AB3A1" w:rsidR="009B5777" w:rsidRPr="08123348" w:rsidRDefault="009B5777" w:rsidP="009B5777">
            <w:pPr>
              <w:spacing w:after="0" w:line="240" w:lineRule="auto"/>
              <w:rPr>
                <w:rFonts w:ascii="Franklin Gothic Book" w:eastAsia="Times New Roman" w:hAnsi="Franklin Gothic Book"/>
                <w:color w:val="212121"/>
                <w:sz w:val="18"/>
                <w:szCs w:val="18"/>
              </w:rPr>
            </w:pPr>
            <w:r>
              <w:rPr>
                <w:rFonts w:eastAsia="Times New Roman" w:cstheme="minorHAnsi"/>
                <w:color w:val="000000"/>
                <w:sz w:val="18"/>
                <w:szCs w:val="18"/>
              </w:rPr>
              <w:t>19</w:t>
            </w:r>
          </w:p>
        </w:tc>
        <w:tc>
          <w:tcPr>
            <w:tcW w:w="3090" w:type="pct"/>
            <w:tcBorders>
              <w:top w:val="single" w:sz="4" w:space="0" w:color="auto"/>
              <w:left w:val="single" w:sz="4" w:space="0" w:color="auto"/>
              <w:bottom w:val="single" w:sz="4" w:space="0" w:color="auto"/>
              <w:right w:val="single" w:sz="4" w:space="0" w:color="auto"/>
            </w:tcBorders>
            <w:shd w:val="clear" w:color="auto" w:fill="auto"/>
          </w:tcPr>
          <w:p w14:paraId="45A758A7" w14:textId="242699A3" w:rsidR="009B5777" w:rsidRPr="001E7502" w:rsidRDefault="009B5777" w:rsidP="009B5777">
            <w:pPr>
              <w:spacing w:after="0" w:line="240" w:lineRule="auto"/>
              <w:rPr>
                <w:rFonts w:eastAsia="Times New Roman" w:cstheme="minorHAnsi"/>
                <w:color w:val="212121"/>
                <w:sz w:val="18"/>
                <w:szCs w:val="18"/>
              </w:rPr>
            </w:pPr>
            <w:r w:rsidRPr="00CB35A1">
              <w:rPr>
                <w:rFonts w:eastAsia="Times New Roman" w:cstheme="minorHAnsi"/>
                <w:color w:val="212121"/>
                <w:sz w:val="18"/>
                <w:szCs w:val="18"/>
              </w:rPr>
              <w:t>Number of new partnerships in the new target value chains (timber, horticulture, financial sector and waste management)**</w:t>
            </w:r>
          </w:p>
        </w:tc>
        <w:tc>
          <w:tcPr>
            <w:tcW w:w="589" w:type="pct"/>
            <w:tcBorders>
              <w:top w:val="single" w:sz="4" w:space="0" w:color="auto"/>
              <w:left w:val="nil"/>
              <w:bottom w:val="single" w:sz="4" w:space="0" w:color="auto"/>
              <w:right w:val="single" w:sz="4" w:space="0" w:color="auto"/>
            </w:tcBorders>
            <w:shd w:val="clear" w:color="auto" w:fill="auto"/>
            <w:vAlign w:val="center"/>
          </w:tcPr>
          <w:p w14:paraId="4000D0F1" w14:textId="269C0EED" w:rsidR="009B5777" w:rsidRPr="001E7502"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c>
          <w:tcPr>
            <w:tcW w:w="367" w:type="pct"/>
            <w:tcBorders>
              <w:top w:val="single" w:sz="4" w:space="0" w:color="auto"/>
              <w:left w:val="nil"/>
              <w:bottom w:val="single" w:sz="4" w:space="0" w:color="auto"/>
              <w:right w:val="single" w:sz="4" w:space="0" w:color="auto"/>
            </w:tcBorders>
            <w:shd w:val="clear" w:color="auto" w:fill="E1E7F7"/>
            <w:vAlign w:val="center"/>
          </w:tcPr>
          <w:p w14:paraId="478CBDFD" w14:textId="59D479E5" w:rsidR="009B5777"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67</w:t>
            </w:r>
          </w:p>
        </w:tc>
        <w:tc>
          <w:tcPr>
            <w:tcW w:w="368" w:type="pct"/>
            <w:tcBorders>
              <w:top w:val="single" w:sz="4" w:space="0" w:color="auto"/>
              <w:left w:val="nil"/>
              <w:bottom w:val="single" w:sz="4" w:space="0" w:color="auto"/>
              <w:right w:val="single" w:sz="4" w:space="0" w:color="auto"/>
            </w:tcBorders>
            <w:shd w:val="clear" w:color="auto" w:fill="E1E7F7"/>
            <w:vAlign w:val="center"/>
          </w:tcPr>
          <w:p w14:paraId="7D6161A8" w14:textId="0BB68195" w:rsidR="009B5777" w:rsidRDefault="009B5777" w:rsidP="009B5777">
            <w:pPr>
              <w:spacing w:after="0" w:line="240" w:lineRule="auto"/>
              <w:jc w:val="right"/>
              <w:rPr>
                <w:rFonts w:eastAsia="Times New Roman" w:cstheme="minorHAnsi"/>
                <w:color w:val="000000"/>
                <w:sz w:val="18"/>
                <w:szCs w:val="18"/>
              </w:rPr>
            </w:pPr>
            <w:r>
              <w:rPr>
                <w:rFonts w:eastAsia="Times New Roman" w:cstheme="minorHAnsi"/>
                <w:color w:val="000000"/>
                <w:sz w:val="18"/>
                <w:szCs w:val="18"/>
              </w:rPr>
              <w:t>114</w:t>
            </w:r>
          </w:p>
        </w:tc>
      </w:tr>
    </w:tbl>
    <w:p w14:paraId="4ED87987" w14:textId="7D0C1E59" w:rsidR="00094C7D" w:rsidRPr="00DC4758" w:rsidRDefault="00094C7D" w:rsidP="00DC4758">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 </w:t>
      </w:r>
      <w:r w:rsidR="3DE61F1B" w:rsidRPr="08123348">
        <w:rPr>
          <w:rFonts w:ascii="Franklin Gothic Book" w:eastAsia="Times New Roman" w:hAnsi="Franklin Gothic Book"/>
          <w:color w:val="212121"/>
          <w:sz w:val="18"/>
          <w:szCs w:val="18"/>
        </w:rPr>
        <w:t>Also</w:t>
      </w:r>
      <w:r w:rsidR="00640787" w:rsidRPr="08123348">
        <w:rPr>
          <w:rFonts w:ascii="Franklin Gothic Book" w:eastAsia="Times New Roman" w:hAnsi="Franklin Gothic Book"/>
          <w:color w:val="212121"/>
          <w:sz w:val="18"/>
          <w:szCs w:val="18"/>
        </w:rPr>
        <w:t xml:space="preserve"> an EOPO3 indicator</w:t>
      </w:r>
      <w:r w:rsidR="00DC4758" w:rsidRPr="08123348">
        <w:rPr>
          <w:rFonts w:ascii="Franklin Gothic Book" w:eastAsia="Times New Roman" w:hAnsi="Franklin Gothic Book"/>
          <w:color w:val="212121"/>
          <w:sz w:val="18"/>
          <w:szCs w:val="18"/>
        </w:rPr>
        <w:t>.</w:t>
      </w:r>
      <w:r w:rsidR="0041397C">
        <w:rPr>
          <w:rFonts w:ascii="Franklin Gothic Book" w:eastAsia="Times New Roman" w:hAnsi="Franklin Gothic Book"/>
          <w:color w:val="212121"/>
          <w:sz w:val="18"/>
          <w:szCs w:val="18"/>
        </w:rPr>
        <w:t xml:space="preserve">   </w:t>
      </w:r>
      <w:r w:rsidR="00F82145" w:rsidRPr="00DC4758">
        <w:rPr>
          <w:rFonts w:ascii="Franklin Gothic Book" w:eastAsia="Times New Roman" w:hAnsi="Franklin Gothic Book"/>
          <w:color w:val="212121"/>
          <w:sz w:val="18"/>
          <w:szCs w:val="18"/>
        </w:rPr>
        <w:t xml:space="preserve">** </w:t>
      </w:r>
      <w:r w:rsidR="00DC4758" w:rsidRPr="00DC4758">
        <w:rPr>
          <w:rFonts w:ascii="Franklin Gothic Book" w:eastAsia="Times New Roman" w:hAnsi="Franklin Gothic Book"/>
          <w:color w:val="212121"/>
          <w:sz w:val="18"/>
          <w:szCs w:val="18"/>
        </w:rPr>
        <w:t>Indicator for all EOPOs.</w:t>
      </w:r>
    </w:p>
    <w:p w14:paraId="4F6102AD" w14:textId="084990AB" w:rsidR="00B62D64" w:rsidRDefault="00AF3AA4" w:rsidP="00380C3F">
      <w:pPr>
        <w:pStyle w:val="Heading3NOTOC"/>
        <w:rPr>
          <w:lang w:val="en-US"/>
        </w:rPr>
      </w:pPr>
      <w:r>
        <w:t xml:space="preserve">EOPO1: Evidence from </w:t>
      </w:r>
      <w:r w:rsidR="4F54552A" w:rsidRPr="08123348">
        <w:rPr>
          <w:lang w:val="en-US"/>
        </w:rPr>
        <w:t>consultations</w:t>
      </w:r>
    </w:p>
    <w:p w14:paraId="706AFD85" w14:textId="557CDD2C" w:rsidR="003D3F10" w:rsidRPr="00B62D64" w:rsidRDefault="00A10510" w:rsidP="003D3F10">
      <w:r>
        <w:t xml:space="preserve">Of the </w:t>
      </w:r>
      <w:r w:rsidR="001409B4">
        <w:t>32</w:t>
      </w:r>
      <w:r w:rsidR="00E57853">
        <w:t xml:space="preserve"> private sector</w:t>
      </w:r>
      <w:r w:rsidR="00380C3F">
        <w:t xml:space="preserve"> partners consulted during fieldwork</w:t>
      </w:r>
      <w:r w:rsidR="00E57853" w:rsidRPr="009F31BA">
        <w:t xml:space="preserve">, </w:t>
      </w:r>
      <w:r w:rsidR="11CC2ED5" w:rsidRPr="009F31BA">
        <w:rPr>
          <w:lang w:val="en-US"/>
        </w:rPr>
        <w:t>virtually</w:t>
      </w:r>
      <w:r w:rsidR="00380C3F" w:rsidRPr="009F31BA">
        <w:rPr>
          <w:lang w:val="en-US"/>
        </w:rPr>
        <w:t xml:space="preserve"> all reported</w:t>
      </w:r>
      <w:r w:rsidR="00380C3F" w:rsidRPr="08123348">
        <w:rPr>
          <w:lang w:val="en-US"/>
        </w:rPr>
        <w:t xml:space="preserve"> positive outcomes in terms of actual or expected increases in productivity, income, market access</w:t>
      </w:r>
      <w:r w:rsidR="00E57853" w:rsidRPr="08123348">
        <w:rPr>
          <w:lang w:val="en-US"/>
        </w:rPr>
        <w:t xml:space="preserve"> and</w:t>
      </w:r>
      <w:r w:rsidR="00380C3F" w:rsidRPr="08123348">
        <w:rPr>
          <w:lang w:val="en-US"/>
        </w:rPr>
        <w:t xml:space="preserve"> resilience. </w:t>
      </w:r>
      <w:r w:rsidR="009F26D4" w:rsidRPr="08123348">
        <w:rPr>
          <w:lang w:val="en-US"/>
        </w:rPr>
        <w:t xml:space="preserve">Where responses </w:t>
      </w:r>
      <w:r w:rsidR="00E21C04" w:rsidRPr="08123348">
        <w:rPr>
          <w:lang w:val="en-US"/>
        </w:rPr>
        <w:t xml:space="preserve">were </w:t>
      </w:r>
      <w:r w:rsidR="0092393C" w:rsidRPr="08123348">
        <w:rPr>
          <w:lang w:val="en-US"/>
        </w:rPr>
        <w:t xml:space="preserve">less </w:t>
      </w:r>
      <w:r w:rsidR="007843CA" w:rsidRPr="08123348">
        <w:rPr>
          <w:lang w:val="en-US"/>
        </w:rPr>
        <w:t>certain</w:t>
      </w:r>
      <w:r w:rsidR="006146B9" w:rsidRPr="08123348">
        <w:rPr>
          <w:lang w:val="en-US"/>
        </w:rPr>
        <w:t>, this was generally because those</w:t>
      </w:r>
      <w:r w:rsidR="003D3F10" w:rsidRPr="08123348">
        <w:rPr>
          <w:lang w:val="en-US"/>
        </w:rPr>
        <w:t xml:space="preserve"> partnerships are ‘too early’ or ‘preparatory’ – </w:t>
      </w:r>
      <w:r w:rsidR="00AF0E19" w:rsidRPr="08123348">
        <w:rPr>
          <w:lang w:val="en-US"/>
        </w:rPr>
        <w:t xml:space="preserve">for instance </w:t>
      </w:r>
      <w:r w:rsidR="009F31BA">
        <w:rPr>
          <w:lang w:val="en-US"/>
        </w:rPr>
        <w:t xml:space="preserve">processing </w:t>
      </w:r>
      <w:r w:rsidR="00AF0E19" w:rsidRPr="08123348">
        <w:rPr>
          <w:lang w:val="en-US"/>
        </w:rPr>
        <w:t xml:space="preserve">equipment </w:t>
      </w:r>
      <w:r w:rsidR="008D3AA0" w:rsidRPr="08123348">
        <w:rPr>
          <w:lang w:val="en-US"/>
        </w:rPr>
        <w:t xml:space="preserve">was </w:t>
      </w:r>
      <w:r w:rsidR="003D3F10" w:rsidRPr="08123348">
        <w:rPr>
          <w:lang w:val="en-US"/>
        </w:rPr>
        <w:t>procur</w:t>
      </w:r>
      <w:r w:rsidR="008D3AA0" w:rsidRPr="08123348">
        <w:rPr>
          <w:lang w:val="en-US"/>
        </w:rPr>
        <w:t>ed</w:t>
      </w:r>
      <w:r w:rsidR="003D3F10" w:rsidRPr="08123348">
        <w:rPr>
          <w:lang w:val="en-US"/>
        </w:rPr>
        <w:t xml:space="preserve"> </w:t>
      </w:r>
      <w:r w:rsidR="008D3AA0" w:rsidRPr="08123348">
        <w:rPr>
          <w:lang w:val="en-US"/>
        </w:rPr>
        <w:t>but had</w:t>
      </w:r>
      <w:r w:rsidR="003D3F10" w:rsidRPr="08123348">
        <w:rPr>
          <w:lang w:val="en-US"/>
        </w:rPr>
        <w:t xml:space="preserve"> not yet arrived</w:t>
      </w:r>
      <w:r w:rsidR="008D3AA0" w:rsidRPr="08123348">
        <w:rPr>
          <w:lang w:val="en-US"/>
        </w:rPr>
        <w:t xml:space="preserve"> or b</w:t>
      </w:r>
      <w:r w:rsidR="0077118D" w:rsidRPr="08123348">
        <w:rPr>
          <w:lang w:val="en-US"/>
        </w:rPr>
        <w:t>ecome operational</w:t>
      </w:r>
      <w:r w:rsidR="005D04B3">
        <w:rPr>
          <w:lang w:val="en-US"/>
        </w:rPr>
        <w:t xml:space="preserve"> (coconut, horticulture and timber examples)</w:t>
      </w:r>
      <w:r w:rsidR="00A45324">
        <w:rPr>
          <w:lang w:val="en-US"/>
        </w:rPr>
        <w:t xml:space="preserve">, </w:t>
      </w:r>
      <w:r w:rsidR="00036518" w:rsidRPr="08123348">
        <w:rPr>
          <w:lang w:val="en-US"/>
        </w:rPr>
        <w:t>and</w:t>
      </w:r>
      <w:r w:rsidR="003D3F10" w:rsidRPr="08123348">
        <w:rPr>
          <w:lang w:val="en-US"/>
        </w:rPr>
        <w:t xml:space="preserve"> </w:t>
      </w:r>
      <w:r w:rsidR="00B76025" w:rsidRPr="08123348">
        <w:rPr>
          <w:lang w:val="en-US"/>
        </w:rPr>
        <w:t xml:space="preserve">in the </w:t>
      </w:r>
      <w:r w:rsidR="00036518" w:rsidRPr="08123348">
        <w:rPr>
          <w:lang w:val="en-US"/>
        </w:rPr>
        <w:t>Waste Management sector where</w:t>
      </w:r>
      <w:r w:rsidR="00B76025" w:rsidRPr="08123348">
        <w:rPr>
          <w:lang w:val="en-US"/>
        </w:rPr>
        <w:t xml:space="preserve"> </w:t>
      </w:r>
      <w:r w:rsidR="005D04B3">
        <w:rPr>
          <w:lang w:val="en-US"/>
        </w:rPr>
        <w:t>Strongim Bisnis</w:t>
      </w:r>
      <w:r w:rsidR="00B76025" w:rsidRPr="08123348">
        <w:rPr>
          <w:lang w:val="en-US"/>
        </w:rPr>
        <w:t xml:space="preserve"> ha</w:t>
      </w:r>
      <w:r w:rsidR="005D04B3">
        <w:rPr>
          <w:lang w:val="en-US"/>
        </w:rPr>
        <w:t>s</w:t>
      </w:r>
      <w:r w:rsidR="003D3F10" w:rsidRPr="08123348">
        <w:rPr>
          <w:lang w:val="en-US"/>
        </w:rPr>
        <w:t xml:space="preserve"> support</w:t>
      </w:r>
      <w:r w:rsidR="00036518" w:rsidRPr="08123348">
        <w:rPr>
          <w:lang w:val="en-US"/>
        </w:rPr>
        <w:t>ed</w:t>
      </w:r>
      <w:r w:rsidR="003D3F10" w:rsidRPr="08123348">
        <w:rPr>
          <w:lang w:val="en-US"/>
        </w:rPr>
        <w:t xml:space="preserve"> construction </w:t>
      </w:r>
      <w:r w:rsidR="00036518" w:rsidRPr="08123348">
        <w:rPr>
          <w:lang w:val="en-US"/>
        </w:rPr>
        <w:t>of</w:t>
      </w:r>
      <w:r w:rsidR="003D3F10" w:rsidRPr="08123348">
        <w:rPr>
          <w:lang w:val="en-US"/>
        </w:rPr>
        <w:t xml:space="preserve"> storage space for recyclables</w:t>
      </w:r>
      <w:r w:rsidR="007D59F0" w:rsidRPr="08123348">
        <w:rPr>
          <w:lang w:val="en-US"/>
        </w:rPr>
        <w:t>,</w:t>
      </w:r>
      <w:r w:rsidR="003D3F10" w:rsidRPr="08123348">
        <w:rPr>
          <w:lang w:val="en-US"/>
        </w:rPr>
        <w:t xml:space="preserve"> </w:t>
      </w:r>
      <w:r w:rsidR="00D71D68" w:rsidRPr="08123348">
        <w:rPr>
          <w:lang w:val="en-US"/>
        </w:rPr>
        <w:t xml:space="preserve">in the </w:t>
      </w:r>
      <w:r w:rsidR="00D71D68" w:rsidRPr="08123348">
        <w:rPr>
          <w:i/>
          <w:iCs/>
          <w:lang w:val="en-US"/>
        </w:rPr>
        <w:t>expectation</w:t>
      </w:r>
      <w:r w:rsidR="00D71D68" w:rsidRPr="08123348">
        <w:rPr>
          <w:lang w:val="en-US"/>
        </w:rPr>
        <w:t xml:space="preserve"> that</w:t>
      </w:r>
      <w:r w:rsidR="003D3F10" w:rsidRPr="08123348">
        <w:rPr>
          <w:lang w:val="en-US"/>
        </w:rPr>
        <w:t xml:space="preserve"> further market opportunities</w:t>
      </w:r>
      <w:r w:rsidR="00036518" w:rsidRPr="08123348">
        <w:rPr>
          <w:lang w:val="en-US"/>
        </w:rPr>
        <w:t xml:space="preserve"> </w:t>
      </w:r>
      <w:r w:rsidR="005D04B3">
        <w:rPr>
          <w:lang w:val="en-US"/>
        </w:rPr>
        <w:t>will</w:t>
      </w:r>
      <w:r w:rsidR="00D71D68" w:rsidRPr="08123348">
        <w:rPr>
          <w:lang w:val="en-US"/>
        </w:rPr>
        <w:t xml:space="preserve"> become</w:t>
      </w:r>
      <w:r w:rsidR="007D59F0" w:rsidRPr="08123348">
        <w:rPr>
          <w:lang w:val="en-US"/>
        </w:rPr>
        <w:t xml:space="preserve"> available</w:t>
      </w:r>
      <w:r w:rsidR="003D3F10" w:rsidRPr="08123348">
        <w:rPr>
          <w:lang w:val="en-US"/>
        </w:rPr>
        <w:t>.</w:t>
      </w:r>
    </w:p>
    <w:p w14:paraId="048878C9" w14:textId="66686D05" w:rsidR="00CB7342" w:rsidRPr="00B62D64" w:rsidRDefault="00CB7342" w:rsidP="00CB7342">
      <w:r w:rsidRPr="08123348">
        <w:rPr>
          <w:lang w:val="en-US"/>
        </w:rPr>
        <w:t xml:space="preserve">In </w:t>
      </w:r>
      <w:r w:rsidR="00DE52E4" w:rsidRPr="08123348">
        <w:rPr>
          <w:lang w:val="en-US"/>
        </w:rPr>
        <w:t>several instances</w:t>
      </w:r>
      <w:r w:rsidRPr="08123348">
        <w:rPr>
          <w:lang w:val="en-US"/>
        </w:rPr>
        <w:t xml:space="preserve">, </w:t>
      </w:r>
      <w:r w:rsidR="005D04B3">
        <w:rPr>
          <w:lang w:val="en-US"/>
        </w:rPr>
        <w:t>Strongim Bisnis</w:t>
      </w:r>
      <w:r w:rsidRPr="08123348">
        <w:rPr>
          <w:lang w:val="en-US"/>
        </w:rPr>
        <w:t xml:space="preserve"> support </w:t>
      </w:r>
      <w:r w:rsidR="3512D8ED" w:rsidRPr="08123348">
        <w:rPr>
          <w:lang w:val="en-US"/>
        </w:rPr>
        <w:t>has</w:t>
      </w:r>
      <w:r w:rsidRPr="08123348">
        <w:rPr>
          <w:lang w:val="en-US"/>
        </w:rPr>
        <w:t xml:space="preserve"> enabled the business to </w:t>
      </w:r>
      <w:r w:rsidRPr="08123348">
        <w:rPr>
          <w:b/>
          <w:bCs/>
          <w:lang w:val="en-US"/>
        </w:rPr>
        <w:t>process and/or sell new products into new markets</w:t>
      </w:r>
      <w:r w:rsidR="00DE52E4" w:rsidRPr="08123348">
        <w:rPr>
          <w:lang w:val="en-US"/>
        </w:rPr>
        <w:t xml:space="preserve">. For example, </w:t>
      </w:r>
      <w:r w:rsidR="009A7AAB">
        <w:rPr>
          <w:rFonts w:ascii="Arial" w:eastAsia="Times New Roman" w:hAnsi="Arial" w:cs="Arial"/>
          <w:color w:val="auto"/>
          <w:szCs w:val="20"/>
        </w:rPr>
        <w:t>Kolombangara Forest Products Limited</w:t>
      </w:r>
      <w:r w:rsidR="009A7AAB" w:rsidRPr="08123348">
        <w:rPr>
          <w:lang w:val="en-US"/>
        </w:rPr>
        <w:t xml:space="preserve"> </w:t>
      </w:r>
      <w:r w:rsidR="009A7AAB">
        <w:rPr>
          <w:lang w:val="en-US"/>
        </w:rPr>
        <w:t>(</w:t>
      </w:r>
      <w:r w:rsidR="00DE52E4" w:rsidRPr="08123348">
        <w:rPr>
          <w:lang w:val="en-US"/>
        </w:rPr>
        <w:t>KFPL</w:t>
      </w:r>
      <w:r w:rsidR="009A7AAB">
        <w:rPr>
          <w:lang w:val="en-US"/>
        </w:rPr>
        <w:t>)</w:t>
      </w:r>
      <w:r w:rsidR="00DE52E4" w:rsidRPr="08123348">
        <w:rPr>
          <w:lang w:val="en-US"/>
        </w:rPr>
        <w:t xml:space="preserve"> </w:t>
      </w:r>
      <w:r w:rsidR="009A7AAB">
        <w:rPr>
          <w:lang w:val="en-US"/>
        </w:rPr>
        <w:t>can</w:t>
      </w:r>
      <w:r w:rsidR="006571BF" w:rsidRPr="08123348">
        <w:rPr>
          <w:lang w:val="en-US"/>
        </w:rPr>
        <w:t xml:space="preserve"> now make use of </w:t>
      </w:r>
      <w:r w:rsidR="002E1079" w:rsidRPr="08123348">
        <w:rPr>
          <w:lang w:val="en-US"/>
        </w:rPr>
        <w:t xml:space="preserve">low-value or otherwise unsaleable </w:t>
      </w:r>
      <w:r w:rsidR="0026759B" w:rsidRPr="08123348">
        <w:rPr>
          <w:lang w:val="en-US"/>
        </w:rPr>
        <w:t xml:space="preserve">timber </w:t>
      </w:r>
      <w:r w:rsidR="002E1079" w:rsidRPr="08123348">
        <w:rPr>
          <w:lang w:val="en-US"/>
        </w:rPr>
        <w:t xml:space="preserve">to </w:t>
      </w:r>
      <w:r w:rsidR="00FF6B25" w:rsidRPr="08123348">
        <w:rPr>
          <w:lang w:val="en-US"/>
        </w:rPr>
        <w:t>produce pallets for sale to SolTuna.</w:t>
      </w:r>
      <w:r w:rsidR="0026759B" w:rsidRPr="08123348">
        <w:rPr>
          <w:lang w:val="en-US"/>
        </w:rPr>
        <w:t xml:space="preserve"> </w:t>
      </w:r>
      <w:r w:rsidRPr="08123348">
        <w:rPr>
          <w:lang w:val="en-US"/>
        </w:rPr>
        <w:t xml:space="preserve">Chottu </w:t>
      </w:r>
      <w:r w:rsidR="001C0F9C" w:rsidRPr="08123348">
        <w:rPr>
          <w:lang w:val="en-US"/>
        </w:rPr>
        <w:t>Guadalcanal Products</w:t>
      </w:r>
      <w:r w:rsidRPr="08123348">
        <w:rPr>
          <w:lang w:val="en-US"/>
        </w:rPr>
        <w:t xml:space="preserve"> </w:t>
      </w:r>
      <w:r w:rsidR="000B54F3" w:rsidRPr="08123348">
        <w:rPr>
          <w:lang w:val="en-US"/>
        </w:rPr>
        <w:t>and</w:t>
      </w:r>
      <w:r w:rsidRPr="08123348">
        <w:rPr>
          <w:lang w:val="en-US"/>
        </w:rPr>
        <w:t xml:space="preserve"> Islands Own </w:t>
      </w:r>
      <w:r w:rsidR="000B54F3" w:rsidRPr="08123348">
        <w:rPr>
          <w:lang w:val="en-US"/>
        </w:rPr>
        <w:t xml:space="preserve">have expanded their ranges of </w:t>
      </w:r>
      <w:r w:rsidRPr="08123348">
        <w:rPr>
          <w:lang w:val="en-US"/>
        </w:rPr>
        <w:t>coconut products</w:t>
      </w:r>
      <w:r w:rsidR="000B54F3" w:rsidRPr="08123348">
        <w:rPr>
          <w:lang w:val="en-US"/>
        </w:rPr>
        <w:t xml:space="preserve"> </w:t>
      </w:r>
      <w:r w:rsidR="00B81068">
        <w:rPr>
          <w:lang w:val="en-US"/>
        </w:rPr>
        <w:t>with</w:t>
      </w:r>
      <w:r w:rsidR="000B54F3" w:rsidRPr="08123348">
        <w:rPr>
          <w:lang w:val="en-US"/>
        </w:rPr>
        <w:t xml:space="preserve"> new machinery funded by </w:t>
      </w:r>
      <w:r w:rsidR="005D04B3">
        <w:rPr>
          <w:lang w:val="en-US"/>
        </w:rPr>
        <w:t>Strongim Bisnis</w:t>
      </w:r>
      <w:r w:rsidR="000B54F3" w:rsidRPr="08123348">
        <w:rPr>
          <w:lang w:val="en-US"/>
        </w:rPr>
        <w:t>. Similarly,</w:t>
      </w:r>
      <w:r w:rsidRPr="08123348">
        <w:rPr>
          <w:lang w:val="en-US"/>
        </w:rPr>
        <w:t xml:space="preserve"> Cathliro </w:t>
      </w:r>
      <w:r w:rsidR="000319A9" w:rsidRPr="08123348">
        <w:rPr>
          <w:lang w:val="en-US"/>
        </w:rPr>
        <w:t xml:space="preserve">developed new </w:t>
      </w:r>
      <w:r w:rsidR="004A4C78" w:rsidRPr="08123348">
        <w:rPr>
          <w:lang w:val="en-US"/>
        </w:rPr>
        <w:t xml:space="preserve">international </w:t>
      </w:r>
      <w:r w:rsidR="000319A9" w:rsidRPr="08123348">
        <w:rPr>
          <w:lang w:val="en-US"/>
        </w:rPr>
        <w:t xml:space="preserve">markets for </w:t>
      </w:r>
      <w:r w:rsidR="004A4C78" w:rsidRPr="08123348">
        <w:rPr>
          <w:lang w:val="en-US"/>
        </w:rPr>
        <w:t xml:space="preserve">semi-processed </w:t>
      </w:r>
      <w:r w:rsidRPr="08123348">
        <w:rPr>
          <w:lang w:val="en-US"/>
        </w:rPr>
        <w:t>cocoa products</w:t>
      </w:r>
      <w:r w:rsidR="004A4C78" w:rsidRPr="08123348">
        <w:rPr>
          <w:lang w:val="en-US"/>
        </w:rPr>
        <w:t xml:space="preserve">. </w:t>
      </w:r>
    </w:p>
    <w:p w14:paraId="6E00FBF9" w14:textId="3DAAF731" w:rsidR="002015E1" w:rsidRDefault="00CB7342" w:rsidP="00CB7342">
      <w:pPr>
        <w:rPr>
          <w:lang w:val="en-US"/>
        </w:rPr>
      </w:pPr>
      <w:r w:rsidRPr="08123348">
        <w:rPr>
          <w:lang w:val="en-US"/>
        </w:rPr>
        <w:t xml:space="preserve">In other cases, </w:t>
      </w:r>
      <w:r w:rsidR="005D04B3">
        <w:rPr>
          <w:lang w:val="en-US"/>
        </w:rPr>
        <w:t>Strongim Bisnis</w:t>
      </w:r>
      <w:r w:rsidRPr="08123348">
        <w:rPr>
          <w:lang w:val="en-US"/>
        </w:rPr>
        <w:t xml:space="preserve"> helped </w:t>
      </w:r>
      <w:r w:rsidRPr="08123348">
        <w:rPr>
          <w:b/>
          <w:bCs/>
          <w:lang w:val="en-US"/>
        </w:rPr>
        <w:t xml:space="preserve">de-risk </w:t>
      </w:r>
      <w:r w:rsidR="0063691E" w:rsidRPr="08123348">
        <w:rPr>
          <w:b/>
          <w:bCs/>
          <w:lang w:val="en-US"/>
        </w:rPr>
        <w:t xml:space="preserve">new </w:t>
      </w:r>
      <w:r w:rsidRPr="08123348">
        <w:rPr>
          <w:b/>
          <w:bCs/>
          <w:lang w:val="en-US"/>
        </w:rPr>
        <w:t>initiatives</w:t>
      </w:r>
      <w:r w:rsidRPr="08123348">
        <w:rPr>
          <w:lang w:val="en-US"/>
        </w:rPr>
        <w:t xml:space="preserve"> th</w:t>
      </w:r>
      <w:r w:rsidR="003A79E7" w:rsidRPr="08123348">
        <w:rPr>
          <w:lang w:val="en-US"/>
        </w:rPr>
        <w:t xml:space="preserve">at </w:t>
      </w:r>
      <w:r w:rsidRPr="08123348">
        <w:rPr>
          <w:lang w:val="en-US"/>
        </w:rPr>
        <w:t>the business partner was keen to trial</w:t>
      </w:r>
      <w:r w:rsidR="00A51D70" w:rsidRPr="08123348">
        <w:rPr>
          <w:lang w:val="en-US"/>
        </w:rPr>
        <w:t xml:space="preserve"> or improve</w:t>
      </w:r>
      <w:r w:rsidR="0063691E" w:rsidRPr="08123348">
        <w:rPr>
          <w:lang w:val="en-US"/>
        </w:rPr>
        <w:t xml:space="preserve">. For example, </w:t>
      </w:r>
      <w:r w:rsidR="00E51FCF" w:rsidRPr="08123348">
        <w:rPr>
          <w:lang w:val="en-US"/>
        </w:rPr>
        <w:t xml:space="preserve">the </w:t>
      </w:r>
      <w:r w:rsidR="0063691E" w:rsidRPr="08123348">
        <w:rPr>
          <w:lang w:val="en-US"/>
        </w:rPr>
        <w:t xml:space="preserve">Bulk Shop </w:t>
      </w:r>
      <w:r w:rsidR="00E51FCF" w:rsidRPr="08123348">
        <w:rPr>
          <w:lang w:val="en-US"/>
        </w:rPr>
        <w:t xml:space="preserve">supermarket chain </w:t>
      </w:r>
      <w:r w:rsidR="0063691E" w:rsidRPr="08123348">
        <w:rPr>
          <w:lang w:val="en-US"/>
        </w:rPr>
        <w:t xml:space="preserve">had </w:t>
      </w:r>
      <w:r w:rsidR="00A51D70" w:rsidRPr="08123348">
        <w:rPr>
          <w:lang w:val="en-US"/>
        </w:rPr>
        <w:t xml:space="preserve">previously </w:t>
      </w:r>
      <w:r w:rsidR="00654C94" w:rsidRPr="08123348">
        <w:rPr>
          <w:lang w:val="en-US"/>
        </w:rPr>
        <w:t xml:space="preserve">attempted </w:t>
      </w:r>
      <w:r w:rsidR="00503521" w:rsidRPr="08123348">
        <w:rPr>
          <w:lang w:val="en-US"/>
        </w:rPr>
        <w:t xml:space="preserve">collection </w:t>
      </w:r>
      <w:r w:rsidR="00E51FCF" w:rsidRPr="08123348">
        <w:rPr>
          <w:lang w:val="en-US"/>
        </w:rPr>
        <w:t xml:space="preserve">of </w:t>
      </w:r>
      <w:r w:rsidR="00503521" w:rsidRPr="08123348">
        <w:rPr>
          <w:lang w:val="en-US"/>
        </w:rPr>
        <w:t xml:space="preserve">fresh </w:t>
      </w:r>
      <w:r w:rsidR="00E51FCF" w:rsidRPr="08123348">
        <w:rPr>
          <w:lang w:val="en-US"/>
        </w:rPr>
        <w:t xml:space="preserve">local produce </w:t>
      </w:r>
      <w:r w:rsidR="000516B4" w:rsidRPr="08123348">
        <w:rPr>
          <w:lang w:val="en-US"/>
        </w:rPr>
        <w:t>direct</w:t>
      </w:r>
      <w:r w:rsidR="00E51FCF" w:rsidRPr="08123348">
        <w:rPr>
          <w:lang w:val="en-US"/>
        </w:rPr>
        <w:t xml:space="preserve"> from </w:t>
      </w:r>
      <w:r w:rsidR="000516B4" w:rsidRPr="08123348">
        <w:rPr>
          <w:lang w:val="en-US"/>
        </w:rPr>
        <w:t>rural producers,</w:t>
      </w:r>
      <w:r w:rsidR="00E51FCF" w:rsidRPr="08123348">
        <w:rPr>
          <w:lang w:val="en-US"/>
        </w:rPr>
        <w:t xml:space="preserve"> </w:t>
      </w:r>
      <w:r w:rsidR="007858E5" w:rsidRPr="08123348">
        <w:rPr>
          <w:lang w:val="en-US"/>
        </w:rPr>
        <w:t xml:space="preserve">but found </w:t>
      </w:r>
      <w:r w:rsidR="009E7765" w:rsidRPr="08123348">
        <w:rPr>
          <w:lang w:val="en-US"/>
        </w:rPr>
        <w:t>the</w:t>
      </w:r>
      <w:r w:rsidR="00CA1A5F" w:rsidRPr="08123348">
        <w:rPr>
          <w:lang w:val="en-US"/>
        </w:rPr>
        <w:t xml:space="preserve">se items deteriorated rapidly </w:t>
      </w:r>
      <w:r w:rsidR="00385EA8" w:rsidRPr="08123348">
        <w:rPr>
          <w:lang w:val="en-US"/>
        </w:rPr>
        <w:t xml:space="preserve">during transport and </w:t>
      </w:r>
      <w:r w:rsidR="0072062E" w:rsidRPr="08123348">
        <w:rPr>
          <w:lang w:val="en-US"/>
        </w:rPr>
        <w:t>in-store</w:t>
      </w:r>
      <w:r w:rsidR="0005758F" w:rsidRPr="08123348">
        <w:rPr>
          <w:lang w:val="en-US"/>
        </w:rPr>
        <w:t xml:space="preserve">. </w:t>
      </w:r>
      <w:r w:rsidR="005D04B3">
        <w:rPr>
          <w:lang w:val="en-US"/>
        </w:rPr>
        <w:t>Strongim Bisnis</w:t>
      </w:r>
      <w:r w:rsidR="00B4063F" w:rsidRPr="08123348">
        <w:rPr>
          <w:lang w:val="en-US"/>
        </w:rPr>
        <w:t xml:space="preserve"> </w:t>
      </w:r>
      <w:r w:rsidR="00DF76E0" w:rsidRPr="08123348">
        <w:rPr>
          <w:lang w:val="en-US"/>
        </w:rPr>
        <w:t>provided a refrigerated truck</w:t>
      </w:r>
      <w:r w:rsidR="00115139" w:rsidRPr="08123348">
        <w:rPr>
          <w:lang w:val="en-US"/>
        </w:rPr>
        <w:t xml:space="preserve">, and </w:t>
      </w:r>
      <w:r w:rsidR="00FE4EDC" w:rsidRPr="08123348">
        <w:rPr>
          <w:lang w:val="en-US"/>
        </w:rPr>
        <w:t xml:space="preserve">the </w:t>
      </w:r>
      <w:r w:rsidR="00A1577C" w:rsidRPr="08123348">
        <w:rPr>
          <w:lang w:val="en-US"/>
        </w:rPr>
        <w:t xml:space="preserve">separate </w:t>
      </w:r>
      <w:r w:rsidR="005D04B3">
        <w:rPr>
          <w:lang w:val="en-US"/>
        </w:rPr>
        <w:t>Strongim Bisnis</w:t>
      </w:r>
      <w:r w:rsidR="006D040C" w:rsidRPr="08123348">
        <w:rPr>
          <w:lang w:val="en-US"/>
        </w:rPr>
        <w:t xml:space="preserve"> </w:t>
      </w:r>
      <w:r w:rsidR="00FE4EDC" w:rsidRPr="08123348">
        <w:rPr>
          <w:lang w:val="en-US"/>
        </w:rPr>
        <w:t xml:space="preserve">partnership with </w:t>
      </w:r>
      <w:r w:rsidR="6AED657C" w:rsidRPr="08123348">
        <w:rPr>
          <w:lang w:val="en-US"/>
        </w:rPr>
        <w:t>Northwest</w:t>
      </w:r>
      <w:r w:rsidR="002015E1" w:rsidRPr="08123348">
        <w:rPr>
          <w:lang w:val="en-US"/>
        </w:rPr>
        <w:t xml:space="preserve"> Guadalcanal Development Association (NWGDA) </w:t>
      </w:r>
      <w:r w:rsidR="003621BD" w:rsidRPr="08123348">
        <w:rPr>
          <w:lang w:val="en-US"/>
        </w:rPr>
        <w:t xml:space="preserve">funded a physical marketplace </w:t>
      </w:r>
      <w:r w:rsidR="00885F53" w:rsidRPr="08123348">
        <w:rPr>
          <w:lang w:val="en-US"/>
        </w:rPr>
        <w:t xml:space="preserve">where Bulk Shop </w:t>
      </w:r>
      <w:r w:rsidR="000048E9" w:rsidRPr="08123348">
        <w:rPr>
          <w:lang w:val="en-US"/>
        </w:rPr>
        <w:t>buy</w:t>
      </w:r>
      <w:r w:rsidR="00324AA5" w:rsidRPr="08123348">
        <w:rPr>
          <w:lang w:val="en-US"/>
        </w:rPr>
        <w:t>s</w:t>
      </w:r>
      <w:r w:rsidR="000048E9" w:rsidRPr="08123348">
        <w:rPr>
          <w:lang w:val="en-US"/>
        </w:rPr>
        <w:t xml:space="preserve"> from </w:t>
      </w:r>
      <w:r w:rsidR="00141E96" w:rsidRPr="08123348">
        <w:rPr>
          <w:lang w:val="en-US"/>
        </w:rPr>
        <w:t>the region’s</w:t>
      </w:r>
      <w:r w:rsidR="00CA54D7" w:rsidRPr="08123348">
        <w:rPr>
          <w:lang w:val="en-US"/>
        </w:rPr>
        <w:t xml:space="preserve"> farmers</w:t>
      </w:r>
      <w:r w:rsidR="008D1B4F" w:rsidRPr="08123348">
        <w:rPr>
          <w:lang w:val="en-US"/>
        </w:rPr>
        <w:t xml:space="preserve"> once a week</w:t>
      </w:r>
      <w:r w:rsidR="00CA54D7" w:rsidRPr="08123348">
        <w:rPr>
          <w:lang w:val="en-US"/>
        </w:rPr>
        <w:t>.</w:t>
      </w:r>
      <w:r w:rsidR="00C809A6" w:rsidRPr="08123348">
        <w:rPr>
          <w:lang w:val="en-US"/>
        </w:rPr>
        <w:t xml:space="preserve"> </w:t>
      </w:r>
      <w:r w:rsidR="00020753" w:rsidRPr="08123348">
        <w:rPr>
          <w:lang w:val="en-US"/>
        </w:rPr>
        <w:t xml:space="preserve">Remaining issues with </w:t>
      </w:r>
      <w:r w:rsidR="00752238" w:rsidRPr="08123348">
        <w:rPr>
          <w:lang w:val="en-US"/>
        </w:rPr>
        <w:t>storage</w:t>
      </w:r>
      <w:r w:rsidR="00CF666A" w:rsidRPr="08123348">
        <w:rPr>
          <w:lang w:val="en-US"/>
        </w:rPr>
        <w:t>/display</w:t>
      </w:r>
      <w:r w:rsidR="00752238" w:rsidRPr="08123348">
        <w:rPr>
          <w:lang w:val="en-US"/>
        </w:rPr>
        <w:t xml:space="preserve"> temperature</w:t>
      </w:r>
      <w:r w:rsidR="00CF666A" w:rsidRPr="08123348">
        <w:rPr>
          <w:lang w:val="en-US"/>
        </w:rPr>
        <w:t>s</w:t>
      </w:r>
      <w:r w:rsidR="00752238" w:rsidRPr="08123348">
        <w:rPr>
          <w:lang w:val="en-US"/>
        </w:rPr>
        <w:t xml:space="preserve"> may be resolved </w:t>
      </w:r>
      <w:r w:rsidR="00A324FF" w:rsidRPr="08123348">
        <w:rPr>
          <w:lang w:val="en-US"/>
        </w:rPr>
        <w:t xml:space="preserve">if Bulk Shop goes ahead with plans to construct new </w:t>
      </w:r>
      <w:r w:rsidR="0FD5997B" w:rsidRPr="08123348">
        <w:rPr>
          <w:lang w:val="en-US"/>
        </w:rPr>
        <w:t>air-conditioned</w:t>
      </w:r>
      <w:r w:rsidR="00A324FF" w:rsidRPr="08123348">
        <w:rPr>
          <w:lang w:val="en-US"/>
        </w:rPr>
        <w:t xml:space="preserve"> supermarkets.</w:t>
      </w:r>
      <w:r w:rsidR="00C8397F" w:rsidRPr="08123348">
        <w:rPr>
          <w:lang w:val="en-US"/>
        </w:rPr>
        <w:t xml:space="preserve"> </w:t>
      </w:r>
      <w:r w:rsidR="006D040C" w:rsidRPr="08123348">
        <w:rPr>
          <w:lang w:val="en-US"/>
        </w:rPr>
        <w:t xml:space="preserve"> </w:t>
      </w:r>
      <w:r w:rsidRPr="08123348">
        <w:rPr>
          <w:lang w:val="en-US"/>
        </w:rPr>
        <w:t xml:space="preserve"> </w:t>
      </w:r>
    </w:p>
    <w:p w14:paraId="6AF0CD8B" w14:textId="0656814E" w:rsidR="009F6112" w:rsidRDefault="008A2C7C" w:rsidP="00CB7342">
      <w:r>
        <w:rPr>
          <w:lang w:val="en-US"/>
        </w:rPr>
        <w:t xml:space="preserve">The NWGDA/Bulkshop example </w:t>
      </w:r>
      <w:r w:rsidR="00175491">
        <w:rPr>
          <w:lang w:val="en-US"/>
        </w:rPr>
        <w:t xml:space="preserve">is one of several instances of </w:t>
      </w:r>
      <w:r w:rsidR="005D04B3">
        <w:rPr>
          <w:lang w:val="en-US"/>
        </w:rPr>
        <w:t>Strongim Bisnis</w:t>
      </w:r>
      <w:r w:rsidR="00CB7342" w:rsidRPr="00B62D64">
        <w:rPr>
          <w:lang w:val="en-US"/>
        </w:rPr>
        <w:t xml:space="preserve"> </w:t>
      </w:r>
      <w:r w:rsidR="00175491">
        <w:rPr>
          <w:lang w:val="en-US"/>
        </w:rPr>
        <w:t>support for</w:t>
      </w:r>
      <w:r w:rsidR="00CB7342" w:rsidRPr="00B62D64">
        <w:rPr>
          <w:lang w:val="en-US"/>
        </w:rPr>
        <w:t xml:space="preserve"> </w:t>
      </w:r>
      <w:r w:rsidR="00CB7342" w:rsidRPr="08123348">
        <w:rPr>
          <w:b/>
          <w:bCs/>
          <w:lang w:val="en-US"/>
        </w:rPr>
        <w:t>expansion of out-grower and aggregator models</w:t>
      </w:r>
      <w:r w:rsidR="004A61F5">
        <w:rPr>
          <w:b/>
          <w:bCs/>
          <w:lang w:val="en-US"/>
        </w:rPr>
        <w:t>,</w:t>
      </w:r>
      <w:r w:rsidR="003B657B" w:rsidRPr="00555E9F">
        <w:t xml:space="preserve"> </w:t>
      </w:r>
      <w:r w:rsidR="004A61F5">
        <w:t>that provide smallholder farmers with</w:t>
      </w:r>
      <w:r w:rsidR="003B657B" w:rsidRPr="00555E9F">
        <w:t xml:space="preserve"> increased income earning opportunities and access to</w:t>
      </w:r>
      <w:r w:rsidR="003B657B">
        <w:t xml:space="preserve"> </w:t>
      </w:r>
      <w:r w:rsidR="003B657B" w:rsidRPr="00555E9F">
        <w:t>higher value markets</w:t>
      </w:r>
      <w:r w:rsidR="003B657B">
        <w:t xml:space="preserve">. </w:t>
      </w:r>
      <w:r w:rsidR="00CF48A2">
        <w:t xml:space="preserve">Other examples </w:t>
      </w:r>
      <w:r w:rsidR="008C27D4">
        <w:t xml:space="preserve">in the Guadalcanal Horticulture sector </w:t>
      </w:r>
      <w:r w:rsidR="00CF48A2">
        <w:t xml:space="preserve">include </w:t>
      </w:r>
      <w:r w:rsidR="00D41D5F">
        <w:t xml:space="preserve">Prosperity Farm Supplies </w:t>
      </w:r>
      <w:r w:rsidR="008C27D4">
        <w:t>and Sape Farm</w:t>
      </w:r>
      <w:r w:rsidR="005D04B3">
        <w:t>, while most coconut and cocoa partners also utilities effective out-grower models</w:t>
      </w:r>
      <w:r w:rsidR="008C27D4">
        <w:t>.</w:t>
      </w:r>
      <w:r w:rsidR="00090C68">
        <w:rPr>
          <w:lang w:val="en-US"/>
        </w:rPr>
        <w:t xml:space="preserve"> </w:t>
      </w:r>
      <w:r w:rsidR="002364FD">
        <w:t xml:space="preserve">In the timber sector, </w:t>
      </w:r>
      <w:r w:rsidR="005D04B3">
        <w:t>Strongim Bisnis</w:t>
      </w:r>
      <w:r w:rsidR="002364FD">
        <w:t xml:space="preserve"> is supporting </w:t>
      </w:r>
      <w:r w:rsidR="00096E9B">
        <w:t xml:space="preserve">KFPL </w:t>
      </w:r>
      <w:r w:rsidR="00030140">
        <w:t xml:space="preserve">to </w:t>
      </w:r>
      <w:r w:rsidR="0051658F">
        <w:t xml:space="preserve">work with </w:t>
      </w:r>
      <w:r w:rsidR="00CA0988">
        <w:t xml:space="preserve">landowners outside the </w:t>
      </w:r>
      <w:r w:rsidR="00096E9B">
        <w:t xml:space="preserve">plantation to </w:t>
      </w:r>
      <w:r w:rsidR="00030140">
        <w:t xml:space="preserve">harvest mature </w:t>
      </w:r>
      <w:r w:rsidR="00CA0988">
        <w:t>trees</w:t>
      </w:r>
      <w:r w:rsidR="00714127">
        <w:t xml:space="preserve"> (planted through an</w:t>
      </w:r>
      <w:r w:rsidR="005E7557">
        <w:t xml:space="preserve"> </w:t>
      </w:r>
      <w:r w:rsidR="00714127">
        <w:t>earlier out-grower scheme)</w:t>
      </w:r>
      <w:r w:rsidR="00CA0988">
        <w:t xml:space="preserve">, and to replant and care for seedlings. </w:t>
      </w:r>
      <w:r w:rsidR="00C02727">
        <w:t>The evaluation team met with one out-grower community</w:t>
      </w:r>
      <w:r w:rsidR="00AF5AA5">
        <w:t xml:space="preserve">, who </w:t>
      </w:r>
      <w:r w:rsidR="0019316D">
        <w:t xml:space="preserve">appreciated the </w:t>
      </w:r>
      <w:r w:rsidR="008741CC">
        <w:t xml:space="preserve">practical </w:t>
      </w:r>
      <w:r w:rsidR="009B73AE">
        <w:t xml:space="preserve">assistance provided by </w:t>
      </w:r>
      <w:r w:rsidR="005D04B3">
        <w:t>Strongim Bisnis</w:t>
      </w:r>
      <w:r w:rsidR="009B73AE">
        <w:t xml:space="preserve">-funded </w:t>
      </w:r>
      <w:r w:rsidR="006A3222">
        <w:t>KFPL staff</w:t>
      </w:r>
      <w:r w:rsidR="00214BCE">
        <w:t xml:space="preserve">, </w:t>
      </w:r>
      <w:r w:rsidR="00A40290">
        <w:t xml:space="preserve">such as clearing of undergrowth </w:t>
      </w:r>
      <w:r w:rsidR="00CE3647">
        <w:t>to plant</w:t>
      </w:r>
      <w:r w:rsidR="00A40290">
        <w:t xml:space="preserve"> </w:t>
      </w:r>
      <w:r w:rsidR="00D845E6">
        <w:t xml:space="preserve">new </w:t>
      </w:r>
      <w:r w:rsidR="00B17E03">
        <w:t>trees</w:t>
      </w:r>
      <w:r w:rsidR="003036E6">
        <w:rPr>
          <w:rStyle w:val="FootnoteReference"/>
        </w:rPr>
        <w:footnoteReference w:id="9"/>
      </w:r>
      <w:r w:rsidR="00605000">
        <w:t xml:space="preserve">. For </w:t>
      </w:r>
      <w:r w:rsidR="001D41B3">
        <w:t xml:space="preserve">many in the group, </w:t>
      </w:r>
      <w:r w:rsidR="000B7DDC">
        <w:t>tree-planting was an investment in the</w:t>
      </w:r>
      <w:r w:rsidR="00605000">
        <w:t xml:space="preserve"> </w:t>
      </w:r>
      <w:r w:rsidR="00857B39">
        <w:t>next generation, since</w:t>
      </w:r>
      <w:r w:rsidR="000E5B45">
        <w:t xml:space="preserve"> </w:t>
      </w:r>
      <w:r w:rsidR="00D34F5A">
        <w:t xml:space="preserve">income benefits would </w:t>
      </w:r>
      <w:r w:rsidR="00857B39">
        <w:t>only result</w:t>
      </w:r>
      <w:r w:rsidR="000E5B45">
        <w:t xml:space="preserve"> in </w:t>
      </w:r>
      <w:r w:rsidR="00857B39">
        <w:t>15-</w:t>
      </w:r>
      <w:r w:rsidR="006602D8">
        <w:t xml:space="preserve">20 </w:t>
      </w:r>
      <w:r w:rsidR="00857B39">
        <w:t>years’</w:t>
      </w:r>
      <w:r w:rsidR="006602D8">
        <w:t xml:space="preserve"> time</w:t>
      </w:r>
      <w:r w:rsidR="00857B39">
        <w:t>.</w:t>
      </w:r>
    </w:p>
    <w:p w14:paraId="2347B54E" w14:textId="213E9FA2" w:rsidR="00555E9F" w:rsidRPr="00555E9F" w:rsidRDefault="00555E9F" w:rsidP="005D04B3">
      <w:pPr>
        <w:pBdr>
          <w:top w:val="single" w:sz="4" w:space="1" w:color="auto"/>
          <w:left w:val="single" w:sz="4" w:space="4" w:color="auto"/>
          <w:bottom w:val="single" w:sz="4" w:space="1" w:color="auto"/>
          <w:right w:val="single" w:sz="4" w:space="4" w:color="auto"/>
        </w:pBdr>
        <w:shd w:val="clear" w:color="auto" w:fill="C4CFEF" w:themeFill="background2" w:themeFillTint="33"/>
        <w:autoSpaceDE w:val="0"/>
        <w:autoSpaceDN w:val="0"/>
        <w:adjustRightInd w:val="0"/>
        <w:spacing w:after="0" w:line="240" w:lineRule="auto"/>
      </w:pPr>
      <w:r w:rsidRPr="00555E9F">
        <w:rPr>
          <w:b/>
          <w:bCs/>
        </w:rPr>
        <w:t>EOPO2</w:t>
      </w:r>
      <w:r w:rsidRPr="00555E9F">
        <w:t>. The private sector and government have worked together to increase opportunities for trade</w:t>
      </w:r>
      <w:r>
        <w:t xml:space="preserve"> </w:t>
      </w:r>
      <w:r w:rsidRPr="00555E9F">
        <w:t>and investment, and form partnerships that encourage business growth and accelerated</w:t>
      </w:r>
      <w:r>
        <w:t xml:space="preserve"> </w:t>
      </w:r>
      <w:r w:rsidRPr="00555E9F">
        <w:t xml:space="preserve">changes in business practices which result in a more favourable investment </w:t>
      </w:r>
      <w:r w:rsidR="001B3AA2" w:rsidRPr="00555E9F">
        <w:t>climate.</w:t>
      </w:r>
    </w:p>
    <w:p w14:paraId="5603C146" w14:textId="6B9C7C62" w:rsidR="009F49A6" w:rsidRDefault="00AF3AA4" w:rsidP="009F49A6">
      <w:pPr>
        <w:pStyle w:val="Heading3"/>
      </w:pPr>
      <w:r>
        <w:t xml:space="preserve">EOPO2: </w:t>
      </w:r>
      <w:r w:rsidR="009F49A6">
        <w:t>MRM data and annual reports</w:t>
      </w:r>
    </w:p>
    <w:p w14:paraId="6305AF3F" w14:textId="7606E0D4" w:rsidR="00CC1DEC" w:rsidRDefault="006A52F4" w:rsidP="00555E9F">
      <w:r>
        <w:t xml:space="preserve">As with EOPO1, </w:t>
      </w:r>
      <w:r w:rsidR="00A07C3E">
        <w:t xml:space="preserve">EOPO2 must </w:t>
      </w:r>
      <w:r>
        <w:t xml:space="preserve">also </w:t>
      </w:r>
      <w:r w:rsidR="00A07C3E">
        <w:t>be viewed against th</w:t>
      </w:r>
      <w:r w:rsidR="00F11B14">
        <w:t>e</w:t>
      </w:r>
      <w:r w:rsidR="00A07C3E">
        <w:t xml:space="preserve"> backdrop</w:t>
      </w:r>
      <w:r w:rsidR="00F11B14">
        <w:t xml:space="preserve"> of the difficult </w:t>
      </w:r>
      <w:r w:rsidR="00BF7041">
        <w:t xml:space="preserve">operating environment </w:t>
      </w:r>
      <w:r w:rsidR="00182765">
        <w:t>in Solomon Islands</w:t>
      </w:r>
      <w:r w:rsidR="00BF7041">
        <w:t xml:space="preserve">, and </w:t>
      </w:r>
      <w:r w:rsidR="00CB1F01">
        <w:t xml:space="preserve">the </w:t>
      </w:r>
      <w:r w:rsidR="00F11B14">
        <w:t xml:space="preserve">particular disruptions of the </w:t>
      </w:r>
      <w:r w:rsidR="002A5AA5">
        <w:t>last two years</w:t>
      </w:r>
      <w:r w:rsidR="003C6628">
        <w:t>.</w:t>
      </w:r>
      <w:r w:rsidR="00776A30">
        <w:t xml:space="preserve"> </w:t>
      </w:r>
      <w:r w:rsidR="003F3869">
        <w:t xml:space="preserve">The </w:t>
      </w:r>
      <w:r w:rsidR="00061CDF">
        <w:t xml:space="preserve">Pacific Games scheduled for late 2023 </w:t>
      </w:r>
      <w:r w:rsidR="00DC68AE">
        <w:t>is</w:t>
      </w:r>
      <w:r w:rsidR="00061CDF">
        <w:t xml:space="preserve"> providing a </w:t>
      </w:r>
      <w:r w:rsidR="00A86ADE">
        <w:t xml:space="preserve">temporary boost in economic activity but it remains to be seen whether </w:t>
      </w:r>
      <w:r w:rsidR="001E2C69">
        <w:t xml:space="preserve">further </w:t>
      </w:r>
      <w:r w:rsidR="00542B18">
        <w:t xml:space="preserve">investment activity </w:t>
      </w:r>
      <w:r w:rsidR="001E2C69">
        <w:t>can be harnessed in its wake.</w:t>
      </w:r>
      <w:r w:rsidR="00542B18">
        <w:t xml:space="preserve"> </w:t>
      </w:r>
    </w:p>
    <w:p w14:paraId="20D8A950" w14:textId="776FBFE6" w:rsidR="00E32AA5" w:rsidRDefault="00EA1882" w:rsidP="00555E9F">
      <w:r>
        <w:t xml:space="preserve">Assessing </w:t>
      </w:r>
      <w:r w:rsidR="00783FF1">
        <w:t xml:space="preserve">Strongim Bisnis </w:t>
      </w:r>
      <w:r w:rsidR="00343C53">
        <w:t>progress towards</w:t>
      </w:r>
      <w:r w:rsidR="003959F3">
        <w:t xml:space="preserve"> </w:t>
      </w:r>
      <w:r w:rsidR="00646952">
        <w:t xml:space="preserve">EOPO2 </w:t>
      </w:r>
      <w:r w:rsidR="003763E8">
        <w:t xml:space="preserve">in Phase 2 </w:t>
      </w:r>
      <w:r w:rsidR="00646952">
        <w:t xml:space="preserve">is </w:t>
      </w:r>
      <w:r w:rsidR="00490A25">
        <w:t>somewhat challenging</w:t>
      </w:r>
      <w:r w:rsidR="00E90592">
        <w:t xml:space="preserve">, since </w:t>
      </w:r>
      <w:r w:rsidR="00C61F57">
        <w:t>the EOPO</w:t>
      </w:r>
      <w:r w:rsidR="00457377">
        <w:t xml:space="preserve"> includes </w:t>
      </w:r>
      <w:r w:rsidR="00BF2664">
        <w:t xml:space="preserve">the </w:t>
      </w:r>
      <w:r w:rsidR="00BF2664" w:rsidRPr="00AB7BDD">
        <w:rPr>
          <w:i/>
          <w:iCs/>
        </w:rPr>
        <w:t>process</w:t>
      </w:r>
      <w:r w:rsidR="00BF2664">
        <w:t xml:space="preserve"> (working together, forming partnerships) as well as the </w:t>
      </w:r>
      <w:r w:rsidR="00AB6B79">
        <w:t>end-</w:t>
      </w:r>
      <w:r w:rsidR="00BF2664" w:rsidRPr="00AB7BDD">
        <w:rPr>
          <w:i/>
          <w:iCs/>
        </w:rPr>
        <w:t>outcome</w:t>
      </w:r>
      <w:r w:rsidR="00BF2664">
        <w:t xml:space="preserve"> </w:t>
      </w:r>
      <w:r w:rsidR="00AB6B79">
        <w:t>being sought</w:t>
      </w:r>
      <w:r w:rsidR="00E51983">
        <w:t xml:space="preserve"> (more favourable investment climate). </w:t>
      </w:r>
      <w:r w:rsidR="003E6B02">
        <w:t xml:space="preserve">Most of the indicators </w:t>
      </w:r>
      <w:r w:rsidR="003F66BC">
        <w:t xml:space="preserve">are at output level </w:t>
      </w:r>
      <w:r w:rsidR="002B6194">
        <w:t xml:space="preserve">(number of collaborations, </w:t>
      </w:r>
      <w:r w:rsidR="002125D4">
        <w:t>events</w:t>
      </w:r>
      <w:r w:rsidR="00E56824">
        <w:t>, contributions and</w:t>
      </w:r>
      <w:r w:rsidR="002125D4">
        <w:t xml:space="preserve"> </w:t>
      </w:r>
      <w:r w:rsidR="002B6194">
        <w:t>communiques</w:t>
      </w:r>
      <w:r w:rsidR="00E95DBE">
        <w:t xml:space="preserve"> – see Table </w:t>
      </w:r>
      <w:r w:rsidR="000C1246">
        <w:t>4</w:t>
      </w:r>
      <w:r w:rsidR="00005581">
        <w:t>)</w:t>
      </w:r>
      <w:r w:rsidR="00D93054">
        <w:t xml:space="preserve"> </w:t>
      </w:r>
      <w:r w:rsidR="00800C95">
        <w:t>–</w:t>
      </w:r>
      <w:r w:rsidR="00D93054">
        <w:t xml:space="preserve"> </w:t>
      </w:r>
      <w:r w:rsidR="007B0783">
        <w:t>with</w:t>
      </w:r>
      <w:r w:rsidR="00800C95">
        <w:t xml:space="preserve"> those outputs </w:t>
      </w:r>
      <w:r w:rsidR="00E420DB">
        <w:t xml:space="preserve">intended to </w:t>
      </w:r>
      <w:r w:rsidR="00F72FDA">
        <w:t>influence or encourage further action</w:t>
      </w:r>
      <w:r w:rsidR="0091178F">
        <w:t xml:space="preserve"> towards th</w:t>
      </w:r>
      <w:r w:rsidR="008D5323">
        <w:t xml:space="preserve">e </w:t>
      </w:r>
      <w:r w:rsidR="0091178F">
        <w:t>EOPO.</w:t>
      </w:r>
      <w:r w:rsidR="00014572">
        <w:t xml:space="preserve"> </w:t>
      </w:r>
      <w:r w:rsidR="00613FBD">
        <w:t>Indicator 17</w:t>
      </w:r>
      <w:r w:rsidR="004D1A09">
        <w:t xml:space="preserve"> is</w:t>
      </w:r>
      <w:r w:rsidR="00194529">
        <w:t xml:space="preserve"> </w:t>
      </w:r>
      <w:r w:rsidR="00EE597F">
        <w:t>more directly related to EOPO</w:t>
      </w:r>
      <w:r w:rsidR="008D5323">
        <w:t>2</w:t>
      </w:r>
      <w:r w:rsidR="00EE597F">
        <w:t xml:space="preserve"> achievement</w:t>
      </w:r>
      <w:r w:rsidR="00436C8A">
        <w:t xml:space="preserve">. During Phase 2, three </w:t>
      </w:r>
      <w:r w:rsidR="006B4590">
        <w:t>‘</w:t>
      </w:r>
      <w:r w:rsidR="00436C8A">
        <w:t xml:space="preserve">new </w:t>
      </w:r>
      <w:r w:rsidR="006B4590" w:rsidRPr="006B4590">
        <w:t>or reformed laws, regulations, policies, and/or procedures intending to enable private sector investment</w:t>
      </w:r>
      <w:r w:rsidR="006B4590">
        <w:t xml:space="preserve"> [were]</w:t>
      </w:r>
      <w:r w:rsidR="006B4590" w:rsidRPr="006B4590">
        <w:t xml:space="preserve"> initiated</w:t>
      </w:r>
      <w:r w:rsidR="00466EAB">
        <w:t>’</w:t>
      </w:r>
      <w:r w:rsidR="006B4590">
        <w:t xml:space="preserve">. </w:t>
      </w:r>
      <w:r w:rsidR="007145D9">
        <w:t>The annual target was achieved in both years</w:t>
      </w:r>
      <w:r w:rsidR="004C4411">
        <w:t xml:space="preserve">, suggesting that </w:t>
      </w:r>
      <w:r w:rsidR="00704904">
        <w:t xml:space="preserve">a realistic target was set </w:t>
      </w:r>
      <w:r w:rsidR="009931FB">
        <w:t xml:space="preserve">that reflected the small number of SIG partnerships in </w:t>
      </w:r>
      <w:r w:rsidR="005D04B3">
        <w:t>Strongim Bisnis’</w:t>
      </w:r>
      <w:r w:rsidR="009931FB">
        <w:t xml:space="preserve"> portfolio.</w:t>
      </w:r>
      <w:r w:rsidR="007145D9">
        <w:t xml:space="preserve"> </w:t>
      </w:r>
      <w:r w:rsidR="00B64987">
        <w:t>However</w:t>
      </w:r>
      <w:r w:rsidR="00F95649">
        <w:t>,</w:t>
      </w:r>
      <w:r w:rsidR="00B64987">
        <w:t xml:space="preserve"> </w:t>
      </w:r>
      <w:r w:rsidR="00BB31D6" w:rsidRPr="00BB31D6">
        <w:rPr>
          <w:i/>
          <w:iCs/>
        </w:rPr>
        <w:t>initiating</w:t>
      </w:r>
      <w:r w:rsidR="00BB31D6">
        <w:t xml:space="preserve"> </w:t>
      </w:r>
      <w:r w:rsidR="00B478AF">
        <w:t xml:space="preserve">reforms is </w:t>
      </w:r>
      <w:r w:rsidR="00F95649">
        <w:t>clearly only a first step</w:t>
      </w:r>
      <w:r w:rsidR="00F36E49">
        <w:t xml:space="preserve"> that may or may not lead to</w:t>
      </w:r>
      <w:r w:rsidR="005F7C32">
        <w:t xml:space="preserve"> actual </w:t>
      </w:r>
      <w:r w:rsidR="006F5A63">
        <w:t>improvements in the investment climate.</w:t>
      </w:r>
    </w:p>
    <w:p w14:paraId="7E0388E6" w14:textId="49044CBC" w:rsidR="007E187F" w:rsidRDefault="009D524F" w:rsidP="00555E9F">
      <w:r>
        <w:t>A</w:t>
      </w:r>
      <w:r w:rsidR="00986F86">
        <w:t xml:space="preserve">nnual reporting highlights examples of government/private sector collaboration </w:t>
      </w:r>
      <w:r w:rsidR="00A03942">
        <w:t xml:space="preserve">linked to </w:t>
      </w:r>
      <w:r w:rsidR="001823FA">
        <w:t xml:space="preserve">some private sector partnerships – such as </w:t>
      </w:r>
      <w:r w:rsidR="008A03A9">
        <w:t>PlasticWise in Gizo (</w:t>
      </w:r>
      <w:r w:rsidR="008412F7">
        <w:t xml:space="preserve">agreement to allow collection </w:t>
      </w:r>
      <w:r w:rsidR="008666A2">
        <w:t>of recyclables from public</w:t>
      </w:r>
      <w:r w:rsidR="00DA4E27">
        <w:t xml:space="preserve"> </w:t>
      </w:r>
      <w:r w:rsidR="00C43812">
        <w:t>sites)</w:t>
      </w:r>
      <w:r w:rsidR="00372947">
        <w:t xml:space="preserve">; and </w:t>
      </w:r>
      <w:r w:rsidR="00524084">
        <w:t xml:space="preserve">private sector </w:t>
      </w:r>
      <w:r w:rsidR="00FA31F2">
        <w:t xml:space="preserve">actions in </w:t>
      </w:r>
      <w:r w:rsidR="00BB72F4">
        <w:t xml:space="preserve">support </w:t>
      </w:r>
      <w:r w:rsidR="00FA31F2">
        <w:t>of</w:t>
      </w:r>
      <w:r w:rsidR="00BB72F4">
        <w:t xml:space="preserve"> the </w:t>
      </w:r>
      <w:r w:rsidR="00610FE4">
        <w:t xml:space="preserve">Government’s </w:t>
      </w:r>
      <w:r w:rsidR="00FA31F2">
        <w:t xml:space="preserve">COVID-19 </w:t>
      </w:r>
      <w:r w:rsidR="00610FE4">
        <w:t>vaccination campaign</w:t>
      </w:r>
      <w:r w:rsidR="00A200A7">
        <w:t xml:space="preserve"> (by Solomon Airlines and </w:t>
      </w:r>
      <w:r w:rsidR="003720C7">
        <w:t xml:space="preserve">Kokonut Pacific Solomon Islands - </w:t>
      </w:r>
      <w:r w:rsidR="00A200A7">
        <w:t>KPSI).</w:t>
      </w:r>
    </w:p>
    <w:p w14:paraId="0F29A639" w14:textId="0ED50D66" w:rsidR="00C22185" w:rsidRPr="00E9799B" w:rsidRDefault="00C22185" w:rsidP="00E9799B">
      <w:pPr>
        <w:pStyle w:val="Caption"/>
        <w:keepNext/>
        <w:rPr>
          <w:sz w:val="20"/>
          <w:szCs w:val="20"/>
        </w:rPr>
      </w:pPr>
      <w:r w:rsidRPr="00E9799B">
        <w:rPr>
          <w:sz w:val="20"/>
          <w:szCs w:val="20"/>
        </w:rPr>
        <w:t xml:space="preserve">Table </w:t>
      </w:r>
      <w:r w:rsidR="00E9799B" w:rsidRPr="00E9799B">
        <w:rPr>
          <w:sz w:val="20"/>
          <w:szCs w:val="20"/>
        </w:rPr>
        <w:t>4</w:t>
      </w:r>
      <w:r w:rsidRPr="00E9799B">
        <w:rPr>
          <w:sz w:val="20"/>
          <w:szCs w:val="20"/>
        </w:rPr>
        <w:t>: EOPO2 Indicators and Phase 2 Results</w:t>
      </w:r>
    </w:p>
    <w:tbl>
      <w:tblPr>
        <w:tblW w:w="5000" w:type="pct"/>
        <w:tblLook w:val="04A0" w:firstRow="1" w:lastRow="0" w:firstColumn="1" w:lastColumn="0" w:noHBand="0" w:noVBand="1"/>
      </w:tblPr>
      <w:tblGrid>
        <w:gridCol w:w="498"/>
        <w:gridCol w:w="630"/>
        <w:gridCol w:w="6254"/>
        <w:gridCol w:w="1017"/>
        <w:gridCol w:w="617"/>
        <w:gridCol w:w="617"/>
      </w:tblGrid>
      <w:tr w:rsidR="00494789" w:rsidRPr="00FD08CE" w14:paraId="252CAE4F" w14:textId="279C82EC" w:rsidTr="00CD63CE">
        <w:trPr>
          <w:trHeight w:val="518"/>
          <w:tblHeader/>
        </w:trPr>
        <w:tc>
          <w:tcPr>
            <w:tcW w:w="259" w:type="pct"/>
            <w:vMerge w:val="restart"/>
            <w:tcBorders>
              <w:top w:val="single" w:sz="4" w:space="0" w:color="auto"/>
              <w:left w:val="single" w:sz="4" w:space="0" w:color="auto"/>
              <w:right w:val="single" w:sz="4" w:space="0" w:color="auto"/>
            </w:tcBorders>
            <w:shd w:val="clear" w:color="auto" w:fill="1D336D" w:themeFill="background2"/>
            <w:textDirection w:val="btLr"/>
            <w:vAlign w:val="center"/>
          </w:tcPr>
          <w:p w14:paraId="4BDA8F7B" w14:textId="26573BC2" w:rsidR="00494789" w:rsidRPr="00FD08CE" w:rsidRDefault="00494789" w:rsidP="00494789">
            <w:pPr>
              <w:spacing w:after="0" w:line="240" w:lineRule="auto"/>
              <w:ind w:left="113" w:right="113"/>
              <w:jc w:val="center"/>
              <w:rPr>
                <w:rFonts w:eastAsia="Times New Roman" w:cstheme="minorHAnsi"/>
                <w:b/>
                <w:color w:val="FFFFFF" w:themeColor="background1"/>
                <w:sz w:val="18"/>
                <w:szCs w:val="18"/>
              </w:rPr>
            </w:pPr>
            <w:r>
              <w:rPr>
                <w:rFonts w:eastAsia="Times New Roman" w:cstheme="minorHAnsi"/>
                <w:b/>
                <w:color w:val="FFFFFF" w:themeColor="background1"/>
                <w:sz w:val="18"/>
                <w:szCs w:val="18"/>
              </w:rPr>
              <w:t xml:space="preserve">Common indicator </w:t>
            </w:r>
            <w:r w:rsidRPr="00FD08CE">
              <w:rPr>
                <w:rFonts w:eastAsia="Times New Roman" w:cstheme="minorHAnsi"/>
                <w:b/>
                <w:color w:val="FFFFFF" w:themeColor="background1"/>
                <w:sz w:val="18"/>
                <w:szCs w:val="18"/>
              </w:rPr>
              <w:t>#</w:t>
            </w:r>
          </w:p>
        </w:tc>
        <w:tc>
          <w:tcPr>
            <w:tcW w:w="327" w:type="pct"/>
            <w:vMerge w:val="restart"/>
            <w:tcBorders>
              <w:top w:val="single" w:sz="4" w:space="0" w:color="auto"/>
              <w:left w:val="single" w:sz="4" w:space="0" w:color="auto"/>
              <w:right w:val="single" w:sz="4" w:space="0" w:color="auto"/>
            </w:tcBorders>
            <w:shd w:val="clear" w:color="auto" w:fill="1D336D" w:themeFill="background2"/>
            <w:textDirection w:val="btLr"/>
          </w:tcPr>
          <w:p w14:paraId="2F48A1CE" w14:textId="514DC202" w:rsidR="00494789" w:rsidRPr="00FD08CE" w:rsidRDefault="00494789" w:rsidP="00494789">
            <w:pPr>
              <w:spacing w:after="0" w:line="240" w:lineRule="auto"/>
              <w:ind w:left="113" w:right="113"/>
              <w:jc w:val="center"/>
              <w:rPr>
                <w:rFonts w:eastAsia="Times New Roman" w:cstheme="minorHAnsi"/>
                <w:b/>
                <w:color w:val="FFFFFF" w:themeColor="background1"/>
                <w:sz w:val="18"/>
                <w:szCs w:val="18"/>
              </w:rPr>
            </w:pPr>
            <w:r>
              <w:rPr>
                <w:rFonts w:eastAsia="Times New Roman" w:cstheme="minorHAnsi"/>
                <w:b/>
                <w:bCs/>
                <w:color w:val="FFFFFF" w:themeColor="background1"/>
                <w:sz w:val="18"/>
                <w:szCs w:val="18"/>
              </w:rPr>
              <w:t>Target indicator</w:t>
            </w:r>
            <w:r w:rsidRPr="00FD08CE">
              <w:rPr>
                <w:rFonts w:eastAsia="Times New Roman" w:cstheme="minorHAnsi"/>
                <w:b/>
                <w:bCs/>
                <w:color w:val="FFFFFF" w:themeColor="background1"/>
                <w:sz w:val="18"/>
                <w:szCs w:val="18"/>
              </w:rPr>
              <w:t xml:space="preserve"> #</w:t>
            </w:r>
          </w:p>
        </w:tc>
        <w:tc>
          <w:tcPr>
            <w:tcW w:w="3246" w:type="pct"/>
            <w:vMerge w:val="restart"/>
            <w:tcBorders>
              <w:top w:val="single" w:sz="4" w:space="0" w:color="auto"/>
              <w:left w:val="single" w:sz="4" w:space="0" w:color="auto"/>
              <w:right w:val="single" w:sz="4" w:space="0" w:color="auto"/>
            </w:tcBorders>
            <w:shd w:val="clear" w:color="auto" w:fill="1D336D" w:themeFill="background2"/>
            <w:noWrap/>
            <w:vAlign w:val="center"/>
            <w:hideMark/>
          </w:tcPr>
          <w:p w14:paraId="1ABF330F" w14:textId="2E6AFF8E" w:rsidR="00494789" w:rsidRPr="00FD08CE" w:rsidRDefault="00494789" w:rsidP="000C1246">
            <w:pPr>
              <w:spacing w:after="0" w:line="240" w:lineRule="auto"/>
              <w:jc w:val="center"/>
              <w:rPr>
                <w:rFonts w:eastAsia="Times New Roman" w:cstheme="minorHAnsi"/>
                <w:b/>
                <w:color w:val="FFFFFF" w:themeColor="background1"/>
                <w:sz w:val="18"/>
                <w:szCs w:val="18"/>
              </w:rPr>
            </w:pPr>
            <w:r w:rsidRPr="00FD08CE">
              <w:rPr>
                <w:rFonts w:eastAsia="Times New Roman" w:cstheme="minorHAnsi"/>
                <w:b/>
                <w:color w:val="FFFFFF" w:themeColor="background1"/>
                <w:sz w:val="18"/>
                <w:szCs w:val="18"/>
              </w:rPr>
              <w:t>Indicator</w:t>
            </w:r>
          </w:p>
        </w:tc>
        <w:tc>
          <w:tcPr>
            <w:tcW w:w="528" w:type="pct"/>
            <w:vMerge w:val="restart"/>
            <w:tcBorders>
              <w:top w:val="single" w:sz="4" w:space="0" w:color="auto"/>
              <w:left w:val="single" w:sz="4" w:space="0" w:color="auto"/>
              <w:right w:val="nil"/>
            </w:tcBorders>
            <w:shd w:val="clear" w:color="auto" w:fill="1D336D" w:themeFill="background2"/>
            <w:hideMark/>
          </w:tcPr>
          <w:p w14:paraId="341683F7" w14:textId="77777777" w:rsidR="00494789" w:rsidRPr="00FD08CE" w:rsidRDefault="00494789" w:rsidP="000C1246">
            <w:pPr>
              <w:spacing w:after="0" w:line="240" w:lineRule="auto"/>
              <w:jc w:val="center"/>
              <w:rPr>
                <w:rFonts w:eastAsia="Times New Roman" w:cstheme="minorHAnsi"/>
                <w:b/>
                <w:color w:val="FFFFFF" w:themeColor="background1"/>
                <w:sz w:val="18"/>
                <w:szCs w:val="18"/>
              </w:rPr>
            </w:pPr>
            <w:r w:rsidRPr="00FD08CE">
              <w:rPr>
                <w:rFonts w:eastAsia="Times New Roman" w:cstheme="minorHAnsi"/>
                <w:b/>
                <w:color w:val="FFFFFF" w:themeColor="background1"/>
                <w:sz w:val="18"/>
                <w:szCs w:val="18"/>
              </w:rPr>
              <w:t>Phase 2 Actuals Achieved to Date (2021-22)</w:t>
            </w:r>
          </w:p>
        </w:tc>
        <w:tc>
          <w:tcPr>
            <w:tcW w:w="641" w:type="pct"/>
            <w:gridSpan w:val="2"/>
            <w:tcBorders>
              <w:top w:val="single" w:sz="4" w:space="0" w:color="auto"/>
              <w:left w:val="single" w:sz="4" w:space="0" w:color="auto"/>
              <w:bottom w:val="single" w:sz="4" w:space="0" w:color="auto"/>
              <w:right w:val="nil"/>
            </w:tcBorders>
            <w:shd w:val="clear" w:color="auto" w:fill="1D336D" w:themeFill="background2"/>
          </w:tcPr>
          <w:p w14:paraId="7BA5020D" w14:textId="50D46420" w:rsidR="00494789" w:rsidRPr="00FD08CE" w:rsidRDefault="00494789" w:rsidP="000C1246">
            <w:pPr>
              <w:spacing w:after="0" w:line="240" w:lineRule="auto"/>
              <w:jc w:val="center"/>
              <w:rPr>
                <w:rFonts w:eastAsia="Times New Roman" w:cstheme="minorHAnsi"/>
                <w:b/>
                <w:color w:val="FFFFFF" w:themeColor="background1"/>
                <w:sz w:val="18"/>
                <w:szCs w:val="18"/>
              </w:rPr>
            </w:pPr>
            <w:r>
              <w:rPr>
                <w:rFonts w:eastAsia="Times New Roman" w:cstheme="minorHAnsi"/>
                <w:b/>
                <w:bCs/>
                <w:color w:val="FFFFFF" w:themeColor="background1"/>
                <w:sz w:val="18"/>
                <w:szCs w:val="18"/>
              </w:rPr>
              <w:t>% of annual target achieved</w:t>
            </w:r>
          </w:p>
        </w:tc>
      </w:tr>
      <w:tr w:rsidR="00494789" w:rsidRPr="00FD08CE" w14:paraId="5881EBD8" w14:textId="77777777" w:rsidTr="00CD63CE">
        <w:trPr>
          <w:trHeight w:val="517"/>
          <w:tblHeader/>
        </w:trPr>
        <w:tc>
          <w:tcPr>
            <w:tcW w:w="259" w:type="pct"/>
            <w:vMerge/>
            <w:tcBorders>
              <w:left w:val="single" w:sz="4" w:space="0" w:color="auto"/>
              <w:bottom w:val="single" w:sz="4" w:space="0" w:color="auto"/>
              <w:right w:val="single" w:sz="4" w:space="0" w:color="auto"/>
            </w:tcBorders>
            <w:shd w:val="clear" w:color="auto" w:fill="1D336D" w:themeFill="background2"/>
            <w:textDirection w:val="btLr"/>
            <w:vAlign w:val="center"/>
          </w:tcPr>
          <w:p w14:paraId="548C59E7" w14:textId="77777777" w:rsidR="00494789" w:rsidRPr="00FD08CE" w:rsidRDefault="00494789" w:rsidP="00494789">
            <w:pPr>
              <w:spacing w:after="0" w:line="240" w:lineRule="auto"/>
              <w:ind w:left="113" w:right="113"/>
              <w:jc w:val="center"/>
              <w:rPr>
                <w:rFonts w:eastAsia="Times New Roman" w:cstheme="minorHAnsi"/>
                <w:b/>
                <w:bCs/>
                <w:color w:val="FFFFFF" w:themeColor="background1"/>
                <w:sz w:val="18"/>
                <w:szCs w:val="18"/>
              </w:rPr>
            </w:pPr>
          </w:p>
        </w:tc>
        <w:tc>
          <w:tcPr>
            <w:tcW w:w="327" w:type="pct"/>
            <w:vMerge/>
            <w:tcBorders>
              <w:left w:val="single" w:sz="4" w:space="0" w:color="auto"/>
              <w:bottom w:val="single" w:sz="4" w:space="0" w:color="auto"/>
              <w:right w:val="single" w:sz="4" w:space="0" w:color="auto"/>
            </w:tcBorders>
            <w:shd w:val="clear" w:color="auto" w:fill="1D336D" w:themeFill="background2"/>
            <w:textDirection w:val="btLr"/>
          </w:tcPr>
          <w:p w14:paraId="3538AFE3" w14:textId="77777777" w:rsidR="00494789" w:rsidRPr="00FD08CE" w:rsidRDefault="00494789" w:rsidP="00494789">
            <w:pPr>
              <w:spacing w:after="0" w:line="240" w:lineRule="auto"/>
              <w:ind w:left="113" w:right="113"/>
              <w:jc w:val="center"/>
              <w:rPr>
                <w:rFonts w:eastAsia="Times New Roman" w:cstheme="minorHAnsi"/>
                <w:b/>
                <w:bCs/>
                <w:color w:val="FFFFFF" w:themeColor="background1"/>
                <w:sz w:val="18"/>
                <w:szCs w:val="18"/>
              </w:rPr>
            </w:pPr>
          </w:p>
        </w:tc>
        <w:tc>
          <w:tcPr>
            <w:tcW w:w="3246" w:type="pct"/>
            <w:vMerge/>
            <w:tcBorders>
              <w:left w:val="single" w:sz="4" w:space="0" w:color="auto"/>
              <w:bottom w:val="single" w:sz="4" w:space="0" w:color="auto"/>
              <w:right w:val="single" w:sz="4" w:space="0" w:color="auto"/>
            </w:tcBorders>
            <w:shd w:val="clear" w:color="auto" w:fill="1D336D" w:themeFill="background2"/>
            <w:noWrap/>
            <w:vAlign w:val="center"/>
          </w:tcPr>
          <w:p w14:paraId="2761DA19" w14:textId="532107E5" w:rsidR="00494789" w:rsidRPr="00FD08CE" w:rsidRDefault="00494789" w:rsidP="000C1246">
            <w:pPr>
              <w:spacing w:after="0" w:line="240" w:lineRule="auto"/>
              <w:jc w:val="center"/>
              <w:rPr>
                <w:rFonts w:eastAsia="Times New Roman" w:cstheme="minorHAnsi"/>
                <w:b/>
                <w:bCs/>
                <w:color w:val="FFFFFF" w:themeColor="background1"/>
                <w:sz w:val="18"/>
                <w:szCs w:val="18"/>
              </w:rPr>
            </w:pPr>
          </w:p>
        </w:tc>
        <w:tc>
          <w:tcPr>
            <w:tcW w:w="528" w:type="pct"/>
            <w:vMerge/>
            <w:tcBorders>
              <w:left w:val="single" w:sz="4" w:space="0" w:color="auto"/>
              <w:bottom w:val="single" w:sz="4" w:space="0" w:color="auto"/>
              <w:right w:val="nil"/>
            </w:tcBorders>
            <w:shd w:val="clear" w:color="auto" w:fill="1D336D" w:themeFill="background2"/>
          </w:tcPr>
          <w:p w14:paraId="6FF8A920" w14:textId="77777777" w:rsidR="00494789" w:rsidRPr="00FD08CE" w:rsidRDefault="00494789" w:rsidP="000C1246">
            <w:pPr>
              <w:spacing w:after="0" w:line="240" w:lineRule="auto"/>
              <w:jc w:val="center"/>
              <w:rPr>
                <w:rFonts w:eastAsia="Times New Roman" w:cstheme="minorHAnsi"/>
                <w:b/>
                <w:bCs/>
                <w:color w:val="FFFFFF" w:themeColor="background1"/>
                <w:sz w:val="18"/>
                <w:szCs w:val="18"/>
              </w:rPr>
            </w:pPr>
          </w:p>
        </w:tc>
        <w:tc>
          <w:tcPr>
            <w:tcW w:w="320" w:type="pct"/>
            <w:tcBorders>
              <w:top w:val="single" w:sz="4" w:space="0" w:color="auto"/>
              <w:left w:val="single" w:sz="4" w:space="0" w:color="auto"/>
              <w:bottom w:val="single" w:sz="4" w:space="0" w:color="auto"/>
              <w:right w:val="nil"/>
            </w:tcBorders>
            <w:shd w:val="clear" w:color="auto" w:fill="1D336D" w:themeFill="background2"/>
          </w:tcPr>
          <w:p w14:paraId="2A038F8F" w14:textId="0043A893" w:rsidR="00494789" w:rsidRDefault="00494789" w:rsidP="000C1246">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2021</w:t>
            </w:r>
          </w:p>
        </w:tc>
        <w:tc>
          <w:tcPr>
            <w:tcW w:w="320" w:type="pct"/>
            <w:tcBorders>
              <w:top w:val="single" w:sz="4" w:space="0" w:color="auto"/>
              <w:left w:val="single" w:sz="4" w:space="0" w:color="auto"/>
              <w:bottom w:val="single" w:sz="4" w:space="0" w:color="auto"/>
              <w:right w:val="nil"/>
            </w:tcBorders>
            <w:shd w:val="clear" w:color="auto" w:fill="1D336D" w:themeFill="background2"/>
          </w:tcPr>
          <w:p w14:paraId="65A726A1" w14:textId="73C86DA4" w:rsidR="00494789" w:rsidRPr="00FD08CE" w:rsidRDefault="00494789" w:rsidP="000C1246">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2022</w:t>
            </w:r>
          </w:p>
        </w:tc>
      </w:tr>
      <w:tr w:rsidR="00494789" w:rsidRPr="00FD08CE" w14:paraId="451CD48B" w14:textId="477EBA3B" w:rsidTr="00494789">
        <w:trPr>
          <w:trHeight w:val="227"/>
        </w:trPr>
        <w:tc>
          <w:tcPr>
            <w:tcW w:w="25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E27C066" w14:textId="5FBC9976"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17</w:t>
            </w:r>
          </w:p>
        </w:tc>
        <w:tc>
          <w:tcPr>
            <w:tcW w:w="327" w:type="pct"/>
            <w:tcBorders>
              <w:top w:val="nil"/>
              <w:left w:val="single" w:sz="4" w:space="0" w:color="auto"/>
              <w:bottom w:val="single" w:sz="4" w:space="0" w:color="auto"/>
              <w:right w:val="single" w:sz="4" w:space="0" w:color="auto"/>
            </w:tcBorders>
            <w:vAlign w:val="center"/>
          </w:tcPr>
          <w:p w14:paraId="4A5926F9" w14:textId="4CE6EA96" w:rsidR="000C1246" w:rsidRPr="00FD08CE" w:rsidRDefault="000C1246" w:rsidP="000C1246">
            <w:pPr>
              <w:spacing w:after="0" w:line="240" w:lineRule="auto"/>
              <w:rPr>
                <w:rFonts w:cstheme="minorHAnsi"/>
                <w:color w:val="000000"/>
                <w:sz w:val="18"/>
                <w:szCs w:val="18"/>
              </w:rPr>
            </w:pPr>
            <w:r w:rsidRPr="00FD08CE">
              <w:rPr>
                <w:rFonts w:eastAsia="Times New Roman" w:cstheme="minorHAnsi"/>
                <w:color w:val="000000"/>
                <w:sz w:val="18"/>
                <w:szCs w:val="18"/>
              </w:rPr>
              <w:t>10</w:t>
            </w:r>
          </w:p>
        </w:tc>
        <w:tc>
          <w:tcPr>
            <w:tcW w:w="3246" w:type="pct"/>
            <w:tcBorders>
              <w:top w:val="nil"/>
              <w:left w:val="single" w:sz="4" w:space="0" w:color="auto"/>
              <w:bottom w:val="single" w:sz="4" w:space="0" w:color="auto"/>
              <w:right w:val="single" w:sz="4" w:space="0" w:color="auto"/>
            </w:tcBorders>
            <w:shd w:val="clear" w:color="auto" w:fill="auto"/>
            <w:vAlign w:val="bottom"/>
            <w:hideMark/>
          </w:tcPr>
          <w:p w14:paraId="160CEFA2" w14:textId="08A55922"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Number of new or reformed laws, regulations, policies, and/or procedures intending to enable private sector investment initiated</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0951E6E2" w14:textId="5F7313EA" w:rsidR="000C1246" w:rsidRPr="00FD08CE" w:rsidRDefault="000C1246" w:rsidP="000C1246">
            <w:pPr>
              <w:spacing w:after="0" w:line="240" w:lineRule="auto"/>
              <w:jc w:val="right"/>
              <w:rPr>
                <w:rFonts w:eastAsia="Times New Roman" w:cstheme="minorHAnsi"/>
                <w:color w:val="000000"/>
                <w:sz w:val="18"/>
                <w:szCs w:val="18"/>
              </w:rPr>
            </w:pPr>
            <w:r w:rsidRPr="00FD08CE">
              <w:rPr>
                <w:rFonts w:cstheme="minorHAnsi"/>
                <w:color w:val="000000"/>
                <w:sz w:val="18"/>
                <w:szCs w:val="18"/>
              </w:rPr>
              <w:t>3</w:t>
            </w:r>
          </w:p>
        </w:tc>
        <w:tc>
          <w:tcPr>
            <w:tcW w:w="320" w:type="pct"/>
            <w:tcBorders>
              <w:top w:val="single" w:sz="4" w:space="0" w:color="auto"/>
              <w:left w:val="nil"/>
              <w:bottom w:val="single" w:sz="4" w:space="0" w:color="auto"/>
              <w:right w:val="single" w:sz="4" w:space="0" w:color="auto"/>
            </w:tcBorders>
            <w:shd w:val="clear" w:color="auto" w:fill="E1E7F7"/>
            <w:vAlign w:val="center"/>
          </w:tcPr>
          <w:p w14:paraId="4A906367" w14:textId="14BE1F20"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100</w:t>
            </w:r>
          </w:p>
        </w:tc>
        <w:tc>
          <w:tcPr>
            <w:tcW w:w="320" w:type="pct"/>
            <w:tcBorders>
              <w:top w:val="single" w:sz="4" w:space="0" w:color="auto"/>
              <w:left w:val="nil"/>
              <w:bottom w:val="single" w:sz="4" w:space="0" w:color="auto"/>
              <w:right w:val="single" w:sz="4" w:space="0" w:color="auto"/>
            </w:tcBorders>
            <w:shd w:val="clear" w:color="auto" w:fill="E1E7F7"/>
            <w:vAlign w:val="center"/>
          </w:tcPr>
          <w:p w14:paraId="7C0BD8B0" w14:textId="229E6850"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100</w:t>
            </w:r>
          </w:p>
        </w:tc>
      </w:tr>
      <w:tr w:rsidR="00494789" w:rsidRPr="00FD08CE" w14:paraId="75E44812" w14:textId="5762924C" w:rsidTr="00494789">
        <w:trPr>
          <w:trHeight w:val="227"/>
        </w:trPr>
        <w:tc>
          <w:tcPr>
            <w:tcW w:w="25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E12B361" w14:textId="59DADBDC"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18</w:t>
            </w:r>
          </w:p>
        </w:tc>
        <w:tc>
          <w:tcPr>
            <w:tcW w:w="327" w:type="pct"/>
            <w:tcBorders>
              <w:top w:val="nil"/>
              <w:left w:val="single" w:sz="4" w:space="0" w:color="auto"/>
              <w:bottom w:val="single" w:sz="4" w:space="0" w:color="auto"/>
              <w:right w:val="single" w:sz="4" w:space="0" w:color="auto"/>
            </w:tcBorders>
            <w:vAlign w:val="center"/>
          </w:tcPr>
          <w:p w14:paraId="3352642F" w14:textId="51C262FE" w:rsidR="000C1246" w:rsidRPr="00FD08CE" w:rsidRDefault="000C1246" w:rsidP="000C1246">
            <w:pPr>
              <w:spacing w:after="0" w:line="240" w:lineRule="auto"/>
              <w:rPr>
                <w:rFonts w:cstheme="minorHAnsi"/>
                <w:color w:val="000000"/>
                <w:sz w:val="18"/>
                <w:szCs w:val="18"/>
              </w:rPr>
            </w:pPr>
            <w:r w:rsidRPr="00FD08CE">
              <w:rPr>
                <w:rFonts w:eastAsia="Times New Roman" w:cstheme="minorHAnsi"/>
                <w:color w:val="212121"/>
                <w:sz w:val="18"/>
                <w:szCs w:val="18"/>
              </w:rPr>
              <w:t>11</w:t>
            </w:r>
          </w:p>
        </w:tc>
        <w:tc>
          <w:tcPr>
            <w:tcW w:w="3246" w:type="pct"/>
            <w:tcBorders>
              <w:top w:val="nil"/>
              <w:left w:val="single" w:sz="4" w:space="0" w:color="auto"/>
              <w:bottom w:val="single" w:sz="4" w:space="0" w:color="auto"/>
              <w:right w:val="single" w:sz="4" w:space="0" w:color="auto"/>
            </w:tcBorders>
            <w:shd w:val="clear" w:color="auto" w:fill="auto"/>
            <w:vAlign w:val="bottom"/>
            <w:hideMark/>
          </w:tcPr>
          <w:p w14:paraId="2E789D1B" w14:textId="78BE305D"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Number of collaborations facilitated between public and private sector actors</w:t>
            </w:r>
          </w:p>
        </w:tc>
        <w:tc>
          <w:tcPr>
            <w:tcW w:w="528" w:type="pct"/>
            <w:tcBorders>
              <w:top w:val="nil"/>
              <w:left w:val="nil"/>
              <w:bottom w:val="single" w:sz="4" w:space="0" w:color="auto"/>
              <w:right w:val="single" w:sz="4" w:space="0" w:color="auto"/>
            </w:tcBorders>
            <w:shd w:val="clear" w:color="auto" w:fill="auto"/>
            <w:vAlign w:val="center"/>
            <w:hideMark/>
          </w:tcPr>
          <w:p w14:paraId="642FDADD" w14:textId="2F109CB5" w:rsidR="000C1246" w:rsidRPr="00FD08CE" w:rsidRDefault="000C1246" w:rsidP="000C1246">
            <w:pPr>
              <w:spacing w:after="0" w:line="240" w:lineRule="auto"/>
              <w:jc w:val="right"/>
              <w:rPr>
                <w:rFonts w:eastAsia="Times New Roman" w:cstheme="minorHAnsi"/>
                <w:color w:val="212121"/>
                <w:sz w:val="18"/>
                <w:szCs w:val="18"/>
              </w:rPr>
            </w:pPr>
            <w:r w:rsidRPr="00FD08CE">
              <w:rPr>
                <w:rFonts w:cstheme="minorHAnsi"/>
                <w:color w:val="000000"/>
                <w:sz w:val="18"/>
                <w:szCs w:val="18"/>
              </w:rPr>
              <w:t>12</w:t>
            </w:r>
          </w:p>
        </w:tc>
        <w:tc>
          <w:tcPr>
            <w:tcW w:w="320" w:type="pct"/>
            <w:tcBorders>
              <w:top w:val="nil"/>
              <w:left w:val="nil"/>
              <w:bottom w:val="single" w:sz="4" w:space="0" w:color="auto"/>
              <w:right w:val="single" w:sz="4" w:space="0" w:color="auto"/>
            </w:tcBorders>
            <w:shd w:val="clear" w:color="auto" w:fill="E1E7F7"/>
            <w:vAlign w:val="center"/>
          </w:tcPr>
          <w:p w14:paraId="36F443F8" w14:textId="5877E490" w:rsidR="000C1246" w:rsidRPr="00FD08CE" w:rsidRDefault="000C1246" w:rsidP="000C1246">
            <w:pPr>
              <w:spacing w:after="0" w:line="240" w:lineRule="auto"/>
              <w:jc w:val="right"/>
              <w:rPr>
                <w:rFonts w:eastAsia="Times New Roman" w:cstheme="minorHAnsi"/>
                <w:color w:val="212121"/>
                <w:sz w:val="18"/>
                <w:szCs w:val="18"/>
              </w:rPr>
            </w:pPr>
            <w:r w:rsidRPr="00FD08CE">
              <w:rPr>
                <w:rFonts w:eastAsia="Times New Roman" w:cstheme="minorHAnsi"/>
                <w:color w:val="212121"/>
                <w:sz w:val="18"/>
                <w:szCs w:val="18"/>
              </w:rPr>
              <w:t>167</w:t>
            </w:r>
          </w:p>
        </w:tc>
        <w:tc>
          <w:tcPr>
            <w:tcW w:w="320" w:type="pct"/>
            <w:tcBorders>
              <w:top w:val="nil"/>
              <w:left w:val="nil"/>
              <w:bottom w:val="single" w:sz="4" w:space="0" w:color="auto"/>
              <w:right w:val="single" w:sz="4" w:space="0" w:color="auto"/>
            </w:tcBorders>
            <w:shd w:val="clear" w:color="auto" w:fill="E1E7F7"/>
            <w:vAlign w:val="center"/>
          </w:tcPr>
          <w:p w14:paraId="66D7C121" w14:textId="5C1AC1F7" w:rsidR="000C1246" w:rsidRPr="00FD08CE" w:rsidRDefault="000C1246" w:rsidP="000C1246">
            <w:pPr>
              <w:spacing w:after="0" w:line="240" w:lineRule="auto"/>
              <w:jc w:val="right"/>
              <w:rPr>
                <w:rFonts w:eastAsia="Times New Roman" w:cstheme="minorHAnsi"/>
                <w:color w:val="212121"/>
                <w:sz w:val="18"/>
                <w:szCs w:val="18"/>
              </w:rPr>
            </w:pPr>
            <w:r w:rsidRPr="00FD08CE">
              <w:rPr>
                <w:rFonts w:eastAsia="Times New Roman" w:cstheme="minorHAnsi"/>
                <w:color w:val="212121"/>
                <w:sz w:val="18"/>
                <w:szCs w:val="18"/>
              </w:rPr>
              <w:t>140</w:t>
            </w:r>
          </w:p>
        </w:tc>
      </w:tr>
      <w:tr w:rsidR="00494789" w:rsidRPr="00FD08CE" w14:paraId="5D59A753" w14:textId="17586A74" w:rsidTr="00494789">
        <w:trPr>
          <w:trHeight w:val="227"/>
        </w:trPr>
        <w:tc>
          <w:tcPr>
            <w:tcW w:w="25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51ADDF50" w14:textId="4D491492"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21</w:t>
            </w:r>
          </w:p>
        </w:tc>
        <w:tc>
          <w:tcPr>
            <w:tcW w:w="327" w:type="pct"/>
            <w:tcBorders>
              <w:top w:val="nil"/>
              <w:left w:val="single" w:sz="4" w:space="0" w:color="auto"/>
              <w:bottom w:val="single" w:sz="4" w:space="0" w:color="auto"/>
              <w:right w:val="single" w:sz="4" w:space="0" w:color="auto"/>
            </w:tcBorders>
            <w:vAlign w:val="center"/>
          </w:tcPr>
          <w:p w14:paraId="57D4A3DB" w14:textId="295C96B2" w:rsidR="000C1246" w:rsidRPr="00FD08CE" w:rsidRDefault="000C1246" w:rsidP="000C1246">
            <w:pPr>
              <w:spacing w:after="0" w:line="240" w:lineRule="auto"/>
              <w:rPr>
                <w:rFonts w:cstheme="minorHAnsi"/>
                <w:color w:val="000000"/>
                <w:sz w:val="18"/>
                <w:szCs w:val="18"/>
              </w:rPr>
            </w:pPr>
            <w:r w:rsidRPr="00FD08CE">
              <w:rPr>
                <w:rFonts w:eastAsia="Times New Roman" w:cstheme="minorHAnsi"/>
                <w:color w:val="000000"/>
                <w:sz w:val="18"/>
                <w:szCs w:val="18"/>
              </w:rPr>
              <w:t>16</w:t>
            </w:r>
          </w:p>
        </w:tc>
        <w:tc>
          <w:tcPr>
            <w:tcW w:w="3246" w:type="pct"/>
            <w:tcBorders>
              <w:top w:val="nil"/>
              <w:left w:val="single" w:sz="4" w:space="0" w:color="auto"/>
              <w:bottom w:val="single" w:sz="4" w:space="0" w:color="auto"/>
              <w:right w:val="single" w:sz="4" w:space="0" w:color="auto"/>
            </w:tcBorders>
            <w:shd w:val="clear" w:color="auto" w:fill="auto"/>
            <w:vAlign w:val="bottom"/>
            <w:hideMark/>
          </w:tcPr>
          <w:p w14:paraId="165CD4CF" w14:textId="5245B8F0"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Number of events supported for encouraging market actor participation/innovation*</w:t>
            </w:r>
            <w:r>
              <w:rPr>
                <w:rFonts w:cstheme="minorHAnsi"/>
                <w:color w:val="000000"/>
                <w:sz w:val="18"/>
                <w:szCs w:val="18"/>
              </w:rPr>
              <w:t>*</w:t>
            </w:r>
          </w:p>
        </w:tc>
        <w:tc>
          <w:tcPr>
            <w:tcW w:w="528" w:type="pct"/>
            <w:tcBorders>
              <w:top w:val="nil"/>
              <w:left w:val="nil"/>
              <w:bottom w:val="single" w:sz="4" w:space="0" w:color="auto"/>
              <w:right w:val="single" w:sz="4" w:space="0" w:color="auto"/>
            </w:tcBorders>
            <w:shd w:val="clear" w:color="auto" w:fill="auto"/>
            <w:vAlign w:val="center"/>
            <w:hideMark/>
          </w:tcPr>
          <w:p w14:paraId="025CCD63" w14:textId="0176D9AC" w:rsidR="000C1246" w:rsidRPr="00FD08CE" w:rsidRDefault="000C1246" w:rsidP="000C1246">
            <w:pPr>
              <w:spacing w:after="0" w:line="240" w:lineRule="auto"/>
              <w:jc w:val="right"/>
              <w:rPr>
                <w:rFonts w:eastAsia="Times New Roman" w:cstheme="minorHAnsi"/>
                <w:color w:val="000000"/>
                <w:sz w:val="18"/>
                <w:szCs w:val="18"/>
              </w:rPr>
            </w:pPr>
            <w:r w:rsidRPr="00FD08CE">
              <w:rPr>
                <w:rFonts w:cstheme="minorHAnsi"/>
                <w:color w:val="000000"/>
                <w:sz w:val="18"/>
                <w:szCs w:val="18"/>
              </w:rPr>
              <w:t>21</w:t>
            </w:r>
          </w:p>
        </w:tc>
        <w:tc>
          <w:tcPr>
            <w:tcW w:w="320" w:type="pct"/>
            <w:tcBorders>
              <w:top w:val="nil"/>
              <w:left w:val="nil"/>
              <w:bottom w:val="single" w:sz="4" w:space="0" w:color="auto"/>
              <w:right w:val="single" w:sz="4" w:space="0" w:color="auto"/>
            </w:tcBorders>
            <w:shd w:val="clear" w:color="auto" w:fill="E1E7F7"/>
            <w:vAlign w:val="center"/>
          </w:tcPr>
          <w:p w14:paraId="3D821834" w14:textId="761943F8"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100</w:t>
            </w:r>
          </w:p>
        </w:tc>
        <w:tc>
          <w:tcPr>
            <w:tcW w:w="320" w:type="pct"/>
            <w:tcBorders>
              <w:top w:val="nil"/>
              <w:left w:val="nil"/>
              <w:bottom w:val="single" w:sz="4" w:space="0" w:color="auto"/>
              <w:right w:val="single" w:sz="4" w:space="0" w:color="auto"/>
            </w:tcBorders>
            <w:shd w:val="clear" w:color="auto" w:fill="E1E7F7"/>
            <w:vAlign w:val="center"/>
          </w:tcPr>
          <w:p w14:paraId="0D04256C" w14:textId="619F8A87"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90</w:t>
            </w:r>
          </w:p>
        </w:tc>
      </w:tr>
      <w:tr w:rsidR="00494789" w:rsidRPr="00FD08CE" w14:paraId="0ACEF2BC" w14:textId="5F0F5A2F" w:rsidTr="00494789">
        <w:trPr>
          <w:trHeight w:val="227"/>
        </w:trPr>
        <w:tc>
          <w:tcPr>
            <w:tcW w:w="25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53750733" w14:textId="087DD57B"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22</w:t>
            </w:r>
          </w:p>
        </w:tc>
        <w:tc>
          <w:tcPr>
            <w:tcW w:w="327" w:type="pct"/>
            <w:tcBorders>
              <w:top w:val="nil"/>
              <w:left w:val="single" w:sz="4" w:space="0" w:color="auto"/>
              <w:bottom w:val="single" w:sz="4" w:space="0" w:color="auto"/>
              <w:right w:val="single" w:sz="4" w:space="0" w:color="auto"/>
            </w:tcBorders>
            <w:vAlign w:val="center"/>
          </w:tcPr>
          <w:p w14:paraId="67FA11F3" w14:textId="600DFE22" w:rsidR="000C1246" w:rsidRPr="00FD08CE" w:rsidRDefault="000C1246" w:rsidP="000C1246">
            <w:pPr>
              <w:spacing w:after="0" w:line="240" w:lineRule="auto"/>
              <w:rPr>
                <w:rFonts w:cstheme="minorHAnsi"/>
                <w:color w:val="000000"/>
                <w:sz w:val="18"/>
                <w:szCs w:val="18"/>
              </w:rPr>
            </w:pPr>
            <w:r w:rsidRPr="00FD08CE">
              <w:rPr>
                <w:rFonts w:eastAsia="Times New Roman" w:cstheme="minorHAnsi"/>
                <w:color w:val="000000"/>
                <w:sz w:val="18"/>
                <w:szCs w:val="18"/>
              </w:rPr>
              <w:t>17</w:t>
            </w:r>
          </w:p>
        </w:tc>
        <w:tc>
          <w:tcPr>
            <w:tcW w:w="3246" w:type="pct"/>
            <w:tcBorders>
              <w:top w:val="nil"/>
              <w:left w:val="single" w:sz="4" w:space="0" w:color="auto"/>
              <w:bottom w:val="single" w:sz="4" w:space="0" w:color="auto"/>
              <w:right w:val="single" w:sz="4" w:space="0" w:color="auto"/>
            </w:tcBorders>
            <w:shd w:val="clear" w:color="auto" w:fill="auto"/>
            <w:vAlign w:val="bottom"/>
            <w:hideMark/>
          </w:tcPr>
          <w:p w14:paraId="4BA20685" w14:textId="729562BE"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Number of contributions to the consultations of development partners and Solomon Island government agencies to influence complementarity and evidence-based decisions making that empowers the private sector*</w:t>
            </w:r>
            <w:r>
              <w:rPr>
                <w:rFonts w:cstheme="minorHAnsi"/>
                <w:color w:val="000000"/>
                <w:sz w:val="18"/>
                <w:szCs w:val="18"/>
              </w:rPr>
              <w:t>*</w:t>
            </w:r>
          </w:p>
        </w:tc>
        <w:tc>
          <w:tcPr>
            <w:tcW w:w="528" w:type="pct"/>
            <w:tcBorders>
              <w:top w:val="nil"/>
              <w:left w:val="nil"/>
              <w:bottom w:val="single" w:sz="4" w:space="0" w:color="auto"/>
              <w:right w:val="single" w:sz="4" w:space="0" w:color="auto"/>
            </w:tcBorders>
            <w:shd w:val="clear" w:color="auto" w:fill="auto"/>
            <w:vAlign w:val="center"/>
            <w:hideMark/>
          </w:tcPr>
          <w:p w14:paraId="21E0F1BD" w14:textId="7A30FED4" w:rsidR="000C1246" w:rsidRPr="00FD08CE" w:rsidRDefault="000C1246" w:rsidP="000C1246">
            <w:pPr>
              <w:spacing w:after="0" w:line="240" w:lineRule="auto"/>
              <w:jc w:val="right"/>
              <w:rPr>
                <w:rFonts w:eastAsia="Times New Roman" w:cstheme="minorHAnsi"/>
                <w:color w:val="000000"/>
                <w:sz w:val="18"/>
                <w:szCs w:val="18"/>
              </w:rPr>
            </w:pPr>
            <w:r w:rsidRPr="00FD08CE">
              <w:rPr>
                <w:rFonts w:cstheme="minorHAnsi"/>
                <w:color w:val="000000"/>
                <w:sz w:val="18"/>
                <w:szCs w:val="18"/>
              </w:rPr>
              <w:t>30</w:t>
            </w:r>
          </w:p>
        </w:tc>
        <w:tc>
          <w:tcPr>
            <w:tcW w:w="320" w:type="pct"/>
            <w:tcBorders>
              <w:top w:val="nil"/>
              <w:left w:val="nil"/>
              <w:bottom w:val="single" w:sz="4" w:space="0" w:color="auto"/>
              <w:right w:val="single" w:sz="4" w:space="0" w:color="auto"/>
            </w:tcBorders>
            <w:shd w:val="clear" w:color="auto" w:fill="E1E7F7"/>
            <w:vAlign w:val="center"/>
          </w:tcPr>
          <w:p w14:paraId="739DE8ED" w14:textId="11550A3A"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160</w:t>
            </w:r>
          </w:p>
        </w:tc>
        <w:tc>
          <w:tcPr>
            <w:tcW w:w="320" w:type="pct"/>
            <w:tcBorders>
              <w:top w:val="nil"/>
              <w:left w:val="nil"/>
              <w:bottom w:val="single" w:sz="4" w:space="0" w:color="auto"/>
              <w:right w:val="single" w:sz="4" w:space="0" w:color="auto"/>
            </w:tcBorders>
            <w:shd w:val="clear" w:color="auto" w:fill="E1E7F7"/>
            <w:vAlign w:val="center"/>
          </w:tcPr>
          <w:p w14:paraId="361EC545" w14:textId="32E785B4"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140</w:t>
            </w:r>
          </w:p>
        </w:tc>
      </w:tr>
      <w:tr w:rsidR="00494789" w:rsidRPr="00FD08CE" w14:paraId="3CBDDC39" w14:textId="62E8B712" w:rsidTr="00494789">
        <w:trPr>
          <w:trHeight w:val="227"/>
        </w:trPr>
        <w:tc>
          <w:tcPr>
            <w:tcW w:w="259" w:type="pct"/>
            <w:tcBorders>
              <w:top w:val="nil"/>
              <w:left w:val="single" w:sz="4" w:space="0" w:color="auto"/>
              <w:bottom w:val="nil"/>
              <w:right w:val="single" w:sz="4" w:space="0" w:color="auto"/>
            </w:tcBorders>
            <w:shd w:val="clear" w:color="auto" w:fill="F2F2F2" w:themeFill="background1" w:themeFillShade="F2"/>
            <w:vAlign w:val="center"/>
          </w:tcPr>
          <w:p w14:paraId="4042CE6B" w14:textId="2C382618"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23</w:t>
            </w:r>
          </w:p>
        </w:tc>
        <w:tc>
          <w:tcPr>
            <w:tcW w:w="327" w:type="pct"/>
            <w:tcBorders>
              <w:top w:val="nil"/>
              <w:left w:val="single" w:sz="4" w:space="0" w:color="auto"/>
              <w:bottom w:val="nil"/>
              <w:right w:val="single" w:sz="4" w:space="0" w:color="auto"/>
            </w:tcBorders>
            <w:vAlign w:val="center"/>
          </w:tcPr>
          <w:p w14:paraId="2B6A69ED" w14:textId="13DB4588" w:rsidR="000C1246" w:rsidRPr="00FD08CE" w:rsidRDefault="000C1246" w:rsidP="000C1246">
            <w:pPr>
              <w:spacing w:after="0" w:line="240" w:lineRule="auto"/>
              <w:rPr>
                <w:rFonts w:cstheme="minorHAnsi"/>
                <w:color w:val="000000"/>
                <w:sz w:val="18"/>
                <w:szCs w:val="18"/>
              </w:rPr>
            </w:pPr>
            <w:r w:rsidRPr="00FD08CE">
              <w:rPr>
                <w:rFonts w:eastAsia="Times New Roman" w:cstheme="minorHAnsi"/>
                <w:color w:val="000000"/>
                <w:sz w:val="18"/>
                <w:szCs w:val="18"/>
              </w:rPr>
              <w:t>18</w:t>
            </w:r>
          </w:p>
        </w:tc>
        <w:tc>
          <w:tcPr>
            <w:tcW w:w="3246" w:type="pct"/>
            <w:tcBorders>
              <w:top w:val="nil"/>
              <w:left w:val="single" w:sz="4" w:space="0" w:color="auto"/>
              <w:bottom w:val="nil"/>
              <w:right w:val="single" w:sz="4" w:space="0" w:color="auto"/>
            </w:tcBorders>
            <w:shd w:val="clear" w:color="auto" w:fill="auto"/>
            <w:vAlign w:val="bottom"/>
            <w:hideMark/>
          </w:tcPr>
          <w:p w14:paraId="5DF5BA95" w14:textId="725E6C37" w:rsidR="000C1246" w:rsidRPr="00FD08CE" w:rsidRDefault="000C1246" w:rsidP="000C1246">
            <w:pPr>
              <w:spacing w:after="0" w:line="240" w:lineRule="auto"/>
              <w:rPr>
                <w:rFonts w:eastAsia="Times New Roman" w:cstheme="minorHAnsi"/>
                <w:color w:val="212121"/>
                <w:sz w:val="18"/>
                <w:szCs w:val="18"/>
              </w:rPr>
            </w:pPr>
            <w:r w:rsidRPr="00FD08CE">
              <w:rPr>
                <w:rFonts w:cstheme="minorHAnsi"/>
                <w:color w:val="000000"/>
                <w:sz w:val="18"/>
                <w:szCs w:val="18"/>
              </w:rPr>
              <w:t>Number of public communiques for encouraging market actor participation and innovation*</w:t>
            </w:r>
            <w:r>
              <w:rPr>
                <w:rFonts w:cstheme="minorHAnsi"/>
                <w:color w:val="000000"/>
                <w:sz w:val="18"/>
                <w:szCs w:val="18"/>
              </w:rPr>
              <w:t>*</w:t>
            </w:r>
          </w:p>
        </w:tc>
        <w:tc>
          <w:tcPr>
            <w:tcW w:w="528" w:type="pct"/>
            <w:tcBorders>
              <w:top w:val="nil"/>
              <w:left w:val="nil"/>
              <w:bottom w:val="nil"/>
              <w:right w:val="single" w:sz="4" w:space="0" w:color="auto"/>
            </w:tcBorders>
            <w:shd w:val="clear" w:color="auto" w:fill="auto"/>
            <w:vAlign w:val="center"/>
            <w:hideMark/>
          </w:tcPr>
          <w:p w14:paraId="3703CC8F" w14:textId="3E54CC80" w:rsidR="000C1246" w:rsidRPr="00FD08CE" w:rsidRDefault="000C1246" w:rsidP="000C1246">
            <w:pPr>
              <w:spacing w:after="0" w:line="240" w:lineRule="auto"/>
              <w:jc w:val="right"/>
              <w:rPr>
                <w:rFonts w:eastAsia="Times New Roman" w:cstheme="minorHAnsi"/>
                <w:color w:val="000000"/>
                <w:sz w:val="18"/>
                <w:szCs w:val="18"/>
              </w:rPr>
            </w:pPr>
            <w:r w:rsidRPr="00FD08CE">
              <w:rPr>
                <w:rFonts w:cstheme="minorHAnsi"/>
                <w:color w:val="000000"/>
                <w:sz w:val="18"/>
                <w:szCs w:val="18"/>
              </w:rPr>
              <w:t>32</w:t>
            </w:r>
          </w:p>
        </w:tc>
        <w:tc>
          <w:tcPr>
            <w:tcW w:w="320" w:type="pct"/>
            <w:tcBorders>
              <w:top w:val="nil"/>
              <w:left w:val="nil"/>
              <w:bottom w:val="nil"/>
              <w:right w:val="single" w:sz="4" w:space="0" w:color="auto"/>
            </w:tcBorders>
            <w:shd w:val="clear" w:color="auto" w:fill="E1E7F7"/>
            <w:vAlign w:val="center"/>
          </w:tcPr>
          <w:p w14:paraId="3105D17C" w14:textId="39652464"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107</w:t>
            </w:r>
          </w:p>
        </w:tc>
        <w:tc>
          <w:tcPr>
            <w:tcW w:w="320" w:type="pct"/>
            <w:tcBorders>
              <w:top w:val="nil"/>
              <w:left w:val="nil"/>
              <w:bottom w:val="nil"/>
              <w:right w:val="single" w:sz="4" w:space="0" w:color="auto"/>
            </w:tcBorders>
            <w:shd w:val="clear" w:color="auto" w:fill="E1E7F7"/>
            <w:vAlign w:val="center"/>
          </w:tcPr>
          <w:p w14:paraId="77133691" w14:textId="18E05411" w:rsidR="000C1246" w:rsidRPr="00FD08CE" w:rsidRDefault="000C1246" w:rsidP="000C1246">
            <w:pPr>
              <w:spacing w:after="0" w:line="240" w:lineRule="auto"/>
              <w:jc w:val="right"/>
              <w:rPr>
                <w:rFonts w:eastAsia="Times New Roman" w:cstheme="minorHAnsi"/>
                <w:color w:val="000000"/>
                <w:sz w:val="18"/>
                <w:szCs w:val="18"/>
              </w:rPr>
            </w:pPr>
            <w:r w:rsidRPr="00FD08CE">
              <w:rPr>
                <w:rFonts w:eastAsia="Times New Roman" w:cstheme="minorHAnsi"/>
                <w:color w:val="000000"/>
                <w:sz w:val="18"/>
                <w:szCs w:val="18"/>
              </w:rPr>
              <w:t>107</w:t>
            </w:r>
          </w:p>
        </w:tc>
      </w:tr>
      <w:tr w:rsidR="00494789" w:rsidRPr="00FD08CE" w14:paraId="6EF944EE" w14:textId="77777777" w:rsidTr="00494789">
        <w:trPr>
          <w:trHeight w:val="227"/>
        </w:trPr>
        <w:tc>
          <w:tcPr>
            <w:tcW w:w="25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D39F5E6" w14:textId="45BDE74A" w:rsidR="000C1246" w:rsidRPr="00FD08CE" w:rsidRDefault="000C1246" w:rsidP="000C1246">
            <w:pPr>
              <w:spacing w:after="0" w:line="240" w:lineRule="auto"/>
              <w:rPr>
                <w:rFonts w:cstheme="minorHAnsi"/>
                <w:color w:val="000000"/>
                <w:sz w:val="18"/>
                <w:szCs w:val="18"/>
              </w:rPr>
            </w:pPr>
            <w:r>
              <w:rPr>
                <w:rFonts w:cstheme="minorHAnsi"/>
                <w:color w:val="212121"/>
                <w:sz w:val="18"/>
                <w:szCs w:val="18"/>
              </w:rPr>
              <w:t xml:space="preserve"> -</w:t>
            </w:r>
          </w:p>
        </w:tc>
        <w:tc>
          <w:tcPr>
            <w:tcW w:w="327" w:type="pct"/>
            <w:tcBorders>
              <w:top w:val="nil"/>
              <w:left w:val="single" w:sz="4" w:space="0" w:color="auto"/>
              <w:bottom w:val="single" w:sz="4" w:space="0" w:color="auto"/>
              <w:right w:val="single" w:sz="4" w:space="0" w:color="auto"/>
            </w:tcBorders>
            <w:vAlign w:val="center"/>
          </w:tcPr>
          <w:p w14:paraId="170D0968" w14:textId="5E072A73" w:rsidR="000C1246" w:rsidRPr="00DA3936" w:rsidRDefault="000C1246" w:rsidP="000C1246">
            <w:pPr>
              <w:spacing w:after="0" w:line="240" w:lineRule="auto"/>
              <w:rPr>
                <w:rFonts w:cstheme="minorHAnsi"/>
                <w:color w:val="000000"/>
                <w:sz w:val="18"/>
                <w:szCs w:val="18"/>
              </w:rPr>
            </w:pPr>
            <w:r>
              <w:rPr>
                <w:rFonts w:eastAsia="Times New Roman" w:cstheme="minorHAnsi"/>
                <w:color w:val="000000"/>
                <w:sz w:val="18"/>
                <w:szCs w:val="18"/>
              </w:rPr>
              <w:t>19</w:t>
            </w:r>
          </w:p>
        </w:tc>
        <w:tc>
          <w:tcPr>
            <w:tcW w:w="3246" w:type="pct"/>
            <w:tcBorders>
              <w:top w:val="nil"/>
              <w:left w:val="single" w:sz="4" w:space="0" w:color="auto"/>
              <w:bottom w:val="single" w:sz="4" w:space="0" w:color="auto"/>
              <w:right w:val="single" w:sz="4" w:space="0" w:color="auto"/>
            </w:tcBorders>
            <w:shd w:val="clear" w:color="auto" w:fill="auto"/>
          </w:tcPr>
          <w:p w14:paraId="439B6547" w14:textId="58502E4C" w:rsidR="000C1246" w:rsidRPr="00FD08CE" w:rsidRDefault="000C1246" w:rsidP="000C1246">
            <w:pPr>
              <w:spacing w:after="0" w:line="240" w:lineRule="auto"/>
              <w:rPr>
                <w:rFonts w:cstheme="minorHAnsi"/>
                <w:color w:val="000000"/>
                <w:sz w:val="18"/>
                <w:szCs w:val="18"/>
              </w:rPr>
            </w:pPr>
            <w:r w:rsidRPr="00DA3936">
              <w:rPr>
                <w:rFonts w:cstheme="minorHAnsi"/>
                <w:color w:val="000000"/>
                <w:sz w:val="18"/>
                <w:szCs w:val="18"/>
              </w:rPr>
              <w:t>Number of new partnerships in the new target value chains (timber, horticulture, financial sector and waste management)**</w:t>
            </w:r>
          </w:p>
        </w:tc>
        <w:tc>
          <w:tcPr>
            <w:tcW w:w="528" w:type="pct"/>
            <w:tcBorders>
              <w:top w:val="nil"/>
              <w:left w:val="nil"/>
              <w:bottom w:val="single" w:sz="4" w:space="0" w:color="auto"/>
              <w:right w:val="single" w:sz="4" w:space="0" w:color="auto"/>
            </w:tcBorders>
            <w:shd w:val="clear" w:color="auto" w:fill="auto"/>
            <w:vAlign w:val="center"/>
          </w:tcPr>
          <w:p w14:paraId="3B891DC6" w14:textId="6CB56752" w:rsidR="000C1246" w:rsidRPr="00FD08CE" w:rsidRDefault="000C1246" w:rsidP="000C1246">
            <w:pPr>
              <w:spacing w:after="0" w:line="240" w:lineRule="auto"/>
              <w:jc w:val="right"/>
              <w:rPr>
                <w:rFonts w:cstheme="minorHAnsi"/>
                <w:color w:val="000000"/>
                <w:sz w:val="18"/>
                <w:szCs w:val="18"/>
              </w:rPr>
            </w:pPr>
            <w:r>
              <w:rPr>
                <w:rFonts w:cstheme="minorHAnsi"/>
                <w:color w:val="000000"/>
                <w:sz w:val="18"/>
                <w:szCs w:val="18"/>
              </w:rPr>
              <w:t>n/a</w:t>
            </w:r>
          </w:p>
        </w:tc>
        <w:tc>
          <w:tcPr>
            <w:tcW w:w="320" w:type="pct"/>
            <w:tcBorders>
              <w:top w:val="nil"/>
              <w:left w:val="nil"/>
              <w:bottom w:val="single" w:sz="4" w:space="0" w:color="auto"/>
              <w:right w:val="single" w:sz="4" w:space="0" w:color="auto"/>
            </w:tcBorders>
            <w:shd w:val="clear" w:color="auto" w:fill="E1E7F7"/>
            <w:vAlign w:val="center"/>
          </w:tcPr>
          <w:p w14:paraId="64F2B2AB" w14:textId="293538BA" w:rsidR="000C1246" w:rsidRPr="00FD08CE" w:rsidRDefault="000C1246" w:rsidP="000C1246">
            <w:pPr>
              <w:spacing w:after="0" w:line="240" w:lineRule="auto"/>
              <w:jc w:val="right"/>
              <w:rPr>
                <w:rFonts w:eastAsia="Times New Roman" w:cstheme="minorHAnsi"/>
                <w:color w:val="000000"/>
                <w:sz w:val="18"/>
                <w:szCs w:val="18"/>
              </w:rPr>
            </w:pPr>
            <w:r>
              <w:rPr>
                <w:rFonts w:eastAsia="Times New Roman" w:cstheme="minorHAnsi"/>
                <w:color w:val="000000"/>
                <w:sz w:val="18"/>
                <w:szCs w:val="18"/>
              </w:rPr>
              <w:t>67</w:t>
            </w:r>
          </w:p>
        </w:tc>
        <w:tc>
          <w:tcPr>
            <w:tcW w:w="320" w:type="pct"/>
            <w:tcBorders>
              <w:top w:val="nil"/>
              <w:left w:val="nil"/>
              <w:bottom w:val="single" w:sz="4" w:space="0" w:color="auto"/>
              <w:right w:val="single" w:sz="4" w:space="0" w:color="auto"/>
            </w:tcBorders>
            <w:shd w:val="clear" w:color="auto" w:fill="E1E7F7"/>
            <w:vAlign w:val="center"/>
          </w:tcPr>
          <w:p w14:paraId="4DBD3724" w14:textId="79CDFFA6" w:rsidR="000C1246" w:rsidRPr="00FD08CE" w:rsidRDefault="000C1246" w:rsidP="000C1246">
            <w:pPr>
              <w:spacing w:after="0" w:line="240" w:lineRule="auto"/>
              <w:jc w:val="right"/>
              <w:rPr>
                <w:rFonts w:eastAsia="Times New Roman" w:cstheme="minorHAnsi"/>
                <w:color w:val="000000"/>
                <w:sz w:val="18"/>
                <w:szCs w:val="18"/>
              </w:rPr>
            </w:pPr>
            <w:r>
              <w:rPr>
                <w:rFonts w:eastAsia="Times New Roman" w:cstheme="minorHAnsi"/>
                <w:color w:val="000000"/>
                <w:sz w:val="18"/>
                <w:szCs w:val="18"/>
              </w:rPr>
              <w:t>114</w:t>
            </w:r>
          </w:p>
        </w:tc>
      </w:tr>
    </w:tbl>
    <w:p w14:paraId="54D1A0FB" w14:textId="77777777" w:rsidR="00C22185" w:rsidRPr="00DC4758" w:rsidRDefault="00C22185" w:rsidP="00C22185">
      <w:pPr>
        <w:spacing w:after="0" w:line="240" w:lineRule="auto"/>
        <w:rPr>
          <w:rFonts w:ascii="Franklin Gothic Book" w:eastAsia="Times New Roman" w:hAnsi="Franklin Gothic Book"/>
          <w:color w:val="212121"/>
          <w:sz w:val="18"/>
          <w:szCs w:val="18"/>
        </w:rPr>
      </w:pPr>
      <w:r w:rsidRPr="00DC4758">
        <w:rPr>
          <w:rFonts w:ascii="Franklin Gothic Book" w:eastAsia="Times New Roman" w:hAnsi="Franklin Gothic Book"/>
          <w:color w:val="212121"/>
          <w:sz w:val="18"/>
          <w:szCs w:val="18"/>
        </w:rPr>
        <w:t>** Indicator for all EOPOs.</w:t>
      </w:r>
    </w:p>
    <w:p w14:paraId="693A2EC1" w14:textId="45510AAE" w:rsidR="00E91890" w:rsidRDefault="000E104C" w:rsidP="000E104C">
      <w:pPr>
        <w:pStyle w:val="Heading3NOTOC"/>
        <w:rPr>
          <w:lang w:val="en-US"/>
        </w:rPr>
      </w:pPr>
      <w:r>
        <w:t>EOPO2: Evidence from c</w:t>
      </w:r>
      <w:r w:rsidR="7224476D" w:rsidRPr="00B62D64">
        <w:rPr>
          <w:lang w:val="en-US"/>
        </w:rPr>
        <w:t>onsultations</w:t>
      </w:r>
    </w:p>
    <w:p w14:paraId="5C26EA87" w14:textId="77777777" w:rsidR="0086718B" w:rsidRDefault="0086718B" w:rsidP="0086718B">
      <w:pPr>
        <w:rPr>
          <w:lang w:val="en-US"/>
        </w:rPr>
      </w:pPr>
      <w:r>
        <w:t xml:space="preserve">Consultations with SIG and other stakeholders (both partners and non-partners) confirmed that Strongim Bisnis has had </w:t>
      </w:r>
      <w:r w:rsidRPr="00D33DCA">
        <w:rPr>
          <w:b/>
          <w:bCs/>
        </w:rPr>
        <w:t>mixed success</w:t>
      </w:r>
      <w:r>
        <w:t xml:space="preserve"> in fostering effective public/private engagement to improve the business environment. </w:t>
      </w:r>
      <w:r>
        <w:rPr>
          <w:lang w:val="en-US"/>
        </w:rPr>
        <w:t xml:space="preserve"> </w:t>
      </w:r>
    </w:p>
    <w:p w14:paraId="3A98E2C0" w14:textId="37F17D54" w:rsidR="00E91890" w:rsidRDefault="00E91890" w:rsidP="000E104C">
      <w:pPr>
        <w:pStyle w:val="Heading3NOTOC"/>
        <w:rPr>
          <w:lang w:val="en-US"/>
        </w:rPr>
      </w:pPr>
      <w:r>
        <w:rPr>
          <w:noProof/>
        </w:rPr>
        <mc:AlternateContent>
          <mc:Choice Requires="wps">
            <w:drawing>
              <wp:inline distT="0" distB="0" distL="0" distR="0" wp14:anchorId="4661DFE0" wp14:editId="33D65E7B">
                <wp:extent cx="2084070" cy="1404620"/>
                <wp:effectExtent l="0" t="0" r="0" b="127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404620"/>
                        </a:xfrm>
                        <a:prstGeom prst="rect">
                          <a:avLst/>
                        </a:prstGeom>
                        <a:solidFill>
                          <a:srgbClr val="FFFFFF"/>
                        </a:solidFill>
                        <a:ln w="9525">
                          <a:noFill/>
                          <a:miter lim="800000"/>
                          <a:headEnd/>
                          <a:tailEnd/>
                        </a:ln>
                      </wps:spPr>
                      <wps:txbx>
                        <w:txbxContent>
                          <w:p w14:paraId="2BECD699" w14:textId="77777777" w:rsidR="00E91890" w:rsidRDefault="00E91890" w:rsidP="00E91890">
                            <w:pPr>
                              <w:spacing w:after="0" w:line="240" w:lineRule="auto"/>
                              <w:jc w:val="center"/>
                            </w:pPr>
                            <w:r w:rsidRPr="00E3686F">
                              <w:rPr>
                                <w:b/>
                                <w:bCs/>
                              </w:rPr>
                              <w:t xml:space="preserve">Figure </w:t>
                            </w:r>
                            <w:r>
                              <w:rPr>
                                <w:b/>
                                <w:bCs/>
                              </w:rPr>
                              <w:t>1</w:t>
                            </w:r>
                            <w:r w:rsidRPr="00E3686F">
                              <w:rPr>
                                <w:b/>
                                <w:bCs/>
                              </w:rPr>
                              <w:t>: The market system</w:t>
                            </w:r>
                          </w:p>
                        </w:txbxContent>
                      </wps:txbx>
                      <wps:bodyPr rot="0" vert="horz" wrap="square" lIns="91440" tIns="45720" rIns="91440" bIns="45720" anchor="t" anchorCtr="0">
                        <a:spAutoFit/>
                      </wps:bodyPr>
                    </wps:wsp>
                  </a:graphicData>
                </a:graphic>
              </wp:inline>
            </w:drawing>
          </mc:Choice>
          <mc:Fallback>
            <w:pict>
              <v:shapetype w14:anchorId="4661DFE0" id="_x0000_t202" coordsize="21600,21600" o:spt="202" path="m,l,21600r21600,l21600,xe">
                <v:stroke joinstyle="miter"/>
                <v:path gradientshapeok="t" o:connecttype="rect"/>
              </v:shapetype>
              <v:shape id="Text Box 217" o:spid="_x0000_s1026" type="#_x0000_t202" style="width:16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v/DQIAAPcDAAAOAAAAZHJzL2Uyb0RvYy54bWysU9tu2zAMfR+wfxD0vtgJnF6MOEWXLsOA&#10;7gJ0+wBZlmNhsqhRSuzs60fJaRp0b8P0IJAidUQeHq3uxt6wg0KvwVZ8Pss5U1ZCo+2u4j++b9/d&#10;cOaDsI0wYFXFj8rzu/XbN6vBlWoBHZhGISMQ68vBVbwLwZVZ5mWneuFn4JSlYAvYi0Au7rIGxUDo&#10;vckWeX6VDYCNQ5DKezp9mIJ8nfDbVsnwtW29CsxUnGoLace013HP1itR7lC4TstTGeIfquiFtvTo&#10;GepBBMH2qP+C6rVE8NCGmYQ+g7bVUqUeqJt5/qqbp044lXohcrw70+T/H6z8cnhy35CF8T2MNMDU&#10;hHePIH96ZmHTCbtT94gwdEo09PA8UpYNzpenq5FqX/oIUg+foaEhi32ABDS22EdWqE9G6DSA45l0&#10;NQYm6XCR3xT5NYUkxeZFXlwt0lgyUT5fd+jDRwU9i0bFkaaa4MXh0YdYjiifU+JrHoxuttqY5OCu&#10;3hhkB0EK2KaVOniVZiwbKn67XCwTsoV4P4mj14EUanRf8Zs8rkkzkY4PtkkpQWgz2VSJsSd+IiUT&#10;OWGsR0qMPNXQHIkphEmJ9HPI6AB/czaQCivuf+0FKs7MJ0ts386LIso2OcXymqhheBmpLyPCSoKq&#10;eOBsMjchST3x4O5pKlud+Hqp5FQrqSvRePoJUb6Xfsp6+a/rPwAAAP//AwBQSwMEFAAGAAgAAAAh&#10;AG7sXanbAAAABQEAAA8AAABkcnMvZG93bnJldi54bWxMj8FOwzAQRO9I/IO1SNyoEyOqKsSpKiQu&#10;qAdaOHDcxkucJrZD7LTh71m40MtIq1nNvCnXs+vFicbYBq8hX2QgyNfBtL7R8P72fLcCERN6g33w&#10;pOGbIqyr66sSCxPOfkenfWoEh/hYoAab0lBIGWtLDuMiDOTZ+wyjw8Tn2Egz4pnDXS9Vli2lw9Zz&#10;g8WBnizV3X5yXLKN9bQLX8d828kP2y3x4dW+aH17M28eQSSa0/8z/OIzOlTMdAiTN1H0GnhI+lP2&#10;7tVKgThoUCpXIKtSXtJXPwAAAP//AwBQSwECLQAUAAYACAAAACEAtoM4kv4AAADhAQAAEwAAAAAA&#10;AAAAAAAAAAAAAAAAW0NvbnRlbnRfVHlwZXNdLnhtbFBLAQItABQABgAIAAAAIQA4/SH/1gAAAJQB&#10;AAALAAAAAAAAAAAAAAAAAC8BAABfcmVscy8ucmVsc1BLAQItABQABgAIAAAAIQBwZ3v/DQIAAPcD&#10;AAAOAAAAAAAAAAAAAAAAAC4CAABkcnMvZTJvRG9jLnhtbFBLAQItABQABgAIAAAAIQBu7F2p2wAA&#10;AAUBAAAPAAAAAAAAAAAAAAAAAGcEAABkcnMvZG93bnJldi54bWxQSwUGAAAAAAQABADzAAAAbwUA&#10;AAAA&#10;" stroked="f">
                <v:textbox style="mso-fit-shape-to-text:t">
                  <w:txbxContent>
                    <w:p w14:paraId="2BECD699" w14:textId="77777777" w:rsidR="00E91890" w:rsidRDefault="00E91890" w:rsidP="00E91890">
                      <w:pPr>
                        <w:spacing w:after="0" w:line="240" w:lineRule="auto"/>
                        <w:jc w:val="center"/>
                      </w:pPr>
                      <w:r w:rsidRPr="00E3686F">
                        <w:rPr>
                          <w:b/>
                          <w:bCs/>
                        </w:rPr>
                        <w:t xml:space="preserve">Figure </w:t>
                      </w:r>
                      <w:r>
                        <w:rPr>
                          <w:b/>
                          <w:bCs/>
                        </w:rPr>
                        <w:t>1</w:t>
                      </w:r>
                      <w:r w:rsidRPr="00E3686F">
                        <w:rPr>
                          <w:b/>
                          <w:bCs/>
                        </w:rPr>
                        <w:t>: The market system</w:t>
                      </w:r>
                    </w:p>
                  </w:txbxContent>
                </v:textbox>
                <w10:anchorlock/>
              </v:shape>
            </w:pict>
          </mc:Fallback>
        </mc:AlternateContent>
      </w:r>
    </w:p>
    <w:p w14:paraId="284C761C" w14:textId="77777777" w:rsidR="00E91890" w:rsidRDefault="000314DE" w:rsidP="00AB106C">
      <w:r w:rsidRPr="00145C21">
        <w:rPr>
          <w:noProof/>
        </w:rPr>
        <w:drawing>
          <wp:inline distT="0" distB="0" distL="0" distR="0" wp14:anchorId="5F4FA3DC" wp14:editId="42C2EA72">
            <wp:extent cx="1689735" cy="1676400"/>
            <wp:effectExtent l="0" t="0" r="5715" b="0"/>
            <wp:docPr id="9" name="Picture 9" descr="Depiction of a market system. Supply and demand are at the system core. These are surrounded by: (i) supporting functions, including infrastructure, information, skills and technology, and related services; and (ii) rules, including standards, regulations, laws, and informal rules and n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iction of a market system. Supply and demand are at the system core. These are surrounded by: (i) supporting functions, including infrastructure, information, skills and technology, and related services; and (ii) rules, including standards, regulations, laws, and informal rules and norms."/>
                    <pic:cNvPicPr/>
                  </pic:nvPicPr>
                  <pic:blipFill>
                    <a:blip r:embed="rId18"/>
                    <a:stretch>
                      <a:fillRect/>
                    </a:stretch>
                  </pic:blipFill>
                  <pic:spPr>
                    <a:xfrm>
                      <a:off x="0" y="0"/>
                      <a:ext cx="1689735" cy="1676400"/>
                    </a:xfrm>
                    <a:prstGeom prst="rect">
                      <a:avLst/>
                    </a:prstGeom>
                  </pic:spPr>
                </pic:pic>
              </a:graphicData>
            </a:graphic>
          </wp:inline>
        </w:drawing>
      </w:r>
    </w:p>
    <w:p w14:paraId="5A86C7D9" w14:textId="64355A9E" w:rsidR="00346C23" w:rsidRDefault="00FC10D5" w:rsidP="00B5414D">
      <w:pPr>
        <w:spacing w:after="120"/>
        <w:rPr>
          <w:rFonts w:ascii="Arial" w:hAnsi="Arial" w:cs="Arial"/>
          <w:szCs w:val="20"/>
        </w:rPr>
      </w:pPr>
      <w:r>
        <w:t xml:space="preserve">The government is </w:t>
      </w:r>
      <w:r w:rsidRPr="00EB0007">
        <w:t>an important player in the market system</w:t>
      </w:r>
      <w:r>
        <w:t xml:space="preserve">, since it sets most of the formal ‘rules’ and provides many of the ‘supporting functions’ for market operations (Figure </w:t>
      </w:r>
      <w:r w:rsidR="000314DE">
        <w:t>1</w:t>
      </w:r>
      <w:r w:rsidR="008C589D">
        <w:rPr>
          <w:rStyle w:val="FootnoteReference"/>
        </w:rPr>
        <w:footnoteReference w:id="10"/>
      </w:r>
      <w:r>
        <w:t xml:space="preserve">). Since </w:t>
      </w:r>
      <w:r w:rsidRPr="00EB0007">
        <w:rPr>
          <w:lang w:val="en-US"/>
        </w:rPr>
        <w:t>the business enabling environment</w:t>
      </w:r>
      <w:r w:rsidRPr="00B81F25">
        <w:rPr>
          <w:lang w:val="en-US"/>
        </w:rPr>
        <w:t xml:space="preserve"> </w:t>
      </w:r>
      <w:r>
        <w:rPr>
          <w:lang w:val="en-US"/>
        </w:rPr>
        <w:t xml:space="preserve">will not improve without </w:t>
      </w:r>
      <w:r>
        <w:t xml:space="preserve">Government action, </w:t>
      </w:r>
      <w:r w:rsidRPr="00EB0007">
        <w:rPr>
          <w:lang w:val="en-US"/>
        </w:rPr>
        <w:t xml:space="preserve">strategic partnerships </w:t>
      </w:r>
      <w:r>
        <w:rPr>
          <w:lang w:val="en-US"/>
        </w:rPr>
        <w:t>with selected SIG agencies will remain</w:t>
      </w:r>
      <w:r w:rsidRPr="00EB0007">
        <w:rPr>
          <w:lang w:val="en-US"/>
        </w:rPr>
        <w:t xml:space="preserve"> </w:t>
      </w:r>
      <w:r>
        <w:rPr>
          <w:lang w:val="en-US"/>
        </w:rPr>
        <w:t xml:space="preserve">an </w:t>
      </w:r>
      <w:r w:rsidRPr="00EB0007">
        <w:rPr>
          <w:lang w:val="en-US"/>
        </w:rPr>
        <w:t>important part of the mix</w:t>
      </w:r>
      <w:r>
        <w:rPr>
          <w:lang w:val="en-US"/>
        </w:rPr>
        <w:t xml:space="preserve"> for Strongim Bisnis</w:t>
      </w:r>
      <w:r w:rsidRPr="00EB0007">
        <w:rPr>
          <w:lang w:val="en-US"/>
        </w:rPr>
        <w:t>.</w:t>
      </w:r>
      <w:r w:rsidR="00B5414D">
        <w:rPr>
          <w:lang w:val="en-US"/>
        </w:rPr>
        <w:t xml:space="preserve"> </w:t>
      </w:r>
      <w:r w:rsidR="00B5414D">
        <w:rPr>
          <w:rFonts w:ascii="Arial" w:hAnsi="Arial" w:cs="Arial"/>
          <w:szCs w:val="20"/>
        </w:rPr>
        <w:t>However, achieving</w:t>
      </w:r>
      <w:r w:rsidR="008C6AC6">
        <w:rPr>
          <w:rFonts w:ascii="Arial" w:hAnsi="Arial" w:cs="Arial"/>
          <w:szCs w:val="20"/>
        </w:rPr>
        <w:t xml:space="preserve"> change will ultimately d</w:t>
      </w:r>
      <w:r w:rsidR="00B5414D">
        <w:rPr>
          <w:rFonts w:ascii="Arial" w:hAnsi="Arial" w:cs="Arial"/>
          <w:szCs w:val="20"/>
        </w:rPr>
        <w:t>epend</w:t>
      </w:r>
      <w:r w:rsidR="008C6AC6">
        <w:rPr>
          <w:rFonts w:ascii="Arial" w:hAnsi="Arial" w:cs="Arial"/>
          <w:szCs w:val="20"/>
        </w:rPr>
        <w:t xml:space="preserve"> on </w:t>
      </w:r>
      <w:r w:rsidR="00346C23">
        <w:rPr>
          <w:rFonts w:ascii="Arial" w:hAnsi="Arial" w:cs="Arial"/>
          <w:szCs w:val="20"/>
        </w:rPr>
        <w:t xml:space="preserve">a range of </w:t>
      </w:r>
      <w:r w:rsidR="0070712C">
        <w:rPr>
          <w:rFonts w:ascii="Arial" w:hAnsi="Arial" w:cs="Arial"/>
          <w:szCs w:val="20"/>
        </w:rPr>
        <w:t xml:space="preserve">political, budgetary and other </w:t>
      </w:r>
      <w:r w:rsidR="00346C23">
        <w:rPr>
          <w:rFonts w:ascii="Arial" w:hAnsi="Arial" w:cs="Arial"/>
          <w:szCs w:val="20"/>
        </w:rPr>
        <w:t xml:space="preserve">factors well beyond </w:t>
      </w:r>
      <w:r w:rsidR="005D04B3">
        <w:rPr>
          <w:rFonts w:ascii="Arial" w:hAnsi="Arial" w:cs="Arial"/>
          <w:szCs w:val="20"/>
        </w:rPr>
        <w:t>Strongim Bisnis’</w:t>
      </w:r>
      <w:r w:rsidR="00346C23">
        <w:rPr>
          <w:rFonts w:ascii="Arial" w:hAnsi="Arial" w:cs="Arial"/>
          <w:szCs w:val="20"/>
        </w:rPr>
        <w:t xml:space="preserve"> control.</w:t>
      </w:r>
    </w:p>
    <w:p w14:paraId="61C97E22" w14:textId="64B2ABF4" w:rsidR="00142D95" w:rsidRDefault="008568C4" w:rsidP="00371CE3">
      <w:pPr>
        <w:rPr>
          <w:lang w:val="en-US"/>
        </w:rPr>
      </w:pPr>
      <w:r>
        <w:rPr>
          <w:lang w:val="en-US"/>
        </w:rPr>
        <w:t>S</w:t>
      </w:r>
      <w:r w:rsidR="007E2B6A">
        <w:rPr>
          <w:lang w:val="en-US"/>
        </w:rPr>
        <w:t xml:space="preserve">ome </w:t>
      </w:r>
      <w:r>
        <w:rPr>
          <w:lang w:val="en-US"/>
        </w:rPr>
        <w:t>SIG agencies</w:t>
      </w:r>
      <w:r w:rsidRPr="00EB0007">
        <w:rPr>
          <w:lang w:val="en-US"/>
        </w:rPr>
        <w:t xml:space="preserve"> </w:t>
      </w:r>
      <w:r w:rsidR="000365A5">
        <w:rPr>
          <w:lang w:val="en-US"/>
        </w:rPr>
        <w:t>(such as MCILI</w:t>
      </w:r>
      <w:r w:rsidR="002520A0">
        <w:rPr>
          <w:lang w:val="en-US"/>
        </w:rPr>
        <w:t>,</w:t>
      </w:r>
      <w:r w:rsidR="000365A5">
        <w:rPr>
          <w:lang w:val="en-US"/>
        </w:rPr>
        <w:t xml:space="preserve"> MAL</w:t>
      </w:r>
      <w:r w:rsidR="002520A0">
        <w:rPr>
          <w:lang w:val="en-US"/>
        </w:rPr>
        <w:t xml:space="preserve">, </w:t>
      </w:r>
      <w:r w:rsidR="002520A0" w:rsidRPr="00EB0007">
        <w:rPr>
          <w:lang w:val="en-US"/>
        </w:rPr>
        <w:t>MWCYFA</w:t>
      </w:r>
      <w:r w:rsidR="000365A5">
        <w:rPr>
          <w:lang w:val="en-US"/>
        </w:rPr>
        <w:t xml:space="preserve">) </w:t>
      </w:r>
      <w:r>
        <w:rPr>
          <w:lang w:val="en-US"/>
        </w:rPr>
        <w:t>have</w:t>
      </w:r>
      <w:r w:rsidR="00371CE3" w:rsidRPr="00EB0007">
        <w:rPr>
          <w:lang w:val="en-US"/>
        </w:rPr>
        <w:t xml:space="preserve"> their own programs of support </w:t>
      </w:r>
      <w:r w:rsidR="000365A5">
        <w:rPr>
          <w:lang w:val="en-US"/>
        </w:rPr>
        <w:t>for</w:t>
      </w:r>
      <w:r w:rsidR="00371CE3" w:rsidRPr="00EB0007">
        <w:rPr>
          <w:lang w:val="en-US"/>
        </w:rPr>
        <w:t xml:space="preserve"> private sector </w:t>
      </w:r>
      <w:r w:rsidR="00585E3C">
        <w:rPr>
          <w:lang w:val="en-US"/>
        </w:rPr>
        <w:t>operators such as small businesses</w:t>
      </w:r>
      <w:r w:rsidR="00BF1040">
        <w:rPr>
          <w:lang w:val="en-US"/>
        </w:rPr>
        <w:t>,</w:t>
      </w:r>
      <w:r w:rsidR="00585E3C">
        <w:rPr>
          <w:lang w:val="en-US"/>
        </w:rPr>
        <w:t xml:space="preserve"> farmers</w:t>
      </w:r>
      <w:r w:rsidR="00BF1040">
        <w:rPr>
          <w:lang w:val="en-US"/>
        </w:rPr>
        <w:t xml:space="preserve"> and women-led enterprises</w:t>
      </w:r>
      <w:r w:rsidR="00585E3C">
        <w:rPr>
          <w:lang w:val="en-US"/>
        </w:rPr>
        <w:t xml:space="preserve">, </w:t>
      </w:r>
      <w:r w:rsidR="0046769F">
        <w:rPr>
          <w:lang w:val="en-US"/>
        </w:rPr>
        <w:t xml:space="preserve">albeit within the constraints of </w:t>
      </w:r>
      <w:r w:rsidR="00E941DD">
        <w:rPr>
          <w:lang w:val="en-US"/>
        </w:rPr>
        <w:t xml:space="preserve">tight </w:t>
      </w:r>
      <w:r w:rsidR="0046769F">
        <w:rPr>
          <w:lang w:val="en-US"/>
        </w:rPr>
        <w:t xml:space="preserve">budget </w:t>
      </w:r>
      <w:r w:rsidR="00E941DD">
        <w:rPr>
          <w:lang w:val="en-US"/>
        </w:rPr>
        <w:t>allocations</w:t>
      </w:r>
      <w:r w:rsidR="00371CE3" w:rsidRPr="00EB0007">
        <w:rPr>
          <w:lang w:val="en-US"/>
        </w:rPr>
        <w:t xml:space="preserve">. </w:t>
      </w:r>
      <w:r w:rsidR="00EF0C5E">
        <w:rPr>
          <w:lang w:val="en-US"/>
        </w:rPr>
        <w:t xml:space="preserve">They see opportunities for </w:t>
      </w:r>
      <w:r w:rsidR="00A1146A">
        <w:rPr>
          <w:lang w:val="en-US"/>
        </w:rPr>
        <w:t xml:space="preserve">funding partnerships consistent with their own strategies and priorities. </w:t>
      </w:r>
      <w:r w:rsidR="00EE3565">
        <w:rPr>
          <w:lang w:val="en-US"/>
        </w:rPr>
        <w:t>I</w:t>
      </w:r>
      <w:r w:rsidR="005050F1">
        <w:rPr>
          <w:lang w:val="en-US"/>
        </w:rPr>
        <w:t xml:space="preserve">t will be important for </w:t>
      </w:r>
      <w:r w:rsidR="005D04B3">
        <w:rPr>
          <w:lang w:val="en-US"/>
        </w:rPr>
        <w:t>Strongim Bisnis</w:t>
      </w:r>
      <w:r w:rsidR="005050F1">
        <w:rPr>
          <w:lang w:val="en-US"/>
        </w:rPr>
        <w:t xml:space="preserve"> to remain focused </w:t>
      </w:r>
      <w:r w:rsidR="008811D1">
        <w:rPr>
          <w:lang w:val="en-US"/>
        </w:rPr>
        <w:t xml:space="preserve">on </w:t>
      </w:r>
      <w:r w:rsidR="00086FF7">
        <w:rPr>
          <w:lang w:val="en-US"/>
        </w:rPr>
        <w:t xml:space="preserve">improving </w:t>
      </w:r>
      <w:r w:rsidR="003A708E">
        <w:rPr>
          <w:lang w:val="en-US"/>
        </w:rPr>
        <w:t>market system</w:t>
      </w:r>
      <w:r w:rsidR="00E1007E">
        <w:rPr>
          <w:lang w:val="en-US"/>
        </w:rPr>
        <w:t>s through</w:t>
      </w:r>
      <w:r w:rsidR="003A708E">
        <w:rPr>
          <w:lang w:val="en-US"/>
        </w:rPr>
        <w:t xml:space="preserve"> </w:t>
      </w:r>
      <w:r w:rsidR="00752771">
        <w:rPr>
          <w:lang w:val="en-US"/>
        </w:rPr>
        <w:t>it</w:t>
      </w:r>
      <w:r w:rsidR="008C1DBC">
        <w:rPr>
          <w:lang w:val="en-US"/>
        </w:rPr>
        <w:t>s</w:t>
      </w:r>
      <w:r w:rsidR="00752771">
        <w:rPr>
          <w:lang w:val="en-US"/>
        </w:rPr>
        <w:t xml:space="preserve"> current modalities that </w:t>
      </w:r>
      <w:r w:rsidR="008C1DBC">
        <w:rPr>
          <w:lang w:val="en-US"/>
        </w:rPr>
        <w:t>help</w:t>
      </w:r>
      <w:r w:rsidR="00752771">
        <w:rPr>
          <w:lang w:val="en-US"/>
        </w:rPr>
        <w:t xml:space="preserve"> </w:t>
      </w:r>
      <w:r w:rsidR="00EE3565">
        <w:rPr>
          <w:lang w:val="en-US"/>
        </w:rPr>
        <w:t>remov</w:t>
      </w:r>
      <w:r w:rsidR="008C1DBC">
        <w:rPr>
          <w:lang w:val="en-US"/>
        </w:rPr>
        <w:t>e identified</w:t>
      </w:r>
      <w:r w:rsidR="00EE3565">
        <w:rPr>
          <w:lang w:val="en-US"/>
        </w:rPr>
        <w:t xml:space="preserve"> blockages for </w:t>
      </w:r>
      <w:r w:rsidR="008C1DBC">
        <w:rPr>
          <w:lang w:val="en-US"/>
        </w:rPr>
        <w:t xml:space="preserve">selected </w:t>
      </w:r>
      <w:r w:rsidR="00EE3565">
        <w:rPr>
          <w:lang w:val="en-US"/>
        </w:rPr>
        <w:t xml:space="preserve">business partners or in the broader business environment. </w:t>
      </w:r>
      <w:r w:rsidR="00F01E66">
        <w:rPr>
          <w:lang w:val="en-US"/>
        </w:rPr>
        <w:t xml:space="preserve">However, given </w:t>
      </w:r>
      <w:r w:rsidR="005D04B3">
        <w:rPr>
          <w:lang w:val="en-US"/>
        </w:rPr>
        <w:t>Strongim Bisnis</w:t>
      </w:r>
      <w:r w:rsidR="00F01E66">
        <w:rPr>
          <w:lang w:val="en-US"/>
        </w:rPr>
        <w:t xml:space="preserve"> and SIG are </w:t>
      </w:r>
      <w:r w:rsidR="00AD04BE">
        <w:rPr>
          <w:lang w:val="en-US"/>
        </w:rPr>
        <w:t xml:space="preserve">in some cases supporting the same businesses, </w:t>
      </w:r>
      <w:r w:rsidR="001727D2">
        <w:rPr>
          <w:lang w:val="en-US"/>
        </w:rPr>
        <w:t>good communications and information-sharing</w:t>
      </w:r>
      <w:r w:rsidR="006D2420">
        <w:rPr>
          <w:lang w:val="en-US"/>
        </w:rPr>
        <w:t xml:space="preserve"> </w:t>
      </w:r>
      <w:r w:rsidR="00D21328">
        <w:rPr>
          <w:lang w:val="en-US"/>
        </w:rPr>
        <w:t xml:space="preserve">will need to be maintained </w:t>
      </w:r>
      <w:r w:rsidR="006D2420">
        <w:rPr>
          <w:lang w:val="en-US"/>
        </w:rPr>
        <w:t xml:space="preserve">to maximise </w:t>
      </w:r>
      <w:r w:rsidR="006D2420" w:rsidRPr="00EB0007">
        <w:rPr>
          <w:lang w:val="en-US"/>
        </w:rPr>
        <w:t>complementarity</w:t>
      </w:r>
      <w:r w:rsidR="006D2420">
        <w:rPr>
          <w:lang w:val="en-US"/>
        </w:rPr>
        <w:t xml:space="preserve"> and minimise </w:t>
      </w:r>
      <w:r w:rsidR="000D3D71" w:rsidRPr="00EB0007">
        <w:rPr>
          <w:lang w:val="en-US"/>
        </w:rPr>
        <w:t>duplication</w:t>
      </w:r>
      <w:r w:rsidR="000D3D71">
        <w:rPr>
          <w:lang w:val="en-US"/>
        </w:rPr>
        <w:t xml:space="preserve"> or</w:t>
      </w:r>
      <w:r w:rsidR="000D3D71" w:rsidRPr="00EB0007">
        <w:rPr>
          <w:lang w:val="en-US"/>
        </w:rPr>
        <w:t xml:space="preserve"> inconsistency</w:t>
      </w:r>
      <w:r w:rsidR="000D3D71">
        <w:rPr>
          <w:lang w:val="en-US"/>
        </w:rPr>
        <w:t xml:space="preserve"> in the types of assistance provided.</w:t>
      </w:r>
    </w:p>
    <w:p w14:paraId="58FC26D0" w14:textId="3C30EFD6" w:rsidR="00074146" w:rsidRDefault="00625547" w:rsidP="006573B3">
      <w:pPr>
        <w:rPr>
          <w:lang w:val="en-US"/>
        </w:rPr>
      </w:pPr>
      <w:r>
        <w:rPr>
          <w:lang w:val="en-US"/>
        </w:rPr>
        <w:t xml:space="preserve">The </w:t>
      </w:r>
      <w:r w:rsidR="00083503">
        <w:rPr>
          <w:lang w:val="en-US"/>
        </w:rPr>
        <w:t>two</w:t>
      </w:r>
      <w:r>
        <w:rPr>
          <w:lang w:val="en-US"/>
        </w:rPr>
        <w:t xml:space="preserve"> </w:t>
      </w:r>
      <w:r w:rsidR="005D6081" w:rsidRPr="00EB0007">
        <w:rPr>
          <w:lang w:val="en-US"/>
        </w:rPr>
        <w:t xml:space="preserve">current </w:t>
      </w:r>
      <w:r w:rsidR="00B211FE">
        <w:rPr>
          <w:lang w:val="en-US"/>
        </w:rPr>
        <w:t xml:space="preserve">national-level </w:t>
      </w:r>
      <w:r w:rsidR="005D6081" w:rsidRPr="00EB0007">
        <w:rPr>
          <w:lang w:val="en-US"/>
        </w:rPr>
        <w:t xml:space="preserve">SIG </w:t>
      </w:r>
      <w:r>
        <w:rPr>
          <w:lang w:val="en-US"/>
        </w:rPr>
        <w:t>partnership</w:t>
      </w:r>
      <w:r w:rsidR="00083503">
        <w:rPr>
          <w:lang w:val="en-US"/>
        </w:rPr>
        <w:t>s</w:t>
      </w:r>
      <w:r>
        <w:rPr>
          <w:lang w:val="en-US"/>
        </w:rPr>
        <w:t xml:space="preserve"> </w:t>
      </w:r>
      <w:r w:rsidR="00C31DB7">
        <w:rPr>
          <w:lang w:val="en-US"/>
        </w:rPr>
        <w:t>have</w:t>
      </w:r>
      <w:r w:rsidR="00A43B8F">
        <w:rPr>
          <w:lang w:val="en-US"/>
        </w:rPr>
        <w:t xml:space="preserve"> clearly </w:t>
      </w:r>
      <w:r w:rsidR="00C31DB7">
        <w:rPr>
          <w:lang w:val="en-US"/>
        </w:rPr>
        <w:t>focused on critical market system blockages within</w:t>
      </w:r>
      <w:r w:rsidR="00A43B8F">
        <w:rPr>
          <w:lang w:val="en-US"/>
        </w:rPr>
        <w:t xml:space="preserve"> </w:t>
      </w:r>
      <w:r w:rsidR="005D04B3">
        <w:rPr>
          <w:lang w:val="en-US"/>
        </w:rPr>
        <w:t>Strongim Bisnis</w:t>
      </w:r>
      <w:r w:rsidR="00A43B8F">
        <w:rPr>
          <w:lang w:val="en-US"/>
        </w:rPr>
        <w:t xml:space="preserve"> sectors</w:t>
      </w:r>
      <w:r>
        <w:rPr>
          <w:lang w:val="en-US"/>
        </w:rPr>
        <w:t xml:space="preserve"> </w:t>
      </w:r>
      <w:r w:rsidR="0063741B">
        <w:rPr>
          <w:lang w:val="en-US"/>
        </w:rPr>
        <w:t xml:space="preserve">(Box </w:t>
      </w:r>
      <w:r w:rsidR="00C92F23">
        <w:rPr>
          <w:lang w:val="en-US"/>
        </w:rPr>
        <w:t>1</w:t>
      </w:r>
      <w:r w:rsidR="0063741B">
        <w:rPr>
          <w:lang w:val="en-US"/>
        </w:rPr>
        <w:t>).</w:t>
      </w:r>
      <w:r>
        <w:rPr>
          <w:lang w:val="en-US"/>
        </w:rPr>
        <w:t xml:space="preserve"> </w:t>
      </w:r>
      <w:r w:rsidR="00786A78">
        <w:rPr>
          <w:lang w:val="en-US"/>
        </w:rPr>
        <w:t xml:space="preserve">As noted above, </w:t>
      </w:r>
      <w:r w:rsidR="005D04B3">
        <w:rPr>
          <w:lang w:val="en-US"/>
        </w:rPr>
        <w:t>Strongim Bisnis</w:t>
      </w:r>
      <w:r w:rsidR="002E0832">
        <w:rPr>
          <w:lang w:val="en-US"/>
        </w:rPr>
        <w:t xml:space="preserve"> has also engaged </w:t>
      </w:r>
      <w:r w:rsidR="002A0A94">
        <w:rPr>
          <w:lang w:val="en-US"/>
        </w:rPr>
        <w:t xml:space="preserve">at provincial and local </w:t>
      </w:r>
      <w:r w:rsidR="00B211FE">
        <w:rPr>
          <w:lang w:val="en-US"/>
        </w:rPr>
        <w:t xml:space="preserve">government </w:t>
      </w:r>
      <w:r w:rsidR="002A0A94">
        <w:rPr>
          <w:lang w:val="en-US"/>
        </w:rPr>
        <w:t xml:space="preserve">levels </w:t>
      </w:r>
      <w:r w:rsidR="00355C23">
        <w:rPr>
          <w:lang w:val="en-US"/>
        </w:rPr>
        <w:t>to secure collaboration relevant to specific private sector partnerships.</w:t>
      </w:r>
      <w:r w:rsidR="002A0A94">
        <w:rPr>
          <w:lang w:val="en-US"/>
        </w:rPr>
        <w:t xml:space="preserve"> </w:t>
      </w:r>
    </w:p>
    <w:p w14:paraId="7F7A188F" w14:textId="22C28486" w:rsidR="00F4609B" w:rsidRPr="00DB7C5F" w:rsidRDefault="00F4609B" w:rsidP="00E12F74">
      <w:pPr>
        <w:pBdr>
          <w:top w:val="single" w:sz="4" w:space="1" w:color="auto"/>
          <w:left w:val="single" w:sz="4" w:space="4" w:color="auto"/>
          <w:bottom w:val="single" w:sz="4" w:space="1" w:color="auto"/>
          <w:right w:val="single" w:sz="4" w:space="4" w:color="auto"/>
        </w:pBdr>
        <w:ind w:left="284"/>
        <w:rPr>
          <w:b/>
          <w:i/>
          <w:color w:val="1D336D" w:themeColor="background2"/>
          <w:sz w:val="18"/>
          <w:szCs w:val="18"/>
        </w:rPr>
      </w:pPr>
      <w:r w:rsidRPr="00DB7C5F">
        <w:rPr>
          <w:b/>
          <w:i/>
          <w:color w:val="1D336D" w:themeColor="background2"/>
          <w:sz w:val="18"/>
          <w:szCs w:val="18"/>
        </w:rPr>
        <w:t xml:space="preserve">Box </w:t>
      </w:r>
      <w:r w:rsidR="00C92F23">
        <w:rPr>
          <w:b/>
          <w:i/>
          <w:color w:val="1D336D" w:themeColor="background2"/>
          <w:sz w:val="18"/>
          <w:szCs w:val="18"/>
        </w:rPr>
        <w:t>1</w:t>
      </w:r>
      <w:r w:rsidRPr="00DB7C5F">
        <w:rPr>
          <w:b/>
          <w:i/>
          <w:color w:val="1D336D" w:themeColor="background2"/>
          <w:sz w:val="18"/>
          <w:szCs w:val="18"/>
        </w:rPr>
        <w:t>: Current Strongim Bisnis partnerships with SIG</w:t>
      </w:r>
    </w:p>
    <w:p w14:paraId="769F15C2" w14:textId="1B101135" w:rsidR="00E059F5" w:rsidRPr="00DB7C5F" w:rsidRDefault="006111E1" w:rsidP="00E12F74">
      <w:pPr>
        <w:pBdr>
          <w:top w:val="single" w:sz="4" w:space="1" w:color="auto"/>
          <w:left w:val="single" w:sz="4" w:space="4" w:color="auto"/>
          <w:bottom w:val="single" w:sz="4" w:space="1" w:color="auto"/>
          <w:right w:val="single" w:sz="4" w:space="4" w:color="auto"/>
        </w:pBdr>
        <w:ind w:left="284"/>
        <w:rPr>
          <w:i/>
          <w:color w:val="1D336D" w:themeColor="background2"/>
          <w:sz w:val="18"/>
          <w:szCs w:val="18"/>
        </w:rPr>
      </w:pPr>
      <w:r w:rsidRPr="00DB7C5F">
        <w:rPr>
          <w:b/>
          <w:i/>
          <w:color w:val="1D336D" w:themeColor="background2"/>
          <w:sz w:val="18"/>
          <w:szCs w:val="18"/>
        </w:rPr>
        <w:t>Ministry of Environment, Climate Change, Disaster Management and Meteorology (</w:t>
      </w:r>
      <w:r w:rsidR="00074146" w:rsidRPr="00DB7C5F">
        <w:rPr>
          <w:b/>
          <w:i/>
          <w:color w:val="1D336D" w:themeColor="background2"/>
          <w:sz w:val="18"/>
          <w:szCs w:val="18"/>
        </w:rPr>
        <w:t>MEDCM</w:t>
      </w:r>
      <w:r w:rsidRPr="00DB7C5F">
        <w:rPr>
          <w:b/>
          <w:i/>
          <w:color w:val="1D336D" w:themeColor="background2"/>
          <w:sz w:val="18"/>
          <w:szCs w:val="18"/>
        </w:rPr>
        <w:t>)</w:t>
      </w:r>
      <w:r w:rsidR="00074146" w:rsidRPr="00DB7C5F">
        <w:rPr>
          <w:b/>
          <w:i/>
          <w:color w:val="1D336D" w:themeColor="background2"/>
          <w:sz w:val="18"/>
          <w:szCs w:val="18"/>
        </w:rPr>
        <w:t>:</w:t>
      </w:r>
      <w:r w:rsidR="00074146" w:rsidRPr="00DB7C5F">
        <w:rPr>
          <w:i/>
          <w:color w:val="1D336D" w:themeColor="background2"/>
          <w:sz w:val="18"/>
          <w:szCs w:val="18"/>
        </w:rPr>
        <w:t xml:space="preserve"> </w:t>
      </w:r>
      <w:r w:rsidR="009F2509" w:rsidRPr="00DB7C5F">
        <w:rPr>
          <w:i/>
          <w:color w:val="1D336D" w:themeColor="background2"/>
          <w:sz w:val="18"/>
          <w:szCs w:val="18"/>
        </w:rPr>
        <w:t>Businesses</w:t>
      </w:r>
      <w:r w:rsidR="00914150" w:rsidRPr="00DB7C5F">
        <w:rPr>
          <w:i/>
          <w:color w:val="1D336D" w:themeColor="background2"/>
          <w:sz w:val="18"/>
          <w:szCs w:val="18"/>
        </w:rPr>
        <w:t xml:space="preserve"> in the Waste Management sector are hindered by </w:t>
      </w:r>
      <w:r w:rsidR="00922CF2" w:rsidRPr="00DB7C5F">
        <w:rPr>
          <w:i/>
          <w:color w:val="1D336D" w:themeColor="background2"/>
          <w:sz w:val="18"/>
          <w:szCs w:val="18"/>
        </w:rPr>
        <w:t xml:space="preserve">international restrictions on exports of </w:t>
      </w:r>
      <w:r w:rsidR="00926A2D" w:rsidRPr="00DB7C5F">
        <w:rPr>
          <w:i/>
          <w:color w:val="1D336D" w:themeColor="background2"/>
          <w:sz w:val="18"/>
          <w:szCs w:val="18"/>
        </w:rPr>
        <w:t>recyclable materials</w:t>
      </w:r>
      <w:r w:rsidR="00BA49F8" w:rsidRPr="00DB7C5F">
        <w:rPr>
          <w:i/>
          <w:color w:val="1D336D" w:themeColor="background2"/>
          <w:sz w:val="18"/>
          <w:szCs w:val="18"/>
        </w:rPr>
        <w:t xml:space="preserve"> to destinations outside the Pacific region</w:t>
      </w:r>
      <w:r w:rsidR="00926A2D" w:rsidRPr="00DB7C5F">
        <w:rPr>
          <w:i/>
          <w:color w:val="1D336D" w:themeColor="background2"/>
          <w:sz w:val="18"/>
          <w:szCs w:val="18"/>
        </w:rPr>
        <w:t>.</w:t>
      </w:r>
      <w:r w:rsidR="0065377C" w:rsidRPr="00DB7C5F">
        <w:rPr>
          <w:i/>
          <w:color w:val="1D336D" w:themeColor="background2"/>
          <w:sz w:val="18"/>
          <w:szCs w:val="18"/>
        </w:rPr>
        <w:t xml:space="preserve"> </w:t>
      </w:r>
      <w:r w:rsidR="005D04B3">
        <w:rPr>
          <w:i/>
          <w:color w:val="1D336D" w:themeColor="background2"/>
          <w:sz w:val="18"/>
          <w:szCs w:val="18"/>
        </w:rPr>
        <w:t>Strongim Bisnis</w:t>
      </w:r>
      <w:r w:rsidR="00E51347" w:rsidRPr="00DB7C5F">
        <w:rPr>
          <w:i/>
          <w:color w:val="1D336D" w:themeColor="background2"/>
          <w:sz w:val="18"/>
          <w:szCs w:val="18"/>
        </w:rPr>
        <w:t xml:space="preserve"> partnered with </w:t>
      </w:r>
      <w:r w:rsidR="004D0737" w:rsidRPr="00DB7C5F">
        <w:rPr>
          <w:i/>
          <w:color w:val="1D336D" w:themeColor="background2"/>
          <w:sz w:val="18"/>
          <w:szCs w:val="18"/>
        </w:rPr>
        <w:t>MEDCM</w:t>
      </w:r>
      <w:r w:rsidR="00773BAE" w:rsidRPr="00DB7C5F">
        <w:rPr>
          <w:i/>
          <w:color w:val="1D336D" w:themeColor="background2"/>
          <w:sz w:val="18"/>
          <w:szCs w:val="18"/>
        </w:rPr>
        <w:t xml:space="preserve"> to </w:t>
      </w:r>
      <w:r w:rsidR="00F563C4" w:rsidRPr="00DB7C5F">
        <w:rPr>
          <w:i/>
          <w:color w:val="1D336D" w:themeColor="background2"/>
          <w:sz w:val="18"/>
          <w:szCs w:val="18"/>
        </w:rPr>
        <w:t>help achieve ratification of the Basel Convention</w:t>
      </w:r>
      <w:r w:rsidR="004E2D90" w:rsidRPr="00DB7C5F">
        <w:rPr>
          <w:i/>
          <w:color w:val="1D336D" w:themeColor="background2"/>
          <w:sz w:val="18"/>
          <w:szCs w:val="18"/>
        </w:rPr>
        <w:t xml:space="preserve">, which </w:t>
      </w:r>
      <w:r w:rsidR="001D0110" w:rsidRPr="00DB7C5F">
        <w:rPr>
          <w:i/>
          <w:color w:val="1D336D" w:themeColor="background2"/>
          <w:sz w:val="18"/>
          <w:szCs w:val="18"/>
        </w:rPr>
        <w:t>will</w:t>
      </w:r>
      <w:r w:rsidR="004E2D90" w:rsidRPr="00DB7C5F">
        <w:rPr>
          <w:i/>
          <w:color w:val="1D336D" w:themeColor="background2"/>
          <w:sz w:val="18"/>
          <w:szCs w:val="18"/>
        </w:rPr>
        <w:t xml:space="preserve"> </w:t>
      </w:r>
      <w:r w:rsidR="00537DEB" w:rsidRPr="00DB7C5F">
        <w:rPr>
          <w:i/>
          <w:color w:val="1D336D" w:themeColor="background2"/>
          <w:sz w:val="18"/>
          <w:szCs w:val="18"/>
        </w:rPr>
        <w:t>open up broader export markets o</w:t>
      </w:r>
      <w:r w:rsidR="00053AAD" w:rsidRPr="00DB7C5F">
        <w:rPr>
          <w:i/>
          <w:color w:val="1D336D" w:themeColor="background2"/>
          <w:sz w:val="18"/>
          <w:szCs w:val="18"/>
        </w:rPr>
        <w:t xml:space="preserve">nce </w:t>
      </w:r>
      <w:r w:rsidR="00537DEB" w:rsidRPr="00DB7C5F">
        <w:rPr>
          <w:i/>
          <w:color w:val="1D336D" w:themeColor="background2"/>
          <w:sz w:val="18"/>
          <w:szCs w:val="18"/>
        </w:rPr>
        <w:t>it</w:t>
      </w:r>
      <w:r w:rsidR="00053AAD" w:rsidRPr="00DB7C5F">
        <w:rPr>
          <w:i/>
          <w:color w:val="1D336D" w:themeColor="background2"/>
          <w:sz w:val="18"/>
          <w:szCs w:val="18"/>
        </w:rPr>
        <w:t xml:space="preserve"> enters into effect</w:t>
      </w:r>
      <w:r w:rsidR="00A151F6" w:rsidRPr="00DB7C5F">
        <w:rPr>
          <w:i/>
          <w:color w:val="1D336D" w:themeColor="background2"/>
          <w:sz w:val="18"/>
          <w:szCs w:val="18"/>
        </w:rPr>
        <w:t xml:space="preserve">. </w:t>
      </w:r>
      <w:r w:rsidR="005D04B3">
        <w:rPr>
          <w:i/>
          <w:color w:val="1D336D" w:themeColor="background2"/>
          <w:sz w:val="18"/>
          <w:szCs w:val="18"/>
        </w:rPr>
        <w:t>Strongim Bisnis</w:t>
      </w:r>
      <w:r w:rsidR="003705B4" w:rsidRPr="00DB7C5F">
        <w:rPr>
          <w:i/>
          <w:color w:val="1D336D" w:themeColor="background2"/>
          <w:sz w:val="18"/>
          <w:szCs w:val="18"/>
        </w:rPr>
        <w:t xml:space="preserve"> also </w:t>
      </w:r>
      <w:r w:rsidR="00870313" w:rsidRPr="00DB7C5F">
        <w:rPr>
          <w:i/>
          <w:color w:val="1D336D" w:themeColor="background2"/>
          <w:sz w:val="18"/>
          <w:szCs w:val="18"/>
        </w:rPr>
        <w:t>funded a</w:t>
      </w:r>
      <w:r w:rsidR="005D6081" w:rsidRPr="00DB7C5F">
        <w:rPr>
          <w:i/>
          <w:color w:val="1D336D" w:themeColor="background2"/>
          <w:sz w:val="18"/>
          <w:szCs w:val="18"/>
        </w:rPr>
        <w:t xml:space="preserve"> review of </w:t>
      </w:r>
      <w:r w:rsidR="00870313" w:rsidRPr="00DB7C5F">
        <w:rPr>
          <w:i/>
          <w:color w:val="1D336D" w:themeColor="background2"/>
          <w:sz w:val="18"/>
          <w:szCs w:val="18"/>
        </w:rPr>
        <w:t xml:space="preserve">the </w:t>
      </w:r>
      <w:r w:rsidR="005D6081" w:rsidRPr="00DB7C5F">
        <w:rPr>
          <w:i/>
          <w:color w:val="1D336D" w:themeColor="background2"/>
          <w:sz w:val="18"/>
          <w:szCs w:val="18"/>
        </w:rPr>
        <w:t xml:space="preserve">export tax </w:t>
      </w:r>
      <w:r w:rsidR="00870313" w:rsidRPr="00DB7C5F">
        <w:rPr>
          <w:i/>
          <w:color w:val="1D336D" w:themeColor="background2"/>
          <w:sz w:val="18"/>
          <w:szCs w:val="18"/>
        </w:rPr>
        <w:t>on</w:t>
      </w:r>
      <w:r w:rsidR="005D6081" w:rsidRPr="00DB7C5F">
        <w:rPr>
          <w:i/>
          <w:color w:val="1D336D" w:themeColor="background2"/>
          <w:sz w:val="18"/>
          <w:szCs w:val="18"/>
        </w:rPr>
        <w:t xml:space="preserve"> recyclables</w:t>
      </w:r>
      <w:r w:rsidR="00870313" w:rsidRPr="00DB7C5F">
        <w:rPr>
          <w:i/>
          <w:color w:val="1D336D" w:themeColor="background2"/>
          <w:sz w:val="18"/>
          <w:szCs w:val="18"/>
        </w:rPr>
        <w:t xml:space="preserve"> which currently </w:t>
      </w:r>
      <w:r w:rsidR="00C02305" w:rsidRPr="00DB7C5F">
        <w:rPr>
          <w:i/>
          <w:color w:val="1D336D" w:themeColor="background2"/>
          <w:sz w:val="18"/>
          <w:szCs w:val="18"/>
        </w:rPr>
        <w:t xml:space="preserve">reduces </w:t>
      </w:r>
      <w:r w:rsidR="49C227D3" w:rsidRPr="00DB7C5F">
        <w:rPr>
          <w:i/>
          <w:color w:val="1D336D" w:themeColor="background2"/>
          <w:sz w:val="18"/>
          <w:szCs w:val="18"/>
        </w:rPr>
        <w:t>the financial</w:t>
      </w:r>
      <w:r w:rsidR="00C02305" w:rsidRPr="00DB7C5F">
        <w:rPr>
          <w:i/>
          <w:color w:val="1D336D" w:themeColor="background2"/>
          <w:sz w:val="18"/>
          <w:szCs w:val="18"/>
        </w:rPr>
        <w:t xml:space="preserve"> viability </w:t>
      </w:r>
      <w:r w:rsidR="0069006C" w:rsidRPr="00DB7C5F">
        <w:rPr>
          <w:i/>
          <w:color w:val="1D336D" w:themeColor="background2"/>
          <w:sz w:val="18"/>
          <w:szCs w:val="18"/>
        </w:rPr>
        <w:t xml:space="preserve">of this trade. </w:t>
      </w:r>
      <w:r w:rsidR="00666EBD" w:rsidRPr="00DB7C5F">
        <w:rPr>
          <w:i/>
          <w:color w:val="1D336D" w:themeColor="background2"/>
          <w:sz w:val="18"/>
          <w:szCs w:val="18"/>
        </w:rPr>
        <w:t xml:space="preserve">However, </w:t>
      </w:r>
      <w:r w:rsidR="005D6081" w:rsidRPr="00DB7C5F">
        <w:rPr>
          <w:i/>
          <w:color w:val="1D336D" w:themeColor="background2"/>
          <w:sz w:val="18"/>
          <w:szCs w:val="18"/>
        </w:rPr>
        <w:t xml:space="preserve">any changes to taxation arrangements will require decisions </w:t>
      </w:r>
      <w:r w:rsidR="008A091B" w:rsidRPr="00DB7C5F">
        <w:rPr>
          <w:i/>
          <w:color w:val="1D336D" w:themeColor="background2"/>
          <w:sz w:val="18"/>
          <w:szCs w:val="18"/>
        </w:rPr>
        <w:t>in central SIG agencies</w:t>
      </w:r>
      <w:r w:rsidR="005D6081" w:rsidRPr="00DB7C5F">
        <w:rPr>
          <w:i/>
          <w:color w:val="1D336D" w:themeColor="background2"/>
          <w:sz w:val="18"/>
          <w:szCs w:val="18"/>
        </w:rPr>
        <w:t xml:space="preserve"> </w:t>
      </w:r>
      <w:r w:rsidR="008A091B" w:rsidRPr="00DB7C5F">
        <w:rPr>
          <w:i/>
          <w:color w:val="1D336D" w:themeColor="background2"/>
          <w:sz w:val="18"/>
          <w:szCs w:val="18"/>
        </w:rPr>
        <w:t xml:space="preserve">such as </w:t>
      </w:r>
      <w:r w:rsidR="005D6081" w:rsidRPr="00DB7C5F">
        <w:rPr>
          <w:i/>
          <w:color w:val="1D336D" w:themeColor="background2"/>
          <w:sz w:val="18"/>
          <w:szCs w:val="18"/>
        </w:rPr>
        <w:t>Finance</w:t>
      </w:r>
      <w:r w:rsidR="008A091B" w:rsidRPr="00DB7C5F">
        <w:rPr>
          <w:i/>
          <w:color w:val="1D336D" w:themeColor="background2"/>
          <w:sz w:val="18"/>
          <w:szCs w:val="18"/>
        </w:rPr>
        <w:t xml:space="preserve"> and</w:t>
      </w:r>
      <w:r w:rsidR="005D6081" w:rsidRPr="00DB7C5F">
        <w:rPr>
          <w:i/>
          <w:color w:val="1D336D" w:themeColor="background2"/>
          <w:sz w:val="18"/>
          <w:szCs w:val="18"/>
        </w:rPr>
        <w:t xml:space="preserve"> Trade</w:t>
      </w:r>
      <w:r w:rsidR="008A091B" w:rsidRPr="00DB7C5F">
        <w:rPr>
          <w:i/>
          <w:color w:val="1D336D" w:themeColor="background2"/>
          <w:sz w:val="18"/>
          <w:szCs w:val="18"/>
        </w:rPr>
        <w:t xml:space="preserve">. </w:t>
      </w:r>
      <w:r w:rsidR="00697B87" w:rsidRPr="00DB7C5F">
        <w:rPr>
          <w:i/>
          <w:color w:val="1D336D" w:themeColor="background2"/>
          <w:sz w:val="18"/>
          <w:szCs w:val="18"/>
        </w:rPr>
        <w:t>T</w:t>
      </w:r>
      <w:r w:rsidR="00B50D9F" w:rsidRPr="00DB7C5F">
        <w:rPr>
          <w:i/>
          <w:color w:val="1D336D" w:themeColor="background2"/>
          <w:sz w:val="18"/>
          <w:szCs w:val="18"/>
        </w:rPr>
        <w:t>he</w:t>
      </w:r>
      <w:r w:rsidR="00283407" w:rsidRPr="00DB7C5F">
        <w:rPr>
          <w:i/>
          <w:color w:val="1D336D" w:themeColor="background2"/>
          <w:sz w:val="18"/>
          <w:szCs w:val="18"/>
        </w:rPr>
        <w:t xml:space="preserve"> </w:t>
      </w:r>
      <w:r w:rsidR="00B50D9F" w:rsidRPr="00DB7C5F">
        <w:rPr>
          <w:i/>
          <w:color w:val="1D336D" w:themeColor="background2"/>
          <w:sz w:val="18"/>
          <w:szCs w:val="18"/>
        </w:rPr>
        <w:t xml:space="preserve">Australia-Solomon Islands Partnership for Governance (ASIP-Gov) </w:t>
      </w:r>
      <w:r w:rsidR="002B4A3B" w:rsidRPr="00DB7C5F">
        <w:rPr>
          <w:i/>
          <w:color w:val="1D336D" w:themeColor="background2"/>
          <w:sz w:val="18"/>
          <w:szCs w:val="18"/>
        </w:rPr>
        <w:t xml:space="preserve">or other development partner programs may be </w:t>
      </w:r>
      <w:r w:rsidR="00CF7137" w:rsidRPr="00DB7C5F">
        <w:rPr>
          <w:i/>
          <w:color w:val="1D336D" w:themeColor="background2"/>
          <w:sz w:val="18"/>
          <w:szCs w:val="18"/>
        </w:rPr>
        <w:t>better</w:t>
      </w:r>
      <w:r w:rsidR="002B4A3B" w:rsidRPr="00DB7C5F">
        <w:rPr>
          <w:i/>
          <w:color w:val="1D336D" w:themeColor="background2"/>
          <w:sz w:val="18"/>
          <w:szCs w:val="18"/>
        </w:rPr>
        <w:t xml:space="preserve"> suited </w:t>
      </w:r>
      <w:r w:rsidR="00CF7137" w:rsidRPr="00DB7C5F">
        <w:rPr>
          <w:i/>
          <w:color w:val="1D336D" w:themeColor="background2"/>
          <w:sz w:val="18"/>
          <w:szCs w:val="18"/>
        </w:rPr>
        <w:t xml:space="preserve">than Strongim Bisnis </w:t>
      </w:r>
      <w:r w:rsidR="002B4A3B" w:rsidRPr="00DB7C5F">
        <w:rPr>
          <w:i/>
          <w:color w:val="1D336D" w:themeColor="background2"/>
          <w:sz w:val="18"/>
          <w:szCs w:val="18"/>
        </w:rPr>
        <w:t xml:space="preserve">to </w:t>
      </w:r>
      <w:r w:rsidR="00BE20C2" w:rsidRPr="00DB7C5F">
        <w:rPr>
          <w:i/>
          <w:color w:val="1D336D" w:themeColor="background2"/>
          <w:sz w:val="18"/>
          <w:szCs w:val="18"/>
        </w:rPr>
        <w:t xml:space="preserve">tackle these core governance </w:t>
      </w:r>
      <w:r w:rsidR="005800EA" w:rsidRPr="00DB7C5F">
        <w:rPr>
          <w:i/>
          <w:color w:val="1D336D" w:themeColor="background2"/>
          <w:sz w:val="18"/>
          <w:szCs w:val="18"/>
        </w:rPr>
        <w:t>issues</w:t>
      </w:r>
      <w:r w:rsidR="00E059F5" w:rsidRPr="00DB7C5F">
        <w:rPr>
          <w:i/>
          <w:color w:val="1D336D" w:themeColor="background2"/>
          <w:sz w:val="18"/>
          <w:szCs w:val="18"/>
        </w:rPr>
        <w:t>.</w:t>
      </w:r>
    </w:p>
    <w:p w14:paraId="393015F9" w14:textId="208E3E25" w:rsidR="005D6081" w:rsidRPr="00DB7C5F" w:rsidRDefault="00BF1FA7" w:rsidP="00E12F74">
      <w:pPr>
        <w:pBdr>
          <w:top w:val="single" w:sz="4" w:space="1" w:color="auto"/>
          <w:left w:val="single" w:sz="4" w:space="4" w:color="auto"/>
          <w:bottom w:val="single" w:sz="4" w:space="1" w:color="auto"/>
          <w:right w:val="single" w:sz="4" w:space="4" w:color="auto"/>
        </w:pBdr>
        <w:ind w:left="284"/>
        <w:rPr>
          <w:i/>
          <w:color w:val="1D336D" w:themeColor="background2"/>
          <w:sz w:val="18"/>
          <w:szCs w:val="18"/>
        </w:rPr>
      </w:pPr>
      <w:r w:rsidRPr="00DB7C5F">
        <w:rPr>
          <w:b/>
          <w:i/>
          <w:color w:val="1D336D" w:themeColor="background2"/>
          <w:sz w:val="18"/>
          <w:szCs w:val="18"/>
        </w:rPr>
        <w:t>Ministry of Culture</w:t>
      </w:r>
      <w:r w:rsidR="006111E1" w:rsidRPr="00DB7C5F">
        <w:rPr>
          <w:b/>
          <w:i/>
          <w:color w:val="1D336D" w:themeColor="background2"/>
          <w:sz w:val="18"/>
          <w:szCs w:val="18"/>
        </w:rPr>
        <w:t xml:space="preserve"> and </w:t>
      </w:r>
      <w:r w:rsidR="005D6081" w:rsidRPr="00DB7C5F">
        <w:rPr>
          <w:b/>
          <w:i/>
          <w:color w:val="1D336D" w:themeColor="background2"/>
          <w:sz w:val="18"/>
          <w:szCs w:val="18"/>
        </w:rPr>
        <w:t xml:space="preserve">Tourism </w:t>
      </w:r>
      <w:r w:rsidR="006111E1" w:rsidRPr="00DB7C5F">
        <w:rPr>
          <w:b/>
          <w:i/>
          <w:color w:val="1D336D" w:themeColor="background2"/>
          <w:sz w:val="18"/>
          <w:szCs w:val="18"/>
        </w:rPr>
        <w:t>(MCT)</w:t>
      </w:r>
      <w:r w:rsidRPr="00DB7C5F">
        <w:rPr>
          <w:b/>
          <w:i/>
          <w:color w:val="1D336D" w:themeColor="background2"/>
          <w:sz w:val="18"/>
          <w:szCs w:val="18"/>
        </w:rPr>
        <w:t>:</w:t>
      </w:r>
      <w:r w:rsidR="005D6081" w:rsidRPr="00DB7C5F">
        <w:rPr>
          <w:i/>
          <w:color w:val="1D336D" w:themeColor="background2"/>
          <w:sz w:val="18"/>
          <w:szCs w:val="18"/>
        </w:rPr>
        <w:t xml:space="preserve"> </w:t>
      </w:r>
      <w:r w:rsidR="0089201E" w:rsidRPr="00DB7C5F">
        <w:rPr>
          <w:i/>
          <w:color w:val="1D336D" w:themeColor="background2"/>
          <w:sz w:val="18"/>
          <w:szCs w:val="18"/>
        </w:rPr>
        <w:t>With Strongim Bisnis support, the Ministry was able to achieve Extra Care</w:t>
      </w:r>
      <w:r w:rsidR="005D6081" w:rsidRPr="00DB7C5F">
        <w:rPr>
          <w:i/>
          <w:color w:val="1D336D" w:themeColor="background2"/>
          <w:sz w:val="18"/>
          <w:szCs w:val="18"/>
        </w:rPr>
        <w:t xml:space="preserve"> COVID-safe protocols </w:t>
      </w:r>
      <w:r w:rsidR="005C37B7" w:rsidRPr="00DB7C5F">
        <w:rPr>
          <w:i/>
          <w:color w:val="1D336D" w:themeColor="background2"/>
          <w:sz w:val="18"/>
          <w:szCs w:val="18"/>
        </w:rPr>
        <w:t xml:space="preserve">with all tourism operators. </w:t>
      </w:r>
      <w:r w:rsidR="00E709F1" w:rsidRPr="00DB7C5F">
        <w:rPr>
          <w:i/>
          <w:color w:val="1D336D" w:themeColor="background2"/>
          <w:sz w:val="18"/>
          <w:szCs w:val="18"/>
        </w:rPr>
        <w:t>This was a</w:t>
      </w:r>
      <w:r w:rsidR="005D6081" w:rsidRPr="00DB7C5F">
        <w:rPr>
          <w:i/>
          <w:color w:val="1D336D" w:themeColor="background2"/>
          <w:sz w:val="18"/>
          <w:szCs w:val="18"/>
        </w:rPr>
        <w:t xml:space="preserve"> prerequisite for </w:t>
      </w:r>
      <w:r w:rsidR="00D479FE" w:rsidRPr="00DB7C5F">
        <w:rPr>
          <w:i/>
          <w:color w:val="1D336D" w:themeColor="background2"/>
          <w:sz w:val="18"/>
          <w:szCs w:val="18"/>
        </w:rPr>
        <w:t>the re-</w:t>
      </w:r>
      <w:r w:rsidR="005D6081" w:rsidRPr="00DB7C5F">
        <w:rPr>
          <w:i/>
          <w:color w:val="1D336D" w:themeColor="background2"/>
          <w:sz w:val="18"/>
          <w:szCs w:val="18"/>
        </w:rPr>
        <w:t xml:space="preserve">opening of </w:t>
      </w:r>
      <w:r w:rsidR="00D479FE" w:rsidRPr="00DB7C5F">
        <w:rPr>
          <w:i/>
          <w:color w:val="1D336D" w:themeColor="background2"/>
          <w:sz w:val="18"/>
          <w:szCs w:val="18"/>
        </w:rPr>
        <w:t xml:space="preserve">international </w:t>
      </w:r>
      <w:r w:rsidR="005D6081" w:rsidRPr="00DB7C5F">
        <w:rPr>
          <w:i/>
          <w:color w:val="1D336D" w:themeColor="background2"/>
          <w:sz w:val="18"/>
          <w:szCs w:val="18"/>
        </w:rPr>
        <w:t>borders</w:t>
      </w:r>
      <w:r w:rsidR="009D0C9F" w:rsidRPr="00DB7C5F">
        <w:rPr>
          <w:i/>
          <w:color w:val="1D336D" w:themeColor="background2"/>
          <w:sz w:val="18"/>
          <w:szCs w:val="18"/>
        </w:rPr>
        <w:t xml:space="preserve"> – critical to </w:t>
      </w:r>
      <w:r w:rsidR="00E41599" w:rsidRPr="00DB7C5F">
        <w:rPr>
          <w:i/>
          <w:color w:val="1D336D" w:themeColor="background2"/>
          <w:sz w:val="18"/>
          <w:szCs w:val="18"/>
        </w:rPr>
        <w:t xml:space="preserve">economic </w:t>
      </w:r>
      <w:r w:rsidR="009D0C9F" w:rsidRPr="00DB7C5F">
        <w:rPr>
          <w:i/>
          <w:color w:val="1D336D" w:themeColor="background2"/>
          <w:sz w:val="18"/>
          <w:szCs w:val="18"/>
        </w:rPr>
        <w:t xml:space="preserve">recovery </w:t>
      </w:r>
      <w:r w:rsidR="00E41599" w:rsidRPr="00DB7C5F">
        <w:rPr>
          <w:i/>
          <w:color w:val="1D336D" w:themeColor="background2"/>
          <w:sz w:val="18"/>
          <w:szCs w:val="18"/>
        </w:rPr>
        <w:t>of</w:t>
      </w:r>
      <w:r w:rsidR="009D0C9F" w:rsidRPr="00DB7C5F">
        <w:rPr>
          <w:i/>
          <w:color w:val="1D336D" w:themeColor="background2"/>
          <w:sz w:val="18"/>
          <w:szCs w:val="18"/>
        </w:rPr>
        <w:t xml:space="preserve"> the Tourism sector</w:t>
      </w:r>
      <w:r w:rsidR="005D6081" w:rsidRPr="00DB7C5F">
        <w:rPr>
          <w:i/>
          <w:color w:val="1D336D" w:themeColor="background2"/>
          <w:sz w:val="18"/>
          <w:szCs w:val="18"/>
        </w:rPr>
        <w:t>.</w:t>
      </w:r>
    </w:p>
    <w:p w14:paraId="6CAE80F2" w14:textId="1417688B" w:rsidR="00896F2E" w:rsidRDefault="00896F2E" w:rsidP="00896F2E">
      <w:pPr>
        <w:rPr>
          <w:rFonts w:ascii="Arial" w:hAnsi="Arial" w:cs="Arial"/>
          <w:szCs w:val="20"/>
        </w:rPr>
      </w:pPr>
      <w:r w:rsidRPr="00F37A5A">
        <w:t xml:space="preserve">On the negative side, several </w:t>
      </w:r>
      <w:r w:rsidR="005D04B3" w:rsidRPr="00F37A5A">
        <w:t>Strongim Bisnis</w:t>
      </w:r>
      <w:r w:rsidRPr="00F37A5A">
        <w:t xml:space="preserve"> p</w:t>
      </w:r>
      <w:r w:rsidRPr="00F37A5A">
        <w:rPr>
          <w:rFonts w:ascii="Arial" w:hAnsi="Arial" w:cs="Arial"/>
          <w:szCs w:val="20"/>
        </w:rPr>
        <w:t>artners commented on the lack of government support</w:t>
      </w:r>
      <w:r w:rsidR="002A00FC" w:rsidRPr="00F37A5A">
        <w:rPr>
          <w:rFonts w:ascii="Arial" w:hAnsi="Arial" w:cs="Arial"/>
          <w:szCs w:val="20"/>
        </w:rPr>
        <w:t xml:space="preserve"> – such as a lack of policy focus on waste management and recycling; and limited agricultural extension and training services.</w:t>
      </w:r>
      <w:r w:rsidR="00082060" w:rsidRPr="00F37A5A">
        <w:rPr>
          <w:rFonts w:ascii="Arial" w:hAnsi="Arial" w:cs="Arial"/>
          <w:szCs w:val="20"/>
        </w:rPr>
        <w:t xml:space="preserve"> </w:t>
      </w:r>
      <w:r w:rsidR="00311701" w:rsidRPr="00F37A5A">
        <w:rPr>
          <w:rFonts w:ascii="Arial" w:hAnsi="Arial" w:cs="Arial"/>
          <w:szCs w:val="20"/>
        </w:rPr>
        <w:t xml:space="preserve">Delays in ratifying the United Nations </w:t>
      </w:r>
      <w:r w:rsidR="00993008" w:rsidRPr="00F37A5A">
        <w:rPr>
          <w:rFonts w:ascii="Arial" w:hAnsi="Arial" w:cs="Arial"/>
          <w:szCs w:val="20"/>
        </w:rPr>
        <w:t>C</w:t>
      </w:r>
      <w:r w:rsidR="00311701" w:rsidRPr="00F37A5A">
        <w:rPr>
          <w:rFonts w:ascii="Arial" w:hAnsi="Arial" w:cs="Arial"/>
          <w:szCs w:val="20"/>
        </w:rPr>
        <w:t xml:space="preserve">onvention on </w:t>
      </w:r>
      <w:r w:rsidR="00993008" w:rsidRPr="00F37A5A">
        <w:rPr>
          <w:rFonts w:ascii="Arial" w:hAnsi="Arial" w:cs="Arial"/>
          <w:szCs w:val="20"/>
        </w:rPr>
        <w:t xml:space="preserve">the Rights of </w:t>
      </w:r>
      <w:r w:rsidR="00311701" w:rsidRPr="00F37A5A">
        <w:rPr>
          <w:rFonts w:ascii="Arial" w:hAnsi="Arial" w:cs="Arial"/>
          <w:szCs w:val="20"/>
        </w:rPr>
        <w:t>Persons with Disabilit</w:t>
      </w:r>
      <w:r w:rsidR="00993008" w:rsidRPr="00F37A5A">
        <w:rPr>
          <w:rFonts w:ascii="Arial" w:hAnsi="Arial" w:cs="Arial"/>
          <w:szCs w:val="20"/>
        </w:rPr>
        <w:t>ies</w:t>
      </w:r>
      <w:r w:rsidR="00311701" w:rsidRPr="00F37A5A">
        <w:rPr>
          <w:rFonts w:ascii="Arial" w:hAnsi="Arial" w:cs="Arial"/>
          <w:szCs w:val="20"/>
        </w:rPr>
        <w:t xml:space="preserve"> </w:t>
      </w:r>
      <w:r w:rsidR="00D0569C" w:rsidRPr="00F37A5A">
        <w:rPr>
          <w:rFonts w:ascii="Arial" w:hAnsi="Arial" w:cs="Arial"/>
          <w:szCs w:val="20"/>
        </w:rPr>
        <w:t xml:space="preserve">may </w:t>
      </w:r>
      <w:r w:rsidR="00A41D9E" w:rsidRPr="00F37A5A">
        <w:rPr>
          <w:rFonts w:ascii="Arial" w:hAnsi="Arial" w:cs="Arial"/>
          <w:szCs w:val="20"/>
        </w:rPr>
        <w:t>be symptomatic</w:t>
      </w:r>
      <w:r w:rsidR="00DB1E30" w:rsidRPr="00F37A5A">
        <w:rPr>
          <w:rFonts w:ascii="Arial" w:hAnsi="Arial" w:cs="Arial"/>
          <w:szCs w:val="20"/>
        </w:rPr>
        <w:t xml:space="preserve"> of </w:t>
      </w:r>
      <w:r w:rsidR="00A41D9E" w:rsidRPr="00F37A5A">
        <w:rPr>
          <w:rFonts w:ascii="Arial" w:hAnsi="Arial" w:cs="Arial"/>
          <w:szCs w:val="20"/>
        </w:rPr>
        <w:t xml:space="preserve">low </w:t>
      </w:r>
      <w:r w:rsidR="00AC2AF3" w:rsidRPr="00F37A5A">
        <w:rPr>
          <w:rFonts w:ascii="Arial" w:hAnsi="Arial" w:cs="Arial"/>
          <w:szCs w:val="20"/>
        </w:rPr>
        <w:t xml:space="preserve">policy </w:t>
      </w:r>
      <w:r w:rsidR="00A43502" w:rsidRPr="00F37A5A">
        <w:rPr>
          <w:rFonts w:ascii="Arial" w:hAnsi="Arial" w:cs="Arial"/>
          <w:szCs w:val="20"/>
        </w:rPr>
        <w:t xml:space="preserve">and operational </w:t>
      </w:r>
      <w:r w:rsidR="00A41D9E" w:rsidRPr="00F37A5A">
        <w:rPr>
          <w:rFonts w:ascii="Arial" w:hAnsi="Arial" w:cs="Arial"/>
          <w:szCs w:val="20"/>
        </w:rPr>
        <w:t xml:space="preserve">priority </w:t>
      </w:r>
      <w:r w:rsidR="00297AB5" w:rsidRPr="00F37A5A">
        <w:rPr>
          <w:rFonts w:ascii="Arial" w:hAnsi="Arial" w:cs="Arial"/>
          <w:szCs w:val="20"/>
        </w:rPr>
        <w:t>accorded to these issues</w:t>
      </w:r>
      <w:r w:rsidR="00A41D9E" w:rsidRPr="00F37A5A">
        <w:rPr>
          <w:rFonts w:ascii="Arial" w:hAnsi="Arial" w:cs="Arial"/>
          <w:szCs w:val="20"/>
        </w:rPr>
        <w:t>.</w:t>
      </w:r>
    </w:p>
    <w:p w14:paraId="2EDA6719" w14:textId="3879A0D4" w:rsidR="00AA18B8" w:rsidRPr="00555E9F" w:rsidRDefault="00555E9F" w:rsidP="00E30A6E">
      <w:pPr>
        <w:pBdr>
          <w:top w:val="single" w:sz="4" w:space="1" w:color="auto"/>
          <w:left w:val="single" w:sz="4" w:space="4" w:color="auto"/>
          <w:bottom w:val="single" w:sz="4" w:space="1" w:color="auto"/>
          <w:right w:val="single" w:sz="4" w:space="4" w:color="auto"/>
        </w:pBdr>
        <w:shd w:val="clear" w:color="auto" w:fill="C4CFEF" w:themeFill="background2" w:themeFillTint="33"/>
        <w:autoSpaceDE w:val="0"/>
        <w:autoSpaceDN w:val="0"/>
        <w:adjustRightInd w:val="0"/>
        <w:spacing w:after="0" w:line="240" w:lineRule="auto"/>
      </w:pPr>
      <w:r w:rsidRPr="00555E9F">
        <w:rPr>
          <w:b/>
          <w:bCs/>
        </w:rPr>
        <w:t>EOPO3</w:t>
      </w:r>
      <w:r w:rsidRPr="00555E9F">
        <w:t>. Women, youth and people living with disabilities have improved economic empowerment,</w:t>
      </w:r>
      <w:r>
        <w:t xml:space="preserve"> </w:t>
      </w:r>
      <w:r w:rsidRPr="00555E9F">
        <w:t>measured by their participation in EOPOs 1 and 2 above, and demonstrated success of specific</w:t>
      </w:r>
      <w:r>
        <w:t xml:space="preserve"> </w:t>
      </w:r>
      <w:r w:rsidRPr="00555E9F">
        <w:t>social inclusion measures.</w:t>
      </w:r>
    </w:p>
    <w:p w14:paraId="76BC3665" w14:textId="5AA3D40B" w:rsidR="00954C57" w:rsidRDefault="00911EB5" w:rsidP="006F7FC1">
      <w:pPr>
        <w:pStyle w:val="Heading3"/>
      </w:pPr>
      <w:r>
        <w:t>EOPO3</w:t>
      </w:r>
      <w:r w:rsidR="0079116F">
        <w:t xml:space="preserve">: MRM data </w:t>
      </w:r>
    </w:p>
    <w:p w14:paraId="0B9FB435" w14:textId="2B5C00C6" w:rsidR="00E80213" w:rsidRDefault="00734AEF" w:rsidP="006D3BB3">
      <w:r>
        <w:t>F</w:t>
      </w:r>
      <w:r w:rsidR="00E80213">
        <w:t xml:space="preserve">indings </w:t>
      </w:r>
      <w:r w:rsidR="00337522">
        <w:t xml:space="preserve">on EOPO3 </w:t>
      </w:r>
      <w:r w:rsidR="002765BC">
        <w:t>drawn</w:t>
      </w:r>
      <w:r w:rsidR="00E80213">
        <w:t xml:space="preserve"> </w:t>
      </w:r>
      <w:r w:rsidR="006D4B89">
        <w:t>from</w:t>
      </w:r>
      <w:r w:rsidR="00E80213">
        <w:t xml:space="preserve"> </w:t>
      </w:r>
      <w:r>
        <w:t>Strongim Bisnis</w:t>
      </w:r>
      <w:r w:rsidR="002765BC">
        <w:t>’</w:t>
      </w:r>
      <w:r w:rsidR="00E80213">
        <w:t xml:space="preserve"> MRM data</w:t>
      </w:r>
      <w:r w:rsidRPr="00734AEF">
        <w:t xml:space="preserve"> </w:t>
      </w:r>
      <w:r>
        <w:t>are outlined in this section and</w:t>
      </w:r>
      <w:r w:rsidR="006D4B89">
        <w:t xml:space="preserve"> summarised in Table 5</w:t>
      </w:r>
      <w:r w:rsidR="002E1EA2">
        <w:t xml:space="preserve"> (and in more detail in Annex 5)</w:t>
      </w:r>
      <w:r w:rsidR="00E80213">
        <w:t xml:space="preserve">. Further analysis of progress towards </w:t>
      </w:r>
      <w:r w:rsidR="00415CFA">
        <w:t>gender equality, disability and social inclusion (</w:t>
      </w:r>
      <w:r w:rsidR="0044782C">
        <w:t>GEDSI</w:t>
      </w:r>
      <w:r w:rsidR="00415CFA">
        <w:t>)</w:t>
      </w:r>
      <w:r w:rsidR="0044782C">
        <w:t xml:space="preserve"> outcomes</w:t>
      </w:r>
      <w:r w:rsidR="00E80213">
        <w:t>, drawing on stakeholder feedback, is provided under KEQ2</w:t>
      </w:r>
      <w:r w:rsidR="000E1846">
        <w:t xml:space="preserve"> below</w:t>
      </w:r>
      <w:r w:rsidR="00E80213">
        <w:t xml:space="preserve">.   </w:t>
      </w:r>
    </w:p>
    <w:p w14:paraId="77B39A2F" w14:textId="4AC6700A" w:rsidR="00B20A07" w:rsidRDefault="00B20A07" w:rsidP="005A305C">
      <w:r>
        <w:t xml:space="preserve">The standalone </w:t>
      </w:r>
      <w:r w:rsidRPr="00DE39F7">
        <w:rPr>
          <w:b/>
          <w:bCs/>
        </w:rPr>
        <w:t>women’s economic empowerment and social inclusion (WEE</w:t>
      </w:r>
      <w:r>
        <w:rPr>
          <w:b/>
          <w:bCs/>
        </w:rPr>
        <w:t>/</w:t>
      </w:r>
      <w:r w:rsidRPr="00DE39F7">
        <w:rPr>
          <w:b/>
          <w:bCs/>
        </w:rPr>
        <w:t>SI)</w:t>
      </w:r>
      <w:r>
        <w:t xml:space="preserve"> portfolio was added to Strongim Bisnis for Phase 2, and a notable achievement since then has been the </w:t>
      </w:r>
      <w:r w:rsidRPr="00B20A07">
        <w:rPr>
          <w:b/>
          <w:bCs/>
        </w:rPr>
        <w:t xml:space="preserve">establishment of </w:t>
      </w:r>
      <w:r w:rsidR="003A4F59">
        <w:rPr>
          <w:b/>
          <w:bCs/>
        </w:rPr>
        <w:t>eleven</w:t>
      </w:r>
      <w:r w:rsidRPr="00B20A07">
        <w:rPr>
          <w:b/>
          <w:bCs/>
        </w:rPr>
        <w:t xml:space="preserve"> WEE/SI partnerships</w:t>
      </w:r>
      <w:r>
        <w:t>.</w:t>
      </w:r>
    </w:p>
    <w:p w14:paraId="45D1B2C3" w14:textId="4EC54E7B" w:rsidR="005A305C" w:rsidRPr="00C735E7" w:rsidRDefault="005A305C" w:rsidP="005A305C">
      <w:r>
        <w:t xml:space="preserve">Monitoring results show that </w:t>
      </w:r>
      <w:r w:rsidRPr="00DE39F7">
        <w:rPr>
          <w:b/>
          <w:bCs/>
        </w:rPr>
        <w:t xml:space="preserve">the program’s twin-track </w:t>
      </w:r>
      <w:r w:rsidR="00AB33F7">
        <w:rPr>
          <w:b/>
          <w:bCs/>
        </w:rPr>
        <w:t xml:space="preserve">GEDSI </w:t>
      </w:r>
      <w:r w:rsidRPr="00DE39F7">
        <w:rPr>
          <w:b/>
          <w:bCs/>
        </w:rPr>
        <w:t xml:space="preserve">approach </w:t>
      </w:r>
      <w:r w:rsidR="00DE39F7">
        <w:rPr>
          <w:b/>
          <w:bCs/>
        </w:rPr>
        <w:t>has been</w:t>
      </w:r>
      <w:r w:rsidRPr="00DE39F7">
        <w:rPr>
          <w:b/>
          <w:bCs/>
        </w:rPr>
        <w:t xml:space="preserve"> effective</w:t>
      </w:r>
      <w:r w:rsidR="009E781B">
        <w:rPr>
          <w:b/>
          <w:bCs/>
        </w:rPr>
        <w:t xml:space="preserve"> in achieving EOPO3</w:t>
      </w:r>
      <w:r w:rsidR="000541C5">
        <w:t>, particularly</w:t>
      </w:r>
      <w:r w:rsidRPr="00C735E7">
        <w:t xml:space="preserve"> for women and youth. </w:t>
      </w:r>
      <w:r w:rsidR="00CC63FA">
        <w:t xml:space="preserve">As shown in Table 5, </w:t>
      </w:r>
      <w:r w:rsidR="00E64627">
        <w:t xml:space="preserve">results achieved against most indicators (for all EOPOs) derived from a combination of targeted WEE/SI interventions and interventions under other sectors. </w:t>
      </w:r>
      <w:r w:rsidR="002F1044">
        <w:t>The twin tracks are mutually reinforcing</w:t>
      </w:r>
      <w:r w:rsidR="00003C65">
        <w:t>;</w:t>
      </w:r>
      <w:r w:rsidR="002F1044">
        <w:t xml:space="preserve"> r</w:t>
      </w:r>
      <w:r w:rsidR="00E64627">
        <w:t>emoving either would significantly reduce the program’s GEDSI impact.</w:t>
      </w:r>
      <w:r w:rsidRPr="00C735E7">
        <w:t xml:space="preserve"> </w:t>
      </w:r>
    </w:p>
    <w:p w14:paraId="64B689DE" w14:textId="35E643E9" w:rsidR="002C4607" w:rsidRDefault="00720CBE" w:rsidP="006D3BB3">
      <w:r>
        <w:t xml:space="preserve">Annual targets are set for </w:t>
      </w:r>
      <w:r w:rsidR="004F7EAA">
        <w:t>three</w:t>
      </w:r>
      <w:r w:rsidR="004B163C">
        <w:t xml:space="preserve"> indicators </w:t>
      </w:r>
      <w:r w:rsidR="007A0B35">
        <w:t xml:space="preserve">specific to </w:t>
      </w:r>
      <w:r>
        <w:t>EOPO3</w:t>
      </w:r>
      <w:r w:rsidR="007A0B35">
        <w:t xml:space="preserve"> </w:t>
      </w:r>
      <w:r>
        <w:t xml:space="preserve">(as well as </w:t>
      </w:r>
      <w:r w:rsidR="004F7EAA">
        <w:t xml:space="preserve">one common to EOPO1 and </w:t>
      </w:r>
      <w:r w:rsidR="00D80EA1">
        <w:t>four</w:t>
      </w:r>
      <w:r>
        <w:t xml:space="preserve"> </w:t>
      </w:r>
      <w:r w:rsidR="004F7EAA">
        <w:t>common to all three EOPOs,</w:t>
      </w:r>
      <w:r w:rsidR="00C74C16">
        <w:t xml:space="preserve"> already</w:t>
      </w:r>
      <w:r>
        <w:t xml:space="preserve"> discussed above). </w:t>
      </w:r>
      <w:r w:rsidR="00EB0949">
        <w:t xml:space="preserve">Of the four target indicators shown in Table 5, </w:t>
      </w:r>
      <w:r w:rsidR="00277562">
        <w:t>the target for capacity-building support was</w:t>
      </w:r>
      <w:r w:rsidR="00EB0949">
        <w:t xml:space="preserve"> </w:t>
      </w:r>
      <w:r w:rsidR="004B163C">
        <w:t>exceed</w:t>
      </w:r>
      <w:r w:rsidR="008B4499">
        <w:t xml:space="preserve">ed </w:t>
      </w:r>
      <w:r w:rsidR="00277562">
        <w:t xml:space="preserve">in both 2021 and 2022, </w:t>
      </w:r>
      <w:r w:rsidR="00DD738C">
        <w:t>and the ‘access to higher economic opportunities’ target rebounded strongly in 2022 after falling well short in 2021</w:t>
      </w:r>
      <w:r w:rsidR="003B55FD">
        <w:t xml:space="preserve">. </w:t>
      </w:r>
      <w:r w:rsidR="00822410">
        <w:t xml:space="preserve">As with EOPO1 results, this is likely related to the signing </w:t>
      </w:r>
      <w:r w:rsidR="00BC045D">
        <w:t xml:space="preserve">in 2021 </w:t>
      </w:r>
      <w:r w:rsidR="00822410">
        <w:t xml:space="preserve">of several new partnerships </w:t>
      </w:r>
      <w:r w:rsidR="00BC045D">
        <w:t xml:space="preserve">across multiple sectors that </w:t>
      </w:r>
      <w:r w:rsidR="003F335F">
        <w:t>featur</w:t>
      </w:r>
      <w:r w:rsidR="00BC045D">
        <w:t>e</w:t>
      </w:r>
      <w:r w:rsidR="003F335F">
        <w:t xml:space="preserve"> </w:t>
      </w:r>
      <w:r w:rsidR="00822410">
        <w:t xml:space="preserve">strong GEDSI </w:t>
      </w:r>
      <w:r w:rsidR="003F335F">
        <w:t>elements</w:t>
      </w:r>
      <w:r w:rsidR="00822410">
        <w:t>.</w:t>
      </w:r>
    </w:p>
    <w:p w14:paraId="27DD5992" w14:textId="77777777" w:rsidR="004666E9" w:rsidRDefault="00800835" w:rsidP="0038396F">
      <w:r w:rsidRPr="00F63708">
        <w:rPr>
          <w:b/>
          <w:bCs/>
        </w:rPr>
        <w:t>J</w:t>
      </w:r>
      <w:r w:rsidR="0048288E" w:rsidRPr="00F63708">
        <w:rPr>
          <w:b/>
          <w:bCs/>
        </w:rPr>
        <w:t>ob creation</w:t>
      </w:r>
      <w:r w:rsidR="0048288E" w:rsidRPr="0048288E">
        <w:t xml:space="preserve"> </w:t>
      </w:r>
      <w:r>
        <w:t>is an important</w:t>
      </w:r>
      <w:r w:rsidR="0048288E" w:rsidRPr="0048288E">
        <w:t xml:space="preserve"> vehicle through which the program seeks to achieve </w:t>
      </w:r>
      <w:r>
        <w:t>its ultimate goal of increased net income for households (poverty reduction)</w:t>
      </w:r>
      <w:r w:rsidR="0048288E" w:rsidRPr="0048288E">
        <w:t xml:space="preserve">. </w:t>
      </w:r>
      <w:r w:rsidR="0048288E" w:rsidRPr="00C735E7">
        <w:t xml:space="preserve">During Phase </w:t>
      </w:r>
      <w:r w:rsidR="008731FE" w:rsidRPr="00C735E7">
        <w:t>2</w:t>
      </w:r>
      <w:r w:rsidR="0048288E" w:rsidRPr="00C735E7">
        <w:t xml:space="preserve">, a total of 117 new full-time equivalent (FTE) jobs were created or maintained, the majority of which benefited women </w:t>
      </w:r>
      <w:r w:rsidR="00114D14">
        <w:t xml:space="preserve">(48) </w:t>
      </w:r>
      <w:r w:rsidR="0048288E" w:rsidRPr="00C735E7">
        <w:t>and youth</w:t>
      </w:r>
      <w:r w:rsidR="00114D14">
        <w:t xml:space="preserve"> (75)</w:t>
      </w:r>
      <w:r w:rsidR="0048288E" w:rsidRPr="00C735E7">
        <w:t xml:space="preserve">. </w:t>
      </w:r>
      <w:r w:rsidR="00114D14">
        <w:t xml:space="preserve">The result for youth represents a </w:t>
      </w:r>
      <w:r w:rsidR="0048288E" w:rsidRPr="00C735E7">
        <w:t>significant improvement</w:t>
      </w:r>
      <w:r w:rsidR="00114D14">
        <w:t xml:space="preserve"> over Phase 1, when just </w:t>
      </w:r>
      <w:r w:rsidR="0048288E" w:rsidRPr="00C735E7">
        <w:t xml:space="preserve">3 </w:t>
      </w:r>
      <w:r w:rsidR="00114D14">
        <w:t xml:space="preserve">new youth </w:t>
      </w:r>
      <w:r w:rsidR="0048288E" w:rsidRPr="00C735E7">
        <w:t xml:space="preserve">jobs </w:t>
      </w:r>
      <w:r w:rsidR="00114D14">
        <w:t xml:space="preserve">were recorded. </w:t>
      </w:r>
      <w:r w:rsidR="00222B27">
        <w:t>J</w:t>
      </w:r>
      <w:r w:rsidR="0048288E" w:rsidRPr="00C735E7">
        <w:t>ob</w:t>
      </w:r>
      <w:r w:rsidR="00222B27">
        <w:t xml:space="preserve"> creation</w:t>
      </w:r>
      <w:r w:rsidR="0048288E" w:rsidRPr="00C735E7">
        <w:t xml:space="preserve"> for women across </w:t>
      </w:r>
      <w:r w:rsidR="00CA3FF1">
        <w:t>the two program phases</w:t>
      </w:r>
      <w:r w:rsidR="00222B27" w:rsidRPr="00222B27">
        <w:t xml:space="preserve"> </w:t>
      </w:r>
      <w:r w:rsidR="00222B27">
        <w:t xml:space="preserve">has been consistent: </w:t>
      </w:r>
      <w:r w:rsidR="0048288E" w:rsidRPr="00C735E7">
        <w:t xml:space="preserve">49 in Phase </w:t>
      </w:r>
      <w:r w:rsidR="00CA3FF1">
        <w:t>1</w:t>
      </w:r>
      <w:r w:rsidR="0048288E" w:rsidRPr="00C735E7">
        <w:t xml:space="preserve"> and 48 in Phase </w:t>
      </w:r>
      <w:r w:rsidR="008731FE" w:rsidRPr="00C735E7">
        <w:t>2</w:t>
      </w:r>
      <w:r w:rsidR="0048288E" w:rsidRPr="00C735E7">
        <w:t xml:space="preserve">. </w:t>
      </w:r>
    </w:p>
    <w:p w14:paraId="47A2C8AE" w14:textId="50E3C551" w:rsidR="006D3BB3" w:rsidRPr="00B33EAD" w:rsidRDefault="006D3BB3" w:rsidP="00B33EAD">
      <w:pPr>
        <w:pStyle w:val="Caption"/>
        <w:keepNext/>
        <w:rPr>
          <w:sz w:val="20"/>
          <w:szCs w:val="20"/>
        </w:rPr>
      </w:pPr>
      <w:r w:rsidRPr="00B33EAD">
        <w:rPr>
          <w:sz w:val="20"/>
          <w:szCs w:val="20"/>
        </w:rPr>
        <w:t xml:space="preserve">Table </w:t>
      </w:r>
      <w:r w:rsidR="00B33EAD" w:rsidRPr="00B33EAD">
        <w:rPr>
          <w:sz w:val="20"/>
          <w:szCs w:val="20"/>
        </w:rPr>
        <w:t>5</w:t>
      </w:r>
      <w:r w:rsidRPr="00B33EAD">
        <w:rPr>
          <w:sz w:val="20"/>
          <w:szCs w:val="20"/>
        </w:rPr>
        <w:t>: EOPO3</w:t>
      </w:r>
      <w:r w:rsidR="00E37ABA">
        <w:rPr>
          <w:sz w:val="20"/>
          <w:szCs w:val="20"/>
        </w:rPr>
        <w:t xml:space="preserve">: </w:t>
      </w:r>
      <w:r w:rsidRPr="00B33EAD">
        <w:rPr>
          <w:sz w:val="20"/>
          <w:szCs w:val="20"/>
        </w:rPr>
        <w:t xml:space="preserve"> Phase 2 Results</w:t>
      </w:r>
      <w:r w:rsidR="00E37ABA" w:rsidRPr="00E37ABA">
        <w:rPr>
          <w:sz w:val="20"/>
          <w:szCs w:val="20"/>
        </w:rPr>
        <w:t xml:space="preserve"> </w:t>
      </w:r>
      <w:r w:rsidR="00D5414B">
        <w:rPr>
          <w:sz w:val="20"/>
          <w:szCs w:val="20"/>
        </w:rPr>
        <w:t xml:space="preserve">Against </w:t>
      </w:r>
      <w:r w:rsidR="00E37ABA" w:rsidRPr="00B33EAD">
        <w:rPr>
          <w:sz w:val="20"/>
          <w:szCs w:val="20"/>
        </w:rPr>
        <w:t>Indicators</w:t>
      </w:r>
      <w:r w:rsidR="00C23D24">
        <w:rPr>
          <w:rStyle w:val="FootnoteReference"/>
          <w:sz w:val="20"/>
          <w:szCs w:val="20"/>
        </w:rPr>
        <w:footnoteReference w:id="11"/>
      </w:r>
      <w:r w:rsidR="00E37ABA" w:rsidRPr="00B33EAD">
        <w:rPr>
          <w:sz w:val="20"/>
          <w:szCs w:val="20"/>
        </w:rPr>
        <w:t xml:space="preserve"> </w:t>
      </w:r>
    </w:p>
    <w:tbl>
      <w:tblPr>
        <w:tblW w:w="5003" w:type="pct"/>
        <w:tblCellMar>
          <w:left w:w="28" w:type="dxa"/>
          <w:right w:w="28" w:type="dxa"/>
        </w:tblCellMar>
        <w:tblLook w:val="04A0" w:firstRow="1" w:lastRow="0" w:firstColumn="1" w:lastColumn="0" w:noHBand="0" w:noVBand="1"/>
      </w:tblPr>
      <w:tblGrid>
        <w:gridCol w:w="382"/>
        <w:gridCol w:w="69"/>
        <w:gridCol w:w="451"/>
        <w:gridCol w:w="5031"/>
        <w:gridCol w:w="902"/>
        <w:gridCol w:w="1121"/>
        <w:gridCol w:w="832"/>
        <w:gridCol w:w="846"/>
      </w:tblGrid>
      <w:tr w:rsidR="001A2B44" w:rsidRPr="00FD08CE" w14:paraId="1889F289" w14:textId="77777777" w:rsidTr="00CD63CE">
        <w:trPr>
          <w:trHeight w:val="518"/>
          <w:tblHeader/>
        </w:trPr>
        <w:tc>
          <w:tcPr>
            <w:tcW w:w="234" w:type="pct"/>
            <w:gridSpan w:val="2"/>
            <w:vMerge w:val="restart"/>
            <w:tcBorders>
              <w:top w:val="single" w:sz="4" w:space="0" w:color="auto"/>
              <w:left w:val="single" w:sz="4" w:space="0" w:color="auto"/>
              <w:bottom w:val="single" w:sz="4" w:space="0" w:color="auto"/>
              <w:right w:val="single" w:sz="4" w:space="0" w:color="auto"/>
            </w:tcBorders>
            <w:shd w:val="clear" w:color="auto" w:fill="1D336D" w:themeFill="background2"/>
            <w:textDirection w:val="btLr"/>
            <w:vAlign w:val="center"/>
          </w:tcPr>
          <w:p w14:paraId="4AF99174" w14:textId="135BA7D3" w:rsidR="001A2B44" w:rsidRPr="00FD08CE" w:rsidRDefault="001A2B44" w:rsidP="00B463C2">
            <w:pPr>
              <w:spacing w:after="0" w:line="240" w:lineRule="auto"/>
              <w:ind w:left="113" w:right="113"/>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 xml:space="preserve">Common indicator </w:t>
            </w:r>
            <w:r w:rsidRPr="00FD08CE">
              <w:rPr>
                <w:rFonts w:eastAsia="Times New Roman" w:cstheme="minorHAnsi"/>
                <w:b/>
                <w:bCs/>
                <w:color w:val="FFFFFF" w:themeColor="background1"/>
                <w:sz w:val="18"/>
                <w:szCs w:val="18"/>
              </w:rPr>
              <w:t>#</w:t>
            </w:r>
          </w:p>
        </w:tc>
        <w:tc>
          <w:tcPr>
            <w:tcW w:w="234" w:type="pct"/>
            <w:vMerge w:val="restart"/>
            <w:tcBorders>
              <w:top w:val="single" w:sz="4" w:space="0" w:color="auto"/>
              <w:left w:val="single" w:sz="4" w:space="0" w:color="auto"/>
              <w:right w:val="single" w:sz="4" w:space="0" w:color="auto"/>
            </w:tcBorders>
            <w:shd w:val="clear" w:color="auto" w:fill="1D336D" w:themeFill="background2"/>
            <w:textDirection w:val="btLr"/>
          </w:tcPr>
          <w:p w14:paraId="2B721BE5" w14:textId="3F657325" w:rsidR="001A2B44" w:rsidRPr="00FD08CE" w:rsidRDefault="001A2B44" w:rsidP="00B463C2">
            <w:pPr>
              <w:spacing w:after="0" w:line="240" w:lineRule="auto"/>
              <w:ind w:left="113" w:right="113"/>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Target indicator</w:t>
            </w:r>
            <w:r w:rsidRPr="00FD08CE">
              <w:rPr>
                <w:rFonts w:eastAsia="Times New Roman" w:cstheme="minorHAnsi"/>
                <w:b/>
                <w:bCs/>
                <w:color w:val="FFFFFF" w:themeColor="background1"/>
                <w:sz w:val="18"/>
                <w:szCs w:val="18"/>
              </w:rPr>
              <w:t xml:space="preserve"> #</w:t>
            </w:r>
          </w:p>
        </w:tc>
        <w:tc>
          <w:tcPr>
            <w:tcW w:w="2611" w:type="pct"/>
            <w:vMerge w:val="restart"/>
            <w:tcBorders>
              <w:top w:val="single" w:sz="4" w:space="0" w:color="auto"/>
              <w:left w:val="single" w:sz="4" w:space="0" w:color="auto"/>
              <w:bottom w:val="single" w:sz="4" w:space="0" w:color="auto"/>
              <w:right w:val="single" w:sz="4" w:space="0" w:color="auto"/>
            </w:tcBorders>
            <w:shd w:val="clear" w:color="auto" w:fill="1D336D" w:themeFill="background2"/>
            <w:noWrap/>
            <w:vAlign w:val="center"/>
            <w:hideMark/>
          </w:tcPr>
          <w:p w14:paraId="634DEB9A" w14:textId="141C26E5" w:rsidR="001A2B44" w:rsidRPr="00FD08CE" w:rsidRDefault="001A2B44" w:rsidP="00B463C2">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I</w:t>
            </w:r>
            <w:r w:rsidRPr="00FD08CE">
              <w:rPr>
                <w:rFonts w:eastAsia="Times New Roman" w:cstheme="minorHAnsi"/>
                <w:b/>
                <w:bCs/>
                <w:color w:val="FFFFFF" w:themeColor="background1"/>
                <w:sz w:val="18"/>
                <w:szCs w:val="18"/>
              </w:rPr>
              <w:t>ndicators</w:t>
            </w:r>
          </w:p>
        </w:tc>
        <w:tc>
          <w:tcPr>
            <w:tcW w:w="1050" w:type="pct"/>
            <w:gridSpan w:val="2"/>
            <w:tcBorders>
              <w:top w:val="single" w:sz="4" w:space="0" w:color="auto"/>
              <w:left w:val="single" w:sz="4" w:space="0" w:color="auto"/>
              <w:right w:val="single" w:sz="4" w:space="0" w:color="auto"/>
            </w:tcBorders>
            <w:shd w:val="clear" w:color="auto" w:fill="1D336D" w:themeFill="background2"/>
            <w:hideMark/>
          </w:tcPr>
          <w:p w14:paraId="773A2E69" w14:textId="713E5ED3" w:rsidR="001A2B44" w:rsidRDefault="001A2B44" w:rsidP="00B463C2">
            <w:pPr>
              <w:spacing w:after="0" w:line="240" w:lineRule="auto"/>
              <w:jc w:val="center"/>
              <w:rPr>
                <w:rFonts w:eastAsia="Times New Roman" w:cstheme="minorHAnsi"/>
                <w:b/>
                <w:bCs/>
                <w:color w:val="FFFFFF" w:themeColor="background1"/>
                <w:sz w:val="18"/>
                <w:szCs w:val="18"/>
              </w:rPr>
            </w:pPr>
            <w:r w:rsidRPr="00FD08CE">
              <w:rPr>
                <w:rFonts w:eastAsia="Times New Roman" w:cstheme="minorHAnsi"/>
                <w:b/>
                <w:bCs/>
                <w:color w:val="FFFFFF" w:themeColor="background1"/>
                <w:sz w:val="18"/>
                <w:szCs w:val="18"/>
              </w:rPr>
              <w:t xml:space="preserve">Phase 2 </w:t>
            </w:r>
            <w:r w:rsidR="00213524">
              <w:rPr>
                <w:rFonts w:eastAsia="Times New Roman" w:cstheme="minorHAnsi"/>
                <w:b/>
                <w:bCs/>
                <w:color w:val="FFFFFF" w:themeColor="background1"/>
                <w:sz w:val="18"/>
                <w:szCs w:val="18"/>
              </w:rPr>
              <w:t>a</w:t>
            </w:r>
            <w:r w:rsidRPr="00FD08CE">
              <w:rPr>
                <w:rFonts w:eastAsia="Times New Roman" w:cstheme="minorHAnsi"/>
                <w:b/>
                <w:bCs/>
                <w:color w:val="FFFFFF" w:themeColor="background1"/>
                <w:sz w:val="18"/>
                <w:szCs w:val="18"/>
              </w:rPr>
              <w:t xml:space="preserve">ctuals </w:t>
            </w:r>
            <w:r w:rsidR="00213524">
              <w:rPr>
                <w:rFonts w:eastAsia="Times New Roman" w:cstheme="minorHAnsi"/>
                <w:b/>
                <w:bCs/>
                <w:color w:val="FFFFFF" w:themeColor="background1"/>
                <w:sz w:val="18"/>
                <w:szCs w:val="18"/>
              </w:rPr>
              <w:t>a</w:t>
            </w:r>
            <w:r w:rsidRPr="00FD08CE">
              <w:rPr>
                <w:rFonts w:eastAsia="Times New Roman" w:cstheme="minorHAnsi"/>
                <w:b/>
                <w:bCs/>
                <w:color w:val="FFFFFF" w:themeColor="background1"/>
                <w:sz w:val="18"/>
                <w:szCs w:val="18"/>
              </w:rPr>
              <w:t>chieved 2021-22</w:t>
            </w:r>
            <w:r>
              <w:rPr>
                <w:rFonts w:eastAsia="Times New Roman" w:cstheme="minorHAnsi"/>
                <w:b/>
                <w:bCs/>
                <w:color w:val="FFFFFF" w:themeColor="background1"/>
                <w:sz w:val="18"/>
                <w:szCs w:val="18"/>
              </w:rPr>
              <w:t xml:space="preserve"> </w:t>
            </w:r>
          </w:p>
        </w:tc>
        <w:tc>
          <w:tcPr>
            <w:tcW w:w="871" w:type="pct"/>
            <w:gridSpan w:val="2"/>
            <w:tcBorders>
              <w:top w:val="single" w:sz="4" w:space="0" w:color="auto"/>
              <w:left w:val="single" w:sz="4" w:space="0" w:color="auto"/>
              <w:bottom w:val="single" w:sz="4" w:space="0" w:color="auto"/>
              <w:right w:val="single" w:sz="4" w:space="0" w:color="auto"/>
            </w:tcBorders>
            <w:shd w:val="clear" w:color="auto" w:fill="1D336D" w:themeFill="background2"/>
          </w:tcPr>
          <w:p w14:paraId="6306D799" w14:textId="266B2369" w:rsidR="001A2B44" w:rsidRPr="00FD08CE" w:rsidRDefault="001A2B44" w:rsidP="00B463C2">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 of annual target achieved</w:t>
            </w:r>
          </w:p>
        </w:tc>
      </w:tr>
      <w:tr w:rsidR="001A2B44" w:rsidRPr="00915A72" w14:paraId="52D622AA" w14:textId="77777777" w:rsidTr="00CD63CE">
        <w:trPr>
          <w:trHeight w:val="517"/>
          <w:tblHeader/>
        </w:trPr>
        <w:tc>
          <w:tcPr>
            <w:tcW w:w="234" w:type="pct"/>
            <w:gridSpan w:val="2"/>
            <w:vMerge/>
            <w:tcBorders>
              <w:top w:val="single" w:sz="4" w:space="0" w:color="auto"/>
              <w:left w:val="single" w:sz="4" w:space="0" w:color="auto"/>
              <w:bottom w:val="single" w:sz="4" w:space="0" w:color="auto"/>
              <w:right w:val="single" w:sz="4" w:space="0" w:color="auto"/>
            </w:tcBorders>
            <w:textDirection w:val="btLr"/>
            <w:vAlign w:val="center"/>
          </w:tcPr>
          <w:p w14:paraId="7F2A1F19" w14:textId="77777777" w:rsidR="001A2B44" w:rsidRPr="00915A72" w:rsidRDefault="001A2B44" w:rsidP="00B463C2">
            <w:pPr>
              <w:spacing w:after="0" w:line="240" w:lineRule="auto"/>
              <w:ind w:left="113" w:right="113"/>
              <w:jc w:val="center"/>
              <w:rPr>
                <w:rFonts w:eastAsia="Times New Roman" w:cstheme="minorHAnsi"/>
                <w:b/>
                <w:bCs/>
                <w:color w:val="FFFFFF" w:themeColor="background1"/>
                <w:sz w:val="18"/>
                <w:szCs w:val="18"/>
              </w:rPr>
            </w:pPr>
          </w:p>
        </w:tc>
        <w:tc>
          <w:tcPr>
            <w:tcW w:w="234" w:type="pct"/>
            <w:vMerge/>
            <w:tcBorders>
              <w:left w:val="single" w:sz="4" w:space="0" w:color="auto"/>
              <w:bottom w:val="single" w:sz="4" w:space="0" w:color="auto"/>
              <w:right w:val="single" w:sz="4" w:space="0" w:color="auto"/>
            </w:tcBorders>
            <w:textDirection w:val="btLr"/>
          </w:tcPr>
          <w:p w14:paraId="60882843" w14:textId="77777777" w:rsidR="001A2B44" w:rsidRPr="00915A72" w:rsidRDefault="001A2B44" w:rsidP="00B463C2">
            <w:pPr>
              <w:spacing w:after="0" w:line="240" w:lineRule="auto"/>
              <w:ind w:left="113" w:right="113"/>
              <w:jc w:val="center"/>
              <w:rPr>
                <w:rFonts w:eastAsia="Times New Roman" w:cstheme="minorHAnsi"/>
                <w:b/>
                <w:bCs/>
                <w:color w:val="FFFFFF" w:themeColor="background1"/>
                <w:sz w:val="18"/>
                <w:szCs w:val="18"/>
              </w:rPr>
            </w:pPr>
          </w:p>
        </w:tc>
        <w:tc>
          <w:tcPr>
            <w:tcW w:w="2611" w:type="pct"/>
            <w:vMerge/>
            <w:tcBorders>
              <w:top w:val="single" w:sz="4" w:space="0" w:color="auto"/>
              <w:left w:val="single" w:sz="4" w:space="0" w:color="auto"/>
              <w:bottom w:val="single" w:sz="4" w:space="0" w:color="auto"/>
              <w:right w:val="single" w:sz="4" w:space="0" w:color="auto"/>
            </w:tcBorders>
            <w:noWrap/>
            <w:vAlign w:val="center"/>
          </w:tcPr>
          <w:p w14:paraId="0DF7FE2B" w14:textId="3ADA374C" w:rsidR="001A2B44" w:rsidRPr="00915A72" w:rsidRDefault="001A2B44" w:rsidP="00B463C2">
            <w:pPr>
              <w:spacing w:after="0" w:line="240" w:lineRule="auto"/>
              <w:jc w:val="center"/>
              <w:rPr>
                <w:rFonts w:eastAsia="Times New Roman" w:cstheme="minorHAnsi"/>
                <w:b/>
                <w:bCs/>
                <w:color w:val="FFFFFF" w:themeColor="background1"/>
                <w:sz w:val="18"/>
                <w:szCs w:val="18"/>
              </w:rPr>
            </w:pPr>
          </w:p>
        </w:tc>
        <w:tc>
          <w:tcPr>
            <w:tcW w:w="468" w:type="pct"/>
            <w:tcBorders>
              <w:left w:val="single" w:sz="4" w:space="0" w:color="auto"/>
              <w:bottom w:val="single" w:sz="4" w:space="0" w:color="auto"/>
              <w:right w:val="single" w:sz="4" w:space="0" w:color="auto"/>
            </w:tcBorders>
            <w:shd w:val="clear" w:color="auto" w:fill="1D336D" w:themeFill="background2"/>
          </w:tcPr>
          <w:p w14:paraId="029311AE" w14:textId="7A73ACC0" w:rsidR="001A2B44" w:rsidRPr="00915A72" w:rsidRDefault="00213524" w:rsidP="00B463C2">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TOTAL</w:t>
            </w:r>
          </w:p>
        </w:tc>
        <w:tc>
          <w:tcPr>
            <w:tcW w:w="582" w:type="pct"/>
            <w:tcBorders>
              <w:left w:val="single" w:sz="4" w:space="0" w:color="auto"/>
              <w:bottom w:val="single" w:sz="4" w:space="0" w:color="auto"/>
              <w:right w:val="single" w:sz="4" w:space="0" w:color="auto"/>
            </w:tcBorders>
            <w:shd w:val="clear" w:color="auto" w:fill="1D336D" w:themeFill="background2"/>
          </w:tcPr>
          <w:p w14:paraId="759C21A9" w14:textId="5EA3EA2A" w:rsidR="001A2B44" w:rsidRPr="00915A72" w:rsidRDefault="00213524" w:rsidP="00B463C2">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WEE/SI portfolio</w:t>
            </w:r>
          </w:p>
        </w:tc>
        <w:tc>
          <w:tcPr>
            <w:tcW w:w="432" w:type="pct"/>
            <w:tcBorders>
              <w:top w:val="single" w:sz="4" w:space="0" w:color="auto"/>
              <w:left w:val="single" w:sz="4" w:space="0" w:color="auto"/>
              <w:bottom w:val="single" w:sz="4" w:space="0" w:color="auto"/>
              <w:right w:val="single" w:sz="4" w:space="0" w:color="auto"/>
            </w:tcBorders>
            <w:shd w:val="clear" w:color="auto" w:fill="1D336D" w:themeFill="background2"/>
          </w:tcPr>
          <w:p w14:paraId="76941405" w14:textId="388F8989" w:rsidR="001A2B44" w:rsidRPr="00915A72" w:rsidRDefault="001A2B44" w:rsidP="00B463C2">
            <w:pPr>
              <w:spacing w:after="0" w:line="240" w:lineRule="auto"/>
              <w:jc w:val="center"/>
              <w:rPr>
                <w:rFonts w:eastAsia="Times New Roman" w:cstheme="minorHAnsi"/>
                <w:b/>
                <w:bCs/>
                <w:color w:val="FFFFFF" w:themeColor="background1"/>
                <w:sz w:val="18"/>
                <w:szCs w:val="18"/>
              </w:rPr>
            </w:pPr>
            <w:r w:rsidRPr="00915A72">
              <w:rPr>
                <w:rFonts w:eastAsia="Times New Roman" w:cstheme="minorHAnsi"/>
                <w:b/>
                <w:bCs/>
                <w:color w:val="FFFFFF" w:themeColor="background1"/>
                <w:sz w:val="18"/>
                <w:szCs w:val="18"/>
              </w:rPr>
              <w:t>2021</w:t>
            </w:r>
          </w:p>
        </w:tc>
        <w:tc>
          <w:tcPr>
            <w:tcW w:w="439" w:type="pct"/>
            <w:tcBorders>
              <w:top w:val="single" w:sz="4" w:space="0" w:color="auto"/>
              <w:left w:val="single" w:sz="4" w:space="0" w:color="auto"/>
              <w:bottom w:val="single" w:sz="4" w:space="0" w:color="auto"/>
              <w:right w:val="single" w:sz="4" w:space="0" w:color="auto"/>
            </w:tcBorders>
            <w:shd w:val="clear" w:color="auto" w:fill="1D336D" w:themeFill="background2"/>
          </w:tcPr>
          <w:p w14:paraId="29D105BE" w14:textId="77777777" w:rsidR="001A2B44" w:rsidRPr="00915A72" w:rsidRDefault="001A2B44" w:rsidP="00B463C2">
            <w:pPr>
              <w:spacing w:after="0" w:line="240" w:lineRule="auto"/>
              <w:jc w:val="center"/>
              <w:rPr>
                <w:rFonts w:eastAsia="Times New Roman" w:cstheme="minorHAnsi"/>
                <w:b/>
                <w:bCs/>
                <w:color w:val="FFFFFF" w:themeColor="background1"/>
                <w:sz w:val="18"/>
                <w:szCs w:val="18"/>
              </w:rPr>
            </w:pPr>
            <w:r w:rsidRPr="00915A72">
              <w:rPr>
                <w:rFonts w:eastAsia="Times New Roman" w:cstheme="minorHAnsi"/>
                <w:b/>
                <w:bCs/>
                <w:color w:val="FFFFFF" w:themeColor="background1"/>
                <w:sz w:val="18"/>
                <w:szCs w:val="18"/>
              </w:rPr>
              <w:t>2022</w:t>
            </w:r>
          </w:p>
        </w:tc>
      </w:tr>
      <w:tr w:rsidR="00C91D7F" w:rsidRPr="00FD08CE" w14:paraId="11A04F6C" w14:textId="77777777" w:rsidTr="00421D52">
        <w:trPr>
          <w:trHeight w:val="628"/>
        </w:trPr>
        <w:tc>
          <w:tcPr>
            <w:tcW w:w="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1DD815" w14:textId="05C879F6" w:rsidR="00C91D7F" w:rsidRPr="00915A72" w:rsidRDefault="00C91D7F" w:rsidP="00C91D7F">
            <w:pPr>
              <w:spacing w:after="0" w:line="240" w:lineRule="auto"/>
              <w:jc w:val="center"/>
              <w:rPr>
                <w:rFonts w:cstheme="minorHAnsi"/>
                <w:color w:val="000000"/>
                <w:sz w:val="18"/>
                <w:szCs w:val="18"/>
              </w:rPr>
            </w:pPr>
            <w:r w:rsidRPr="001E7502">
              <w:rPr>
                <w:rFonts w:cstheme="minorHAnsi"/>
                <w:color w:val="212121"/>
                <w:sz w:val="18"/>
                <w:szCs w:val="18"/>
              </w:rPr>
              <w:t>1</w:t>
            </w:r>
          </w:p>
        </w:tc>
        <w:tc>
          <w:tcPr>
            <w:tcW w:w="270" w:type="pct"/>
            <w:gridSpan w:val="2"/>
            <w:tcBorders>
              <w:top w:val="single" w:sz="4" w:space="0" w:color="auto"/>
              <w:left w:val="single" w:sz="4" w:space="0" w:color="auto"/>
              <w:bottom w:val="single" w:sz="4" w:space="0" w:color="auto"/>
              <w:right w:val="single" w:sz="4" w:space="0" w:color="auto"/>
            </w:tcBorders>
            <w:vAlign w:val="center"/>
          </w:tcPr>
          <w:p w14:paraId="19F770F4" w14:textId="76FB914E" w:rsidR="00C91D7F" w:rsidRDefault="00C91D7F" w:rsidP="00C91D7F">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c>
          <w:tcPr>
            <w:tcW w:w="2611" w:type="pct"/>
            <w:tcBorders>
              <w:top w:val="single" w:sz="4" w:space="0" w:color="auto"/>
              <w:left w:val="single" w:sz="4" w:space="0" w:color="auto"/>
              <w:bottom w:val="single" w:sz="4" w:space="0" w:color="auto"/>
              <w:right w:val="single" w:sz="4" w:space="0" w:color="auto"/>
            </w:tcBorders>
            <w:shd w:val="clear" w:color="auto" w:fill="auto"/>
            <w:vAlign w:val="center"/>
          </w:tcPr>
          <w:p w14:paraId="44B4F384" w14:textId="6775F7FA" w:rsidR="00C91D7F" w:rsidRPr="08123348" w:rsidRDefault="00C91D7F" w:rsidP="00C91D7F">
            <w:pPr>
              <w:spacing w:after="0" w:line="240" w:lineRule="auto"/>
              <w:rPr>
                <w:rFonts w:cstheme="minorBidi"/>
                <w:sz w:val="18"/>
                <w:szCs w:val="18"/>
              </w:rPr>
            </w:pPr>
            <w:r w:rsidRPr="001E7502">
              <w:rPr>
                <w:rFonts w:eastAsia="Times New Roman" w:cstheme="minorHAnsi"/>
                <w:color w:val="212121"/>
                <w:sz w:val="18"/>
                <w:szCs w:val="18"/>
              </w:rPr>
              <w:t>Number of households and small enterprises benefitting from additional income increase</w:t>
            </w:r>
            <w:r w:rsidR="000400E8">
              <w:rPr>
                <w:rFonts w:eastAsia="Times New Roman" w:cstheme="minorHAnsi"/>
                <w:color w:val="212121"/>
                <w:sz w:val="18"/>
                <w:szCs w:val="18"/>
              </w:rPr>
              <w:t>*</w:t>
            </w:r>
            <w:r w:rsidR="00A73C83">
              <w:rPr>
                <w:rFonts w:eastAsia="Times New Roman" w:cstheme="minorHAnsi"/>
                <w:color w:val="212121"/>
                <w:sz w:val="18"/>
                <w:szCs w:val="18"/>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6CEEF59A" w14:textId="6F5E64D0" w:rsidR="00C91D7F" w:rsidRPr="00915A72" w:rsidRDefault="00C91D7F" w:rsidP="00C91D7F">
            <w:pPr>
              <w:spacing w:after="0" w:line="240" w:lineRule="auto"/>
              <w:jc w:val="right"/>
              <w:rPr>
                <w:rFonts w:cstheme="minorHAnsi"/>
                <w:color w:val="000000"/>
                <w:sz w:val="18"/>
                <w:szCs w:val="18"/>
              </w:rPr>
            </w:pPr>
            <w:r w:rsidRPr="001E7502">
              <w:rPr>
                <w:rFonts w:eastAsia="Times New Roman" w:cstheme="minorHAnsi"/>
                <w:color w:val="000000"/>
                <w:sz w:val="18"/>
                <w:szCs w:val="18"/>
              </w:rPr>
              <w:t>497</w:t>
            </w:r>
          </w:p>
        </w:tc>
        <w:tc>
          <w:tcPr>
            <w:tcW w:w="582" w:type="pct"/>
            <w:tcBorders>
              <w:top w:val="single" w:sz="4" w:space="0" w:color="auto"/>
              <w:left w:val="nil"/>
              <w:bottom w:val="single" w:sz="4" w:space="0" w:color="auto"/>
              <w:right w:val="single" w:sz="4" w:space="0" w:color="auto"/>
            </w:tcBorders>
            <w:vAlign w:val="center"/>
          </w:tcPr>
          <w:p w14:paraId="26510F4E" w14:textId="79AF1610" w:rsidR="00C91D7F" w:rsidRPr="00C91D7F" w:rsidRDefault="00C91D7F" w:rsidP="00C91D7F">
            <w:pPr>
              <w:spacing w:after="0" w:line="240" w:lineRule="auto"/>
              <w:jc w:val="right"/>
              <w:rPr>
                <w:rFonts w:eastAsia="Times New Roman" w:cstheme="minorHAnsi"/>
                <w:color w:val="212121"/>
                <w:sz w:val="18"/>
                <w:szCs w:val="18"/>
              </w:rPr>
            </w:pPr>
            <w:r w:rsidRPr="00C91D7F">
              <w:rPr>
                <w:rFonts w:eastAsia="Times New Roman" w:cstheme="minorHAnsi"/>
                <w:color w:val="212121"/>
                <w:sz w:val="18"/>
                <w:szCs w:val="18"/>
              </w:rPr>
              <w:t>38</w:t>
            </w:r>
          </w:p>
        </w:tc>
        <w:tc>
          <w:tcPr>
            <w:tcW w:w="432" w:type="pct"/>
            <w:tcBorders>
              <w:top w:val="single" w:sz="4" w:space="0" w:color="auto"/>
              <w:left w:val="single" w:sz="4" w:space="0" w:color="auto"/>
              <w:bottom w:val="single" w:sz="4" w:space="0" w:color="auto"/>
              <w:right w:val="single" w:sz="4" w:space="0" w:color="auto"/>
            </w:tcBorders>
            <w:shd w:val="clear" w:color="auto" w:fill="E1E7F7"/>
            <w:vAlign w:val="center"/>
          </w:tcPr>
          <w:p w14:paraId="0EC4EEA4" w14:textId="6BCD0C86" w:rsidR="00C91D7F" w:rsidRPr="00FD08CE" w:rsidRDefault="00E418D8" w:rsidP="00C91D7F">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c>
          <w:tcPr>
            <w:tcW w:w="439" w:type="pct"/>
            <w:tcBorders>
              <w:top w:val="single" w:sz="4" w:space="0" w:color="auto"/>
              <w:left w:val="nil"/>
              <w:bottom w:val="single" w:sz="4" w:space="0" w:color="auto"/>
              <w:right w:val="single" w:sz="4" w:space="0" w:color="auto"/>
            </w:tcBorders>
            <w:shd w:val="clear" w:color="auto" w:fill="E1E7F7"/>
            <w:vAlign w:val="center"/>
          </w:tcPr>
          <w:p w14:paraId="3403D21C" w14:textId="0F1E7A9A" w:rsidR="00C91D7F" w:rsidRPr="00FD08CE" w:rsidRDefault="00E418D8" w:rsidP="00C91D7F">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r>
      <w:tr w:rsidR="00C91D7F" w:rsidRPr="00FD08CE" w14:paraId="708A912E" w14:textId="77777777" w:rsidTr="00421D52">
        <w:trPr>
          <w:trHeight w:val="516"/>
        </w:trPr>
        <w:tc>
          <w:tcPr>
            <w:tcW w:w="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B38E8" w14:textId="134E67B7" w:rsidR="00C91D7F" w:rsidRPr="00915A72" w:rsidRDefault="00C91D7F" w:rsidP="00C91D7F">
            <w:pPr>
              <w:spacing w:after="0" w:line="240" w:lineRule="auto"/>
              <w:jc w:val="center"/>
              <w:rPr>
                <w:rFonts w:cstheme="minorHAnsi"/>
                <w:color w:val="000000"/>
                <w:sz w:val="18"/>
                <w:szCs w:val="18"/>
              </w:rPr>
            </w:pPr>
            <w:r w:rsidRPr="001E7502">
              <w:rPr>
                <w:rFonts w:cstheme="minorHAnsi"/>
                <w:color w:val="212121"/>
                <w:sz w:val="18"/>
                <w:szCs w:val="18"/>
              </w:rPr>
              <w:t>2</w:t>
            </w:r>
          </w:p>
        </w:tc>
        <w:tc>
          <w:tcPr>
            <w:tcW w:w="270" w:type="pct"/>
            <w:gridSpan w:val="2"/>
            <w:tcBorders>
              <w:top w:val="single" w:sz="4" w:space="0" w:color="auto"/>
              <w:left w:val="single" w:sz="4" w:space="0" w:color="auto"/>
              <w:bottom w:val="single" w:sz="4" w:space="0" w:color="auto"/>
              <w:right w:val="single" w:sz="4" w:space="0" w:color="auto"/>
            </w:tcBorders>
            <w:vAlign w:val="center"/>
          </w:tcPr>
          <w:p w14:paraId="0D02FDD7" w14:textId="41ED9D8A" w:rsidR="00C91D7F" w:rsidRDefault="00C91D7F" w:rsidP="00C91D7F">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c>
          <w:tcPr>
            <w:tcW w:w="2611" w:type="pct"/>
            <w:tcBorders>
              <w:top w:val="single" w:sz="4" w:space="0" w:color="auto"/>
              <w:left w:val="single" w:sz="4" w:space="0" w:color="auto"/>
              <w:bottom w:val="single" w:sz="4" w:space="0" w:color="auto"/>
              <w:right w:val="single" w:sz="4" w:space="0" w:color="auto"/>
            </w:tcBorders>
            <w:shd w:val="clear" w:color="auto" w:fill="auto"/>
            <w:vAlign w:val="center"/>
          </w:tcPr>
          <w:p w14:paraId="46D0E79D" w14:textId="78A4D994" w:rsidR="00C91D7F" w:rsidRPr="08123348" w:rsidRDefault="00C91D7F" w:rsidP="00C91D7F">
            <w:pPr>
              <w:spacing w:after="0" w:line="240" w:lineRule="auto"/>
              <w:rPr>
                <w:rFonts w:cstheme="minorBidi"/>
                <w:sz w:val="18"/>
                <w:szCs w:val="18"/>
              </w:rPr>
            </w:pPr>
            <w:r w:rsidRPr="08123348">
              <w:rPr>
                <w:rFonts w:eastAsia="Times New Roman" w:cstheme="minorBidi"/>
                <w:color w:val="212121"/>
                <w:sz w:val="18"/>
                <w:szCs w:val="18"/>
              </w:rPr>
              <w:t>Net additional income increases of household and small enterprise beneficiaries (AUD)</w:t>
            </w:r>
            <w:r w:rsidR="00A73C83">
              <w:rPr>
                <w:rFonts w:eastAsia="Times New Roman" w:cstheme="minorBidi"/>
                <w:color w:val="212121"/>
                <w:sz w:val="18"/>
                <w:szCs w:val="18"/>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575248F3" w14:textId="42EF1D1F" w:rsidR="00C91D7F" w:rsidRPr="00915A72" w:rsidRDefault="00C91D7F" w:rsidP="00C91D7F">
            <w:pPr>
              <w:spacing w:after="0" w:line="240" w:lineRule="auto"/>
              <w:jc w:val="right"/>
              <w:rPr>
                <w:rFonts w:cstheme="minorHAnsi"/>
                <w:color w:val="000000"/>
                <w:sz w:val="18"/>
                <w:szCs w:val="18"/>
              </w:rPr>
            </w:pPr>
            <w:r w:rsidRPr="001E7502">
              <w:rPr>
                <w:rFonts w:eastAsia="Times New Roman" w:cstheme="minorHAnsi"/>
                <w:color w:val="212121"/>
                <w:sz w:val="18"/>
                <w:szCs w:val="18"/>
              </w:rPr>
              <w:t>435,439</w:t>
            </w:r>
          </w:p>
        </w:tc>
        <w:tc>
          <w:tcPr>
            <w:tcW w:w="582" w:type="pct"/>
            <w:tcBorders>
              <w:top w:val="single" w:sz="4" w:space="0" w:color="auto"/>
              <w:left w:val="nil"/>
              <w:bottom w:val="single" w:sz="4" w:space="0" w:color="auto"/>
              <w:right w:val="single" w:sz="4" w:space="0" w:color="auto"/>
            </w:tcBorders>
            <w:vAlign w:val="center"/>
          </w:tcPr>
          <w:p w14:paraId="0AC58718" w14:textId="58D49372" w:rsidR="00C91D7F" w:rsidRPr="00C91D7F" w:rsidRDefault="00C91D7F" w:rsidP="00C91D7F">
            <w:pPr>
              <w:spacing w:after="0" w:line="240" w:lineRule="auto"/>
              <w:jc w:val="right"/>
              <w:rPr>
                <w:rFonts w:eastAsia="Times New Roman" w:cstheme="minorHAnsi"/>
                <w:color w:val="212121"/>
                <w:sz w:val="18"/>
                <w:szCs w:val="18"/>
              </w:rPr>
            </w:pPr>
            <w:r w:rsidRPr="00C91D7F">
              <w:rPr>
                <w:rFonts w:eastAsia="Times New Roman" w:cstheme="minorHAnsi"/>
                <w:color w:val="212121"/>
                <w:sz w:val="18"/>
                <w:szCs w:val="18"/>
              </w:rPr>
              <w:t>70</w:t>
            </w:r>
            <w:r>
              <w:rPr>
                <w:rFonts w:eastAsia="Times New Roman" w:cstheme="minorHAnsi"/>
                <w:color w:val="212121"/>
                <w:sz w:val="18"/>
                <w:szCs w:val="18"/>
              </w:rPr>
              <w:t>,</w:t>
            </w:r>
            <w:r w:rsidRPr="00C91D7F">
              <w:rPr>
                <w:rFonts w:eastAsia="Times New Roman" w:cstheme="minorHAnsi"/>
                <w:color w:val="212121"/>
                <w:sz w:val="18"/>
                <w:szCs w:val="18"/>
              </w:rPr>
              <w:t>682</w:t>
            </w:r>
          </w:p>
        </w:tc>
        <w:tc>
          <w:tcPr>
            <w:tcW w:w="432" w:type="pct"/>
            <w:tcBorders>
              <w:top w:val="single" w:sz="4" w:space="0" w:color="auto"/>
              <w:left w:val="single" w:sz="4" w:space="0" w:color="auto"/>
              <w:bottom w:val="single" w:sz="4" w:space="0" w:color="auto"/>
              <w:right w:val="single" w:sz="4" w:space="0" w:color="auto"/>
            </w:tcBorders>
            <w:shd w:val="clear" w:color="auto" w:fill="E1E7F7"/>
            <w:vAlign w:val="center"/>
          </w:tcPr>
          <w:p w14:paraId="56DC5E03" w14:textId="4C6D39CC" w:rsidR="00C91D7F" w:rsidRPr="00FD08CE" w:rsidRDefault="00E418D8" w:rsidP="00C91D7F">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c>
          <w:tcPr>
            <w:tcW w:w="439" w:type="pct"/>
            <w:tcBorders>
              <w:top w:val="single" w:sz="4" w:space="0" w:color="auto"/>
              <w:left w:val="nil"/>
              <w:bottom w:val="single" w:sz="4" w:space="0" w:color="auto"/>
              <w:right w:val="single" w:sz="4" w:space="0" w:color="auto"/>
            </w:tcBorders>
            <w:shd w:val="clear" w:color="auto" w:fill="E1E7F7"/>
            <w:vAlign w:val="center"/>
          </w:tcPr>
          <w:p w14:paraId="5F0F7F11" w14:textId="704B28A3" w:rsidR="00C91D7F" w:rsidRPr="00FD08CE" w:rsidRDefault="00E418D8" w:rsidP="00C91D7F">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r>
      <w:tr w:rsidR="000C00B6" w:rsidRPr="00FD08CE" w14:paraId="2B15BA85" w14:textId="77777777" w:rsidTr="00421D52">
        <w:trPr>
          <w:trHeight w:val="1096"/>
        </w:trPr>
        <w:tc>
          <w:tcPr>
            <w:tcW w:w="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FCA906"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3</w:t>
            </w:r>
          </w:p>
        </w:tc>
        <w:tc>
          <w:tcPr>
            <w:tcW w:w="270" w:type="pct"/>
            <w:gridSpan w:val="2"/>
            <w:tcBorders>
              <w:top w:val="single" w:sz="4" w:space="0" w:color="auto"/>
              <w:left w:val="single" w:sz="4" w:space="0" w:color="auto"/>
              <w:bottom w:val="single" w:sz="4" w:space="0" w:color="auto"/>
              <w:right w:val="single" w:sz="4" w:space="0" w:color="auto"/>
            </w:tcBorders>
            <w:vAlign w:val="center"/>
          </w:tcPr>
          <w:p w14:paraId="366AF1E2" w14:textId="1F37D758" w:rsidR="000C00B6" w:rsidRPr="08123348" w:rsidRDefault="000C00B6" w:rsidP="000C00B6">
            <w:pPr>
              <w:spacing w:after="0" w:line="240" w:lineRule="auto"/>
              <w:jc w:val="center"/>
              <w:rPr>
                <w:rFonts w:cstheme="minorBidi"/>
                <w:sz w:val="18"/>
                <w:szCs w:val="18"/>
              </w:rPr>
            </w:pPr>
            <w:r>
              <w:rPr>
                <w:rFonts w:eastAsia="Times New Roman" w:cstheme="minorHAnsi"/>
                <w:color w:val="000000"/>
                <w:sz w:val="18"/>
                <w:szCs w:val="18"/>
              </w:rPr>
              <w:t>n/a</w:t>
            </w:r>
          </w:p>
        </w:tc>
        <w:tc>
          <w:tcPr>
            <w:tcW w:w="2611" w:type="pct"/>
            <w:tcBorders>
              <w:top w:val="single" w:sz="4" w:space="0" w:color="auto"/>
              <w:left w:val="single" w:sz="4" w:space="0" w:color="auto"/>
              <w:bottom w:val="single" w:sz="4" w:space="0" w:color="auto"/>
              <w:right w:val="single" w:sz="4" w:space="0" w:color="auto"/>
            </w:tcBorders>
            <w:shd w:val="clear" w:color="auto" w:fill="auto"/>
          </w:tcPr>
          <w:p w14:paraId="26ED4025" w14:textId="4755820C" w:rsidR="000C00B6" w:rsidRDefault="000C00B6" w:rsidP="000C00B6">
            <w:pPr>
              <w:spacing w:after="0" w:line="240" w:lineRule="auto"/>
              <w:rPr>
                <w:rFonts w:cstheme="minorBidi"/>
                <w:color w:val="000000"/>
                <w:sz w:val="18"/>
                <w:szCs w:val="18"/>
              </w:rPr>
            </w:pPr>
            <w:r w:rsidRPr="08123348">
              <w:rPr>
                <w:rFonts w:cstheme="minorBidi"/>
                <w:sz w:val="18"/>
                <w:szCs w:val="18"/>
              </w:rPr>
              <w:t>Number of new jobs (FTE) created or maintained/saved attributable to Strongim Bisnis interventions. *</w:t>
            </w:r>
            <w:r w:rsidRPr="08123348">
              <w:rPr>
                <w:rFonts w:eastAsia="Times New Roman" w:cstheme="minorBidi"/>
                <w:color w:val="212121"/>
                <w:sz w:val="18"/>
                <w:szCs w:val="18"/>
              </w:rPr>
              <w:t xml:space="preserve">   Of which:  </w:t>
            </w:r>
          </w:p>
          <w:p w14:paraId="76C293BF" w14:textId="77777777" w:rsidR="000C00B6" w:rsidRDefault="000C00B6" w:rsidP="000C00B6">
            <w:pPr>
              <w:pStyle w:val="ListParagraph"/>
              <w:numPr>
                <w:ilvl w:val="0"/>
                <w:numId w:val="23"/>
              </w:numPr>
              <w:spacing w:after="0" w:line="240" w:lineRule="auto"/>
              <w:rPr>
                <w:rFonts w:eastAsia="Times New Roman" w:cstheme="minorHAnsi"/>
                <w:color w:val="212121"/>
                <w:sz w:val="18"/>
                <w:szCs w:val="18"/>
              </w:rPr>
            </w:pPr>
            <w:r>
              <w:rPr>
                <w:rFonts w:eastAsia="Times New Roman" w:cstheme="minorHAnsi"/>
                <w:color w:val="212121"/>
                <w:sz w:val="18"/>
                <w:szCs w:val="18"/>
              </w:rPr>
              <w:t xml:space="preserve">Women </w:t>
            </w:r>
          </w:p>
          <w:p w14:paraId="21AAEB18" w14:textId="77777777" w:rsidR="000C00B6" w:rsidRDefault="000C00B6" w:rsidP="000C00B6">
            <w:pPr>
              <w:pStyle w:val="ListParagraph"/>
              <w:numPr>
                <w:ilvl w:val="0"/>
                <w:numId w:val="23"/>
              </w:numPr>
              <w:spacing w:after="0" w:line="240" w:lineRule="auto"/>
              <w:rPr>
                <w:rFonts w:eastAsia="Times New Roman" w:cstheme="minorHAnsi"/>
                <w:color w:val="212121"/>
                <w:sz w:val="18"/>
                <w:szCs w:val="18"/>
              </w:rPr>
            </w:pPr>
            <w:r>
              <w:rPr>
                <w:rFonts w:eastAsia="Times New Roman" w:cstheme="minorHAnsi"/>
                <w:color w:val="212121"/>
                <w:sz w:val="18"/>
                <w:szCs w:val="18"/>
              </w:rPr>
              <w:t>Youth</w:t>
            </w:r>
          </w:p>
          <w:p w14:paraId="3509AFFE" w14:textId="77777777" w:rsidR="000C00B6" w:rsidRPr="00FD08CE" w:rsidRDefault="000C00B6" w:rsidP="000C00B6">
            <w:pPr>
              <w:pStyle w:val="ListParagraph"/>
              <w:numPr>
                <w:ilvl w:val="0"/>
                <w:numId w:val="23"/>
              </w:numPr>
              <w:spacing w:after="0" w:line="240" w:lineRule="auto"/>
              <w:rPr>
                <w:rFonts w:eastAsia="Times New Roman" w:cstheme="minorBidi"/>
                <w:color w:val="212121"/>
                <w:sz w:val="18"/>
                <w:szCs w:val="18"/>
              </w:rPr>
            </w:pPr>
            <w:r w:rsidRPr="08123348">
              <w:rPr>
                <w:rFonts w:eastAsia="Times New Roman" w:cstheme="minorBidi"/>
                <w:color w:val="212121"/>
                <w:sz w:val="18"/>
                <w:szCs w:val="18"/>
              </w:rPr>
              <w:t>PWD</w:t>
            </w:r>
          </w:p>
        </w:tc>
        <w:tc>
          <w:tcPr>
            <w:tcW w:w="468" w:type="pct"/>
            <w:tcBorders>
              <w:top w:val="single" w:sz="4" w:space="0" w:color="auto"/>
              <w:left w:val="nil"/>
              <w:bottom w:val="single" w:sz="4" w:space="0" w:color="auto"/>
              <w:right w:val="single" w:sz="4" w:space="0" w:color="auto"/>
            </w:tcBorders>
            <w:shd w:val="clear" w:color="auto" w:fill="auto"/>
          </w:tcPr>
          <w:p w14:paraId="63B85A22" w14:textId="77777777" w:rsidR="000C00B6" w:rsidRDefault="000C00B6" w:rsidP="000C00B6">
            <w:pPr>
              <w:spacing w:after="0" w:line="240" w:lineRule="auto"/>
              <w:jc w:val="right"/>
              <w:rPr>
                <w:rFonts w:cstheme="minorHAnsi"/>
                <w:color w:val="000000"/>
                <w:sz w:val="18"/>
                <w:szCs w:val="18"/>
              </w:rPr>
            </w:pPr>
            <w:r w:rsidRPr="00915A72">
              <w:rPr>
                <w:rFonts w:cstheme="minorHAnsi"/>
                <w:color w:val="000000"/>
                <w:sz w:val="18"/>
                <w:szCs w:val="18"/>
              </w:rPr>
              <w:t>117</w:t>
            </w:r>
          </w:p>
          <w:p w14:paraId="42A89665" w14:textId="77777777" w:rsidR="000C00B6" w:rsidRDefault="000C00B6" w:rsidP="000C00B6">
            <w:pPr>
              <w:spacing w:after="0" w:line="240" w:lineRule="auto"/>
              <w:jc w:val="right"/>
              <w:rPr>
                <w:rFonts w:cstheme="minorHAnsi"/>
                <w:color w:val="000000"/>
                <w:sz w:val="18"/>
                <w:szCs w:val="18"/>
              </w:rPr>
            </w:pPr>
          </w:p>
          <w:p w14:paraId="3266B08E" w14:textId="063537C1" w:rsidR="000C00B6" w:rsidRDefault="000C00B6" w:rsidP="000C00B6">
            <w:pPr>
              <w:spacing w:after="0" w:line="240" w:lineRule="auto"/>
              <w:jc w:val="right"/>
              <w:rPr>
                <w:rFonts w:cstheme="minorHAnsi"/>
                <w:color w:val="000000"/>
                <w:sz w:val="18"/>
                <w:szCs w:val="18"/>
              </w:rPr>
            </w:pPr>
            <w:r>
              <w:rPr>
                <w:rFonts w:cstheme="minorHAnsi"/>
                <w:color w:val="000000"/>
                <w:sz w:val="18"/>
                <w:szCs w:val="18"/>
              </w:rPr>
              <w:t>48</w:t>
            </w:r>
          </w:p>
          <w:p w14:paraId="28900823" w14:textId="77777777" w:rsidR="000C00B6" w:rsidRDefault="000C00B6" w:rsidP="000C00B6">
            <w:pPr>
              <w:spacing w:after="0" w:line="240" w:lineRule="auto"/>
              <w:jc w:val="right"/>
              <w:rPr>
                <w:rFonts w:cstheme="minorHAnsi"/>
                <w:color w:val="000000"/>
                <w:sz w:val="18"/>
                <w:szCs w:val="18"/>
              </w:rPr>
            </w:pPr>
            <w:r>
              <w:rPr>
                <w:rFonts w:cstheme="minorHAnsi"/>
                <w:color w:val="000000"/>
                <w:sz w:val="18"/>
                <w:szCs w:val="18"/>
              </w:rPr>
              <w:t>75</w:t>
            </w:r>
          </w:p>
          <w:p w14:paraId="3894E44F" w14:textId="77777777" w:rsidR="000C00B6" w:rsidRPr="00FD08CE" w:rsidRDefault="000C00B6" w:rsidP="000C00B6">
            <w:pPr>
              <w:spacing w:after="0" w:line="240" w:lineRule="auto"/>
              <w:jc w:val="right"/>
              <w:rPr>
                <w:rFonts w:eastAsia="Times New Roman" w:cstheme="minorHAnsi"/>
                <w:color w:val="000000"/>
                <w:sz w:val="18"/>
                <w:szCs w:val="18"/>
              </w:rPr>
            </w:pPr>
            <w:r>
              <w:rPr>
                <w:rFonts w:cstheme="minorHAnsi"/>
                <w:color w:val="000000"/>
                <w:sz w:val="18"/>
                <w:szCs w:val="18"/>
              </w:rPr>
              <w:t>0</w:t>
            </w:r>
          </w:p>
        </w:tc>
        <w:tc>
          <w:tcPr>
            <w:tcW w:w="582" w:type="pct"/>
            <w:tcBorders>
              <w:top w:val="single" w:sz="4" w:space="0" w:color="auto"/>
              <w:left w:val="nil"/>
              <w:bottom w:val="single" w:sz="4" w:space="0" w:color="auto"/>
              <w:right w:val="single" w:sz="4" w:space="0" w:color="auto"/>
            </w:tcBorders>
          </w:tcPr>
          <w:p w14:paraId="729D7A13" w14:textId="77777777" w:rsidR="000C00B6" w:rsidRPr="00777671" w:rsidRDefault="000C00B6" w:rsidP="000C00B6">
            <w:pPr>
              <w:spacing w:after="0" w:line="240" w:lineRule="auto"/>
              <w:jc w:val="right"/>
              <w:rPr>
                <w:rFonts w:cstheme="minorHAnsi"/>
                <w:color w:val="000000"/>
                <w:sz w:val="18"/>
                <w:szCs w:val="18"/>
              </w:rPr>
            </w:pPr>
            <w:r w:rsidRPr="00457D6F">
              <w:rPr>
                <w:rFonts w:cstheme="minorHAnsi"/>
                <w:color w:val="000000"/>
                <w:sz w:val="18"/>
                <w:szCs w:val="18"/>
              </w:rPr>
              <w:t>28</w:t>
            </w:r>
          </w:p>
          <w:p w14:paraId="28E0A5B8" w14:textId="77777777" w:rsidR="000C00B6" w:rsidRDefault="000C00B6" w:rsidP="000C00B6">
            <w:pPr>
              <w:spacing w:after="0" w:line="240" w:lineRule="auto"/>
              <w:jc w:val="right"/>
              <w:rPr>
                <w:rFonts w:cstheme="minorHAnsi"/>
                <w:color w:val="000000"/>
                <w:sz w:val="18"/>
                <w:szCs w:val="18"/>
              </w:rPr>
            </w:pPr>
          </w:p>
          <w:p w14:paraId="1E610DBC" w14:textId="6235112C" w:rsidR="000C00B6" w:rsidRPr="00777671" w:rsidRDefault="000C00B6" w:rsidP="000C00B6">
            <w:pPr>
              <w:spacing w:after="0" w:line="240" w:lineRule="auto"/>
              <w:jc w:val="right"/>
              <w:rPr>
                <w:rFonts w:cstheme="minorHAnsi"/>
                <w:color w:val="000000"/>
                <w:sz w:val="18"/>
                <w:szCs w:val="18"/>
              </w:rPr>
            </w:pPr>
            <w:r w:rsidRPr="00457D6F">
              <w:rPr>
                <w:rFonts w:cstheme="minorHAnsi"/>
                <w:color w:val="000000"/>
                <w:sz w:val="18"/>
                <w:szCs w:val="18"/>
              </w:rPr>
              <w:t>14</w:t>
            </w:r>
          </w:p>
          <w:p w14:paraId="0C58AF41" w14:textId="77777777" w:rsidR="000C00B6" w:rsidRPr="00777671" w:rsidRDefault="000C00B6" w:rsidP="000C00B6">
            <w:pPr>
              <w:spacing w:after="0" w:line="240" w:lineRule="auto"/>
              <w:jc w:val="right"/>
              <w:rPr>
                <w:rFonts w:cstheme="minorHAnsi"/>
                <w:color w:val="000000"/>
                <w:sz w:val="18"/>
                <w:szCs w:val="18"/>
              </w:rPr>
            </w:pPr>
            <w:r w:rsidRPr="00457D6F">
              <w:rPr>
                <w:rFonts w:cstheme="minorHAnsi"/>
                <w:color w:val="000000"/>
                <w:sz w:val="18"/>
                <w:szCs w:val="18"/>
              </w:rPr>
              <w:t>26</w:t>
            </w:r>
          </w:p>
          <w:p w14:paraId="046128B6" w14:textId="657A34F1" w:rsidR="000C00B6" w:rsidRPr="00777671" w:rsidRDefault="000C00B6" w:rsidP="000C00B6">
            <w:pPr>
              <w:spacing w:after="0" w:line="240" w:lineRule="auto"/>
              <w:jc w:val="right"/>
              <w:rPr>
                <w:rFonts w:cstheme="minorHAnsi"/>
                <w:color w:val="000000"/>
                <w:sz w:val="18"/>
                <w:szCs w:val="18"/>
              </w:rPr>
            </w:pPr>
            <w:r w:rsidRPr="00457D6F">
              <w:rPr>
                <w:rFonts w:cstheme="minorHAnsi"/>
                <w:color w:val="000000"/>
                <w:sz w:val="18"/>
                <w:szCs w:val="18"/>
              </w:rPr>
              <w:t>0</w:t>
            </w:r>
          </w:p>
        </w:tc>
        <w:tc>
          <w:tcPr>
            <w:tcW w:w="432" w:type="pct"/>
            <w:tcBorders>
              <w:top w:val="single" w:sz="4" w:space="0" w:color="auto"/>
              <w:left w:val="single" w:sz="4" w:space="0" w:color="auto"/>
              <w:bottom w:val="single" w:sz="4" w:space="0" w:color="auto"/>
              <w:right w:val="single" w:sz="4" w:space="0" w:color="auto"/>
            </w:tcBorders>
            <w:shd w:val="clear" w:color="auto" w:fill="E1E7F7"/>
            <w:vAlign w:val="center"/>
          </w:tcPr>
          <w:p w14:paraId="0E7AE197" w14:textId="35AF9BF0" w:rsidR="000C00B6" w:rsidRPr="00FD08CE" w:rsidRDefault="00E418D8"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c>
          <w:tcPr>
            <w:tcW w:w="439" w:type="pct"/>
            <w:tcBorders>
              <w:top w:val="single" w:sz="4" w:space="0" w:color="auto"/>
              <w:left w:val="nil"/>
              <w:bottom w:val="single" w:sz="4" w:space="0" w:color="auto"/>
              <w:right w:val="single" w:sz="4" w:space="0" w:color="auto"/>
            </w:tcBorders>
            <w:shd w:val="clear" w:color="auto" w:fill="E1E7F7"/>
            <w:vAlign w:val="center"/>
          </w:tcPr>
          <w:p w14:paraId="1B2D11EF" w14:textId="631AA942" w:rsidR="000C00B6" w:rsidRPr="00FD08CE" w:rsidRDefault="00E418D8"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r>
      <w:tr w:rsidR="000C00B6" w:rsidRPr="00FD08CE" w14:paraId="12094B5C" w14:textId="77777777" w:rsidTr="00421D52">
        <w:trPr>
          <w:trHeight w:val="1023"/>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BA138BC"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4</w:t>
            </w:r>
          </w:p>
        </w:tc>
        <w:tc>
          <w:tcPr>
            <w:tcW w:w="270" w:type="pct"/>
            <w:gridSpan w:val="2"/>
            <w:tcBorders>
              <w:top w:val="nil"/>
              <w:left w:val="single" w:sz="4" w:space="0" w:color="auto"/>
              <w:bottom w:val="single" w:sz="4" w:space="0" w:color="auto"/>
              <w:right w:val="single" w:sz="4" w:space="0" w:color="auto"/>
            </w:tcBorders>
            <w:vAlign w:val="center"/>
          </w:tcPr>
          <w:p w14:paraId="11F0686C" w14:textId="3C4D1539" w:rsidR="000C00B6" w:rsidRPr="08123348" w:rsidRDefault="000C00B6" w:rsidP="000C00B6">
            <w:pPr>
              <w:spacing w:after="0" w:line="240" w:lineRule="auto"/>
              <w:jc w:val="center"/>
              <w:rPr>
                <w:rFonts w:cstheme="minorBidi"/>
                <w:sz w:val="18"/>
                <w:szCs w:val="18"/>
              </w:rPr>
            </w:pPr>
            <w:r>
              <w:rPr>
                <w:rFonts w:eastAsia="Times New Roman" w:cstheme="minorHAnsi"/>
                <w:color w:val="212121"/>
                <w:sz w:val="18"/>
                <w:szCs w:val="18"/>
              </w:rPr>
              <w:t>4</w:t>
            </w:r>
          </w:p>
        </w:tc>
        <w:tc>
          <w:tcPr>
            <w:tcW w:w="2611" w:type="pct"/>
            <w:tcBorders>
              <w:top w:val="nil"/>
              <w:left w:val="single" w:sz="4" w:space="0" w:color="auto"/>
              <w:bottom w:val="single" w:sz="4" w:space="0" w:color="auto"/>
              <w:right w:val="single" w:sz="4" w:space="0" w:color="auto"/>
            </w:tcBorders>
            <w:shd w:val="clear" w:color="auto" w:fill="auto"/>
          </w:tcPr>
          <w:p w14:paraId="5503A164" w14:textId="084FF210" w:rsidR="000C00B6" w:rsidRDefault="000C00B6" w:rsidP="000C00B6">
            <w:pPr>
              <w:spacing w:after="0" w:line="240" w:lineRule="auto"/>
              <w:rPr>
                <w:rFonts w:cstheme="minorBidi"/>
                <w:sz w:val="18"/>
                <w:szCs w:val="18"/>
              </w:rPr>
            </w:pPr>
            <w:r w:rsidRPr="08123348">
              <w:rPr>
                <w:rFonts w:cstheme="minorBidi"/>
                <w:sz w:val="18"/>
                <w:szCs w:val="18"/>
              </w:rPr>
              <w:t>Number of women, youth or PWDs owned or led businesses with improved access to higher economic opportunities</w:t>
            </w:r>
            <w:r>
              <w:rPr>
                <w:rFonts w:cstheme="minorBidi"/>
                <w:sz w:val="18"/>
                <w:szCs w:val="18"/>
              </w:rPr>
              <w:t>:</w:t>
            </w:r>
          </w:p>
          <w:p w14:paraId="64E28A73" w14:textId="77777777" w:rsidR="000C00B6" w:rsidRDefault="000C00B6" w:rsidP="000C00B6">
            <w:pPr>
              <w:pStyle w:val="ListParagraph"/>
              <w:numPr>
                <w:ilvl w:val="0"/>
                <w:numId w:val="23"/>
              </w:numPr>
              <w:spacing w:after="0" w:line="240" w:lineRule="auto"/>
              <w:rPr>
                <w:rFonts w:eastAsia="Times New Roman" w:cstheme="minorHAnsi"/>
                <w:color w:val="212121"/>
                <w:sz w:val="18"/>
                <w:szCs w:val="18"/>
              </w:rPr>
            </w:pPr>
            <w:r>
              <w:rPr>
                <w:rFonts w:eastAsia="Times New Roman" w:cstheme="minorHAnsi"/>
                <w:color w:val="212121"/>
                <w:sz w:val="18"/>
                <w:szCs w:val="18"/>
              </w:rPr>
              <w:t xml:space="preserve">Women </w:t>
            </w:r>
          </w:p>
          <w:p w14:paraId="61E637D7" w14:textId="77777777" w:rsidR="000C00B6" w:rsidRDefault="000C00B6" w:rsidP="000C00B6">
            <w:pPr>
              <w:pStyle w:val="ListParagraph"/>
              <w:numPr>
                <w:ilvl w:val="0"/>
                <w:numId w:val="23"/>
              </w:numPr>
              <w:spacing w:after="0" w:line="240" w:lineRule="auto"/>
              <w:rPr>
                <w:rFonts w:eastAsia="Times New Roman" w:cstheme="minorHAnsi"/>
                <w:color w:val="212121"/>
                <w:sz w:val="18"/>
                <w:szCs w:val="18"/>
              </w:rPr>
            </w:pPr>
            <w:r>
              <w:rPr>
                <w:rFonts w:eastAsia="Times New Roman" w:cstheme="minorHAnsi"/>
                <w:color w:val="212121"/>
                <w:sz w:val="18"/>
                <w:szCs w:val="18"/>
              </w:rPr>
              <w:t>Youth</w:t>
            </w:r>
          </w:p>
          <w:p w14:paraId="730A7BE1" w14:textId="7C0C3499" w:rsidR="000C00B6" w:rsidRPr="00FD08CE" w:rsidRDefault="000C00B6" w:rsidP="000C00B6">
            <w:pPr>
              <w:pStyle w:val="ListParagraph"/>
              <w:numPr>
                <w:ilvl w:val="0"/>
                <w:numId w:val="23"/>
              </w:numPr>
              <w:spacing w:after="0" w:line="240" w:lineRule="auto"/>
              <w:rPr>
                <w:rFonts w:eastAsia="Times New Roman" w:cstheme="minorBidi"/>
                <w:color w:val="212121"/>
                <w:sz w:val="18"/>
                <w:szCs w:val="18"/>
              </w:rPr>
            </w:pPr>
            <w:r w:rsidRPr="005A1A4D">
              <w:rPr>
                <w:rFonts w:eastAsia="Times New Roman" w:cstheme="minorBidi"/>
                <w:color w:val="212121"/>
                <w:sz w:val="18"/>
                <w:szCs w:val="18"/>
              </w:rPr>
              <w:t>PWD</w:t>
            </w:r>
          </w:p>
        </w:tc>
        <w:tc>
          <w:tcPr>
            <w:tcW w:w="468" w:type="pct"/>
            <w:tcBorders>
              <w:top w:val="nil"/>
              <w:left w:val="nil"/>
              <w:bottom w:val="single" w:sz="4" w:space="0" w:color="auto"/>
              <w:right w:val="single" w:sz="4" w:space="0" w:color="auto"/>
            </w:tcBorders>
            <w:shd w:val="clear" w:color="auto" w:fill="auto"/>
          </w:tcPr>
          <w:p w14:paraId="29061568" w14:textId="4C3B6E5B" w:rsidR="000C00B6" w:rsidRDefault="000C00B6" w:rsidP="000C00B6">
            <w:pPr>
              <w:spacing w:after="0" w:line="240" w:lineRule="auto"/>
              <w:jc w:val="right"/>
              <w:rPr>
                <w:rFonts w:cstheme="minorHAnsi"/>
                <w:color w:val="000000"/>
                <w:sz w:val="18"/>
                <w:szCs w:val="18"/>
              </w:rPr>
            </w:pPr>
            <w:r w:rsidRPr="00915A72">
              <w:rPr>
                <w:rFonts w:cstheme="minorHAnsi"/>
                <w:color w:val="000000"/>
                <w:sz w:val="18"/>
                <w:szCs w:val="18"/>
              </w:rPr>
              <w:t>609</w:t>
            </w:r>
          </w:p>
          <w:p w14:paraId="2D2F4B8D" w14:textId="77777777" w:rsidR="000C00B6" w:rsidRDefault="000C00B6" w:rsidP="000C00B6">
            <w:pPr>
              <w:spacing w:after="0" w:line="240" w:lineRule="auto"/>
              <w:jc w:val="right"/>
              <w:rPr>
                <w:rFonts w:cstheme="minorHAnsi"/>
                <w:color w:val="000000"/>
                <w:sz w:val="18"/>
                <w:szCs w:val="18"/>
              </w:rPr>
            </w:pPr>
          </w:p>
          <w:p w14:paraId="655E316F" w14:textId="7BE577BB" w:rsidR="000C00B6" w:rsidRDefault="000C00B6" w:rsidP="000C00B6">
            <w:pPr>
              <w:spacing w:after="0" w:line="240" w:lineRule="auto"/>
              <w:jc w:val="right"/>
              <w:rPr>
                <w:rFonts w:cstheme="minorHAnsi"/>
                <w:color w:val="000000"/>
                <w:sz w:val="18"/>
                <w:szCs w:val="18"/>
              </w:rPr>
            </w:pPr>
            <w:r>
              <w:rPr>
                <w:rFonts w:cstheme="minorHAnsi"/>
                <w:color w:val="000000"/>
                <w:sz w:val="18"/>
                <w:szCs w:val="18"/>
              </w:rPr>
              <w:t>518</w:t>
            </w:r>
          </w:p>
          <w:p w14:paraId="1D10B123" w14:textId="008ECBF6" w:rsidR="000C00B6" w:rsidRDefault="000C00B6" w:rsidP="000C00B6">
            <w:pPr>
              <w:spacing w:after="0" w:line="240" w:lineRule="auto"/>
              <w:jc w:val="right"/>
              <w:rPr>
                <w:rFonts w:cstheme="minorHAnsi"/>
                <w:color w:val="000000"/>
                <w:sz w:val="18"/>
                <w:szCs w:val="18"/>
              </w:rPr>
            </w:pPr>
            <w:r>
              <w:rPr>
                <w:rFonts w:cstheme="minorHAnsi"/>
                <w:color w:val="000000"/>
                <w:sz w:val="18"/>
                <w:szCs w:val="18"/>
              </w:rPr>
              <w:t>281</w:t>
            </w:r>
          </w:p>
          <w:p w14:paraId="743F630B" w14:textId="7355A5AA" w:rsidR="000C00B6" w:rsidRPr="00FD08CE" w:rsidRDefault="000C00B6" w:rsidP="000C00B6">
            <w:pPr>
              <w:spacing w:after="0" w:line="240" w:lineRule="auto"/>
              <w:jc w:val="right"/>
              <w:rPr>
                <w:rFonts w:eastAsia="Times New Roman" w:cstheme="minorHAnsi"/>
                <w:color w:val="212121"/>
                <w:sz w:val="18"/>
                <w:szCs w:val="18"/>
              </w:rPr>
            </w:pPr>
            <w:r>
              <w:rPr>
                <w:rFonts w:cstheme="minorHAnsi"/>
                <w:color w:val="000000"/>
                <w:sz w:val="18"/>
                <w:szCs w:val="18"/>
              </w:rPr>
              <w:t>8</w:t>
            </w:r>
          </w:p>
        </w:tc>
        <w:tc>
          <w:tcPr>
            <w:tcW w:w="582" w:type="pct"/>
            <w:tcBorders>
              <w:top w:val="nil"/>
              <w:left w:val="nil"/>
              <w:bottom w:val="single" w:sz="4" w:space="0" w:color="auto"/>
              <w:right w:val="single" w:sz="4" w:space="0" w:color="auto"/>
            </w:tcBorders>
          </w:tcPr>
          <w:p w14:paraId="5736E70B" w14:textId="77777777" w:rsidR="000C00B6" w:rsidRPr="00777671" w:rsidRDefault="000C00B6" w:rsidP="000C00B6">
            <w:pPr>
              <w:spacing w:after="0" w:line="240" w:lineRule="auto"/>
              <w:jc w:val="right"/>
              <w:rPr>
                <w:rFonts w:cstheme="minorHAnsi"/>
                <w:color w:val="000000"/>
                <w:sz w:val="18"/>
                <w:szCs w:val="18"/>
              </w:rPr>
            </w:pPr>
            <w:r w:rsidRPr="0055790B">
              <w:rPr>
                <w:rFonts w:cstheme="minorHAnsi"/>
                <w:color w:val="000000"/>
                <w:sz w:val="18"/>
                <w:szCs w:val="18"/>
              </w:rPr>
              <w:t>87</w:t>
            </w:r>
          </w:p>
          <w:p w14:paraId="49B34F3A" w14:textId="77777777" w:rsidR="000C00B6" w:rsidRDefault="000C00B6" w:rsidP="000C00B6">
            <w:pPr>
              <w:spacing w:after="0" w:line="240" w:lineRule="auto"/>
              <w:jc w:val="right"/>
              <w:rPr>
                <w:rFonts w:cstheme="minorHAnsi"/>
                <w:color w:val="000000"/>
                <w:sz w:val="18"/>
                <w:szCs w:val="18"/>
              </w:rPr>
            </w:pPr>
          </w:p>
          <w:p w14:paraId="704A807D" w14:textId="0897FC36" w:rsidR="000C00B6" w:rsidRPr="00777671" w:rsidRDefault="000C00B6" w:rsidP="000C00B6">
            <w:pPr>
              <w:spacing w:after="0" w:line="240" w:lineRule="auto"/>
              <w:jc w:val="right"/>
              <w:rPr>
                <w:rFonts w:cstheme="minorHAnsi"/>
                <w:color w:val="000000"/>
                <w:sz w:val="18"/>
                <w:szCs w:val="18"/>
              </w:rPr>
            </w:pPr>
            <w:r w:rsidRPr="0055790B">
              <w:rPr>
                <w:rFonts w:cstheme="minorHAnsi"/>
                <w:color w:val="000000"/>
                <w:sz w:val="18"/>
                <w:szCs w:val="18"/>
              </w:rPr>
              <w:t>62</w:t>
            </w:r>
          </w:p>
          <w:p w14:paraId="75302009" w14:textId="77777777" w:rsidR="000C00B6" w:rsidRPr="00777671" w:rsidRDefault="000C00B6" w:rsidP="000C00B6">
            <w:pPr>
              <w:spacing w:after="0" w:line="240" w:lineRule="auto"/>
              <w:jc w:val="right"/>
              <w:rPr>
                <w:rFonts w:cstheme="minorHAnsi"/>
                <w:color w:val="000000"/>
                <w:sz w:val="18"/>
                <w:szCs w:val="18"/>
              </w:rPr>
            </w:pPr>
            <w:r w:rsidRPr="0055790B">
              <w:rPr>
                <w:rFonts w:cstheme="minorHAnsi"/>
                <w:color w:val="000000"/>
                <w:sz w:val="18"/>
                <w:szCs w:val="18"/>
              </w:rPr>
              <w:t>53</w:t>
            </w:r>
          </w:p>
          <w:p w14:paraId="56CEBF9A" w14:textId="666495D2" w:rsidR="000C00B6" w:rsidRPr="00777671" w:rsidRDefault="000C00B6" w:rsidP="000C00B6">
            <w:pPr>
              <w:spacing w:after="0" w:line="240" w:lineRule="auto"/>
              <w:jc w:val="right"/>
              <w:rPr>
                <w:rFonts w:cstheme="minorHAnsi"/>
                <w:color w:val="000000"/>
                <w:sz w:val="18"/>
                <w:szCs w:val="18"/>
              </w:rPr>
            </w:pPr>
            <w:r w:rsidRPr="0055790B">
              <w:rPr>
                <w:rFonts w:cstheme="minorHAnsi"/>
                <w:color w:val="000000"/>
                <w:sz w:val="18"/>
                <w:szCs w:val="18"/>
              </w:rPr>
              <w:t>5</w:t>
            </w:r>
          </w:p>
        </w:tc>
        <w:tc>
          <w:tcPr>
            <w:tcW w:w="432" w:type="pct"/>
            <w:tcBorders>
              <w:top w:val="nil"/>
              <w:left w:val="single" w:sz="4" w:space="0" w:color="auto"/>
              <w:bottom w:val="single" w:sz="4" w:space="0" w:color="auto"/>
              <w:right w:val="single" w:sz="4" w:space="0" w:color="auto"/>
            </w:tcBorders>
            <w:shd w:val="clear" w:color="auto" w:fill="E1E7F7"/>
          </w:tcPr>
          <w:p w14:paraId="0720AABB" w14:textId="5A7F0AD0" w:rsidR="000C00B6" w:rsidRPr="00FD08CE" w:rsidRDefault="000C00B6" w:rsidP="000C00B6">
            <w:pPr>
              <w:spacing w:after="0" w:line="240" w:lineRule="auto"/>
              <w:jc w:val="center"/>
              <w:rPr>
                <w:rFonts w:eastAsia="Times New Roman" w:cstheme="minorHAnsi"/>
                <w:color w:val="212121"/>
                <w:sz w:val="18"/>
                <w:szCs w:val="18"/>
              </w:rPr>
            </w:pPr>
            <w:r>
              <w:rPr>
                <w:rFonts w:eastAsia="Times New Roman" w:cstheme="minorHAnsi"/>
                <w:color w:val="212121"/>
                <w:sz w:val="18"/>
                <w:szCs w:val="18"/>
              </w:rPr>
              <w:t>50</w:t>
            </w:r>
          </w:p>
        </w:tc>
        <w:tc>
          <w:tcPr>
            <w:tcW w:w="439" w:type="pct"/>
            <w:tcBorders>
              <w:top w:val="nil"/>
              <w:left w:val="nil"/>
              <w:bottom w:val="single" w:sz="4" w:space="0" w:color="auto"/>
              <w:right w:val="single" w:sz="4" w:space="0" w:color="auto"/>
            </w:tcBorders>
            <w:shd w:val="clear" w:color="auto" w:fill="E1E7F7"/>
          </w:tcPr>
          <w:p w14:paraId="0B428587" w14:textId="77777777" w:rsidR="000C00B6" w:rsidRPr="00FD08CE" w:rsidRDefault="000C00B6" w:rsidP="000C00B6">
            <w:pPr>
              <w:spacing w:after="0" w:line="240" w:lineRule="auto"/>
              <w:jc w:val="center"/>
              <w:rPr>
                <w:rFonts w:eastAsia="Times New Roman" w:cstheme="minorHAnsi"/>
                <w:color w:val="212121"/>
                <w:sz w:val="18"/>
                <w:szCs w:val="18"/>
              </w:rPr>
            </w:pPr>
            <w:r>
              <w:rPr>
                <w:rFonts w:eastAsia="Times New Roman" w:cstheme="minorHAnsi"/>
                <w:color w:val="212121"/>
                <w:sz w:val="18"/>
                <w:szCs w:val="18"/>
              </w:rPr>
              <w:t>137</w:t>
            </w:r>
          </w:p>
        </w:tc>
      </w:tr>
      <w:tr w:rsidR="000C00B6" w:rsidRPr="00FD08CE" w14:paraId="1279283F" w14:textId="77777777" w:rsidTr="00421D52">
        <w:trPr>
          <w:trHeight w:val="227"/>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099CCE8F"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5</w:t>
            </w:r>
          </w:p>
        </w:tc>
        <w:tc>
          <w:tcPr>
            <w:tcW w:w="270" w:type="pct"/>
            <w:gridSpan w:val="2"/>
            <w:tcBorders>
              <w:top w:val="nil"/>
              <w:left w:val="single" w:sz="4" w:space="0" w:color="auto"/>
              <w:bottom w:val="single" w:sz="4" w:space="0" w:color="auto"/>
              <w:right w:val="single" w:sz="4" w:space="0" w:color="auto"/>
            </w:tcBorders>
            <w:vAlign w:val="center"/>
          </w:tcPr>
          <w:p w14:paraId="68CBA4C9" w14:textId="743405C5" w:rsidR="000C00B6" w:rsidRPr="00915A72" w:rsidRDefault="000C00B6" w:rsidP="000C00B6">
            <w:pPr>
              <w:spacing w:after="0" w:line="240" w:lineRule="auto"/>
              <w:jc w:val="center"/>
              <w:rPr>
                <w:rFonts w:cstheme="minorHAnsi"/>
                <w:color w:val="000000"/>
                <w:sz w:val="18"/>
                <w:szCs w:val="18"/>
              </w:rPr>
            </w:pPr>
            <w:r>
              <w:rPr>
                <w:rFonts w:eastAsia="Times New Roman" w:cstheme="minorHAnsi"/>
                <w:color w:val="000000"/>
                <w:sz w:val="18"/>
                <w:szCs w:val="18"/>
              </w:rPr>
              <w:t>3</w:t>
            </w:r>
          </w:p>
        </w:tc>
        <w:tc>
          <w:tcPr>
            <w:tcW w:w="2611" w:type="pct"/>
            <w:tcBorders>
              <w:top w:val="nil"/>
              <w:left w:val="single" w:sz="4" w:space="0" w:color="auto"/>
              <w:bottom w:val="single" w:sz="4" w:space="0" w:color="auto"/>
              <w:right w:val="single" w:sz="4" w:space="0" w:color="auto"/>
            </w:tcBorders>
            <w:shd w:val="clear" w:color="auto" w:fill="auto"/>
            <w:vAlign w:val="bottom"/>
          </w:tcPr>
          <w:p w14:paraId="5FACF806" w14:textId="42D7B871" w:rsidR="000C00B6" w:rsidRPr="00FD08CE" w:rsidRDefault="000C00B6" w:rsidP="000C00B6">
            <w:pPr>
              <w:spacing w:after="0" w:line="240" w:lineRule="auto"/>
              <w:rPr>
                <w:rFonts w:eastAsia="Times New Roman" w:cstheme="minorHAnsi"/>
                <w:color w:val="212121"/>
                <w:sz w:val="18"/>
                <w:szCs w:val="18"/>
              </w:rPr>
            </w:pPr>
            <w:r w:rsidRPr="00915A72">
              <w:rPr>
                <w:rFonts w:cstheme="minorHAnsi"/>
                <w:color w:val="000000"/>
                <w:sz w:val="18"/>
                <w:szCs w:val="18"/>
              </w:rPr>
              <w:t>Number of women reporting improvement in their access and control over productive resources in the household and community</w:t>
            </w:r>
          </w:p>
        </w:tc>
        <w:tc>
          <w:tcPr>
            <w:tcW w:w="468" w:type="pct"/>
            <w:tcBorders>
              <w:top w:val="nil"/>
              <w:left w:val="nil"/>
              <w:bottom w:val="single" w:sz="4" w:space="0" w:color="auto"/>
              <w:right w:val="single" w:sz="4" w:space="0" w:color="auto"/>
            </w:tcBorders>
            <w:shd w:val="clear" w:color="auto" w:fill="auto"/>
            <w:vAlign w:val="center"/>
          </w:tcPr>
          <w:p w14:paraId="09B3E13D" w14:textId="77777777" w:rsidR="000C00B6" w:rsidRPr="00FD08CE" w:rsidRDefault="000C00B6" w:rsidP="000C00B6">
            <w:pPr>
              <w:spacing w:after="0" w:line="240" w:lineRule="auto"/>
              <w:jc w:val="right"/>
              <w:rPr>
                <w:rFonts w:eastAsia="Times New Roman" w:cstheme="minorHAnsi"/>
                <w:color w:val="000000"/>
                <w:sz w:val="18"/>
                <w:szCs w:val="18"/>
              </w:rPr>
            </w:pPr>
            <w:r w:rsidRPr="00915A72">
              <w:rPr>
                <w:rFonts w:cstheme="minorHAnsi"/>
                <w:color w:val="000000"/>
                <w:sz w:val="18"/>
                <w:szCs w:val="18"/>
              </w:rPr>
              <w:t>75</w:t>
            </w:r>
          </w:p>
        </w:tc>
        <w:tc>
          <w:tcPr>
            <w:tcW w:w="582" w:type="pct"/>
            <w:tcBorders>
              <w:top w:val="nil"/>
              <w:left w:val="nil"/>
              <w:bottom w:val="single" w:sz="4" w:space="0" w:color="auto"/>
              <w:right w:val="single" w:sz="4" w:space="0" w:color="auto"/>
            </w:tcBorders>
            <w:vAlign w:val="center"/>
          </w:tcPr>
          <w:p w14:paraId="49B526F9" w14:textId="585F2F14" w:rsidR="000C00B6" w:rsidRPr="00777671" w:rsidRDefault="000C00B6" w:rsidP="000C00B6">
            <w:pPr>
              <w:spacing w:after="0" w:line="240" w:lineRule="auto"/>
              <w:jc w:val="right"/>
              <w:rPr>
                <w:rFonts w:cstheme="minorHAnsi"/>
                <w:color w:val="000000"/>
                <w:sz w:val="18"/>
                <w:szCs w:val="18"/>
              </w:rPr>
            </w:pPr>
            <w:r w:rsidRPr="00777671">
              <w:rPr>
                <w:rFonts w:cstheme="minorHAnsi"/>
                <w:color w:val="000000"/>
                <w:sz w:val="18"/>
                <w:szCs w:val="18"/>
              </w:rPr>
              <w:t>21</w:t>
            </w:r>
          </w:p>
        </w:tc>
        <w:tc>
          <w:tcPr>
            <w:tcW w:w="432" w:type="pct"/>
            <w:tcBorders>
              <w:top w:val="nil"/>
              <w:left w:val="single" w:sz="4" w:space="0" w:color="auto"/>
              <w:bottom w:val="single" w:sz="4" w:space="0" w:color="auto"/>
              <w:right w:val="single" w:sz="4" w:space="0" w:color="auto"/>
            </w:tcBorders>
            <w:shd w:val="clear" w:color="auto" w:fill="E1E7F7"/>
            <w:vAlign w:val="center"/>
          </w:tcPr>
          <w:p w14:paraId="7B14BA59" w14:textId="722D2A1A" w:rsidR="000C00B6" w:rsidRPr="00FD08CE" w:rsidRDefault="000C00B6"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22</w:t>
            </w:r>
          </w:p>
        </w:tc>
        <w:tc>
          <w:tcPr>
            <w:tcW w:w="439" w:type="pct"/>
            <w:tcBorders>
              <w:top w:val="nil"/>
              <w:left w:val="nil"/>
              <w:bottom w:val="single" w:sz="4" w:space="0" w:color="auto"/>
              <w:right w:val="single" w:sz="4" w:space="0" w:color="auto"/>
            </w:tcBorders>
            <w:shd w:val="clear" w:color="auto" w:fill="E1E7F7"/>
            <w:vAlign w:val="center"/>
          </w:tcPr>
          <w:p w14:paraId="653DE4A3" w14:textId="77777777" w:rsidR="000C00B6" w:rsidRPr="00FD08CE" w:rsidRDefault="000C00B6"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48</w:t>
            </w:r>
          </w:p>
        </w:tc>
      </w:tr>
      <w:tr w:rsidR="00E77C0F" w:rsidRPr="00FD08CE" w14:paraId="1CFF9A06" w14:textId="77777777" w:rsidTr="00E77C0F">
        <w:trPr>
          <w:trHeight w:val="227"/>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D09A2FF" w14:textId="77777777" w:rsidR="00E77C0F" w:rsidRPr="00FD08CE" w:rsidRDefault="00E77C0F"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6</w:t>
            </w:r>
          </w:p>
        </w:tc>
        <w:tc>
          <w:tcPr>
            <w:tcW w:w="270" w:type="pct"/>
            <w:gridSpan w:val="2"/>
            <w:tcBorders>
              <w:top w:val="nil"/>
              <w:left w:val="single" w:sz="4" w:space="0" w:color="auto"/>
              <w:bottom w:val="single" w:sz="4" w:space="0" w:color="auto"/>
              <w:right w:val="single" w:sz="4" w:space="0" w:color="auto"/>
            </w:tcBorders>
            <w:vAlign w:val="center"/>
          </w:tcPr>
          <w:p w14:paraId="637A2406" w14:textId="0ACE3D26" w:rsidR="00E77C0F" w:rsidRPr="08123348" w:rsidRDefault="00E77C0F" w:rsidP="000C00B6">
            <w:pPr>
              <w:spacing w:after="0" w:line="240" w:lineRule="auto"/>
              <w:jc w:val="center"/>
              <w:rPr>
                <w:rFonts w:cstheme="minorBidi"/>
                <w:sz w:val="18"/>
                <w:szCs w:val="18"/>
              </w:rPr>
            </w:pPr>
            <w:r>
              <w:rPr>
                <w:rFonts w:eastAsia="Times New Roman" w:cstheme="minorHAnsi"/>
                <w:color w:val="000000"/>
                <w:sz w:val="18"/>
                <w:szCs w:val="18"/>
              </w:rPr>
              <w:t>2</w:t>
            </w:r>
          </w:p>
        </w:tc>
        <w:tc>
          <w:tcPr>
            <w:tcW w:w="2611" w:type="pct"/>
            <w:tcBorders>
              <w:top w:val="nil"/>
              <w:left w:val="single" w:sz="4" w:space="0" w:color="auto"/>
              <w:bottom w:val="single" w:sz="4" w:space="0" w:color="auto"/>
              <w:right w:val="single" w:sz="4" w:space="0" w:color="auto"/>
            </w:tcBorders>
            <w:shd w:val="clear" w:color="auto" w:fill="auto"/>
            <w:vAlign w:val="center"/>
          </w:tcPr>
          <w:p w14:paraId="05BEEDA0" w14:textId="48A4FC97" w:rsidR="00E77C0F" w:rsidRPr="00233F6C" w:rsidRDefault="00E77C0F" w:rsidP="008C607C">
            <w:pPr>
              <w:spacing w:after="0" w:line="240" w:lineRule="auto"/>
              <w:rPr>
                <w:rFonts w:cstheme="minorBidi"/>
                <w:color w:val="000000"/>
                <w:sz w:val="18"/>
                <w:szCs w:val="18"/>
              </w:rPr>
            </w:pPr>
            <w:r w:rsidRPr="08123348">
              <w:rPr>
                <w:rFonts w:cstheme="minorBidi"/>
                <w:sz w:val="18"/>
                <w:szCs w:val="18"/>
              </w:rPr>
              <w:t>Number of household and small enterprise beneficiaries adopting improved business practice* (Not disaggregated.)</w:t>
            </w:r>
          </w:p>
        </w:tc>
        <w:tc>
          <w:tcPr>
            <w:tcW w:w="468" w:type="pct"/>
            <w:tcBorders>
              <w:top w:val="nil"/>
              <w:left w:val="nil"/>
              <w:bottom w:val="single" w:sz="4" w:space="0" w:color="auto"/>
              <w:right w:val="single" w:sz="4" w:space="0" w:color="auto"/>
            </w:tcBorders>
            <w:shd w:val="clear" w:color="auto" w:fill="auto"/>
            <w:vAlign w:val="center"/>
          </w:tcPr>
          <w:p w14:paraId="08AED690" w14:textId="77777777" w:rsidR="00E77C0F" w:rsidRPr="00FD08CE" w:rsidRDefault="00E77C0F" w:rsidP="000C00B6">
            <w:pPr>
              <w:spacing w:after="0" w:line="240" w:lineRule="auto"/>
              <w:jc w:val="right"/>
              <w:rPr>
                <w:rFonts w:eastAsia="Times New Roman" w:cstheme="minorHAnsi"/>
                <w:color w:val="000000"/>
                <w:sz w:val="18"/>
                <w:szCs w:val="18"/>
              </w:rPr>
            </w:pPr>
            <w:r w:rsidRPr="00915A72">
              <w:rPr>
                <w:rFonts w:cstheme="minorHAnsi"/>
                <w:color w:val="000000"/>
                <w:sz w:val="18"/>
                <w:szCs w:val="18"/>
              </w:rPr>
              <w:t>238</w:t>
            </w:r>
          </w:p>
        </w:tc>
        <w:tc>
          <w:tcPr>
            <w:tcW w:w="582" w:type="pct"/>
            <w:tcBorders>
              <w:top w:val="nil"/>
              <w:left w:val="nil"/>
              <w:bottom w:val="single" w:sz="4" w:space="0" w:color="auto"/>
              <w:right w:val="single" w:sz="4" w:space="0" w:color="auto"/>
            </w:tcBorders>
            <w:vAlign w:val="center"/>
          </w:tcPr>
          <w:p w14:paraId="52DE854E" w14:textId="515E23B6" w:rsidR="00E77C0F" w:rsidRPr="00777671" w:rsidRDefault="00E77C0F" w:rsidP="000C00B6">
            <w:pPr>
              <w:spacing w:after="0" w:line="240" w:lineRule="auto"/>
              <w:jc w:val="right"/>
              <w:rPr>
                <w:rFonts w:cstheme="minorHAnsi"/>
                <w:color w:val="000000"/>
                <w:sz w:val="18"/>
                <w:szCs w:val="18"/>
              </w:rPr>
            </w:pPr>
            <w:r w:rsidRPr="00777671">
              <w:rPr>
                <w:rFonts w:cstheme="minorHAnsi"/>
                <w:color w:val="000000"/>
                <w:sz w:val="18"/>
                <w:szCs w:val="18"/>
              </w:rPr>
              <w:t>49</w:t>
            </w:r>
          </w:p>
        </w:tc>
        <w:tc>
          <w:tcPr>
            <w:tcW w:w="871" w:type="pct"/>
            <w:gridSpan w:val="2"/>
            <w:vMerge w:val="restart"/>
            <w:tcBorders>
              <w:top w:val="nil"/>
              <w:left w:val="single" w:sz="4" w:space="0" w:color="auto"/>
              <w:right w:val="single" w:sz="4" w:space="0" w:color="auto"/>
            </w:tcBorders>
            <w:shd w:val="clear" w:color="auto" w:fill="E1E7F7"/>
            <w:vAlign w:val="center"/>
          </w:tcPr>
          <w:p w14:paraId="342C27CC" w14:textId="5C7BD041" w:rsidR="00E77C0F" w:rsidRPr="00FD08CE" w:rsidRDefault="00E77C0F" w:rsidP="00161C2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Table 3 (EOPO1)</w:t>
            </w:r>
          </w:p>
        </w:tc>
      </w:tr>
      <w:tr w:rsidR="00E77C0F" w:rsidRPr="00411A98" w14:paraId="2340107C" w14:textId="77777777">
        <w:tblPrEx>
          <w:tblCellMar>
            <w:left w:w="108" w:type="dxa"/>
            <w:bottom w:w="28" w:type="dxa"/>
            <w:right w:w="108" w:type="dxa"/>
          </w:tblCellMar>
        </w:tblPrEx>
        <w:trPr>
          <w:trHeight w:val="227"/>
        </w:trPr>
        <w:tc>
          <w:tcPr>
            <w:tcW w:w="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2733C" w14:textId="77777777" w:rsidR="00E77C0F" w:rsidRPr="001E7502" w:rsidRDefault="00E77C0F">
            <w:pPr>
              <w:spacing w:after="0" w:line="240" w:lineRule="auto"/>
              <w:rPr>
                <w:rFonts w:eastAsia="Times New Roman" w:cstheme="minorHAnsi"/>
                <w:color w:val="212121"/>
                <w:sz w:val="18"/>
                <w:szCs w:val="18"/>
              </w:rPr>
            </w:pPr>
            <w:r w:rsidRPr="001E7502">
              <w:rPr>
                <w:rFonts w:cstheme="minorHAnsi"/>
                <w:color w:val="212121"/>
                <w:sz w:val="18"/>
                <w:szCs w:val="18"/>
              </w:rPr>
              <w:t>7</w:t>
            </w:r>
          </w:p>
        </w:tc>
        <w:tc>
          <w:tcPr>
            <w:tcW w:w="270" w:type="pct"/>
            <w:gridSpan w:val="2"/>
            <w:tcBorders>
              <w:top w:val="single" w:sz="4" w:space="0" w:color="auto"/>
              <w:left w:val="single" w:sz="4" w:space="0" w:color="auto"/>
              <w:bottom w:val="single" w:sz="4" w:space="0" w:color="auto"/>
              <w:right w:val="single" w:sz="4" w:space="0" w:color="auto"/>
            </w:tcBorders>
            <w:vAlign w:val="center"/>
          </w:tcPr>
          <w:p w14:paraId="3F5BBC9C" w14:textId="77777777" w:rsidR="00E77C0F" w:rsidRPr="001409B4" w:rsidRDefault="00E77C0F" w:rsidP="00222A01">
            <w:pPr>
              <w:spacing w:after="0" w:line="240" w:lineRule="auto"/>
              <w:jc w:val="center"/>
              <w:rPr>
                <w:rFonts w:eastAsia="Times New Roman" w:cstheme="minorHAnsi"/>
                <w:color w:val="212121"/>
                <w:sz w:val="18"/>
                <w:szCs w:val="18"/>
              </w:rPr>
            </w:pPr>
            <w:r w:rsidRPr="001409B4">
              <w:rPr>
                <w:rFonts w:eastAsia="Times New Roman" w:cstheme="minorHAnsi"/>
                <w:color w:val="000000"/>
                <w:sz w:val="18"/>
                <w:szCs w:val="18"/>
              </w:rPr>
              <w:t>5</w:t>
            </w:r>
          </w:p>
        </w:tc>
        <w:tc>
          <w:tcPr>
            <w:tcW w:w="2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F7128" w14:textId="40DFB639" w:rsidR="00E77C0F" w:rsidRPr="00222A01" w:rsidRDefault="00E77C0F">
            <w:pPr>
              <w:spacing w:after="0" w:line="240" w:lineRule="auto"/>
              <w:rPr>
                <w:rFonts w:cstheme="minorBidi"/>
                <w:sz w:val="18"/>
                <w:szCs w:val="18"/>
              </w:rPr>
            </w:pPr>
            <w:r w:rsidRPr="00222A01">
              <w:rPr>
                <w:rFonts w:cstheme="minorBidi"/>
                <w:sz w:val="18"/>
                <w:szCs w:val="18"/>
              </w:rPr>
              <w:t>Number of household and small enterprise beneficiaries with improved access to markets or information or products/services</w:t>
            </w:r>
            <w:r>
              <w:rPr>
                <w:rFonts w:cstheme="minorBidi"/>
                <w:sz w:val="18"/>
                <w:szCs w:val="18"/>
              </w:rPr>
              <w:t>***</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1184E61F" w14:textId="77777777" w:rsidR="00E77C0F" w:rsidRPr="005D04B3" w:rsidRDefault="00E77C0F">
            <w:pPr>
              <w:spacing w:after="0" w:line="240" w:lineRule="auto"/>
              <w:jc w:val="right"/>
              <w:rPr>
                <w:rFonts w:eastAsia="Times New Roman" w:cstheme="minorHAnsi"/>
                <w:color w:val="000000"/>
                <w:sz w:val="18"/>
                <w:szCs w:val="18"/>
              </w:rPr>
            </w:pPr>
            <w:r w:rsidRPr="005D04B3">
              <w:rPr>
                <w:rFonts w:eastAsia="Times New Roman" w:cstheme="minorHAnsi"/>
                <w:color w:val="000000"/>
                <w:sz w:val="18"/>
                <w:szCs w:val="18"/>
              </w:rPr>
              <w:t>1287</w:t>
            </w:r>
          </w:p>
        </w:tc>
        <w:tc>
          <w:tcPr>
            <w:tcW w:w="582" w:type="pct"/>
            <w:tcBorders>
              <w:top w:val="single" w:sz="4" w:space="0" w:color="auto"/>
              <w:left w:val="nil"/>
              <w:bottom w:val="single" w:sz="4" w:space="0" w:color="auto"/>
              <w:right w:val="single" w:sz="4" w:space="0" w:color="auto"/>
            </w:tcBorders>
            <w:shd w:val="clear" w:color="auto" w:fill="FFFFFF" w:themeFill="background1"/>
            <w:vAlign w:val="center"/>
          </w:tcPr>
          <w:p w14:paraId="74699458" w14:textId="1E26721E" w:rsidR="00E77C0F" w:rsidRPr="008759EA" w:rsidRDefault="00E77C0F">
            <w:pPr>
              <w:spacing w:after="0" w:line="240" w:lineRule="auto"/>
              <w:jc w:val="right"/>
              <w:rPr>
                <w:rFonts w:eastAsia="Times New Roman" w:cstheme="minorHAnsi"/>
                <w:color w:val="000000"/>
                <w:sz w:val="18"/>
                <w:szCs w:val="18"/>
              </w:rPr>
            </w:pPr>
            <w:r>
              <w:rPr>
                <w:rFonts w:eastAsia="Times New Roman" w:cstheme="minorHAnsi"/>
                <w:color w:val="000000"/>
                <w:sz w:val="18"/>
                <w:szCs w:val="18"/>
              </w:rPr>
              <w:t>144</w:t>
            </w:r>
          </w:p>
        </w:tc>
        <w:tc>
          <w:tcPr>
            <w:tcW w:w="871" w:type="pct"/>
            <w:gridSpan w:val="2"/>
            <w:vMerge/>
            <w:tcBorders>
              <w:left w:val="single" w:sz="4" w:space="0" w:color="auto"/>
              <w:bottom w:val="single" w:sz="4" w:space="0" w:color="auto"/>
              <w:right w:val="single" w:sz="4" w:space="0" w:color="auto"/>
            </w:tcBorders>
            <w:shd w:val="clear" w:color="auto" w:fill="E1E7F7"/>
            <w:vAlign w:val="center"/>
          </w:tcPr>
          <w:p w14:paraId="0024EA60" w14:textId="6352CC21" w:rsidR="00E77C0F" w:rsidRPr="00040A2C" w:rsidRDefault="00E77C0F" w:rsidP="00161C29">
            <w:pPr>
              <w:spacing w:after="0" w:line="240" w:lineRule="auto"/>
              <w:jc w:val="center"/>
              <w:rPr>
                <w:rFonts w:eastAsia="Times New Roman" w:cstheme="minorHAnsi"/>
                <w:color w:val="000000"/>
                <w:sz w:val="18"/>
                <w:szCs w:val="18"/>
              </w:rPr>
            </w:pPr>
          </w:p>
        </w:tc>
      </w:tr>
      <w:tr w:rsidR="000C00B6" w:rsidRPr="00FD08CE" w14:paraId="047F3E31" w14:textId="77777777" w:rsidTr="00421D52">
        <w:trPr>
          <w:trHeight w:val="227"/>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14C494A6"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8</w:t>
            </w:r>
          </w:p>
        </w:tc>
        <w:tc>
          <w:tcPr>
            <w:tcW w:w="270" w:type="pct"/>
            <w:gridSpan w:val="2"/>
            <w:tcBorders>
              <w:top w:val="nil"/>
              <w:left w:val="single" w:sz="4" w:space="0" w:color="auto"/>
              <w:bottom w:val="single" w:sz="4" w:space="0" w:color="auto"/>
              <w:right w:val="single" w:sz="4" w:space="0" w:color="auto"/>
            </w:tcBorders>
            <w:vAlign w:val="center"/>
          </w:tcPr>
          <w:p w14:paraId="274A5182" w14:textId="250C818B" w:rsidR="000C00B6" w:rsidRPr="00915A72" w:rsidRDefault="000C00B6" w:rsidP="000C00B6">
            <w:pPr>
              <w:spacing w:after="0" w:line="240" w:lineRule="auto"/>
              <w:jc w:val="center"/>
              <w:rPr>
                <w:rFonts w:cstheme="minorHAnsi"/>
                <w:color w:val="000000"/>
                <w:sz w:val="18"/>
                <w:szCs w:val="18"/>
              </w:rPr>
            </w:pPr>
            <w:r>
              <w:rPr>
                <w:rFonts w:eastAsia="Times New Roman" w:cstheme="minorHAnsi"/>
                <w:color w:val="000000"/>
                <w:sz w:val="18"/>
                <w:szCs w:val="18"/>
              </w:rPr>
              <w:t>n/a</w:t>
            </w:r>
          </w:p>
        </w:tc>
        <w:tc>
          <w:tcPr>
            <w:tcW w:w="2611" w:type="pct"/>
            <w:tcBorders>
              <w:top w:val="nil"/>
              <w:left w:val="single" w:sz="4" w:space="0" w:color="auto"/>
              <w:bottom w:val="single" w:sz="4" w:space="0" w:color="auto"/>
              <w:right w:val="single" w:sz="4" w:space="0" w:color="auto"/>
            </w:tcBorders>
            <w:shd w:val="clear" w:color="auto" w:fill="auto"/>
            <w:vAlign w:val="bottom"/>
          </w:tcPr>
          <w:p w14:paraId="54876E2F" w14:textId="6CC04600" w:rsidR="000C00B6" w:rsidRPr="00FD08CE" w:rsidRDefault="000C00B6" w:rsidP="000C00B6">
            <w:pPr>
              <w:spacing w:after="0" w:line="240" w:lineRule="auto"/>
              <w:rPr>
                <w:rFonts w:eastAsia="Times New Roman" w:cstheme="minorHAnsi"/>
                <w:color w:val="212121"/>
                <w:sz w:val="18"/>
                <w:szCs w:val="18"/>
              </w:rPr>
            </w:pPr>
            <w:r w:rsidRPr="00915A72">
              <w:rPr>
                <w:rFonts w:cstheme="minorHAnsi"/>
                <w:color w:val="000000"/>
                <w:sz w:val="18"/>
                <w:szCs w:val="18"/>
              </w:rPr>
              <w:t>Number of women accessing new products or services that potentially improve their access and control over household and/or community productive resources</w:t>
            </w:r>
          </w:p>
        </w:tc>
        <w:tc>
          <w:tcPr>
            <w:tcW w:w="468" w:type="pct"/>
            <w:tcBorders>
              <w:top w:val="nil"/>
              <w:left w:val="nil"/>
              <w:bottom w:val="single" w:sz="4" w:space="0" w:color="auto"/>
              <w:right w:val="single" w:sz="4" w:space="0" w:color="auto"/>
            </w:tcBorders>
            <w:shd w:val="clear" w:color="auto" w:fill="auto"/>
            <w:vAlign w:val="center"/>
          </w:tcPr>
          <w:p w14:paraId="6A9ADEA8" w14:textId="77777777" w:rsidR="000C00B6" w:rsidRPr="00FD08CE" w:rsidRDefault="000C00B6" w:rsidP="000C00B6">
            <w:pPr>
              <w:spacing w:after="0" w:line="240" w:lineRule="auto"/>
              <w:jc w:val="right"/>
              <w:rPr>
                <w:rFonts w:eastAsia="Times New Roman" w:cstheme="minorHAnsi"/>
                <w:color w:val="000000"/>
                <w:sz w:val="18"/>
                <w:szCs w:val="18"/>
              </w:rPr>
            </w:pPr>
            <w:r w:rsidRPr="00915A72">
              <w:rPr>
                <w:rFonts w:cstheme="minorHAnsi"/>
                <w:color w:val="000000"/>
                <w:sz w:val="18"/>
                <w:szCs w:val="18"/>
              </w:rPr>
              <w:t>397</w:t>
            </w:r>
          </w:p>
        </w:tc>
        <w:tc>
          <w:tcPr>
            <w:tcW w:w="582" w:type="pct"/>
            <w:tcBorders>
              <w:top w:val="nil"/>
              <w:left w:val="nil"/>
              <w:bottom w:val="single" w:sz="4" w:space="0" w:color="auto"/>
              <w:right w:val="single" w:sz="4" w:space="0" w:color="auto"/>
            </w:tcBorders>
            <w:vAlign w:val="center"/>
          </w:tcPr>
          <w:p w14:paraId="7E6F05EB" w14:textId="4DE5927A" w:rsidR="000C00B6" w:rsidRPr="00777671" w:rsidRDefault="000C00B6" w:rsidP="000C00B6">
            <w:pPr>
              <w:spacing w:after="0" w:line="240" w:lineRule="auto"/>
              <w:jc w:val="right"/>
              <w:rPr>
                <w:rFonts w:cstheme="minorHAnsi"/>
                <w:color w:val="000000"/>
                <w:sz w:val="18"/>
                <w:szCs w:val="18"/>
              </w:rPr>
            </w:pPr>
            <w:r w:rsidRPr="00777671">
              <w:rPr>
                <w:rFonts w:cstheme="minorHAnsi"/>
                <w:color w:val="000000"/>
                <w:sz w:val="18"/>
                <w:szCs w:val="18"/>
              </w:rPr>
              <w:t>100</w:t>
            </w:r>
          </w:p>
        </w:tc>
        <w:tc>
          <w:tcPr>
            <w:tcW w:w="432" w:type="pct"/>
            <w:tcBorders>
              <w:top w:val="nil"/>
              <w:left w:val="single" w:sz="4" w:space="0" w:color="auto"/>
              <w:bottom w:val="single" w:sz="4" w:space="0" w:color="auto"/>
              <w:right w:val="single" w:sz="4" w:space="0" w:color="auto"/>
            </w:tcBorders>
            <w:shd w:val="clear" w:color="auto" w:fill="E1E7F7"/>
            <w:vAlign w:val="center"/>
          </w:tcPr>
          <w:p w14:paraId="4D5FDF22" w14:textId="08239FFC" w:rsidR="000C00B6" w:rsidRPr="00FD08CE" w:rsidRDefault="00E418D8"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c>
          <w:tcPr>
            <w:tcW w:w="439" w:type="pct"/>
            <w:tcBorders>
              <w:top w:val="nil"/>
              <w:left w:val="nil"/>
              <w:bottom w:val="single" w:sz="4" w:space="0" w:color="auto"/>
              <w:right w:val="single" w:sz="4" w:space="0" w:color="auto"/>
            </w:tcBorders>
            <w:shd w:val="clear" w:color="auto" w:fill="E1E7F7"/>
            <w:vAlign w:val="center"/>
          </w:tcPr>
          <w:p w14:paraId="71FFFC4E" w14:textId="54256BF5" w:rsidR="000C00B6" w:rsidRPr="00FD08CE" w:rsidRDefault="00E418D8"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n/a</w:t>
            </w:r>
          </w:p>
        </w:tc>
      </w:tr>
      <w:tr w:rsidR="000C00B6" w:rsidRPr="00FD08CE" w14:paraId="497C5730" w14:textId="77777777" w:rsidTr="00421D52">
        <w:trPr>
          <w:trHeight w:val="227"/>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0818909"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15</w:t>
            </w:r>
          </w:p>
        </w:tc>
        <w:tc>
          <w:tcPr>
            <w:tcW w:w="270" w:type="pct"/>
            <w:gridSpan w:val="2"/>
            <w:tcBorders>
              <w:top w:val="nil"/>
              <w:left w:val="single" w:sz="4" w:space="0" w:color="auto"/>
              <w:bottom w:val="single" w:sz="4" w:space="0" w:color="auto"/>
              <w:right w:val="single" w:sz="4" w:space="0" w:color="auto"/>
            </w:tcBorders>
            <w:vAlign w:val="center"/>
          </w:tcPr>
          <w:p w14:paraId="7C4CFCD2" w14:textId="6BD287D0" w:rsidR="000C00B6" w:rsidRPr="00915A72" w:rsidRDefault="000C00B6" w:rsidP="000C00B6">
            <w:pPr>
              <w:spacing w:after="0" w:line="240" w:lineRule="auto"/>
              <w:jc w:val="center"/>
              <w:rPr>
                <w:rFonts w:cstheme="minorHAnsi"/>
                <w:color w:val="000000"/>
                <w:sz w:val="18"/>
                <w:szCs w:val="18"/>
              </w:rPr>
            </w:pPr>
            <w:r>
              <w:rPr>
                <w:rFonts w:eastAsia="Times New Roman" w:cstheme="minorHAnsi"/>
                <w:color w:val="000000"/>
                <w:sz w:val="18"/>
                <w:szCs w:val="18"/>
              </w:rPr>
              <w:t>n/a</w:t>
            </w:r>
          </w:p>
        </w:tc>
        <w:tc>
          <w:tcPr>
            <w:tcW w:w="2611" w:type="pct"/>
            <w:tcBorders>
              <w:top w:val="nil"/>
              <w:left w:val="single" w:sz="4" w:space="0" w:color="auto"/>
              <w:bottom w:val="single" w:sz="4" w:space="0" w:color="auto"/>
              <w:right w:val="single" w:sz="4" w:space="0" w:color="auto"/>
            </w:tcBorders>
            <w:shd w:val="clear" w:color="auto" w:fill="auto"/>
            <w:vAlign w:val="center"/>
          </w:tcPr>
          <w:p w14:paraId="2472F0B1" w14:textId="166A04F6" w:rsidR="000C00B6" w:rsidRPr="00FD08CE" w:rsidRDefault="000C00B6" w:rsidP="000C00B6">
            <w:pPr>
              <w:spacing w:after="0" w:line="240" w:lineRule="auto"/>
              <w:rPr>
                <w:rFonts w:eastAsia="Times New Roman" w:cstheme="minorHAnsi"/>
                <w:color w:val="212121"/>
                <w:sz w:val="18"/>
                <w:szCs w:val="18"/>
              </w:rPr>
            </w:pPr>
            <w:r w:rsidRPr="00915A72">
              <w:rPr>
                <w:rFonts w:cstheme="minorHAnsi"/>
                <w:color w:val="000000"/>
                <w:sz w:val="18"/>
                <w:szCs w:val="18"/>
              </w:rPr>
              <w:t>Value of credit disbursed to beneficiaries (AUD)</w:t>
            </w:r>
          </w:p>
        </w:tc>
        <w:tc>
          <w:tcPr>
            <w:tcW w:w="468" w:type="pct"/>
            <w:tcBorders>
              <w:top w:val="nil"/>
              <w:left w:val="nil"/>
              <w:bottom w:val="single" w:sz="4" w:space="0" w:color="auto"/>
              <w:right w:val="single" w:sz="4" w:space="0" w:color="auto"/>
            </w:tcBorders>
            <w:shd w:val="clear" w:color="auto" w:fill="auto"/>
            <w:vAlign w:val="center"/>
          </w:tcPr>
          <w:p w14:paraId="688888A5" w14:textId="77777777" w:rsidR="000C00B6" w:rsidRPr="00FD08CE" w:rsidRDefault="000C00B6" w:rsidP="000C00B6">
            <w:pPr>
              <w:spacing w:after="0" w:line="240" w:lineRule="auto"/>
              <w:jc w:val="right"/>
              <w:rPr>
                <w:rFonts w:eastAsia="Times New Roman" w:cstheme="minorHAnsi"/>
                <w:color w:val="000000"/>
                <w:sz w:val="18"/>
                <w:szCs w:val="18"/>
              </w:rPr>
            </w:pPr>
            <w:r w:rsidRPr="00915A72">
              <w:rPr>
                <w:rFonts w:cstheme="minorHAnsi"/>
                <w:color w:val="000000"/>
                <w:sz w:val="18"/>
                <w:szCs w:val="18"/>
              </w:rPr>
              <w:t>20,765</w:t>
            </w:r>
          </w:p>
        </w:tc>
        <w:tc>
          <w:tcPr>
            <w:tcW w:w="582" w:type="pct"/>
            <w:tcBorders>
              <w:top w:val="nil"/>
              <w:left w:val="nil"/>
              <w:bottom w:val="single" w:sz="4" w:space="0" w:color="auto"/>
              <w:right w:val="single" w:sz="4" w:space="0" w:color="auto"/>
            </w:tcBorders>
            <w:vAlign w:val="center"/>
          </w:tcPr>
          <w:p w14:paraId="67C046EA" w14:textId="1D9BEC5A" w:rsidR="000C00B6" w:rsidRPr="00777671" w:rsidRDefault="000C00B6" w:rsidP="000C00B6">
            <w:pPr>
              <w:spacing w:after="0" w:line="240" w:lineRule="auto"/>
              <w:jc w:val="right"/>
              <w:rPr>
                <w:rFonts w:cstheme="minorHAnsi"/>
                <w:color w:val="000000"/>
                <w:sz w:val="18"/>
                <w:szCs w:val="18"/>
              </w:rPr>
            </w:pPr>
            <w:r w:rsidRPr="00777671">
              <w:rPr>
                <w:rFonts w:cstheme="minorHAnsi"/>
                <w:color w:val="000000"/>
                <w:sz w:val="18"/>
                <w:szCs w:val="18"/>
              </w:rPr>
              <w:t>20</w:t>
            </w:r>
            <w:r>
              <w:rPr>
                <w:rFonts w:cstheme="minorHAnsi"/>
                <w:color w:val="000000"/>
                <w:sz w:val="18"/>
                <w:szCs w:val="18"/>
              </w:rPr>
              <w:t>,</w:t>
            </w:r>
            <w:r w:rsidRPr="00777671">
              <w:rPr>
                <w:rFonts w:cstheme="minorHAnsi"/>
                <w:color w:val="000000"/>
                <w:sz w:val="18"/>
                <w:szCs w:val="18"/>
              </w:rPr>
              <w:t>765</w:t>
            </w:r>
          </w:p>
        </w:tc>
        <w:tc>
          <w:tcPr>
            <w:tcW w:w="432" w:type="pct"/>
            <w:tcBorders>
              <w:top w:val="nil"/>
              <w:left w:val="single" w:sz="4" w:space="0" w:color="auto"/>
              <w:bottom w:val="single" w:sz="4" w:space="0" w:color="auto"/>
              <w:right w:val="single" w:sz="4" w:space="0" w:color="auto"/>
            </w:tcBorders>
            <w:shd w:val="clear" w:color="auto" w:fill="E1E7F7"/>
            <w:vAlign w:val="center"/>
          </w:tcPr>
          <w:p w14:paraId="66D2F012" w14:textId="631FF729" w:rsidR="000C00B6" w:rsidRPr="00FD08CE" w:rsidRDefault="00E418D8" w:rsidP="000C00B6">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c>
          <w:tcPr>
            <w:tcW w:w="439" w:type="pct"/>
            <w:tcBorders>
              <w:top w:val="nil"/>
              <w:left w:val="nil"/>
              <w:bottom w:val="single" w:sz="4" w:space="0" w:color="auto"/>
              <w:right w:val="single" w:sz="4" w:space="0" w:color="auto"/>
            </w:tcBorders>
            <w:shd w:val="clear" w:color="auto" w:fill="E1E7F7"/>
            <w:vAlign w:val="center"/>
          </w:tcPr>
          <w:p w14:paraId="4550D807" w14:textId="48D404B5" w:rsidR="000C00B6" w:rsidRPr="00FD08CE" w:rsidRDefault="00E418D8" w:rsidP="000C00B6">
            <w:pPr>
              <w:spacing w:after="0" w:line="240" w:lineRule="auto"/>
              <w:jc w:val="right"/>
              <w:rPr>
                <w:rFonts w:eastAsia="Times New Roman" w:cstheme="minorHAnsi"/>
                <w:color w:val="000000"/>
                <w:sz w:val="18"/>
                <w:szCs w:val="18"/>
              </w:rPr>
            </w:pPr>
            <w:r>
              <w:rPr>
                <w:rFonts w:eastAsia="Times New Roman" w:cstheme="minorHAnsi"/>
                <w:color w:val="000000"/>
                <w:sz w:val="18"/>
                <w:szCs w:val="18"/>
              </w:rPr>
              <w:t>n/a</w:t>
            </w:r>
          </w:p>
        </w:tc>
      </w:tr>
      <w:tr w:rsidR="000C00B6" w:rsidRPr="00FD08CE" w14:paraId="19CCA737" w14:textId="77777777" w:rsidTr="00F02336">
        <w:trPr>
          <w:trHeight w:val="227"/>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229B3B0"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16</w:t>
            </w:r>
          </w:p>
        </w:tc>
        <w:tc>
          <w:tcPr>
            <w:tcW w:w="270" w:type="pct"/>
            <w:gridSpan w:val="2"/>
            <w:tcBorders>
              <w:top w:val="nil"/>
              <w:left w:val="single" w:sz="4" w:space="0" w:color="auto"/>
              <w:bottom w:val="single" w:sz="4" w:space="0" w:color="auto"/>
              <w:right w:val="single" w:sz="4" w:space="0" w:color="auto"/>
            </w:tcBorders>
            <w:vAlign w:val="center"/>
          </w:tcPr>
          <w:p w14:paraId="08349074" w14:textId="06B119FF" w:rsidR="000C00B6" w:rsidRPr="08123348" w:rsidRDefault="000C00B6" w:rsidP="000C00B6">
            <w:pPr>
              <w:spacing w:after="0" w:line="240" w:lineRule="auto"/>
              <w:jc w:val="center"/>
              <w:rPr>
                <w:rFonts w:cstheme="minorBidi"/>
                <w:sz w:val="18"/>
                <w:szCs w:val="18"/>
              </w:rPr>
            </w:pPr>
            <w:r>
              <w:rPr>
                <w:rFonts w:eastAsia="Times New Roman" w:cstheme="minorHAnsi"/>
                <w:color w:val="000000"/>
                <w:sz w:val="18"/>
                <w:szCs w:val="18"/>
              </w:rPr>
              <w:t>13</w:t>
            </w:r>
          </w:p>
        </w:tc>
        <w:tc>
          <w:tcPr>
            <w:tcW w:w="2611" w:type="pct"/>
            <w:tcBorders>
              <w:top w:val="nil"/>
              <w:left w:val="single" w:sz="4" w:space="0" w:color="auto"/>
              <w:bottom w:val="single" w:sz="4" w:space="0" w:color="auto"/>
              <w:right w:val="single" w:sz="4" w:space="0" w:color="auto"/>
            </w:tcBorders>
            <w:shd w:val="clear" w:color="auto" w:fill="auto"/>
          </w:tcPr>
          <w:p w14:paraId="54DF4C51" w14:textId="2675B064" w:rsidR="000C00B6" w:rsidRDefault="000C00B6" w:rsidP="000C00B6">
            <w:pPr>
              <w:spacing w:after="0" w:line="240" w:lineRule="auto"/>
              <w:rPr>
                <w:rFonts w:cstheme="minorBidi"/>
                <w:color w:val="000000"/>
                <w:sz w:val="18"/>
                <w:szCs w:val="18"/>
              </w:rPr>
            </w:pPr>
            <w:r w:rsidRPr="001F40A5">
              <w:rPr>
                <w:rFonts w:cstheme="minorBidi"/>
                <w:sz w:val="18"/>
                <w:szCs w:val="18"/>
              </w:rPr>
              <w:t>Number of women, youth or PWD recipients of capacity building support</w:t>
            </w:r>
            <w:r w:rsidRPr="08123348">
              <w:rPr>
                <w:rFonts w:cstheme="minorBidi"/>
                <w:sz w:val="18"/>
                <w:szCs w:val="18"/>
              </w:rPr>
              <w:t>:</w:t>
            </w:r>
          </w:p>
          <w:p w14:paraId="157F900D" w14:textId="77777777" w:rsidR="000C00B6" w:rsidRDefault="000C00B6" w:rsidP="000C00B6">
            <w:pPr>
              <w:pStyle w:val="ListParagraph"/>
              <w:numPr>
                <w:ilvl w:val="0"/>
                <w:numId w:val="23"/>
              </w:numPr>
              <w:spacing w:after="0" w:line="240" w:lineRule="auto"/>
              <w:rPr>
                <w:rFonts w:eastAsia="Times New Roman" w:cstheme="minorHAnsi"/>
                <w:color w:val="212121"/>
                <w:sz w:val="18"/>
                <w:szCs w:val="18"/>
              </w:rPr>
            </w:pPr>
            <w:r>
              <w:rPr>
                <w:rFonts w:eastAsia="Times New Roman" w:cstheme="minorHAnsi"/>
                <w:color w:val="212121"/>
                <w:sz w:val="18"/>
                <w:szCs w:val="18"/>
              </w:rPr>
              <w:t xml:space="preserve">Women </w:t>
            </w:r>
          </w:p>
          <w:p w14:paraId="59C60748" w14:textId="77777777" w:rsidR="000C00B6" w:rsidRDefault="000C00B6" w:rsidP="000C00B6">
            <w:pPr>
              <w:pStyle w:val="ListParagraph"/>
              <w:numPr>
                <w:ilvl w:val="0"/>
                <w:numId w:val="23"/>
              </w:numPr>
              <w:spacing w:after="0" w:line="240" w:lineRule="auto"/>
              <w:rPr>
                <w:rFonts w:eastAsia="Times New Roman" w:cstheme="minorHAnsi"/>
                <w:color w:val="212121"/>
                <w:sz w:val="18"/>
                <w:szCs w:val="18"/>
              </w:rPr>
            </w:pPr>
            <w:r>
              <w:rPr>
                <w:rFonts w:eastAsia="Times New Roman" w:cstheme="minorHAnsi"/>
                <w:color w:val="212121"/>
                <w:sz w:val="18"/>
                <w:szCs w:val="18"/>
              </w:rPr>
              <w:t>Youth</w:t>
            </w:r>
          </w:p>
          <w:p w14:paraId="1D1236B7" w14:textId="77777777" w:rsidR="000C00B6" w:rsidRPr="00FD08CE" w:rsidRDefault="000C00B6" w:rsidP="000C00B6">
            <w:pPr>
              <w:pStyle w:val="ListParagraph"/>
              <w:numPr>
                <w:ilvl w:val="0"/>
                <w:numId w:val="23"/>
              </w:numPr>
              <w:spacing w:after="0" w:line="240" w:lineRule="auto"/>
              <w:rPr>
                <w:rFonts w:eastAsia="Times New Roman" w:cstheme="minorBidi"/>
                <w:color w:val="212121"/>
                <w:sz w:val="18"/>
                <w:szCs w:val="18"/>
              </w:rPr>
            </w:pPr>
            <w:r w:rsidRPr="08123348">
              <w:rPr>
                <w:rFonts w:eastAsia="Times New Roman" w:cstheme="minorBidi"/>
                <w:color w:val="212121"/>
                <w:sz w:val="18"/>
                <w:szCs w:val="18"/>
              </w:rPr>
              <w:t>PWD</w:t>
            </w:r>
          </w:p>
        </w:tc>
        <w:tc>
          <w:tcPr>
            <w:tcW w:w="468" w:type="pct"/>
            <w:tcBorders>
              <w:top w:val="nil"/>
              <w:left w:val="nil"/>
              <w:bottom w:val="single" w:sz="4" w:space="0" w:color="auto"/>
              <w:right w:val="single" w:sz="4" w:space="0" w:color="auto"/>
            </w:tcBorders>
            <w:shd w:val="clear" w:color="auto" w:fill="auto"/>
          </w:tcPr>
          <w:p w14:paraId="4C4F82E0" w14:textId="77777777" w:rsidR="000C00B6" w:rsidRDefault="000C00B6" w:rsidP="000C00B6">
            <w:pPr>
              <w:spacing w:after="0" w:line="240" w:lineRule="auto"/>
              <w:jc w:val="right"/>
              <w:rPr>
                <w:rFonts w:cstheme="minorHAnsi"/>
                <w:color w:val="000000"/>
                <w:sz w:val="18"/>
                <w:szCs w:val="18"/>
              </w:rPr>
            </w:pPr>
          </w:p>
          <w:p w14:paraId="5895FD87" w14:textId="77777777" w:rsidR="000C00B6" w:rsidRDefault="000C00B6" w:rsidP="000C00B6">
            <w:pPr>
              <w:spacing w:after="0" w:line="240" w:lineRule="auto"/>
              <w:jc w:val="right"/>
              <w:rPr>
                <w:rFonts w:cstheme="minorHAnsi"/>
                <w:color w:val="000000"/>
                <w:sz w:val="18"/>
                <w:szCs w:val="18"/>
              </w:rPr>
            </w:pPr>
          </w:p>
          <w:p w14:paraId="7F6350D3" w14:textId="68171538" w:rsidR="000C00B6" w:rsidRDefault="000C00B6" w:rsidP="000C00B6">
            <w:pPr>
              <w:spacing w:after="0" w:line="240" w:lineRule="auto"/>
              <w:jc w:val="right"/>
              <w:rPr>
                <w:rFonts w:cstheme="minorHAnsi"/>
                <w:color w:val="000000"/>
                <w:sz w:val="18"/>
                <w:szCs w:val="18"/>
              </w:rPr>
            </w:pPr>
            <w:r>
              <w:rPr>
                <w:rFonts w:cstheme="minorHAnsi"/>
                <w:color w:val="000000"/>
                <w:sz w:val="18"/>
                <w:szCs w:val="18"/>
              </w:rPr>
              <w:t>881</w:t>
            </w:r>
          </w:p>
          <w:p w14:paraId="2020A378" w14:textId="77777777" w:rsidR="000C00B6" w:rsidRDefault="000C00B6" w:rsidP="000C00B6">
            <w:pPr>
              <w:spacing w:after="0" w:line="240" w:lineRule="auto"/>
              <w:jc w:val="right"/>
              <w:rPr>
                <w:rFonts w:cstheme="minorHAnsi"/>
                <w:color w:val="000000"/>
                <w:sz w:val="18"/>
                <w:szCs w:val="18"/>
              </w:rPr>
            </w:pPr>
            <w:r>
              <w:rPr>
                <w:rFonts w:cstheme="minorHAnsi"/>
                <w:color w:val="000000"/>
                <w:sz w:val="18"/>
                <w:szCs w:val="18"/>
              </w:rPr>
              <w:t>321</w:t>
            </w:r>
          </w:p>
          <w:p w14:paraId="1F2BECF7" w14:textId="77777777" w:rsidR="000C00B6" w:rsidRPr="00837FAC" w:rsidRDefault="000C00B6" w:rsidP="000C00B6">
            <w:pPr>
              <w:spacing w:after="0" w:line="240" w:lineRule="auto"/>
              <w:jc w:val="right"/>
              <w:rPr>
                <w:rFonts w:cstheme="minorHAnsi"/>
                <w:color w:val="000000"/>
                <w:sz w:val="18"/>
                <w:szCs w:val="18"/>
              </w:rPr>
            </w:pPr>
            <w:r>
              <w:rPr>
                <w:rFonts w:cstheme="minorHAnsi"/>
                <w:color w:val="000000"/>
                <w:sz w:val="18"/>
                <w:szCs w:val="18"/>
              </w:rPr>
              <w:t>13</w:t>
            </w:r>
          </w:p>
        </w:tc>
        <w:tc>
          <w:tcPr>
            <w:tcW w:w="582" w:type="pct"/>
            <w:tcBorders>
              <w:top w:val="nil"/>
              <w:left w:val="nil"/>
              <w:bottom w:val="single" w:sz="4" w:space="0" w:color="auto"/>
              <w:right w:val="single" w:sz="4" w:space="0" w:color="auto"/>
            </w:tcBorders>
          </w:tcPr>
          <w:p w14:paraId="1CE9372B" w14:textId="77777777" w:rsidR="000C00B6" w:rsidRDefault="000C00B6" w:rsidP="000C00B6">
            <w:pPr>
              <w:spacing w:after="0" w:line="240" w:lineRule="auto"/>
              <w:jc w:val="right"/>
              <w:rPr>
                <w:rFonts w:cstheme="minorHAnsi"/>
                <w:color w:val="000000"/>
                <w:sz w:val="18"/>
                <w:szCs w:val="18"/>
              </w:rPr>
            </w:pPr>
          </w:p>
          <w:p w14:paraId="4908CEF3" w14:textId="77777777" w:rsidR="000C00B6" w:rsidRDefault="000C00B6" w:rsidP="000C00B6">
            <w:pPr>
              <w:spacing w:after="0" w:line="240" w:lineRule="auto"/>
              <w:jc w:val="right"/>
              <w:rPr>
                <w:rFonts w:cstheme="minorHAnsi"/>
                <w:color w:val="000000"/>
                <w:sz w:val="18"/>
                <w:szCs w:val="18"/>
              </w:rPr>
            </w:pPr>
          </w:p>
          <w:p w14:paraId="3310063A" w14:textId="4B4FA20E" w:rsidR="000C00B6" w:rsidRPr="00777671" w:rsidRDefault="000C00B6" w:rsidP="000C00B6">
            <w:pPr>
              <w:spacing w:after="0" w:line="240" w:lineRule="auto"/>
              <w:jc w:val="right"/>
              <w:rPr>
                <w:rFonts w:cstheme="minorHAnsi"/>
                <w:color w:val="000000"/>
                <w:sz w:val="18"/>
                <w:szCs w:val="18"/>
              </w:rPr>
            </w:pPr>
            <w:r w:rsidRPr="002F7183">
              <w:rPr>
                <w:rFonts w:cstheme="minorHAnsi"/>
                <w:color w:val="000000"/>
                <w:sz w:val="18"/>
                <w:szCs w:val="18"/>
              </w:rPr>
              <w:t>310</w:t>
            </w:r>
          </w:p>
          <w:p w14:paraId="08CBB4F1" w14:textId="77777777" w:rsidR="000C00B6" w:rsidRPr="00777671" w:rsidRDefault="000C00B6" w:rsidP="000C00B6">
            <w:pPr>
              <w:spacing w:after="0" w:line="240" w:lineRule="auto"/>
              <w:jc w:val="right"/>
              <w:rPr>
                <w:rFonts w:cstheme="minorHAnsi"/>
                <w:color w:val="000000"/>
                <w:sz w:val="18"/>
                <w:szCs w:val="18"/>
              </w:rPr>
            </w:pPr>
            <w:r w:rsidRPr="002F7183">
              <w:rPr>
                <w:rFonts w:cstheme="minorHAnsi"/>
                <w:color w:val="000000"/>
                <w:sz w:val="18"/>
                <w:szCs w:val="18"/>
              </w:rPr>
              <w:t>137</w:t>
            </w:r>
          </w:p>
          <w:p w14:paraId="6C274801" w14:textId="1F7FDB23" w:rsidR="000C00B6" w:rsidRPr="00777671" w:rsidRDefault="000C00B6" w:rsidP="000C00B6">
            <w:pPr>
              <w:spacing w:after="0" w:line="240" w:lineRule="auto"/>
              <w:jc w:val="right"/>
              <w:rPr>
                <w:rFonts w:cstheme="minorHAnsi"/>
                <w:color w:val="000000"/>
                <w:sz w:val="18"/>
                <w:szCs w:val="18"/>
              </w:rPr>
            </w:pPr>
            <w:r w:rsidRPr="002F7183">
              <w:rPr>
                <w:rFonts w:cstheme="minorHAnsi"/>
                <w:color w:val="000000"/>
                <w:sz w:val="18"/>
                <w:szCs w:val="18"/>
              </w:rPr>
              <w:t>13</w:t>
            </w:r>
          </w:p>
        </w:tc>
        <w:tc>
          <w:tcPr>
            <w:tcW w:w="432" w:type="pct"/>
            <w:tcBorders>
              <w:top w:val="nil"/>
              <w:left w:val="single" w:sz="4" w:space="0" w:color="auto"/>
              <w:bottom w:val="single" w:sz="4" w:space="0" w:color="auto"/>
              <w:right w:val="single" w:sz="4" w:space="0" w:color="auto"/>
            </w:tcBorders>
            <w:shd w:val="clear" w:color="auto" w:fill="E1E7F7"/>
          </w:tcPr>
          <w:p w14:paraId="44D826C9" w14:textId="77777777" w:rsidR="000C00B6" w:rsidRDefault="000C00B6" w:rsidP="000C00B6">
            <w:pPr>
              <w:spacing w:after="0" w:line="240" w:lineRule="auto"/>
              <w:jc w:val="center"/>
              <w:rPr>
                <w:rFonts w:eastAsia="Times New Roman" w:cstheme="minorHAnsi"/>
                <w:color w:val="000000"/>
                <w:sz w:val="18"/>
                <w:szCs w:val="18"/>
              </w:rPr>
            </w:pPr>
          </w:p>
          <w:p w14:paraId="5AE388F2" w14:textId="7E19F4FA" w:rsidR="000C00B6" w:rsidRPr="00FD08CE" w:rsidRDefault="000C00B6"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185</w:t>
            </w:r>
          </w:p>
        </w:tc>
        <w:tc>
          <w:tcPr>
            <w:tcW w:w="439" w:type="pct"/>
            <w:tcBorders>
              <w:top w:val="nil"/>
              <w:left w:val="nil"/>
              <w:bottom w:val="single" w:sz="4" w:space="0" w:color="auto"/>
              <w:right w:val="single" w:sz="4" w:space="0" w:color="auto"/>
            </w:tcBorders>
            <w:shd w:val="clear" w:color="auto" w:fill="E1E7F7"/>
          </w:tcPr>
          <w:p w14:paraId="2D946840" w14:textId="77777777" w:rsidR="000C00B6" w:rsidRDefault="000C00B6" w:rsidP="000C00B6">
            <w:pPr>
              <w:spacing w:after="0" w:line="240" w:lineRule="auto"/>
              <w:jc w:val="center"/>
              <w:rPr>
                <w:rFonts w:eastAsia="Times New Roman" w:cstheme="minorHAnsi"/>
                <w:color w:val="000000"/>
                <w:sz w:val="18"/>
                <w:szCs w:val="18"/>
              </w:rPr>
            </w:pPr>
          </w:p>
          <w:p w14:paraId="66099CAE" w14:textId="3D48D15B" w:rsidR="000C00B6" w:rsidRPr="00FD08CE" w:rsidRDefault="000C00B6"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230</w:t>
            </w:r>
          </w:p>
        </w:tc>
      </w:tr>
      <w:tr w:rsidR="000C00B6" w:rsidRPr="00FD08CE" w14:paraId="4780A5BE" w14:textId="77777777" w:rsidTr="00F02336">
        <w:trPr>
          <w:trHeight w:val="227"/>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5B37A0F3"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21</w:t>
            </w:r>
          </w:p>
        </w:tc>
        <w:tc>
          <w:tcPr>
            <w:tcW w:w="270" w:type="pct"/>
            <w:gridSpan w:val="2"/>
            <w:tcBorders>
              <w:top w:val="nil"/>
              <w:left w:val="single" w:sz="4" w:space="0" w:color="auto"/>
              <w:bottom w:val="single" w:sz="4" w:space="0" w:color="auto"/>
              <w:right w:val="single" w:sz="4" w:space="0" w:color="auto"/>
            </w:tcBorders>
          </w:tcPr>
          <w:p w14:paraId="39E9C40E" w14:textId="77777777" w:rsidR="000C00B6" w:rsidRPr="00915A72" w:rsidRDefault="000C00B6" w:rsidP="000C00B6">
            <w:pPr>
              <w:spacing w:after="0" w:line="240" w:lineRule="auto"/>
              <w:jc w:val="center"/>
              <w:rPr>
                <w:rFonts w:cstheme="minorHAnsi"/>
                <w:color w:val="000000"/>
                <w:sz w:val="18"/>
                <w:szCs w:val="18"/>
              </w:rPr>
            </w:pPr>
          </w:p>
        </w:tc>
        <w:tc>
          <w:tcPr>
            <w:tcW w:w="2611" w:type="pct"/>
            <w:tcBorders>
              <w:top w:val="nil"/>
              <w:left w:val="single" w:sz="4" w:space="0" w:color="auto"/>
              <w:bottom w:val="single" w:sz="4" w:space="0" w:color="auto"/>
              <w:right w:val="single" w:sz="4" w:space="0" w:color="auto"/>
            </w:tcBorders>
            <w:shd w:val="clear" w:color="auto" w:fill="auto"/>
            <w:vAlign w:val="bottom"/>
          </w:tcPr>
          <w:p w14:paraId="00267E6C" w14:textId="3D993742" w:rsidR="000C00B6" w:rsidRPr="00FD08CE" w:rsidRDefault="000C00B6" w:rsidP="000C00B6">
            <w:pPr>
              <w:spacing w:after="0" w:line="240" w:lineRule="auto"/>
              <w:rPr>
                <w:rFonts w:eastAsia="Times New Roman" w:cstheme="minorHAnsi"/>
                <w:color w:val="212121"/>
                <w:sz w:val="18"/>
                <w:szCs w:val="18"/>
              </w:rPr>
            </w:pPr>
            <w:r w:rsidRPr="00915A72">
              <w:rPr>
                <w:rFonts w:cstheme="minorHAnsi"/>
                <w:color w:val="000000"/>
                <w:sz w:val="18"/>
                <w:szCs w:val="18"/>
              </w:rPr>
              <w:t>Number of events supported for encouraging market actor participation/innovation*</w:t>
            </w:r>
            <w:r>
              <w:rPr>
                <w:rFonts w:cstheme="minorHAnsi"/>
                <w:color w:val="000000"/>
                <w:sz w:val="18"/>
                <w:szCs w:val="18"/>
              </w:rPr>
              <w:t>*</w:t>
            </w:r>
          </w:p>
        </w:tc>
        <w:tc>
          <w:tcPr>
            <w:tcW w:w="468" w:type="pct"/>
            <w:tcBorders>
              <w:top w:val="nil"/>
              <w:left w:val="nil"/>
              <w:bottom w:val="single" w:sz="4" w:space="0" w:color="auto"/>
              <w:right w:val="single" w:sz="4" w:space="0" w:color="auto"/>
            </w:tcBorders>
            <w:shd w:val="clear" w:color="auto" w:fill="auto"/>
            <w:vAlign w:val="center"/>
          </w:tcPr>
          <w:p w14:paraId="5FCC972D" w14:textId="77777777" w:rsidR="000C00B6" w:rsidRPr="00FD08CE" w:rsidRDefault="000C00B6" w:rsidP="000C00B6">
            <w:pPr>
              <w:spacing w:after="0" w:line="240" w:lineRule="auto"/>
              <w:jc w:val="right"/>
              <w:rPr>
                <w:rFonts w:eastAsia="Times New Roman" w:cstheme="minorHAnsi"/>
                <w:color w:val="000000"/>
                <w:sz w:val="18"/>
                <w:szCs w:val="18"/>
              </w:rPr>
            </w:pPr>
            <w:r w:rsidRPr="00915A72">
              <w:rPr>
                <w:rFonts w:cstheme="minorHAnsi"/>
                <w:color w:val="000000"/>
                <w:sz w:val="18"/>
                <w:szCs w:val="18"/>
              </w:rPr>
              <w:t>21</w:t>
            </w:r>
          </w:p>
        </w:tc>
        <w:tc>
          <w:tcPr>
            <w:tcW w:w="582" w:type="pct"/>
            <w:tcBorders>
              <w:top w:val="single" w:sz="4" w:space="0" w:color="auto"/>
              <w:left w:val="nil"/>
              <w:bottom w:val="single" w:sz="4" w:space="0" w:color="auto"/>
              <w:right w:val="single" w:sz="4" w:space="0" w:color="auto"/>
            </w:tcBorders>
            <w:vAlign w:val="center"/>
          </w:tcPr>
          <w:p w14:paraId="14C989E9" w14:textId="62DE2968" w:rsidR="000C00B6" w:rsidRPr="00777671" w:rsidRDefault="000C00B6" w:rsidP="000C00B6">
            <w:pPr>
              <w:spacing w:after="0" w:line="240" w:lineRule="auto"/>
              <w:jc w:val="right"/>
              <w:rPr>
                <w:rFonts w:cstheme="minorHAnsi"/>
                <w:color w:val="000000"/>
                <w:sz w:val="18"/>
                <w:szCs w:val="18"/>
              </w:rPr>
            </w:pPr>
            <w:r w:rsidRPr="00777671">
              <w:rPr>
                <w:rFonts w:cstheme="minorHAnsi"/>
                <w:color w:val="000000"/>
                <w:sz w:val="18"/>
                <w:szCs w:val="18"/>
              </w:rPr>
              <w:t>9</w:t>
            </w:r>
          </w:p>
        </w:tc>
        <w:tc>
          <w:tcPr>
            <w:tcW w:w="871" w:type="pct"/>
            <w:gridSpan w:val="2"/>
            <w:vMerge w:val="restart"/>
            <w:tcBorders>
              <w:top w:val="nil"/>
              <w:left w:val="single" w:sz="4" w:space="0" w:color="auto"/>
              <w:right w:val="single" w:sz="4" w:space="0" w:color="auto"/>
            </w:tcBorders>
            <w:vAlign w:val="center"/>
          </w:tcPr>
          <w:p w14:paraId="46D07E0D" w14:textId="36E1F039" w:rsidR="000C00B6" w:rsidRPr="00FD08CE" w:rsidRDefault="000C00B6" w:rsidP="000C00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Table 4 (EOPO2) above</w:t>
            </w:r>
          </w:p>
        </w:tc>
      </w:tr>
      <w:tr w:rsidR="000C00B6" w:rsidRPr="00FD08CE" w14:paraId="0F284C5F" w14:textId="77777777" w:rsidTr="00F02336">
        <w:trPr>
          <w:trHeight w:val="227"/>
        </w:trPr>
        <w:tc>
          <w:tcPr>
            <w:tcW w:w="198"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D634EE1"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22</w:t>
            </w:r>
          </w:p>
        </w:tc>
        <w:tc>
          <w:tcPr>
            <w:tcW w:w="270" w:type="pct"/>
            <w:gridSpan w:val="2"/>
            <w:tcBorders>
              <w:top w:val="nil"/>
              <w:left w:val="single" w:sz="4" w:space="0" w:color="auto"/>
              <w:bottom w:val="single" w:sz="4" w:space="0" w:color="auto"/>
              <w:right w:val="single" w:sz="4" w:space="0" w:color="auto"/>
            </w:tcBorders>
          </w:tcPr>
          <w:p w14:paraId="6E5E79D3" w14:textId="77777777" w:rsidR="000C00B6" w:rsidRPr="00915A72" w:rsidRDefault="000C00B6" w:rsidP="000C00B6">
            <w:pPr>
              <w:spacing w:after="0" w:line="240" w:lineRule="auto"/>
              <w:jc w:val="center"/>
              <w:rPr>
                <w:rFonts w:cstheme="minorHAnsi"/>
                <w:color w:val="000000"/>
                <w:sz w:val="18"/>
                <w:szCs w:val="18"/>
              </w:rPr>
            </w:pPr>
          </w:p>
        </w:tc>
        <w:tc>
          <w:tcPr>
            <w:tcW w:w="2611" w:type="pct"/>
            <w:tcBorders>
              <w:top w:val="nil"/>
              <w:left w:val="single" w:sz="4" w:space="0" w:color="auto"/>
              <w:bottom w:val="single" w:sz="4" w:space="0" w:color="auto"/>
              <w:right w:val="single" w:sz="4" w:space="0" w:color="auto"/>
            </w:tcBorders>
            <w:shd w:val="clear" w:color="auto" w:fill="auto"/>
            <w:vAlign w:val="bottom"/>
          </w:tcPr>
          <w:p w14:paraId="55D5D3F2" w14:textId="1F1B1E19" w:rsidR="000C00B6" w:rsidRPr="00FD08CE" w:rsidRDefault="000C00B6" w:rsidP="000C00B6">
            <w:pPr>
              <w:spacing w:after="0" w:line="240" w:lineRule="auto"/>
              <w:rPr>
                <w:rFonts w:eastAsia="Times New Roman" w:cstheme="minorHAnsi"/>
                <w:color w:val="212121"/>
                <w:sz w:val="18"/>
                <w:szCs w:val="18"/>
              </w:rPr>
            </w:pPr>
            <w:r w:rsidRPr="00915A72">
              <w:rPr>
                <w:rFonts w:cstheme="minorHAnsi"/>
                <w:color w:val="000000"/>
                <w:sz w:val="18"/>
                <w:szCs w:val="18"/>
              </w:rPr>
              <w:t>Number of contributions to the consultations of development partners and Solomon Island government agencies to influence complementarity and evidence-based decisions making that empowers the private sector*</w:t>
            </w:r>
            <w:r>
              <w:rPr>
                <w:rFonts w:cstheme="minorHAnsi"/>
                <w:color w:val="000000"/>
                <w:sz w:val="18"/>
                <w:szCs w:val="18"/>
              </w:rPr>
              <w:t>*</w:t>
            </w:r>
          </w:p>
        </w:tc>
        <w:tc>
          <w:tcPr>
            <w:tcW w:w="468" w:type="pct"/>
            <w:tcBorders>
              <w:top w:val="nil"/>
              <w:left w:val="nil"/>
              <w:bottom w:val="single" w:sz="4" w:space="0" w:color="auto"/>
              <w:right w:val="single" w:sz="4" w:space="0" w:color="auto"/>
            </w:tcBorders>
            <w:shd w:val="clear" w:color="auto" w:fill="auto"/>
            <w:vAlign w:val="center"/>
          </w:tcPr>
          <w:p w14:paraId="0730CC53" w14:textId="77777777" w:rsidR="000C00B6" w:rsidRPr="00FD08CE" w:rsidRDefault="000C00B6" w:rsidP="000C00B6">
            <w:pPr>
              <w:spacing w:after="0" w:line="240" w:lineRule="auto"/>
              <w:jc w:val="right"/>
              <w:rPr>
                <w:rFonts w:eastAsia="Times New Roman" w:cstheme="minorHAnsi"/>
                <w:color w:val="000000"/>
                <w:sz w:val="18"/>
                <w:szCs w:val="18"/>
              </w:rPr>
            </w:pPr>
            <w:r w:rsidRPr="00915A72">
              <w:rPr>
                <w:rFonts w:cstheme="minorHAnsi"/>
                <w:color w:val="000000"/>
                <w:sz w:val="18"/>
                <w:szCs w:val="18"/>
              </w:rPr>
              <w:t>30</w:t>
            </w:r>
          </w:p>
        </w:tc>
        <w:tc>
          <w:tcPr>
            <w:tcW w:w="582" w:type="pct"/>
            <w:tcBorders>
              <w:top w:val="single" w:sz="4" w:space="0" w:color="auto"/>
              <w:bottom w:val="single" w:sz="4" w:space="0" w:color="auto"/>
              <w:right w:val="single" w:sz="4" w:space="0" w:color="auto"/>
            </w:tcBorders>
            <w:vAlign w:val="center"/>
          </w:tcPr>
          <w:p w14:paraId="768F619E" w14:textId="4EC7D906" w:rsidR="000C00B6" w:rsidRPr="00777671" w:rsidRDefault="000C00B6" w:rsidP="000C00B6">
            <w:pPr>
              <w:spacing w:after="0" w:line="240" w:lineRule="auto"/>
              <w:jc w:val="right"/>
              <w:rPr>
                <w:rFonts w:cstheme="minorHAnsi"/>
                <w:color w:val="000000"/>
                <w:sz w:val="18"/>
                <w:szCs w:val="18"/>
              </w:rPr>
            </w:pPr>
            <w:r w:rsidRPr="00777671">
              <w:rPr>
                <w:rFonts w:cstheme="minorHAnsi"/>
                <w:color w:val="000000"/>
                <w:sz w:val="18"/>
                <w:szCs w:val="18"/>
              </w:rPr>
              <w:t>9</w:t>
            </w:r>
          </w:p>
        </w:tc>
        <w:tc>
          <w:tcPr>
            <w:tcW w:w="871" w:type="pct"/>
            <w:gridSpan w:val="2"/>
            <w:vMerge/>
            <w:tcBorders>
              <w:left w:val="single" w:sz="4" w:space="0" w:color="auto"/>
              <w:right w:val="single" w:sz="4" w:space="0" w:color="auto"/>
            </w:tcBorders>
            <w:vAlign w:val="center"/>
          </w:tcPr>
          <w:p w14:paraId="761B44B8" w14:textId="4D4F4ED0" w:rsidR="000C00B6" w:rsidRPr="00FD08CE" w:rsidRDefault="000C00B6" w:rsidP="000C00B6">
            <w:pPr>
              <w:spacing w:after="0" w:line="240" w:lineRule="auto"/>
              <w:jc w:val="right"/>
              <w:rPr>
                <w:rFonts w:eastAsia="Times New Roman" w:cstheme="minorHAnsi"/>
                <w:color w:val="000000"/>
                <w:sz w:val="18"/>
                <w:szCs w:val="18"/>
              </w:rPr>
            </w:pPr>
          </w:p>
        </w:tc>
      </w:tr>
      <w:tr w:rsidR="000C00B6" w:rsidRPr="00FD08CE" w14:paraId="7198C835" w14:textId="77777777" w:rsidTr="00F02336">
        <w:trPr>
          <w:trHeight w:val="227"/>
        </w:trPr>
        <w:tc>
          <w:tcPr>
            <w:tcW w:w="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068000" w14:textId="77777777" w:rsidR="000C00B6" w:rsidRPr="00FD08CE" w:rsidRDefault="000C00B6" w:rsidP="000C00B6">
            <w:pPr>
              <w:spacing w:after="0" w:line="240" w:lineRule="auto"/>
              <w:jc w:val="center"/>
              <w:rPr>
                <w:rFonts w:eastAsia="Times New Roman" w:cstheme="minorHAnsi"/>
                <w:color w:val="212121"/>
                <w:sz w:val="18"/>
                <w:szCs w:val="18"/>
              </w:rPr>
            </w:pPr>
            <w:r w:rsidRPr="00915A72">
              <w:rPr>
                <w:rFonts w:cstheme="minorHAnsi"/>
                <w:color w:val="000000"/>
                <w:sz w:val="18"/>
                <w:szCs w:val="18"/>
              </w:rPr>
              <w:t>23</w:t>
            </w:r>
          </w:p>
        </w:tc>
        <w:tc>
          <w:tcPr>
            <w:tcW w:w="270" w:type="pct"/>
            <w:gridSpan w:val="2"/>
            <w:tcBorders>
              <w:top w:val="single" w:sz="4" w:space="0" w:color="auto"/>
              <w:left w:val="single" w:sz="4" w:space="0" w:color="auto"/>
              <w:bottom w:val="single" w:sz="4" w:space="0" w:color="auto"/>
              <w:right w:val="single" w:sz="4" w:space="0" w:color="auto"/>
            </w:tcBorders>
          </w:tcPr>
          <w:p w14:paraId="4DDE800F" w14:textId="77777777" w:rsidR="000C00B6" w:rsidRPr="00915A72" w:rsidRDefault="000C00B6" w:rsidP="000C00B6">
            <w:pPr>
              <w:spacing w:after="0" w:line="240" w:lineRule="auto"/>
              <w:jc w:val="center"/>
              <w:rPr>
                <w:rFonts w:cstheme="minorHAnsi"/>
                <w:color w:val="000000"/>
                <w:sz w:val="18"/>
                <w:szCs w:val="18"/>
              </w:rPr>
            </w:pPr>
          </w:p>
        </w:tc>
        <w:tc>
          <w:tcPr>
            <w:tcW w:w="2611" w:type="pct"/>
            <w:tcBorders>
              <w:top w:val="single" w:sz="4" w:space="0" w:color="auto"/>
              <w:left w:val="single" w:sz="4" w:space="0" w:color="auto"/>
              <w:bottom w:val="single" w:sz="4" w:space="0" w:color="auto"/>
              <w:right w:val="single" w:sz="4" w:space="0" w:color="auto"/>
            </w:tcBorders>
            <w:shd w:val="clear" w:color="auto" w:fill="auto"/>
            <w:vAlign w:val="bottom"/>
          </w:tcPr>
          <w:p w14:paraId="4C694F46" w14:textId="1D72882A" w:rsidR="000C00B6" w:rsidRPr="00FD08CE" w:rsidRDefault="000C00B6" w:rsidP="000C00B6">
            <w:pPr>
              <w:spacing w:after="0" w:line="240" w:lineRule="auto"/>
              <w:rPr>
                <w:rFonts w:eastAsia="Times New Roman" w:cstheme="minorHAnsi"/>
                <w:color w:val="212121"/>
                <w:sz w:val="18"/>
                <w:szCs w:val="18"/>
              </w:rPr>
            </w:pPr>
            <w:r w:rsidRPr="00915A72">
              <w:rPr>
                <w:rFonts w:cstheme="minorHAnsi"/>
                <w:color w:val="000000"/>
                <w:sz w:val="18"/>
                <w:szCs w:val="18"/>
              </w:rPr>
              <w:t>Number of public communiques for encouraging market actor participation and innovation*</w:t>
            </w:r>
            <w:r>
              <w:rPr>
                <w:rFonts w:cstheme="minorHAnsi"/>
                <w:color w:val="000000"/>
                <w:sz w:val="18"/>
                <w:szCs w:val="18"/>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7F131102" w14:textId="77777777" w:rsidR="000C00B6" w:rsidRPr="00FD08CE" w:rsidRDefault="000C00B6" w:rsidP="000C00B6">
            <w:pPr>
              <w:spacing w:after="0" w:line="240" w:lineRule="auto"/>
              <w:jc w:val="right"/>
              <w:rPr>
                <w:rFonts w:eastAsia="Times New Roman" w:cstheme="minorHAnsi"/>
                <w:color w:val="000000"/>
                <w:sz w:val="18"/>
                <w:szCs w:val="18"/>
              </w:rPr>
            </w:pPr>
            <w:r w:rsidRPr="00915A72">
              <w:rPr>
                <w:rFonts w:cstheme="minorHAnsi"/>
                <w:color w:val="000000"/>
                <w:sz w:val="18"/>
                <w:szCs w:val="18"/>
              </w:rPr>
              <w:t>32</w:t>
            </w:r>
          </w:p>
        </w:tc>
        <w:tc>
          <w:tcPr>
            <w:tcW w:w="582" w:type="pct"/>
            <w:tcBorders>
              <w:top w:val="single" w:sz="4" w:space="0" w:color="auto"/>
              <w:bottom w:val="single" w:sz="4" w:space="0" w:color="auto"/>
              <w:right w:val="single" w:sz="4" w:space="0" w:color="auto"/>
            </w:tcBorders>
            <w:vAlign w:val="center"/>
          </w:tcPr>
          <w:p w14:paraId="75F37C2C" w14:textId="542F1E39" w:rsidR="000C00B6" w:rsidRPr="00777671" w:rsidRDefault="000C00B6" w:rsidP="000C00B6">
            <w:pPr>
              <w:spacing w:after="0" w:line="240" w:lineRule="auto"/>
              <w:jc w:val="right"/>
              <w:rPr>
                <w:rFonts w:cstheme="minorHAnsi"/>
                <w:color w:val="000000"/>
                <w:sz w:val="18"/>
                <w:szCs w:val="18"/>
              </w:rPr>
            </w:pPr>
            <w:r w:rsidRPr="00777671">
              <w:rPr>
                <w:rFonts w:cstheme="minorHAnsi"/>
                <w:color w:val="000000"/>
                <w:sz w:val="18"/>
                <w:szCs w:val="18"/>
              </w:rPr>
              <w:t>14</w:t>
            </w:r>
          </w:p>
        </w:tc>
        <w:tc>
          <w:tcPr>
            <w:tcW w:w="871" w:type="pct"/>
            <w:gridSpan w:val="2"/>
            <w:vMerge/>
            <w:tcBorders>
              <w:left w:val="single" w:sz="4" w:space="0" w:color="auto"/>
              <w:right w:val="single" w:sz="4" w:space="0" w:color="auto"/>
            </w:tcBorders>
            <w:vAlign w:val="center"/>
          </w:tcPr>
          <w:p w14:paraId="19807F1A" w14:textId="62085D63" w:rsidR="000C00B6" w:rsidRPr="00FD08CE" w:rsidRDefault="000C00B6" w:rsidP="000C00B6">
            <w:pPr>
              <w:spacing w:after="0" w:line="240" w:lineRule="auto"/>
              <w:jc w:val="right"/>
              <w:rPr>
                <w:rFonts w:eastAsia="Times New Roman" w:cstheme="minorHAnsi"/>
                <w:color w:val="000000"/>
                <w:sz w:val="18"/>
                <w:szCs w:val="18"/>
              </w:rPr>
            </w:pPr>
          </w:p>
        </w:tc>
      </w:tr>
      <w:tr w:rsidR="000C00B6" w:rsidRPr="00FD08CE" w14:paraId="44EBAA88" w14:textId="510CB5D4" w:rsidTr="00F02336">
        <w:trPr>
          <w:trHeight w:val="227"/>
        </w:trPr>
        <w:tc>
          <w:tcPr>
            <w:tcW w:w="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13A58D" w14:textId="44B985D3" w:rsidR="000C00B6" w:rsidRPr="00915A72" w:rsidRDefault="000C00B6" w:rsidP="000C00B6">
            <w:pPr>
              <w:spacing w:after="0" w:line="240" w:lineRule="auto"/>
              <w:jc w:val="center"/>
              <w:rPr>
                <w:rFonts w:cstheme="minorHAnsi"/>
                <w:color w:val="000000"/>
                <w:sz w:val="18"/>
                <w:szCs w:val="18"/>
              </w:rPr>
            </w:pPr>
            <w:r w:rsidRPr="0094778D">
              <w:rPr>
                <w:rFonts w:cstheme="minorHAnsi"/>
                <w:color w:val="000000"/>
                <w:sz w:val="18"/>
                <w:szCs w:val="18"/>
              </w:rPr>
              <w:t>-</w:t>
            </w:r>
          </w:p>
        </w:tc>
        <w:tc>
          <w:tcPr>
            <w:tcW w:w="270" w:type="pct"/>
            <w:gridSpan w:val="2"/>
            <w:tcBorders>
              <w:top w:val="single" w:sz="4" w:space="0" w:color="auto"/>
              <w:left w:val="single" w:sz="4" w:space="0" w:color="auto"/>
              <w:bottom w:val="single" w:sz="4" w:space="0" w:color="auto"/>
              <w:right w:val="single" w:sz="4" w:space="0" w:color="auto"/>
            </w:tcBorders>
          </w:tcPr>
          <w:p w14:paraId="441B0CC6" w14:textId="77777777" w:rsidR="000C00B6" w:rsidRPr="0094778D" w:rsidRDefault="000C00B6" w:rsidP="000C00B6">
            <w:pPr>
              <w:spacing w:after="0" w:line="240" w:lineRule="auto"/>
              <w:jc w:val="center"/>
              <w:rPr>
                <w:rFonts w:cstheme="minorHAnsi"/>
                <w:color w:val="000000"/>
                <w:sz w:val="18"/>
                <w:szCs w:val="18"/>
              </w:rPr>
            </w:pPr>
          </w:p>
        </w:tc>
        <w:tc>
          <w:tcPr>
            <w:tcW w:w="2611" w:type="pct"/>
            <w:tcBorders>
              <w:top w:val="single" w:sz="4" w:space="0" w:color="auto"/>
              <w:left w:val="single" w:sz="4" w:space="0" w:color="auto"/>
              <w:bottom w:val="single" w:sz="4" w:space="0" w:color="auto"/>
              <w:right w:val="single" w:sz="4" w:space="0" w:color="auto"/>
            </w:tcBorders>
            <w:shd w:val="clear" w:color="auto" w:fill="auto"/>
          </w:tcPr>
          <w:p w14:paraId="6FC2E71D" w14:textId="737E01E1" w:rsidR="000C00B6" w:rsidRPr="00915A72" w:rsidRDefault="000C00B6" w:rsidP="000C00B6">
            <w:pPr>
              <w:spacing w:after="0" w:line="240" w:lineRule="auto"/>
              <w:rPr>
                <w:rFonts w:cstheme="minorHAnsi"/>
                <w:color w:val="000000"/>
                <w:sz w:val="18"/>
                <w:szCs w:val="18"/>
              </w:rPr>
            </w:pPr>
            <w:r w:rsidRPr="0094778D">
              <w:rPr>
                <w:rFonts w:cstheme="minorHAnsi"/>
                <w:color w:val="000000"/>
                <w:sz w:val="18"/>
                <w:szCs w:val="18"/>
              </w:rPr>
              <w:t>Number of new partnerships in the new target value chains (timber, horticulture, financial sector and waste management)**</w:t>
            </w:r>
          </w:p>
        </w:tc>
        <w:tc>
          <w:tcPr>
            <w:tcW w:w="468" w:type="pct"/>
            <w:tcBorders>
              <w:top w:val="single" w:sz="4" w:space="0" w:color="auto"/>
              <w:left w:val="nil"/>
              <w:bottom w:val="single" w:sz="4" w:space="0" w:color="auto"/>
              <w:right w:val="single" w:sz="4" w:space="0" w:color="auto"/>
            </w:tcBorders>
            <w:shd w:val="clear" w:color="auto" w:fill="auto"/>
            <w:vAlign w:val="center"/>
          </w:tcPr>
          <w:p w14:paraId="23293C06" w14:textId="39AAC835" w:rsidR="000C00B6" w:rsidRPr="00915A72" w:rsidRDefault="000C00B6" w:rsidP="000C00B6">
            <w:pPr>
              <w:spacing w:after="0" w:line="240" w:lineRule="auto"/>
              <w:jc w:val="center"/>
              <w:rPr>
                <w:rFonts w:cstheme="minorHAnsi"/>
                <w:color w:val="000000"/>
                <w:sz w:val="18"/>
                <w:szCs w:val="18"/>
              </w:rPr>
            </w:pPr>
            <w:r>
              <w:rPr>
                <w:rFonts w:cstheme="minorHAnsi"/>
                <w:color w:val="000000"/>
                <w:sz w:val="18"/>
                <w:szCs w:val="18"/>
              </w:rPr>
              <w:t>n/a</w:t>
            </w:r>
          </w:p>
        </w:tc>
        <w:tc>
          <w:tcPr>
            <w:tcW w:w="582" w:type="pct"/>
            <w:tcBorders>
              <w:top w:val="single" w:sz="4" w:space="0" w:color="auto"/>
              <w:bottom w:val="single" w:sz="4" w:space="0" w:color="auto"/>
              <w:right w:val="single" w:sz="4" w:space="0" w:color="auto"/>
            </w:tcBorders>
            <w:vAlign w:val="center"/>
          </w:tcPr>
          <w:p w14:paraId="4B01165F" w14:textId="24959220" w:rsidR="000C00B6" w:rsidRPr="00777671" w:rsidRDefault="000C00B6" w:rsidP="000C00B6">
            <w:pPr>
              <w:spacing w:after="0" w:line="240" w:lineRule="auto"/>
              <w:jc w:val="right"/>
              <w:rPr>
                <w:rFonts w:cstheme="minorHAnsi"/>
                <w:color w:val="000000"/>
                <w:sz w:val="18"/>
                <w:szCs w:val="18"/>
              </w:rPr>
            </w:pPr>
            <w:r w:rsidRPr="00777671">
              <w:rPr>
                <w:rFonts w:cstheme="minorHAnsi"/>
                <w:color w:val="000000"/>
                <w:sz w:val="18"/>
                <w:szCs w:val="18"/>
              </w:rPr>
              <w:t>n/a</w:t>
            </w:r>
          </w:p>
        </w:tc>
        <w:tc>
          <w:tcPr>
            <w:tcW w:w="871" w:type="pct"/>
            <w:gridSpan w:val="2"/>
            <w:vMerge/>
            <w:tcBorders>
              <w:left w:val="single" w:sz="4" w:space="0" w:color="auto"/>
              <w:bottom w:val="single" w:sz="4" w:space="0" w:color="auto"/>
              <w:right w:val="single" w:sz="4" w:space="0" w:color="auto"/>
            </w:tcBorders>
            <w:vAlign w:val="center"/>
          </w:tcPr>
          <w:p w14:paraId="2D37FAC7" w14:textId="2886809F" w:rsidR="000C00B6" w:rsidRPr="00FD08CE" w:rsidRDefault="000C00B6" w:rsidP="000C00B6">
            <w:pPr>
              <w:spacing w:after="0" w:line="240" w:lineRule="auto"/>
            </w:pPr>
          </w:p>
        </w:tc>
      </w:tr>
    </w:tbl>
    <w:p w14:paraId="3FAD2B64" w14:textId="5441B0D6" w:rsidR="006D3BB3" w:rsidRDefault="006D3BB3" w:rsidP="006D3BB3">
      <w:pPr>
        <w:spacing w:after="0" w:line="240" w:lineRule="auto"/>
        <w:rPr>
          <w:rFonts w:ascii="Franklin Gothic Book" w:eastAsia="Times New Roman" w:hAnsi="Franklin Gothic Book"/>
          <w:i/>
          <w:iCs/>
          <w:color w:val="212121"/>
          <w:sz w:val="18"/>
          <w:szCs w:val="18"/>
        </w:rPr>
      </w:pPr>
      <w:r w:rsidRPr="00671735">
        <w:rPr>
          <w:rFonts w:ascii="Franklin Gothic Book" w:eastAsia="Times New Roman" w:hAnsi="Franklin Gothic Book"/>
          <w:i/>
          <w:iCs/>
          <w:color w:val="212121"/>
          <w:sz w:val="18"/>
          <w:szCs w:val="18"/>
        </w:rPr>
        <w:t>* Also an EOPO1 indicator.</w:t>
      </w:r>
      <w:r w:rsidR="00872E70">
        <w:rPr>
          <w:rFonts w:ascii="Franklin Gothic Book" w:eastAsia="Times New Roman" w:hAnsi="Franklin Gothic Book"/>
          <w:i/>
          <w:iCs/>
          <w:color w:val="212121"/>
          <w:sz w:val="18"/>
          <w:szCs w:val="18"/>
        </w:rPr>
        <w:t xml:space="preserve">   </w:t>
      </w:r>
      <w:r w:rsidRPr="00671735">
        <w:rPr>
          <w:rFonts w:ascii="Franklin Gothic Book" w:eastAsia="Times New Roman" w:hAnsi="Franklin Gothic Book"/>
          <w:i/>
          <w:iCs/>
          <w:color w:val="212121"/>
          <w:sz w:val="18"/>
          <w:szCs w:val="18"/>
        </w:rPr>
        <w:t>** Indicator for all EOPOs.</w:t>
      </w:r>
      <w:r w:rsidR="00935E99">
        <w:rPr>
          <w:rFonts w:ascii="Franklin Gothic Book" w:eastAsia="Times New Roman" w:hAnsi="Franklin Gothic Book"/>
          <w:i/>
          <w:iCs/>
          <w:color w:val="212121"/>
          <w:sz w:val="18"/>
          <w:szCs w:val="18"/>
        </w:rPr>
        <w:t xml:space="preserve">  *** Indicator </w:t>
      </w:r>
      <w:r w:rsidR="00935E99" w:rsidRPr="00935E99">
        <w:rPr>
          <w:rFonts w:ascii="Franklin Gothic Book" w:eastAsia="Times New Roman" w:hAnsi="Franklin Gothic Book"/>
          <w:i/>
          <w:iCs/>
          <w:color w:val="212121"/>
          <w:sz w:val="18"/>
          <w:szCs w:val="18"/>
        </w:rPr>
        <w:t>only</w:t>
      </w:r>
      <w:r w:rsidR="00935E99">
        <w:rPr>
          <w:rFonts w:ascii="Franklin Gothic Book" w:eastAsia="Times New Roman" w:hAnsi="Franklin Gothic Book"/>
          <w:i/>
          <w:iCs/>
          <w:color w:val="212121"/>
          <w:sz w:val="18"/>
          <w:szCs w:val="18"/>
        </w:rPr>
        <w:t xml:space="preserve"> for EOPO1, </w:t>
      </w:r>
      <w:r w:rsidR="00935E99" w:rsidRPr="00935E99">
        <w:rPr>
          <w:rFonts w:ascii="Franklin Gothic Book" w:eastAsia="Times New Roman" w:hAnsi="Franklin Gothic Book"/>
          <w:i/>
          <w:iCs/>
          <w:color w:val="212121"/>
          <w:sz w:val="18"/>
          <w:szCs w:val="18"/>
          <w:u w:val="single"/>
        </w:rPr>
        <w:t>not</w:t>
      </w:r>
      <w:r w:rsidR="00935E99">
        <w:rPr>
          <w:rFonts w:ascii="Franklin Gothic Book" w:eastAsia="Times New Roman" w:hAnsi="Franklin Gothic Book"/>
          <w:i/>
          <w:iCs/>
          <w:color w:val="212121"/>
          <w:sz w:val="18"/>
          <w:szCs w:val="18"/>
        </w:rPr>
        <w:t xml:space="preserve"> EOPO3.</w:t>
      </w:r>
    </w:p>
    <w:p w14:paraId="5D216908" w14:textId="77777777" w:rsidR="00725214" w:rsidRPr="00671735" w:rsidRDefault="00725214" w:rsidP="006D3BB3">
      <w:pPr>
        <w:spacing w:after="0" w:line="240" w:lineRule="auto"/>
        <w:rPr>
          <w:rFonts w:ascii="Franklin Gothic Book" w:eastAsia="Times New Roman" w:hAnsi="Franklin Gothic Book"/>
          <w:i/>
          <w:iCs/>
          <w:color w:val="212121"/>
          <w:sz w:val="18"/>
          <w:szCs w:val="18"/>
        </w:rPr>
      </w:pPr>
    </w:p>
    <w:p w14:paraId="7584482E" w14:textId="7C92A336" w:rsidR="006B0518" w:rsidRDefault="00C87C66" w:rsidP="00C87C66">
      <w:r w:rsidRPr="00725214">
        <w:rPr>
          <w:bCs/>
        </w:rPr>
        <w:t>The</w:t>
      </w:r>
      <w:r w:rsidR="004D199A" w:rsidRPr="00725214">
        <w:rPr>
          <w:bCs/>
        </w:rPr>
        <w:t xml:space="preserve"> </w:t>
      </w:r>
      <w:r w:rsidRPr="00725214">
        <w:rPr>
          <w:bCs/>
        </w:rPr>
        <w:t>program has contributed to</w:t>
      </w:r>
      <w:r w:rsidRPr="00672C47">
        <w:rPr>
          <w:b/>
        </w:rPr>
        <w:t xml:space="preserve"> improved </w:t>
      </w:r>
      <w:r w:rsidR="00157CDE">
        <w:rPr>
          <w:b/>
        </w:rPr>
        <w:t>access</w:t>
      </w:r>
      <w:r w:rsidRPr="00672C47">
        <w:rPr>
          <w:b/>
        </w:rPr>
        <w:t xml:space="preserve"> </w:t>
      </w:r>
      <w:r w:rsidR="00617CC8">
        <w:rPr>
          <w:b/>
        </w:rPr>
        <w:t>to resources</w:t>
      </w:r>
      <w:r w:rsidR="00C2452C">
        <w:rPr>
          <w:b/>
        </w:rPr>
        <w:t xml:space="preserve"> and </w:t>
      </w:r>
      <w:r w:rsidR="00C2452C" w:rsidRPr="00C0455C">
        <w:rPr>
          <w:b/>
        </w:rPr>
        <w:t>opportunities</w:t>
      </w:r>
      <w:r w:rsidR="00C2452C" w:rsidRPr="00C0455C">
        <w:rPr>
          <w:bCs/>
        </w:rPr>
        <w:t xml:space="preserve"> (including</w:t>
      </w:r>
      <w:r w:rsidR="00617CC8" w:rsidRPr="00C0455C">
        <w:rPr>
          <w:bCs/>
        </w:rPr>
        <w:t xml:space="preserve"> </w:t>
      </w:r>
      <w:r w:rsidR="006F3BC2" w:rsidRPr="00C0455C">
        <w:rPr>
          <w:bCs/>
        </w:rPr>
        <w:t>products, services</w:t>
      </w:r>
      <w:r w:rsidR="00C2452C" w:rsidRPr="00C0455C">
        <w:rPr>
          <w:bCs/>
        </w:rPr>
        <w:t>,</w:t>
      </w:r>
      <w:r w:rsidR="006F3BC2" w:rsidRPr="00C0455C">
        <w:rPr>
          <w:bCs/>
        </w:rPr>
        <w:t xml:space="preserve"> </w:t>
      </w:r>
      <w:r w:rsidR="00617CC8" w:rsidRPr="00C0455C">
        <w:rPr>
          <w:bCs/>
        </w:rPr>
        <w:t>markets and/or information</w:t>
      </w:r>
      <w:r w:rsidR="00C2452C" w:rsidRPr="00C0455C">
        <w:rPr>
          <w:bCs/>
        </w:rPr>
        <w:t>)</w:t>
      </w:r>
      <w:r w:rsidR="00617CC8">
        <w:rPr>
          <w:b/>
        </w:rPr>
        <w:t xml:space="preserve"> </w:t>
      </w:r>
      <w:r w:rsidRPr="00725214">
        <w:rPr>
          <w:bCs/>
        </w:rPr>
        <w:t xml:space="preserve">for </w:t>
      </w:r>
      <w:r w:rsidR="001E7AF0">
        <w:rPr>
          <w:bCs/>
        </w:rPr>
        <w:t>women and youth and their enterprises.</w:t>
      </w:r>
      <w:r>
        <w:t xml:space="preserve"> </w:t>
      </w:r>
      <w:r w:rsidR="00A056BD">
        <w:t>For instance</w:t>
      </w:r>
      <w:r w:rsidR="00430708">
        <w:t xml:space="preserve"> </w:t>
      </w:r>
      <w:r>
        <w:t xml:space="preserve">Strongim Bisnis </w:t>
      </w:r>
      <w:r w:rsidR="00430708">
        <w:t xml:space="preserve">has </w:t>
      </w:r>
      <w:r>
        <w:t xml:space="preserve">supported </w:t>
      </w:r>
      <w:r w:rsidR="001F61AF">
        <w:t>‘</w:t>
      </w:r>
      <w:r>
        <w:t>improved access to higher economic opportunities</w:t>
      </w:r>
      <w:r w:rsidR="001F61AF">
        <w:t>’</w:t>
      </w:r>
      <w:r>
        <w:t xml:space="preserve"> for </w:t>
      </w:r>
      <w:r w:rsidR="006A1E7B">
        <w:t>over 600</w:t>
      </w:r>
      <w:r>
        <w:t xml:space="preserve"> businesses owned by women</w:t>
      </w:r>
      <w:r w:rsidR="003D1E88">
        <w:t>,</w:t>
      </w:r>
      <w:r>
        <w:t xml:space="preserve"> youth, or people </w:t>
      </w:r>
      <w:r w:rsidR="003D1E88">
        <w:t xml:space="preserve">living </w:t>
      </w:r>
      <w:r>
        <w:t xml:space="preserve">with disabilities. </w:t>
      </w:r>
      <w:r w:rsidR="00E27F95">
        <w:t>Around 15 per cent of these related to the WEE/SI portfolio.</w:t>
      </w:r>
    </w:p>
    <w:p w14:paraId="24B79648" w14:textId="682CF1E8" w:rsidR="00962218" w:rsidRDefault="00BB54D8" w:rsidP="00CD4E2E">
      <w:r>
        <w:t xml:space="preserve">During Phase </w:t>
      </w:r>
      <w:r w:rsidR="008731FE">
        <w:t>2</w:t>
      </w:r>
      <w:r>
        <w:t>, t</w:t>
      </w:r>
      <w:r w:rsidRPr="003836A8">
        <w:t>he program</w:t>
      </w:r>
      <w:r>
        <w:t xml:space="preserve"> supported </w:t>
      </w:r>
      <w:r w:rsidR="00EA5501">
        <w:t>nearly 400</w:t>
      </w:r>
      <w:r>
        <w:t xml:space="preserve"> women to access new products and services </w:t>
      </w:r>
      <w:r w:rsidR="000C6CC2">
        <w:t>that</w:t>
      </w:r>
      <w:r w:rsidR="005E355A">
        <w:t xml:space="preserve"> </w:t>
      </w:r>
      <w:r w:rsidR="005E355A" w:rsidRPr="00BE1672">
        <w:rPr>
          <w:i/>
          <w:iCs/>
        </w:rPr>
        <w:t>potential</w:t>
      </w:r>
      <w:r w:rsidR="000C6CC2">
        <w:rPr>
          <w:i/>
          <w:iCs/>
        </w:rPr>
        <w:t>ly</w:t>
      </w:r>
      <w:r>
        <w:t xml:space="preserve"> improv</w:t>
      </w:r>
      <w:r w:rsidR="005E355A">
        <w:t>e</w:t>
      </w:r>
      <w:r>
        <w:t xml:space="preserve"> their access to and control over productive resources within their household and community</w:t>
      </w:r>
      <w:r w:rsidR="00272F07">
        <w:t>, while</w:t>
      </w:r>
      <w:r w:rsidR="00962218">
        <w:t xml:space="preserve"> 75 women reported </w:t>
      </w:r>
      <w:r w:rsidR="00272F07" w:rsidRPr="00272F07">
        <w:rPr>
          <w:i/>
          <w:iCs/>
        </w:rPr>
        <w:t>achieving</w:t>
      </w:r>
      <w:r w:rsidR="00272F07">
        <w:t xml:space="preserve"> </w:t>
      </w:r>
      <w:r w:rsidR="00155B06">
        <w:t xml:space="preserve">this </w:t>
      </w:r>
      <w:r w:rsidR="00962218">
        <w:t>improv</w:t>
      </w:r>
      <w:r w:rsidR="00155B06">
        <w:t>ement</w:t>
      </w:r>
      <w:r w:rsidR="00962218">
        <w:t>.</w:t>
      </w:r>
      <w:r w:rsidR="005D18F5">
        <w:t xml:space="preserve"> </w:t>
      </w:r>
      <w:r w:rsidR="00272F07">
        <w:t xml:space="preserve">Around one-quarter of results </w:t>
      </w:r>
      <w:r w:rsidR="00F266EF">
        <w:t xml:space="preserve">for both these indicators </w:t>
      </w:r>
      <w:r w:rsidR="00272F07">
        <w:t xml:space="preserve">are attributable to the WEE/SI portfolio and the remainder to </w:t>
      </w:r>
      <w:r w:rsidR="00F266EF">
        <w:t xml:space="preserve">other </w:t>
      </w:r>
      <w:r w:rsidR="00272F07">
        <w:t>sectoral interventions.</w:t>
      </w:r>
    </w:p>
    <w:p w14:paraId="25BCEA9C" w14:textId="2DB8FEE3" w:rsidR="005E355A" w:rsidRDefault="002D17CF" w:rsidP="00CD4E2E">
      <w:r>
        <w:t xml:space="preserve">As discussed under EOPO1, </w:t>
      </w:r>
      <w:r w:rsidR="001E07F5" w:rsidRPr="004B2EDE">
        <w:rPr>
          <w:b/>
          <w:bCs/>
        </w:rPr>
        <w:t>adoption of improved business practices</w:t>
      </w:r>
      <w:r w:rsidR="001E07F5">
        <w:t xml:space="preserve"> is </w:t>
      </w:r>
      <w:r w:rsidR="00B743BB">
        <w:t xml:space="preserve">a </w:t>
      </w:r>
      <w:r w:rsidR="001E07F5">
        <w:t xml:space="preserve">more difficult </w:t>
      </w:r>
      <w:r w:rsidR="00BB01ED">
        <w:t>and long-term</w:t>
      </w:r>
      <w:r w:rsidR="001E07F5">
        <w:t xml:space="preserve"> </w:t>
      </w:r>
      <w:r w:rsidR="00B743BB">
        <w:t xml:space="preserve">challenge </w:t>
      </w:r>
      <w:r w:rsidR="001E07F5">
        <w:t xml:space="preserve">than </w:t>
      </w:r>
      <w:r w:rsidR="00B743BB">
        <w:t xml:space="preserve">providing </w:t>
      </w:r>
      <w:r w:rsidR="004C1F89">
        <w:t>access</w:t>
      </w:r>
      <w:r w:rsidR="00B743BB">
        <w:t xml:space="preserve"> or capacity building</w:t>
      </w:r>
      <w:r w:rsidR="007B32A0">
        <w:t xml:space="preserve">. </w:t>
      </w:r>
      <w:r w:rsidR="00C44753">
        <w:t>Of the total</w:t>
      </w:r>
      <w:r w:rsidR="005D18F5">
        <w:t xml:space="preserve"> 238 household</w:t>
      </w:r>
      <w:r w:rsidR="00C44753">
        <w:t>s</w:t>
      </w:r>
      <w:r w:rsidR="005D18F5">
        <w:t xml:space="preserve"> and </w:t>
      </w:r>
      <w:r w:rsidR="00065E20">
        <w:t>enterprises</w:t>
      </w:r>
      <w:r w:rsidR="005D18F5">
        <w:t xml:space="preserve"> </w:t>
      </w:r>
      <w:r w:rsidR="00326F06">
        <w:t>recorded against this</w:t>
      </w:r>
      <w:r w:rsidR="00525D0C">
        <w:t xml:space="preserve"> common</w:t>
      </w:r>
      <w:r w:rsidR="00326F06">
        <w:t xml:space="preserve"> indicator </w:t>
      </w:r>
      <w:r w:rsidR="00525D0C">
        <w:t xml:space="preserve">(#6), </w:t>
      </w:r>
      <w:r w:rsidR="005D18F5">
        <w:t xml:space="preserve">49 </w:t>
      </w:r>
      <w:r w:rsidR="00547410">
        <w:t>were the result of</w:t>
      </w:r>
      <w:r w:rsidR="005D18F5">
        <w:t xml:space="preserve"> targeted WEE/SI interventions.</w:t>
      </w:r>
    </w:p>
    <w:p w14:paraId="243044A8" w14:textId="2B929082" w:rsidR="001531AE" w:rsidRDefault="00D76CDC" w:rsidP="00725214">
      <w:r w:rsidRPr="005B7140">
        <w:t>Acc</w:t>
      </w:r>
      <w:r w:rsidR="00AA0B5D" w:rsidRPr="005B7140">
        <w:t>ording to the</w:t>
      </w:r>
      <w:r w:rsidRPr="005B7140">
        <w:t xml:space="preserve"> quantitative MRM data</w:t>
      </w:r>
      <w:r w:rsidR="00491441">
        <w:t xml:space="preserve"> summarised in Table 5</w:t>
      </w:r>
      <w:r w:rsidR="00AA0B5D" w:rsidRPr="005B7140">
        <w:t>,</w:t>
      </w:r>
      <w:r w:rsidRPr="005B7140">
        <w:t xml:space="preserve"> </w:t>
      </w:r>
      <w:r w:rsidR="00F26B39" w:rsidRPr="005B7140">
        <w:rPr>
          <w:b/>
          <w:bCs/>
        </w:rPr>
        <w:t xml:space="preserve">impacts for people </w:t>
      </w:r>
      <w:r w:rsidR="00AA0B5D" w:rsidRPr="005B7140">
        <w:rPr>
          <w:b/>
          <w:bCs/>
        </w:rPr>
        <w:t xml:space="preserve">living </w:t>
      </w:r>
      <w:r w:rsidR="00F26B39" w:rsidRPr="005B7140">
        <w:rPr>
          <w:b/>
          <w:bCs/>
        </w:rPr>
        <w:t xml:space="preserve">with a disability </w:t>
      </w:r>
      <w:r w:rsidR="00AA0B5D" w:rsidRPr="005B7140">
        <w:rPr>
          <w:b/>
          <w:bCs/>
        </w:rPr>
        <w:t xml:space="preserve">have been limited </w:t>
      </w:r>
      <w:r w:rsidR="0034760E" w:rsidRPr="005B7140">
        <w:rPr>
          <w:b/>
          <w:bCs/>
        </w:rPr>
        <w:t xml:space="preserve">to date </w:t>
      </w:r>
      <w:r w:rsidR="00AA0B5D" w:rsidRPr="005B7140">
        <w:rPr>
          <w:b/>
          <w:bCs/>
        </w:rPr>
        <w:t>and derive almost exclusively from the targeted WEE/SI portfolio</w:t>
      </w:r>
      <w:r w:rsidR="00AA0B5D" w:rsidRPr="005B7140">
        <w:t xml:space="preserve">. </w:t>
      </w:r>
      <w:r w:rsidR="00725214" w:rsidRPr="00100ADA">
        <w:t xml:space="preserve">No new jobs have been </w:t>
      </w:r>
      <w:r w:rsidR="00D17D67" w:rsidRPr="005B7140">
        <w:t>recorded</w:t>
      </w:r>
      <w:r w:rsidR="00D17D67" w:rsidRPr="00100ADA">
        <w:t xml:space="preserve"> </w:t>
      </w:r>
      <w:r w:rsidR="00725214" w:rsidRPr="00100ADA">
        <w:t>for this target group since the program’s inception. Similarly, capacity building activities reached 881 women and 321 youth in Phase 2, but just 13 people with disabilities (even lower than in Phase 1)</w:t>
      </w:r>
      <w:r w:rsidR="000F5394" w:rsidRPr="00100ADA">
        <w:t xml:space="preserve">. </w:t>
      </w:r>
      <w:r w:rsidR="00E534E0" w:rsidRPr="00100ADA">
        <w:t xml:space="preserve">Of </w:t>
      </w:r>
      <w:r w:rsidR="00D36495">
        <w:t>609</w:t>
      </w:r>
      <w:r w:rsidR="00D36495" w:rsidRPr="00100ADA">
        <w:t xml:space="preserve"> </w:t>
      </w:r>
      <w:r w:rsidR="003B3312">
        <w:t xml:space="preserve">people in the WEE/SI </w:t>
      </w:r>
      <w:r w:rsidR="003A280B">
        <w:t>cohort</w:t>
      </w:r>
      <w:r w:rsidR="00FD6299" w:rsidRPr="00100ADA">
        <w:t xml:space="preserve"> </w:t>
      </w:r>
      <w:r w:rsidR="00E534E0" w:rsidRPr="00100ADA">
        <w:t xml:space="preserve">whose businesses experienced </w:t>
      </w:r>
      <w:r w:rsidR="005578D4">
        <w:t>‘</w:t>
      </w:r>
      <w:r w:rsidR="00E534E0" w:rsidRPr="00100ADA">
        <w:t>improved access to higher economic opportunities</w:t>
      </w:r>
      <w:r w:rsidR="005578D4">
        <w:t>’</w:t>
      </w:r>
      <w:r w:rsidR="00E534E0" w:rsidRPr="00100ADA">
        <w:t xml:space="preserve">, </w:t>
      </w:r>
      <w:r w:rsidR="005E21A6">
        <w:t>only</w:t>
      </w:r>
      <w:r w:rsidR="005E21A6" w:rsidRPr="00100ADA">
        <w:t xml:space="preserve"> </w:t>
      </w:r>
      <w:r w:rsidR="008E156F">
        <w:t>eight</w:t>
      </w:r>
      <w:r w:rsidR="008E156F" w:rsidRPr="00100ADA">
        <w:t xml:space="preserve"> </w:t>
      </w:r>
      <w:r w:rsidR="006E7BE5">
        <w:t xml:space="preserve">were identified </w:t>
      </w:r>
      <w:r w:rsidR="003B3312">
        <w:t>as living with a disability</w:t>
      </w:r>
      <w:r w:rsidR="00E534E0" w:rsidRPr="00100ADA">
        <w:t>.</w:t>
      </w:r>
      <w:r w:rsidR="00E534E0">
        <w:t xml:space="preserve"> </w:t>
      </w:r>
      <w:r w:rsidR="003B72A3">
        <w:t>Given an estimated 14% of the population lives with a disability</w:t>
      </w:r>
      <w:r w:rsidR="003B72A3">
        <w:rPr>
          <w:rStyle w:val="FootnoteReference"/>
        </w:rPr>
        <w:footnoteReference w:id="12"/>
      </w:r>
      <w:r w:rsidR="003B72A3">
        <w:t xml:space="preserve">, there appears to be considerable room for improvement. </w:t>
      </w:r>
      <w:r w:rsidR="001531AE">
        <w:t>However</w:t>
      </w:r>
      <w:r w:rsidR="00DE58C6">
        <w:t>,</w:t>
      </w:r>
      <w:r w:rsidR="001531AE">
        <w:t xml:space="preserve"> it is worth noting that</w:t>
      </w:r>
      <w:r w:rsidR="008636E3">
        <w:t xml:space="preserve"> disability-focused </w:t>
      </w:r>
      <w:r w:rsidR="008234DF">
        <w:t>partnerships</w:t>
      </w:r>
      <w:r w:rsidR="008636E3">
        <w:t xml:space="preserve"> are relatively new, and</w:t>
      </w:r>
      <w:r w:rsidR="001531AE">
        <w:t xml:space="preserve"> </w:t>
      </w:r>
      <w:r w:rsidR="008B557C">
        <w:t xml:space="preserve">these numbers </w:t>
      </w:r>
      <w:r w:rsidR="008C758B">
        <w:t xml:space="preserve">may be </w:t>
      </w:r>
      <w:r w:rsidR="00E96C8A">
        <w:t>under-reported. For example, B</w:t>
      </w:r>
      <w:r w:rsidR="00663AD2">
        <w:t>-</w:t>
      </w:r>
      <w:r w:rsidR="00E96C8A">
        <w:t xml:space="preserve">17 </w:t>
      </w:r>
      <w:r w:rsidR="0027674B">
        <w:t xml:space="preserve">in the Tourism sector </w:t>
      </w:r>
      <w:r w:rsidR="00206A75">
        <w:t xml:space="preserve">and Pasifiki </w:t>
      </w:r>
      <w:r w:rsidR="008D0CD9">
        <w:t xml:space="preserve">HR under WEE/SI </w:t>
      </w:r>
      <w:r w:rsidR="0027674B">
        <w:t xml:space="preserve">explicitly </w:t>
      </w:r>
      <w:r w:rsidR="00F32448">
        <w:t>support disability</w:t>
      </w:r>
      <w:r w:rsidR="002C50B6">
        <w:t xml:space="preserve">-related outcomes but </w:t>
      </w:r>
      <w:r w:rsidR="009A622C">
        <w:t xml:space="preserve">neither claim </w:t>
      </w:r>
      <w:r w:rsidR="005E2918">
        <w:t xml:space="preserve">any </w:t>
      </w:r>
      <w:r w:rsidR="00B4658C">
        <w:t xml:space="preserve">disability </w:t>
      </w:r>
      <w:r w:rsidR="009B1DEB">
        <w:t>results under the disaggregated common indicators (3, 4, 16)</w:t>
      </w:r>
      <w:r w:rsidR="00B4658C">
        <w:t xml:space="preserve">. </w:t>
      </w:r>
      <w:r w:rsidR="001856D9">
        <w:t xml:space="preserve">The other </w:t>
      </w:r>
      <w:r w:rsidR="00390521">
        <w:t xml:space="preserve">Disability partnership, San Isidro, </w:t>
      </w:r>
      <w:r w:rsidR="00D2781A">
        <w:t xml:space="preserve">reported eight </w:t>
      </w:r>
      <w:r w:rsidR="008F72D2">
        <w:t xml:space="preserve">beneficiaries of capacity building support but no </w:t>
      </w:r>
      <w:r w:rsidR="00461198">
        <w:t xml:space="preserve">results against </w:t>
      </w:r>
      <w:r w:rsidR="008F72D2">
        <w:t xml:space="preserve">other disability-related </w:t>
      </w:r>
      <w:r w:rsidR="00DE58C6">
        <w:t>indicators.</w:t>
      </w:r>
      <w:r w:rsidR="002C50B6">
        <w:t xml:space="preserve"> </w:t>
      </w:r>
      <w:r w:rsidR="006C1848">
        <w:t>These partnerships are discussed further under KEQ2.</w:t>
      </w:r>
    </w:p>
    <w:p w14:paraId="40E4B8B9" w14:textId="7EA6E5CB" w:rsidR="000604CF" w:rsidRPr="003E0064" w:rsidRDefault="00F618AB" w:rsidP="003E0064">
      <w:pPr>
        <w:pStyle w:val="Heading2NOTOC"/>
        <w:rPr>
          <w:rStyle w:val="normaltextrun"/>
          <w:color w:val="414141" w:themeColor="text2" w:themeShade="BF"/>
        </w:rPr>
      </w:pPr>
      <w:bookmarkStart w:id="15" w:name="_Toc131170442"/>
      <w:r w:rsidRPr="003E0064">
        <w:rPr>
          <w:rStyle w:val="normaltextrun"/>
          <w:color w:val="414141" w:themeColor="text2" w:themeShade="BF"/>
        </w:rPr>
        <w:t>SubQ</w:t>
      </w:r>
      <w:r w:rsidR="005C3AB3" w:rsidRPr="003E0064">
        <w:rPr>
          <w:rStyle w:val="normaltextrun"/>
          <w:color w:val="414141" w:themeColor="text2" w:themeShade="BF"/>
        </w:rPr>
        <w:t>1.</w:t>
      </w:r>
      <w:r w:rsidRPr="003E0064">
        <w:rPr>
          <w:rStyle w:val="normaltextrun"/>
          <w:color w:val="414141" w:themeColor="text2" w:themeShade="BF"/>
        </w:rPr>
        <w:t xml:space="preserve">2: </w:t>
      </w:r>
      <w:r w:rsidR="000604CF" w:rsidRPr="003E0064">
        <w:rPr>
          <w:rStyle w:val="normaltextrun"/>
          <w:color w:val="414141" w:themeColor="text2" w:themeShade="BF"/>
        </w:rPr>
        <w:t>Did the program achieve impacts beyond those articulated as intended outcomes?</w:t>
      </w:r>
      <w:bookmarkEnd w:id="15"/>
      <w:r w:rsidR="000604CF" w:rsidRPr="003E0064">
        <w:rPr>
          <w:rStyle w:val="normaltextrun"/>
          <w:color w:val="414141" w:themeColor="text2" w:themeShade="BF"/>
        </w:rPr>
        <w:t> </w:t>
      </w:r>
    </w:p>
    <w:p w14:paraId="56C53ACD" w14:textId="71AC93B4" w:rsidR="000C7945" w:rsidRDefault="00C64844" w:rsidP="00AA18B8">
      <w:r>
        <w:t xml:space="preserve">Arguably the most significant unanticipated impact arose </w:t>
      </w:r>
      <w:r w:rsidR="00BB4A66">
        <w:t>in response to</w:t>
      </w:r>
      <w:r>
        <w:t xml:space="preserve"> COVID-19 border restrictions. </w:t>
      </w:r>
      <w:r w:rsidRPr="002E16C2">
        <w:rPr>
          <w:b/>
          <w:bCs/>
        </w:rPr>
        <w:t xml:space="preserve">Rapid reorientation of Strongim Bisnis’ tourism sector support </w:t>
      </w:r>
      <w:r w:rsidR="00F57578" w:rsidRPr="002E16C2">
        <w:rPr>
          <w:b/>
          <w:bCs/>
        </w:rPr>
        <w:t xml:space="preserve">helped </w:t>
      </w:r>
      <w:r w:rsidR="0005139F" w:rsidRPr="002E16C2">
        <w:rPr>
          <w:b/>
          <w:bCs/>
        </w:rPr>
        <w:t>catalyse</w:t>
      </w:r>
      <w:r w:rsidR="00F57578" w:rsidRPr="002E16C2">
        <w:rPr>
          <w:b/>
          <w:bCs/>
        </w:rPr>
        <w:t xml:space="preserve"> a nascent</w:t>
      </w:r>
      <w:r w:rsidRPr="002E16C2">
        <w:rPr>
          <w:b/>
          <w:bCs/>
        </w:rPr>
        <w:t xml:space="preserve"> d</w:t>
      </w:r>
      <w:r w:rsidRPr="00696E09">
        <w:rPr>
          <w:b/>
          <w:bCs/>
        </w:rPr>
        <w:t>omestic tourism</w:t>
      </w:r>
      <w:r w:rsidR="00F57578">
        <w:rPr>
          <w:b/>
          <w:bCs/>
        </w:rPr>
        <w:t xml:space="preserve"> market</w:t>
      </w:r>
      <w:r>
        <w:t xml:space="preserve">. Prior to COVID, the domestic market had not been a significant focus for SIG, Solomon Airlines or most tourism operators. </w:t>
      </w:r>
      <w:r w:rsidR="00180F3B">
        <w:t>Strongim Bisnis initially helped develop l</w:t>
      </w:r>
      <w:r>
        <w:t xml:space="preserve">ocal packages to target expatriates who had remained in the country. Then, through collaboration between </w:t>
      </w:r>
      <w:r w:rsidR="00180F3B">
        <w:t xml:space="preserve">Strongim Bisnis, </w:t>
      </w:r>
      <w:r>
        <w:t xml:space="preserve">SIG, Tourism Solomons and Solomon Airlines, public servants were funded to visit local tourist sites and stay in local tourist accommodation under the </w:t>
      </w:r>
      <w:r w:rsidR="007B1BB6">
        <w:rPr>
          <w:i/>
        </w:rPr>
        <w:t>Iu</w:t>
      </w:r>
      <w:r w:rsidR="007B1BB6" w:rsidRPr="001A2C98">
        <w:rPr>
          <w:i/>
        </w:rPr>
        <w:t xml:space="preserve">mi </w:t>
      </w:r>
      <w:r w:rsidRPr="001A2C98">
        <w:rPr>
          <w:i/>
        </w:rPr>
        <w:t>Tugeda</w:t>
      </w:r>
      <w:r>
        <w:t xml:space="preserve"> (Domestic Travel Bubble) program. The domestic market now accounts for 50</w:t>
      </w:r>
      <w:r w:rsidR="00180F3B">
        <w:t xml:space="preserve"> per cent of</w:t>
      </w:r>
      <w:r>
        <w:t xml:space="preserve"> </w:t>
      </w:r>
      <w:r>
        <w:rPr>
          <w:rFonts w:ascii="Arial" w:hAnsi="Arial" w:cs="Arial"/>
        </w:rPr>
        <w:t>Solomon Airlines’ income, compared to 10</w:t>
      </w:r>
      <w:r w:rsidR="00180F3B">
        <w:rPr>
          <w:rFonts w:ascii="Arial" w:hAnsi="Arial" w:cs="Arial"/>
        </w:rPr>
        <w:t xml:space="preserve"> per cent</w:t>
      </w:r>
      <w:r>
        <w:rPr>
          <w:rFonts w:ascii="Arial" w:hAnsi="Arial" w:cs="Arial"/>
        </w:rPr>
        <w:t xml:space="preserve"> pre-COVID. </w:t>
      </w:r>
      <w:r>
        <w:t xml:space="preserve">Strongim Bisnis credits its tourism partnerships with saving 29 jobs in the sector and attracting 1114 additional visitors to tourism ventures, of whom </w:t>
      </w:r>
      <w:r w:rsidRPr="00EC737B">
        <w:t>979 were domestic travellers</w:t>
      </w:r>
      <w:r>
        <w:t>.</w:t>
      </w:r>
    </w:p>
    <w:p w14:paraId="00048CD6" w14:textId="77777777" w:rsidR="004470E2" w:rsidRPr="00172881" w:rsidRDefault="004470E2" w:rsidP="004470E2">
      <w:pPr>
        <w:pBdr>
          <w:top w:val="single" w:sz="4" w:space="1" w:color="auto"/>
          <w:left w:val="single" w:sz="4" w:space="4" w:color="auto"/>
          <w:bottom w:val="single" w:sz="4" w:space="1" w:color="auto"/>
          <w:right w:val="single" w:sz="4" w:space="4" w:color="auto"/>
        </w:pBdr>
        <w:ind w:left="284"/>
        <w:rPr>
          <w:i/>
          <w:color w:val="1D336D" w:themeColor="background2"/>
          <w:sz w:val="18"/>
          <w:szCs w:val="18"/>
        </w:rPr>
      </w:pPr>
      <w:r w:rsidRPr="00172881">
        <w:rPr>
          <w:i/>
          <w:color w:val="1D336D" w:themeColor="background2"/>
          <w:sz w:val="18"/>
          <w:szCs w:val="18"/>
        </w:rPr>
        <w:t xml:space="preserve">‘COVID taught us some valuable </w:t>
      </w:r>
      <w:r w:rsidRPr="00172881">
        <w:rPr>
          <w:i/>
          <w:iCs/>
          <w:color w:val="1D336D" w:themeColor="background2"/>
          <w:sz w:val="18"/>
          <w:szCs w:val="18"/>
        </w:rPr>
        <w:t>lessons</w:t>
      </w:r>
      <w:r>
        <w:rPr>
          <w:i/>
          <w:iCs/>
          <w:color w:val="1D336D" w:themeColor="background2"/>
          <w:sz w:val="18"/>
          <w:szCs w:val="18"/>
        </w:rPr>
        <w:t xml:space="preserve"> about opportunities in the domestic market</w:t>
      </w:r>
      <w:r w:rsidRPr="00172881">
        <w:rPr>
          <w:i/>
          <w:iCs/>
          <w:color w:val="1D336D" w:themeColor="background2"/>
          <w:sz w:val="18"/>
          <w:szCs w:val="18"/>
        </w:rPr>
        <w:t xml:space="preserve">’ </w:t>
      </w:r>
      <w:r>
        <w:rPr>
          <w:i/>
          <w:iCs/>
          <w:color w:val="1D336D" w:themeColor="background2"/>
          <w:sz w:val="18"/>
          <w:szCs w:val="18"/>
        </w:rPr>
        <w:t xml:space="preserve">- </w:t>
      </w:r>
      <w:r w:rsidRPr="00172881">
        <w:rPr>
          <w:i/>
          <w:iCs/>
          <w:color w:val="1D336D" w:themeColor="background2"/>
          <w:sz w:val="18"/>
          <w:szCs w:val="18"/>
        </w:rPr>
        <w:t>Tourism Solomons</w:t>
      </w:r>
    </w:p>
    <w:p w14:paraId="588F4C22" w14:textId="102A82E3" w:rsidR="00670F8D" w:rsidRPr="006C3B71" w:rsidRDefault="00C70AAE" w:rsidP="00670F8D">
      <w:pPr>
        <w:pStyle w:val="ListBullet"/>
        <w:numPr>
          <w:ilvl w:val="0"/>
          <w:numId w:val="0"/>
        </w:numPr>
        <w:rPr>
          <w:rFonts w:ascii="Calibri" w:eastAsiaTheme="minorHAnsi" w:hAnsi="Calibri"/>
          <w:color w:val="auto"/>
          <w:szCs w:val="21"/>
        </w:rPr>
      </w:pPr>
      <w:r>
        <w:rPr>
          <w:b/>
          <w:bCs/>
        </w:rPr>
        <w:t>Strongim Bisnis’ efforts to promote organic fertiliser have indirectly generated ne</w:t>
      </w:r>
      <w:r w:rsidR="00670F8D" w:rsidRPr="006B040C">
        <w:rPr>
          <w:b/>
          <w:bCs/>
        </w:rPr>
        <w:t xml:space="preserve">w interest in </w:t>
      </w:r>
      <w:r w:rsidR="00670F8D">
        <w:rPr>
          <w:b/>
          <w:bCs/>
        </w:rPr>
        <w:t>producing</w:t>
      </w:r>
      <w:r w:rsidR="00670F8D" w:rsidRPr="006B040C">
        <w:rPr>
          <w:b/>
          <w:bCs/>
        </w:rPr>
        <w:t xml:space="preserve"> livestock feed</w:t>
      </w:r>
      <w:r w:rsidR="00670F8D">
        <w:t xml:space="preserve">: A key element of Strongim Bisnis’ partnership with Prosperity Farm revolves around conversion of green waste (including from Honiara Central Market) into organic fertiliser. Consultations revealed a number of challenges with achieving that objective, including the logistics of transporting waste from </w:t>
      </w:r>
      <w:r>
        <w:t>the market</w:t>
      </w:r>
      <w:r w:rsidR="00670F8D">
        <w:t xml:space="preserve"> over 40 km of poorly maintained roads, and the fact that few smallholders nearby would see a need to buy organic fertiliser</w:t>
      </w:r>
      <w:r w:rsidR="00670F8D">
        <w:rPr>
          <w:rStyle w:val="FootnoteReference"/>
        </w:rPr>
        <w:footnoteReference w:id="13"/>
      </w:r>
      <w:r w:rsidR="00670F8D">
        <w:t xml:space="preserve">. While </w:t>
      </w:r>
      <w:r w:rsidR="00FF5644">
        <w:t xml:space="preserve">the farm owner </w:t>
      </w:r>
      <w:r w:rsidR="00670F8D">
        <w:t xml:space="preserve">is producing small quantities of fertiliser for his own use, </w:t>
      </w:r>
      <w:r w:rsidR="00FF5644">
        <w:t xml:space="preserve">he </w:t>
      </w:r>
      <w:r w:rsidR="00670F8D">
        <w:t xml:space="preserve">has also been using the Strongim Bisnis-supplied shredder to process farm waste into feed for his pigs. He observes significant market demand for livestock feed, and an opportunity to produce high-quality silage to compete with imported feed. This is an interesting example where apparently limited success in progressing one possible market opportunity (organic fertiliser) through Strongim Bisnis support may instead lead to unexpected progress towards a somewhat different market opportunity.      </w:t>
      </w:r>
    </w:p>
    <w:p w14:paraId="0C68978F" w14:textId="77777777" w:rsidR="00670F8D" w:rsidRPr="0001498F" w:rsidRDefault="00670F8D" w:rsidP="00670F8D">
      <w:pPr>
        <w:pBdr>
          <w:top w:val="single" w:sz="4" w:space="1" w:color="auto"/>
          <w:left w:val="single" w:sz="4" w:space="4" w:color="auto"/>
          <w:bottom w:val="single" w:sz="4" w:space="1" w:color="auto"/>
          <w:right w:val="single" w:sz="4" w:space="4" w:color="auto"/>
        </w:pBdr>
        <w:ind w:left="284"/>
        <w:rPr>
          <w:i/>
          <w:color w:val="1D336D" w:themeColor="background2"/>
          <w:sz w:val="18"/>
          <w:szCs w:val="18"/>
        </w:rPr>
      </w:pPr>
      <w:r>
        <w:rPr>
          <w:i/>
          <w:iCs/>
          <w:color w:val="1D336D" w:themeColor="background2"/>
          <w:sz w:val="18"/>
          <w:szCs w:val="18"/>
        </w:rPr>
        <w:t>‘</w:t>
      </w:r>
      <w:r w:rsidRPr="0001498F">
        <w:rPr>
          <w:i/>
          <w:iCs/>
          <w:color w:val="1D336D" w:themeColor="background2"/>
          <w:sz w:val="18"/>
          <w:szCs w:val="18"/>
        </w:rPr>
        <w:t>There’s a market for pigs here, but less so for fertiliser</w:t>
      </w:r>
      <w:r>
        <w:rPr>
          <w:i/>
          <w:iCs/>
          <w:color w:val="1D336D" w:themeColor="background2"/>
          <w:sz w:val="18"/>
          <w:szCs w:val="18"/>
        </w:rPr>
        <w:t>’ – Prosperity Farm</w:t>
      </w:r>
    </w:p>
    <w:p w14:paraId="4D451E8F" w14:textId="22343263" w:rsidR="00182716" w:rsidRPr="00D202F6" w:rsidRDefault="00AC79DF" w:rsidP="00E42B73">
      <w:pPr>
        <w:pStyle w:val="ListBullet"/>
        <w:numPr>
          <w:ilvl w:val="0"/>
          <w:numId w:val="0"/>
        </w:numPr>
      </w:pPr>
      <w:r>
        <w:rPr>
          <w:b/>
          <w:bCs/>
        </w:rPr>
        <w:t>I</w:t>
      </w:r>
      <w:r w:rsidR="00392A61">
        <w:rPr>
          <w:b/>
          <w:bCs/>
        </w:rPr>
        <w:t xml:space="preserve">ncreased </w:t>
      </w:r>
      <w:r>
        <w:rPr>
          <w:b/>
          <w:bCs/>
        </w:rPr>
        <w:t xml:space="preserve">youth </w:t>
      </w:r>
      <w:r w:rsidR="00545B18">
        <w:rPr>
          <w:b/>
          <w:bCs/>
        </w:rPr>
        <w:t>agency is leading to</w:t>
      </w:r>
      <w:r w:rsidR="004573AC">
        <w:rPr>
          <w:b/>
          <w:bCs/>
        </w:rPr>
        <w:t xml:space="preserve"> </w:t>
      </w:r>
      <w:r>
        <w:rPr>
          <w:b/>
          <w:bCs/>
        </w:rPr>
        <w:t xml:space="preserve">instances of </w:t>
      </w:r>
      <w:r w:rsidR="00456034">
        <w:rPr>
          <w:b/>
          <w:bCs/>
        </w:rPr>
        <w:t>countercultural change.</w:t>
      </w:r>
      <w:r w:rsidR="00456034">
        <w:t xml:space="preserve"> </w:t>
      </w:r>
      <w:r w:rsidR="00AC338C">
        <w:t xml:space="preserve">In </w:t>
      </w:r>
      <w:r w:rsidR="00D57471">
        <w:t>one</w:t>
      </w:r>
      <w:r w:rsidR="00AC338C">
        <w:t xml:space="preserve"> youth-run enterprise supported by Strongim Bisnis, </w:t>
      </w:r>
      <w:r w:rsidR="00E81AA1">
        <w:t>the youth felt empowered to resist demands from their</w:t>
      </w:r>
      <w:r w:rsidR="00AC338C">
        <w:t xml:space="preserve"> </w:t>
      </w:r>
      <w:r w:rsidR="00E81AA1">
        <w:t>local church for a share of the business revenue</w:t>
      </w:r>
      <w:r w:rsidR="000C6252">
        <w:t xml:space="preserve">. </w:t>
      </w:r>
      <w:r w:rsidR="006E5F5F">
        <w:t>When t</w:t>
      </w:r>
      <w:r w:rsidR="000C6252">
        <w:t>he</w:t>
      </w:r>
      <w:r w:rsidR="006E5F5F">
        <w:t>ir</w:t>
      </w:r>
      <w:r w:rsidR="000C6252">
        <w:t xml:space="preserve"> initial 50% demand</w:t>
      </w:r>
      <w:r w:rsidR="006E5F5F">
        <w:t xml:space="preserve"> was rebuffed</w:t>
      </w:r>
      <w:r w:rsidR="000C6252">
        <w:t xml:space="preserve">, </w:t>
      </w:r>
      <w:r w:rsidR="006E5F5F">
        <w:t>the elders reduced this</w:t>
      </w:r>
      <w:r w:rsidR="00476145">
        <w:t xml:space="preserve"> to 20%</w:t>
      </w:r>
      <w:r w:rsidR="000C6252">
        <w:t xml:space="preserve"> (also refused)</w:t>
      </w:r>
      <w:r w:rsidR="00476145">
        <w:t xml:space="preserve">, and finally </w:t>
      </w:r>
      <w:r w:rsidR="00A436D1">
        <w:t>sought</w:t>
      </w:r>
      <w:r w:rsidR="00E81AA1" w:rsidRPr="00E81AA1">
        <w:t xml:space="preserve"> </w:t>
      </w:r>
      <w:r w:rsidR="00E81AA1">
        <w:t xml:space="preserve">free use of the items </w:t>
      </w:r>
      <w:r w:rsidR="007606D2">
        <w:t>sourced for</w:t>
      </w:r>
      <w:r w:rsidR="00E81AA1">
        <w:t xml:space="preserve"> the business </w:t>
      </w:r>
      <w:r w:rsidR="00D57471">
        <w:t>by</w:t>
      </w:r>
      <w:r w:rsidR="00E81AA1">
        <w:t xml:space="preserve"> the program</w:t>
      </w:r>
      <w:r w:rsidR="000C6252">
        <w:t xml:space="preserve"> (still</w:t>
      </w:r>
      <w:r w:rsidR="000C6252" w:rsidRPr="00D202F6">
        <w:t xml:space="preserve"> refused</w:t>
      </w:r>
      <w:r w:rsidR="000C6252">
        <w:t>)</w:t>
      </w:r>
      <w:r w:rsidR="00476145">
        <w:t xml:space="preserve">. </w:t>
      </w:r>
      <w:r w:rsidR="00C94403" w:rsidRPr="00D202F6">
        <w:t>This expression</w:t>
      </w:r>
      <w:r w:rsidR="009A1097" w:rsidRPr="00D202F6">
        <w:t xml:space="preserve"> of agenc</w:t>
      </w:r>
      <w:r w:rsidR="00C36FF0" w:rsidRPr="00D202F6">
        <w:t>y and generational</w:t>
      </w:r>
      <w:r w:rsidR="009A1097" w:rsidRPr="00D202F6">
        <w:t xml:space="preserve"> independence</w:t>
      </w:r>
      <w:r w:rsidR="00C94403" w:rsidRPr="00D202F6">
        <w:t xml:space="preserve"> is relatively unheard of in Solomon Islands</w:t>
      </w:r>
      <w:r w:rsidR="00F635B0" w:rsidRPr="00D202F6">
        <w:t>.</w:t>
      </w:r>
    </w:p>
    <w:p w14:paraId="46E33BA6" w14:textId="750DA8A9" w:rsidR="007A629B" w:rsidRDefault="003F2C3C" w:rsidP="00C82BD2">
      <w:pPr>
        <w:pStyle w:val="ListBullet"/>
        <w:numPr>
          <w:ilvl w:val="0"/>
          <w:numId w:val="0"/>
        </w:numPr>
      </w:pPr>
      <w:r>
        <w:rPr>
          <w:b/>
          <w:bCs/>
        </w:rPr>
        <w:t>Y</w:t>
      </w:r>
      <w:r w:rsidR="00C82BD2" w:rsidRPr="4507DCA7">
        <w:rPr>
          <w:b/>
          <w:bCs/>
        </w:rPr>
        <w:t xml:space="preserve">outh </w:t>
      </w:r>
      <w:r>
        <w:rPr>
          <w:b/>
          <w:bCs/>
        </w:rPr>
        <w:t>proved to be</w:t>
      </w:r>
      <w:r w:rsidR="00C82BD2" w:rsidRPr="4507DCA7">
        <w:rPr>
          <w:b/>
          <w:bCs/>
        </w:rPr>
        <w:t xml:space="preserve"> an unexpected conduit in </w:t>
      </w:r>
      <w:r w:rsidR="004C7BDF">
        <w:rPr>
          <w:b/>
          <w:bCs/>
        </w:rPr>
        <w:t>increasing</w:t>
      </w:r>
      <w:r>
        <w:rPr>
          <w:b/>
          <w:bCs/>
        </w:rPr>
        <w:t xml:space="preserve"> program </w:t>
      </w:r>
      <w:r w:rsidR="004C7BDF">
        <w:rPr>
          <w:b/>
          <w:bCs/>
        </w:rPr>
        <w:t>awareness</w:t>
      </w:r>
      <w:r>
        <w:rPr>
          <w:b/>
          <w:bCs/>
        </w:rPr>
        <w:t xml:space="preserve"> </w:t>
      </w:r>
      <w:r w:rsidR="0057025A">
        <w:rPr>
          <w:b/>
          <w:bCs/>
        </w:rPr>
        <w:t>among</w:t>
      </w:r>
      <w:r w:rsidR="00C82BD2" w:rsidRPr="4507DCA7">
        <w:rPr>
          <w:b/>
          <w:bCs/>
        </w:rPr>
        <w:t xml:space="preserve"> rural women.</w:t>
      </w:r>
      <w:r w:rsidR="00C82BD2">
        <w:t xml:space="preserve"> </w:t>
      </w:r>
      <w:r w:rsidR="00634779">
        <w:t xml:space="preserve">Youth involved in the Vinakeke Fish Shop in Western Province shared information about Strongim Bisnis </w:t>
      </w:r>
      <w:r w:rsidR="0057517D">
        <w:t xml:space="preserve">in their communities, </w:t>
      </w:r>
      <w:r w:rsidR="002658C2">
        <w:t xml:space="preserve">sparking considerable interest </w:t>
      </w:r>
      <w:r w:rsidR="0057517D">
        <w:t xml:space="preserve">among rural women </w:t>
      </w:r>
      <w:r w:rsidR="00585C0A">
        <w:t>looking</w:t>
      </w:r>
      <w:r w:rsidR="00C82BD2">
        <w:t xml:space="preserve"> to strengthen their </w:t>
      </w:r>
      <w:r w:rsidR="00E50D16">
        <w:t xml:space="preserve">own </w:t>
      </w:r>
      <w:r w:rsidR="00585C0A">
        <w:t>existing</w:t>
      </w:r>
      <w:r w:rsidR="00E50D16">
        <w:t xml:space="preserve"> or future enterprises</w:t>
      </w:r>
      <w:r w:rsidR="00C82BD2">
        <w:t xml:space="preserve">. </w:t>
      </w:r>
      <w:r w:rsidR="00643D40">
        <w:t xml:space="preserve">Word of mouth is a </w:t>
      </w:r>
      <w:r w:rsidR="003F5C0C">
        <w:t>powerful</w:t>
      </w:r>
      <w:r w:rsidR="00643D40">
        <w:t xml:space="preserve"> </w:t>
      </w:r>
      <w:r w:rsidR="004C7BDF">
        <w:t>form of outreach</w:t>
      </w:r>
      <w:r w:rsidR="00643D40">
        <w:t xml:space="preserve"> </w:t>
      </w:r>
      <w:r w:rsidR="003F5C0C">
        <w:t>that</w:t>
      </w:r>
      <w:r w:rsidR="00EB3225">
        <w:t xml:space="preserve"> could conceivably</w:t>
      </w:r>
      <w:r w:rsidR="00643D40">
        <w:t xml:space="preserve"> generat</w:t>
      </w:r>
      <w:r w:rsidR="0075194D">
        <w:t>e</w:t>
      </w:r>
      <w:r w:rsidR="00643D40">
        <w:t xml:space="preserve"> new partnerships</w:t>
      </w:r>
      <w:r w:rsidR="003A6BD7">
        <w:t xml:space="preserve"> </w:t>
      </w:r>
      <w:r w:rsidR="00E36229">
        <w:t>with</w:t>
      </w:r>
      <w:r w:rsidR="003A6BD7">
        <w:t xml:space="preserve"> </w:t>
      </w:r>
      <w:r w:rsidR="003F5C0C">
        <w:t>entrepreneurs</w:t>
      </w:r>
      <w:r w:rsidR="00C82BD2">
        <w:t xml:space="preserve"> </w:t>
      </w:r>
      <w:r w:rsidR="00AD4958">
        <w:t xml:space="preserve">who otherwise would be unlikely to </w:t>
      </w:r>
      <w:r w:rsidR="007A629B">
        <w:t>hear about such opportunities.</w:t>
      </w:r>
    </w:p>
    <w:p w14:paraId="2B75B68B" w14:textId="147A54B6" w:rsidR="00B22E00" w:rsidRPr="00653AC0" w:rsidRDefault="00904DD6" w:rsidP="00E42B73">
      <w:pPr>
        <w:pStyle w:val="ListBullet"/>
        <w:numPr>
          <w:ilvl w:val="0"/>
          <w:numId w:val="0"/>
        </w:numPr>
      </w:pPr>
      <w:r>
        <w:rPr>
          <w:b/>
          <w:bCs/>
        </w:rPr>
        <w:t>Program s</w:t>
      </w:r>
      <w:r w:rsidR="00F81F45" w:rsidRPr="00D202F6">
        <w:rPr>
          <w:b/>
          <w:bCs/>
        </w:rPr>
        <w:t>upport to women</w:t>
      </w:r>
      <w:r w:rsidR="005F33A2" w:rsidRPr="00D202F6">
        <w:rPr>
          <w:b/>
          <w:bCs/>
        </w:rPr>
        <w:t>’</w:t>
      </w:r>
      <w:r w:rsidR="00F81F45" w:rsidRPr="00D202F6">
        <w:rPr>
          <w:b/>
          <w:bCs/>
        </w:rPr>
        <w:t xml:space="preserve">s </w:t>
      </w:r>
      <w:r w:rsidR="005F33A2" w:rsidRPr="00D202F6">
        <w:rPr>
          <w:b/>
          <w:bCs/>
        </w:rPr>
        <w:t xml:space="preserve">businesses has </w:t>
      </w:r>
      <w:r w:rsidR="00C21FE5">
        <w:rPr>
          <w:b/>
          <w:bCs/>
        </w:rPr>
        <w:t>highlighted the value</w:t>
      </w:r>
      <w:r w:rsidR="005F33A2" w:rsidRPr="00D202F6">
        <w:rPr>
          <w:b/>
          <w:bCs/>
        </w:rPr>
        <w:t xml:space="preserve"> of being ‘productive in place.’</w:t>
      </w:r>
      <w:r w:rsidR="00392A61" w:rsidRPr="00D202F6">
        <w:rPr>
          <w:b/>
          <w:bCs/>
        </w:rPr>
        <w:t xml:space="preserve"> </w:t>
      </w:r>
      <w:r w:rsidR="006D3337" w:rsidRPr="00D202F6">
        <w:rPr>
          <w:rFonts w:ascii="Arial" w:hAnsi="Arial" w:cs="Arial"/>
        </w:rPr>
        <w:t>WARA and MK Food Haus</w:t>
      </w:r>
      <w:r>
        <w:rPr>
          <w:rFonts w:ascii="Arial" w:hAnsi="Arial" w:cs="Arial"/>
        </w:rPr>
        <w:t>, for example,</w:t>
      </w:r>
      <w:r w:rsidR="006D3337" w:rsidRPr="00D202F6">
        <w:rPr>
          <w:rFonts w:ascii="Arial" w:hAnsi="Arial" w:cs="Arial"/>
        </w:rPr>
        <w:t xml:space="preserve"> </w:t>
      </w:r>
      <w:r w:rsidR="00CD41C3">
        <w:rPr>
          <w:rFonts w:ascii="Arial" w:hAnsi="Arial" w:cs="Arial"/>
        </w:rPr>
        <w:t>enabl</w:t>
      </w:r>
      <w:r w:rsidR="001C6887">
        <w:rPr>
          <w:rFonts w:ascii="Arial" w:hAnsi="Arial" w:cs="Arial"/>
        </w:rPr>
        <w:t>e</w:t>
      </w:r>
      <w:r w:rsidR="006D3337" w:rsidRPr="00D202F6">
        <w:rPr>
          <w:rFonts w:ascii="Arial" w:hAnsi="Arial" w:cs="Arial"/>
        </w:rPr>
        <w:t xml:space="preserve"> rural </w:t>
      </w:r>
      <w:r w:rsidR="005326DE">
        <w:rPr>
          <w:rFonts w:ascii="Arial" w:hAnsi="Arial" w:cs="Arial"/>
        </w:rPr>
        <w:t xml:space="preserve">women </w:t>
      </w:r>
      <w:r w:rsidR="00CD41C3">
        <w:rPr>
          <w:rFonts w:ascii="Arial" w:hAnsi="Arial" w:cs="Arial"/>
        </w:rPr>
        <w:t xml:space="preserve">to remain </w:t>
      </w:r>
      <w:r w:rsidR="005326DE">
        <w:rPr>
          <w:rFonts w:ascii="Arial" w:hAnsi="Arial" w:cs="Arial"/>
        </w:rPr>
        <w:t>in their villages</w:t>
      </w:r>
      <w:r w:rsidR="006D3337" w:rsidRPr="00D202F6">
        <w:rPr>
          <w:rFonts w:ascii="Arial" w:hAnsi="Arial" w:cs="Arial"/>
        </w:rPr>
        <w:t xml:space="preserve"> </w:t>
      </w:r>
      <w:r w:rsidR="00C6331F">
        <w:rPr>
          <w:rFonts w:ascii="Arial" w:hAnsi="Arial" w:cs="Arial"/>
        </w:rPr>
        <w:t>growing food and</w:t>
      </w:r>
      <w:r w:rsidR="00E53E76" w:rsidRPr="00D202F6">
        <w:rPr>
          <w:rFonts w:ascii="Arial" w:hAnsi="Arial" w:cs="Arial"/>
        </w:rPr>
        <w:t xml:space="preserve"> </w:t>
      </w:r>
      <w:r w:rsidR="00740C3C" w:rsidRPr="00D202F6">
        <w:rPr>
          <w:rFonts w:ascii="Arial" w:hAnsi="Arial" w:cs="Arial"/>
        </w:rPr>
        <w:t>mak</w:t>
      </w:r>
      <w:r w:rsidR="00C6331F">
        <w:rPr>
          <w:rFonts w:ascii="Arial" w:hAnsi="Arial" w:cs="Arial"/>
        </w:rPr>
        <w:t>ing</w:t>
      </w:r>
      <w:r w:rsidR="00E53E76" w:rsidRPr="00D202F6">
        <w:rPr>
          <w:rFonts w:ascii="Arial" w:hAnsi="Arial" w:cs="Arial"/>
        </w:rPr>
        <w:t xml:space="preserve"> </w:t>
      </w:r>
      <w:r w:rsidR="00740C3C" w:rsidRPr="00D202F6">
        <w:rPr>
          <w:rFonts w:ascii="Arial" w:hAnsi="Arial" w:cs="Arial"/>
        </w:rPr>
        <w:t>handi</w:t>
      </w:r>
      <w:r w:rsidR="00E53E76" w:rsidRPr="00D202F6">
        <w:rPr>
          <w:rFonts w:ascii="Arial" w:hAnsi="Arial" w:cs="Arial"/>
        </w:rPr>
        <w:t>crafts</w:t>
      </w:r>
      <w:r>
        <w:rPr>
          <w:rFonts w:ascii="Arial" w:hAnsi="Arial" w:cs="Arial"/>
        </w:rPr>
        <w:t>,</w:t>
      </w:r>
      <w:r w:rsidR="001B03A5">
        <w:rPr>
          <w:rFonts w:ascii="Arial" w:hAnsi="Arial" w:cs="Arial"/>
        </w:rPr>
        <w:t xml:space="preserve"> which </w:t>
      </w:r>
      <w:r w:rsidR="001C6887">
        <w:rPr>
          <w:rFonts w:ascii="Arial" w:hAnsi="Arial" w:cs="Arial"/>
        </w:rPr>
        <w:t>the businesses</w:t>
      </w:r>
      <w:r w:rsidR="007B1A49">
        <w:rPr>
          <w:rFonts w:ascii="Arial" w:hAnsi="Arial" w:cs="Arial"/>
        </w:rPr>
        <w:t xml:space="preserve"> </w:t>
      </w:r>
      <w:r w:rsidR="001B03A5">
        <w:rPr>
          <w:rFonts w:ascii="Arial" w:hAnsi="Arial" w:cs="Arial"/>
        </w:rPr>
        <w:t>purchase for resale in Honiara</w:t>
      </w:r>
      <w:r w:rsidR="007B1A49">
        <w:rPr>
          <w:rFonts w:ascii="Arial" w:hAnsi="Arial" w:cs="Arial"/>
        </w:rPr>
        <w:t>. This saves</w:t>
      </w:r>
      <w:r w:rsidR="006B7C81">
        <w:rPr>
          <w:rFonts w:ascii="Arial" w:hAnsi="Arial" w:cs="Arial"/>
        </w:rPr>
        <w:t xml:space="preserve"> rural women the burden of travel and </w:t>
      </w:r>
      <w:r w:rsidR="00790CB0">
        <w:rPr>
          <w:rFonts w:ascii="Arial" w:hAnsi="Arial" w:cs="Arial"/>
        </w:rPr>
        <w:t xml:space="preserve">the </w:t>
      </w:r>
      <w:r w:rsidR="007B1A49">
        <w:rPr>
          <w:rFonts w:ascii="Arial" w:hAnsi="Arial" w:cs="Arial"/>
        </w:rPr>
        <w:t xml:space="preserve">risks associated with </w:t>
      </w:r>
      <w:r w:rsidR="006B7C81">
        <w:rPr>
          <w:rFonts w:ascii="Arial" w:hAnsi="Arial" w:cs="Arial"/>
        </w:rPr>
        <w:t>unsafe accommodation at the Honiara Market</w:t>
      </w:r>
      <w:r w:rsidR="001C6887">
        <w:rPr>
          <w:rFonts w:ascii="Arial" w:hAnsi="Arial" w:cs="Arial"/>
        </w:rPr>
        <w:t>,</w:t>
      </w:r>
      <w:r w:rsidR="006B7C81">
        <w:rPr>
          <w:rFonts w:ascii="Arial" w:hAnsi="Arial" w:cs="Arial"/>
        </w:rPr>
        <w:t xml:space="preserve"> </w:t>
      </w:r>
      <w:r w:rsidR="004C3364">
        <w:rPr>
          <w:rFonts w:ascii="Arial" w:hAnsi="Arial" w:cs="Arial"/>
        </w:rPr>
        <w:t>where women often stay</w:t>
      </w:r>
      <w:r w:rsidR="006B7C81">
        <w:rPr>
          <w:rFonts w:ascii="Arial" w:hAnsi="Arial" w:cs="Arial"/>
        </w:rPr>
        <w:t xml:space="preserve"> until all their produce is sold</w:t>
      </w:r>
      <w:r w:rsidR="00740C3C" w:rsidRPr="00D202F6">
        <w:rPr>
          <w:rFonts w:ascii="Arial" w:hAnsi="Arial" w:cs="Arial"/>
        </w:rPr>
        <w:t xml:space="preserve">. </w:t>
      </w:r>
      <w:r w:rsidR="00E45267">
        <w:rPr>
          <w:rFonts w:ascii="Arial" w:hAnsi="Arial" w:cs="Arial"/>
        </w:rPr>
        <w:t>W</w:t>
      </w:r>
      <w:r w:rsidR="006B48C9">
        <w:rPr>
          <w:rFonts w:ascii="Arial" w:hAnsi="Arial" w:cs="Arial"/>
        </w:rPr>
        <w:t>hile</w:t>
      </w:r>
      <w:r w:rsidR="006B48C9" w:rsidRPr="00D202F6">
        <w:rPr>
          <w:rFonts w:ascii="Arial" w:hAnsi="Arial" w:cs="Arial"/>
        </w:rPr>
        <w:t xml:space="preserve"> COVID-19</w:t>
      </w:r>
      <w:r w:rsidR="006B48C9" w:rsidRPr="006B48C9">
        <w:rPr>
          <w:rFonts w:ascii="Arial" w:hAnsi="Arial" w:cs="Arial"/>
        </w:rPr>
        <w:t xml:space="preserve"> </w:t>
      </w:r>
      <w:r w:rsidR="006B48C9">
        <w:rPr>
          <w:rFonts w:ascii="Arial" w:hAnsi="Arial" w:cs="Arial"/>
        </w:rPr>
        <w:t xml:space="preserve">movement restrictions were in place, </w:t>
      </w:r>
      <w:r w:rsidR="00E45267">
        <w:rPr>
          <w:rFonts w:ascii="Arial" w:hAnsi="Arial" w:cs="Arial"/>
        </w:rPr>
        <w:t xml:space="preserve">Strongim Bisnis support helped </w:t>
      </w:r>
      <w:r w:rsidR="006B48C9" w:rsidRPr="00D202F6">
        <w:rPr>
          <w:rFonts w:ascii="Arial" w:hAnsi="Arial" w:cs="Arial"/>
        </w:rPr>
        <w:t xml:space="preserve">MK Food Haus expand </w:t>
      </w:r>
      <w:r w:rsidR="00502F78">
        <w:rPr>
          <w:rFonts w:ascii="Arial" w:hAnsi="Arial" w:cs="Arial"/>
        </w:rPr>
        <w:t>their sourcing of</w:t>
      </w:r>
      <w:r w:rsidR="00F46832" w:rsidRPr="00D202F6">
        <w:rPr>
          <w:rFonts w:ascii="Arial" w:hAnsi="Arial" w:cs="Arial"/>
        </w:rPr>
        <w:t xml:space="preserve"> fruit and vegetables from women farmers </w:t>
      </w:r>
      <w:r w:rsidR="00C6331F">
        <w:rPr>
          <w:rFonts w:ascii="Arial" w:hAnsi="Arial" w:cs="Arial"/>
        </w:rPr>
        <w:t>in East Guadalcanal</w:t>
      </w:r>
      <w:r w:rsidR="00F004A0">
        <w:rPr>
          <w:rFonts w:ascii="Arial" w:hAnsi="Arial" w:cs="Arial"/>
        </w:rPr>
        <w:t xml:space="preserve"> to </w:t>
      </w:r>
      <w:r w:rsidR="003302E7">
        <w:rPr>
          <w:rFonts w:ascii="Arial" w:hAnsi="Arial" w:cs="Arial"/>
        </w:rPr>
        <w:t>prepare</w:t>
      </w:r>
      <w:r w:rsidR="00F004A0">
        <w:rPr>
          <w:rFonts w:ascii="Arial" w:hAnsi="Arial" w:cs="Arial"/>
        </w:rPr>
        <w:t xml:space="preserve"> </w:t>
      </w:r>
      <w:r w:rsidR="003302E7">
        <w:rPr>
          <w:rFonts w:ascii="Arial" w:hAnsi="Arial" w:cs="Arial"/>
        </w:rPr>
        <w:t xml:space="preserve">and deliver </w:t>
      </w:r>
      <w:r w:rsidR="00F004A0">
        <w:rPr>
          <w:rFonts w:ascii="Arial" w:hAnsi="Arial" w:cs="Arial"/>
        </w:rPr>
        <w:t xml:space="preserve">food baskets </w:t>
      </w:r>
      <w:r w:rsidR="00152BC4">
        <w:rPr>
          <w:rFonts w:ascii="Arial" w:hAnsi="Arial" w:cs="Arial"/>
        </w:rPr>
        <w:t>targeting (initially) the Honiara</w:t>
      </w:r>
      <w:r w:rsidR="00F004A0">
        <w:rPr>
          <w:rFonts w:ascii="Arial" w:hAnsi="Arial" w:cs="Arial"/>
        </w:rPr>
        <w:t xml:space="preserve"> expat</w:t>
      </w:r>
      <w:r w:rsidR="00152BC4">
        <w:rPr>
          <w:rFonts w:ascii="Arial" w:hAnsi="Arial" w:cs="Arial"/>
        </w:rPr>
        <w:t>riate community</w:t>
      </w:r>
      <w:r w:rsidR="00F004A0">
        <w:rPr>
          <w:rFonts w:ascii="Arial" w:hAnsi="Arial" w:cs="Arial"/>
        </w:rPr>
        <w:t>.</w:t>
      </w:r>
      <w:r w:rsidR="00695424">
        <w:rPr>
          <w:rFonts w:ascii="Arial" w:hAnsi="Arial" w:cs="Arial"/>
        </w:rPr>
        <w:t xml:space="preserve"> </w:t>
      </w:r>
      <w:r w:rsidR="00054C34">
        <w:rPr>
          <w:rFonts w:ascii="Arial" w:hAnsi="Arial" w:cs="Arial"/>
        </w:rPr>
        <w:t>Building on this success, t</w:t>
      </w:r>
      <w:r w:rsidR="00152BC4">
        <w:rPr>
          <w:rFonts w:ascii="Arial" w:hAnsi="Arial" w:cs="Arial"/>
        </w:rPr>
        <w:t xml:space="preserve">he business owner </w:t>
      </w:r>
      <w:r w:rsidR="00531D4E">
        <w:rPr>
          <w:rFonts w:ascii="Arial" w:hAnsi="Arial" w:cs="Arial"/>
        </w:rPr>
        <w:t xml:space="preserve">recently signed a deal with Solomon Airlines to supply all food at the Honiara airport. </w:t>
      </w:r>
      <w:r w:rsidR="00054C34">
        <w:rPr>
          <w:rFonts w:ascii="Arial" w:hAnsi="Arial" w:cs="Arial"/>
        </w:rPr>
        <w:t>She</w:t>
      </w:r>
      <w:r w:rsidR="00936968" w:rsidRPr="00D202F6">
        <w:rPr>
          <w:rFonts w:ascii="Arial" w:hAnsi="Arial" w:cs="Arial"/>
        </w:rPr>
        <w:t xml:space="preserve"> </w:t>
      </w:r>
      <w:r w:rsidR="00054C34">
        <w:rPr>
          <w:rFonts w:ascii="Arial" w:hAnsi="Arial" w:cs="Arial"/>
        </w:rPr>
        <w:t>has also started exporting betelnut to seasonal workers based in Australia.</w:t>
      </w:r>
    </w:p>
    <w:p w14:paraId="6E8DF750" w14:textId="3C5B62C4" w:rsidR="006D3337" w:rsidRPr="00370449" w:rsidRDefault="005A3166" w:rsidP="00E42B73">
      <w:pPr>
        <w:pStyle w:val="ListBullet"/>
        <w:numPr>
          <w:ilvl w:val="0"/>
          <w:numId w:val="0"/>
        </w:numPr>
      </w:pPr>
      <w:r>
        <w:rPr>
          <w:b/>
          <w:bCs/>
        </w:rPr>
        <w:t xml:space="preserve">The </w:t>
      </w:r>
      <w:r w:rsidR="00F43AD0">
        <w:rPr>
          <w:b/>
          <w:bCs/>
        </w:rPr>
        <w:t>prospect</w:t>
      </w:r>
      <w:r>
        <w:rPr>
          <w:b/>
          <w:bCs/>
        </w:rPr>
        <w:t xml:space="preserve"> of </w:t>
      </w:r>
      <w:r w:rsidR="00295942">
        <w:rPr>
          <w:b/>
          <w:bCs/>
        </w:rPr>
        <w:t xml:space="preserve">spending less </w:t>
      </w:r>
      <w:r w:rsidR="0052368F">
        <w:rPr>
          <w:b/>
          <w:bCs/>
        </w:rPr>
        <w:t>time on</w:t>
      </w:r>
      <w:r w:rsidR="00756E90" w:rsidRPr="00370449">
        <w:rPr>
          <w:b/>
          <w:bCs/>
        </w:rPr>
        <w:t xml:space="preserve"> childcare</w:t>
      </w:r>
      <w:r w:rsidR="009512B7">
        <w:rPr>
          <w:b/>
          <w:bCs/>
        </w:rPr>
        <w:t>, thanks to the new program-supported creche,</w:t>
      </w:r>
      <w:r w:rsidR="00756E90" w:rsidRPr="00370449">
        <w:rPr>
          <w:b/>
          <w:bCs/>
        </w:rPr>
        <w:t xml:space="preserve"> </w:t>
      </w:r>
      <w:r w:rsidR="0061276F">
        <w:rPr>
          <w:b/>
          <w:bCs/>
        </w:rPr>
        <w:t>is prompting some</w:t>
      </w:r>
      <w:r w:rsidR="0052368F" w:rsidRPr="00370449">
        <w:rPr>
          <w:b/>
          <w:bCs/>
        </w:rPr>
        <w:t xml:space="preserve"> </w:t>
      </w:r>
      <w:r w:rsidR="002648C0" w:rsidRPr="00370449">
        <w:rPr>
          <w:b/>
          <w:bCs/>
        </w:rPr>
        <w:t xml:space="preserve">working mothers </w:t>
      </w:r>
      <w:r w:rsidR="00D45AC8" w:rsidRPr="00370449">
        <w:rPr>
          <w:b/>
          <w:bCs/>
        </w:rPr>
        <w:t>at the Sol</w:t>
      </w:r>
      <w:r w:rsidR="009F6B1E">
        <w:rPr>
          <w:b/>
          <w:bCs/>
        </w:rPr>
        <w:t>T</w:t>
      </w:r>
      <w:r w:rsidR="00D45AC8" w:rsidRPr="00370449">
        <w:rPr>
          <w:b/>
          <w:bCs/>
        </w:rPr>
        <w:t>una cannery</w:t>
      </w:r>
      <w:r w:rsidR="008460EB" w:rsidRPr="00370449">
        <w:rPr>
          <w:b/>
          <w:bCs/>
        </w:rPr>
        <w:t xml:space="preserve"> </w:t>
      </w:r>
      <w:r w:rsidR="0052368F">
        <w:rPr>
          <w:b/>
          <w:bCs/>
        </w:rPr>
        <w:t>to consider</w:t>
      </w:r>
      <w:r w:rsidR="008460EB" w:rsidRPr="00370449">
        <w:rPr>
          <w:b/>
          <w:bCs/>
        </w:rPr>
        <w:t xml:space="preserve"> study </w:t>
      </w:r>
      <w:r w:rsidR="00A8407B" w:rsidRPr="00370449">
        <w:rPr>
          <w:b/>
          <w:bCs/>
        </w:rPr>
        <w:t>or upskill</w:t>
      </w:r>
      <w:r w:rsidR="0052368F">
        <w:rPr>
          <w:b/>
          <w:bCs/>
        </w:rPr>
        <w:t>ing</w:t>
      </w:r>
      <w:r w:rsidR="00A8407B" w:rsidRPr="00370449">
        <w:rPr>
          <w:b/>
          <w:bCs/>
        </w:rPr>
        <w:t xml:space="preserve"> to increase household incomes.</w:t>
      </w:r>
      <w:r w:rsidR="00A8407B" w:rsidRPr="00370449">
        <w:t xml:space="preserve"> </w:t>
      </w:r>
      <w:r w:rsidR="00D70194" w:rsidRPr="00370449">
        <w:t>Since Sol</w:t>
      </w:r>
      <w:r w:rsidR="009F6B1E">
        <w:t>T</w:t>
      </w:r>
      <w:r w:rsidR="00D70194" w:rsidRPr="00370449">
        <w:t xml:space="preserve">una is attracting </w:t>
      </w:r>
      <w:r w:rsidR="00036B48" w:rsidRPr="00370449">
        <w:t>working mothers from</w:t>
      </w:r>
      <w:r w:rsidR="00370449" w:rsidRPr="00370449">
        <w:t xml:space="preserve"> </w:t>
      </w:r>
      <w:r w:rsidR="003F0D6D">
        <w:t>several</w:t>
      </w:r>
      <w:r w:rsidR="00370449" w:rsidRPr="00370449">
        <w:t xml:space="preserve"> provinces</w:t>
      </w:r>
      <w:r w:rsidR="00295942">
        <w:t>,</w:t>
      </w:r>
      <w:r w:rsidR="00370449" w:rsidRPr="00370449">
        <w:t xml:space="preserve"> </w:t>
      </w:r>
      <w:r w:rsidR="000F1386">
        <w:t xml:space="preserve">any such </w:t>
      </w:r>
      <w:r w:rsidR="003F0D6D">
        <w:t xml:space="preserve">initiatives </w:t>
      </w:r>
      <w:r w:rsidR="008B43D9">
        <w:t xml:space="preserve">could </w:t>
      </w:r>
      <w:r w:rsidR="009D5841">
        <w:t>have far-reaching</w:t>
      </w:r>
      <w:r w:rsidR="008B43D9">
        <w:t xml:space="preserve"> impacts</w:t>
      </w:r>
      <w:r w:rsidR="00370449" w:rsidRPr="00370449">
        <w:t>.</w:t>
      </w:r>
      <w:r w:rsidR="00370449">
        <w:t xml:space="preserve"> </w:t>
      </w:r>
    </w:p>
    <w:p w14:paraId="218F74CA" w14:textId="5F235B29" w:rsidR="000604CF" w:rsidRPr="003E0064" w:rsidRDefault="00F618AB" w:rsidP="003E0064">
      <w:pPr>
        <w:pStyle w:val="Heading2NOTOC"/>
        <w:rPr>
          <w:rStyle w:val="normaltextrun"/>
          <w:color w:val="414141" w:themeColor="text2" w:themeShade="BF"/>
        </w:rPr>
      </w:pPr>
      <w:bookmarkStart w:id="16" w:name="_Toc131170443"/>
      <w:r w:rsidRPr="003E0064">
        <w:rPr>
          <w:rStyle w:val="normaltextrun"/>
          <w:color w:val="414141" w:themeColor="text2" w:themeShade="BF"/>
        </w:rPr>
        <w:t>SubQ</w:t>
      </w:r>
      <w:r w:rsidR="005C3AB3" w:rsidRPr="003E0064">
        <w:rPr>
          <w:rStyle w:val="normaltextrun"/>
          <w:color w:val="414141" w:themeColor="text2" w:themeShade="BF"/>
        </w:rPr>
        <w:t>1.</w:t>
      </w:r>
      <w:r w:rsidRPr="003E0064">
        <w:rPr>
          <w:rStyle w:val="normaltextrun"/>
          <w:color w:val="414141" w:themeColor="text2" w:themeShade="BF"/>
        </w:rPr>
        <w:t xml:space="preserve">3: </w:t>
      </w:r>
      <w:r w:rsidR="000604CF" w:rsidRPr="003E0064">
        <w:rPr>
          <w:rStyle w:val="normaltextrun"/>
          <w:color w:val="414141" w:themeColor="text2" w:themeShade="BF"/>
        </w:rPr>
        <w:t>Did the program effectively support Australia’s broader objective</w:t>
      </w:r>
      <w:r w:rsidR="00DF31B9" w:rsidRPr="003E0064">
        <w:rPr>
          <w:rStyle w:val="normaltextrun"/>
          <w:color w:val="414141" w:themeColor="text2" w:themeShade="BF"/>
        </w:rPr>
        <w:t>s</w:t>
      </w:r>
      <w:r w:rsidR="000604CF" w:rsidRPr="003E0064">
        <w:rPr>
          <w:rStyle w:val="normaltextrun"/>
          <w:color w:val="414141" w:themeColor="text2" w:themeShade="BF"/>
        </w:rPr>
        <w:t>?</w:t>
      </w:r>
      <w:bookmarkEnd w:id="16"/>
      <w:r w:rsidR="000604CF" w:rsidRPr="003E0064">
        <w:rPr>
          <w:rStyle w:val="normaltextrun"/>
          <w:color w:val="414141" w:themeColor="text2" w:themeShade="BF"/>
        </w:rPr>
        <w:t> </w:t>
      </w:r>
    </w:p>
    <w:p w14:paraId="712BE6EE" w14:textId="58E306C9" w:rsidR="00AA18B8" w:rsidRPr="007C1281" w:rsidRDefault="00C2759F" w:rsidP="00AA18B8">
      <w:pPr>
        <w:rPr>
          <w:b/>
        </w:rPr>
      </w:pPr>
      <w:r w:rsidRPr="007C1281">
        <w:rPr>
          <w:b/>
          <w:bCs/>
        </w:rPr>
        <w:t>The</w:t>
      </w:r>
      <w:r w:rsidR="002E2676" w:rsidRPr="007C1281">
        <w:rPr>
          <w:b/>
          <w:bCs/>
        </w:rPr>
        <w:t xml:space="preserve"> flexible nature of Strongim Bisnis </w:t>
      </w:r>
      <w:r w:rsidR="007C4A20" w:rsidRPr="007C1281">
        <w:rPr>
          <w:b/>
          <w:bCs/>
        </w:rPr>
        <w:t xml:space="preserve">provided the Australian Government a </w:t>
      </w:r>
      <w:r w:rsidR="00430756" w:rsidRPr="007C1281">
        <w:rPr>
          <w:b/>
          <w:bCs/>
        </w:rPr>
        <w:t xml:space="preserve">convenient </w:t>
      </w:r>
      <w:r w:rsidR="0075309E" w:rsidRPr="007C1281">
        <w:rPr>
          <w:b/>
          <w:bCs/>
        </w:rPr>
        <w:t xml:space="preserve">modality for </w:t>
      </w:r>
      <w:r w:rsidR="002078C2" w:rsidRPr="007C1281">
        <w:rPr>
          <w:b/>
          <w:bCs/>
        </w:rPr>
        <w:t xml:space="preserve">supporting </w:t>
      </w:r>
      <w:r w:rsidR="00AE6E0F" w:rsidRPr="007C1281">
        <w:rPr>
          <w:b/>
          <w:bCs/>
        </w:rPr>
        <w:t xml:space="preserve">COVID response and recovery and </w:t>
      </w:r>
      <w:r w:rsidR="003B1336" w:rsidRPr="007C1281">
        <w:rPr>
          <w:b/>
          <w:bCs/>
        </w:rPr>
        <w:t xml:space="preserve">promoting the broader objectives of the Australia-Solomon Islands </w:t>
      </w:r>
      <w:r w:rsidR="004376BA">
        <w:rPr>
          <w:b/>
          <w:bCs/>
        </w:rPr>
        <w:t>bilateral</w:t>
      </w:r>
      <w:r w:rsidR="004376BA" w:rsidRPr="007C1281">
        <w:rPr>
          <w:b/>
          <w:bCs/>
        </w:rPr>
        <w:t xml:space="preserve"> </w:t>
      </w:r>
      <w:r w:rsidR="003B1336" w:rsidRPr="007C1281">
        <w:rPr>
          <w:b/>
          <w:bCs/>
        </w:rPr>
        <w:t>relationship.</w:t>
      </w:r>
      <w:r w:rsidR="007C4A20" w:rsidRPr="007C1281">
        <w:rPr>
          <w:b/>
          <w:bCs/>
        </w:rPr>
        <w:t xml:space="preserve"> </w:t>
      </w:r>
    </w:p>
    <w:p w14:paraId="781A09F0" w14:textId="240FBB31" w:rsidR="006E6C2D" w:rsidRDefault="00D602DA" w:rsidP="006E6C2D">
      <w:pPr>
        <w:spacing w:after="120"/>
        <w:rPr>
          <w:rFonts w:ascii="Arial" w:hAnsi="Arial" w:cs="Arial"/>
          <w:szCs w:val="20"/>
        </w:rPr>
      </w:pPr>
      <w:r>
        <w:rPr>
          <w:rFonts w:ascii="Arial" w:hAnsi="Arial" w:cs="Arial"/>
          <w:szCs w:val="20"/>
        </w:rPr>
        <w:t xml:space="preserve">There can be little doubt that </w:t>
      </w:r>
      <w:r w:rsidR="005D04B3">
        <w:rPr>
          <w:rFonts w:ascii="Arial" w:hAnsi="Arial" w:cs="Arial"/>
          <w:szCs w:val="20"/>
        </w:rPr>
        <w:t>Strongim Bisnis</w:t>
      </w:r>
      <w:r>
        <w:rPr>
          <w:rFonts w:ascii="Arial" w:hAnsi="Arial" w:cs="Arial"/>
          <w:szCs w:val="20"/>
        </w:rPr>
        <w:t xml:space="preserve"> support during the pandemic h</w:t>
      </w:r>
      <w:r w:rsidR="006E6C2D" w:rsidRPr="06C03492">
        <w:rPr>
          <w:rFonts w:ascii="Arial" w:hAnsi="Arial" w:cs="Arial"/>
          <w:szCs w:val="20"/>
        </w:rPr>
        <w:t xml:space="preserve">elped critical </w:t>
      </w:r>
      <w:r w:rsidR="00AD7F03">
        <w:rPr>
          <w:rFonts w:ascii="Arial" w:hAnsi="Arial" w:cs="Arial"/>
          <w:szCs w:val="20"/>
        </w:rPr>
        <w:t>market players</w:t>
      </w:r>
      <w:r w:rsidR="006E6C2D" w:rsidRPr="06C03492">
        <w:rPr>
          <w:rFonts w:ascii="Arial" w:hAnsi="Arial" w:cs="Arial"/>
          <w:szCs w:val="20"/>
        </w:rPr>
        <w:t xml:space="preserve"> survive</w:t>
      </w:r>
      <w:r w:rsidR="008A46A3">
        <w:rPr>
          <w:rFonts w:ascii="Arial" w:hAnsi="Arial" w:cs="Arial"/>
          <w:szCs w:val="20"/>
        </w:rPr>
        <w:t xml:space="preserve">. </w:t>
      </w:r>
      <w:r w:rsidR="001A7EA0">
        <w:rPr>
          <w:rFonts w:ascii="Arial" w:hAnsi="Arial" w:cs="Arial"/>
          <w:szCs w:val="20"/>
        </w:rPr>
        <w:t>Tourism sector partnerships enabled</w:t>
      </w:r>
      <w:r w:rsidR="006E6C2D" w:rsidRPr="06C03492">
        <w:rPr>
          <w:rFonts w:ascii="Arial" w:hAnsi="Arial" w:cs="Arial"/>
          <w:szCs w:val="20"/>
        </w:rPr>
        <w:t xml:space="preserve"> Solomon Airlines </w:t>
      </w:r>
      <w:r w:rsidR="001A7EA0">
        <w:rPr>
          <w:rFonts w:ascii="Arial" w:hAnsi="Arial" w:cs="Arial"/>
          <w:szCs w:val="20"/>
        </w:rPr>
        <w:t>to shift its focus</w:t>
      </w:r>
      <w:r w:rsidR="006E6C2D" w:rsidRPr="06C03492">
        <w:rPr>
          <w:rFonts w:ascii="Arial" w:hAnsi="Arial" w:cs="Arial"/>
          <w:szCs w:val="20"/>
        </w:rPr>
        <w:t xml:space="preserve"> towards </w:t>
      </w:r>
      <w:r w:rsidR="001A7EA0">
        <w:rPr>
          <w:rFonts w:ascii="Arial" w:hAnsi="Arial" w:cs="Arial"/>
          <w:szCs w:val="20"/>
        </w:rPr>
        <w:t xml:space="preserve">the </w:t>
      </w:r>
      <w:r w:rsidR="006E6C2D" w:rsidRPr="06C03492">
        <w:rPr>
          <w:rFonts w:ascii="Arial" w:hAnsi="Arial" w:cs="Arial"/>
          <w:szCs w:val="20"/>
        </w:rPr>
        <w:t>domestic market</w:t>
      </w:r>
      <w:r w:rsidR="00626049">
        <w:rPr>
          <w:rFonts w:ascii="Arial" w:hAnsi="Arial" w:cs="Arial"/>
          <w:szCs w:val="20"/>
        </w:rPr>
        <w:t xml:space="preserve">, and </w:t>
      </w:r>
      <w:r w:rsidR="0091637C">
        <w:rPr>
          <w:rFonts w:ascii="Arial" w:hAnsi="Arial" w:cs="Arial"/>
          <w:szCs w:val="20"/>
        </w:rPr>
        <w:t>MCT</w:t>
      </w:r>
      <w:r w:rsidR="00C61E41">
        <w:rPr>
          <w:rFonts w:ascii="Arial" w:hAnsi="Arial" w:cs="Arial"/>
          <w:szCs w:val="20"/>
        </w:rPr>
        <w:t xml:space="preserve"> </w:t>
      </w:r>
      <w:r w:rsidR="00D571DE">
        <w:rPr>
          <w:rFonts w:ascii="Arial" w:hAnsi="Arial" w:cs="Arial"/>
          <w:szCs w:val="20"/>
        </w:rPr>
        <w:t xml:space="preserve">to roll out </w:t>
      </w:r>
      <w:r w:rsidR="00133696">
        <w:rPr>
          <w:rFonts w:ascii="Arial" w:hAnsi="Arial" w:cs="Arial"/>
          <w:szCs w:val="20"/>
        </w:rPr>
        <w:t xml:space="preserve">the Extra Care protocols required prior to border reopening. </w:t>
      </w:r>
    </w:p>
    <w:p w14:paraId="7DCACCE1" w14:textId="319664B8" w:rsidR="006E6C2D" w:rsidRPr="00B9161F" w:rsidRDefault="005D04B3" w:rsidP="006E6C2D">
      <w:pPr>
        <w:spacing w:after="120"/>
        <w:rPr>
          <w:rFonts w:ascii="Arial" w:hAnsi="Arial" w:cs="Arial"/>
          <w:bCs/>
          <w:szCs w:val="20"/>
        </w:rPr>
      </w:pPr>
      <w:r>
        <w:rPr>
          <w:rFonts w:ascii="Arial" w:hAnsi="Arial" w:cs="Arial"/>
          <w:bCs/>
          <w:szCs w:val="20"/>
        </w:rPr>
        <w:t>Strongim Bisnis’</w:t>
      </w:r>
      <w:r w:rsidR="00502A09">
        <w:rPr>
          <w:rFonts w:ascii="Arial" w:hAnsi="Arial" w:cs="Arial"/>
          <w:bCs/>
          <w:szCs w:val="20"/>
        </w:rPr>
        <w:t xml:space="preserve"> flexibility also enabled it to support </w:t>
      </w:r>
      <w:r w:rsidR="00572A07">
        <w:rPr>
          <w:rFonts w:ascii="Arial" w:hAnsi="Arial" w:cs="Arial"/>
          <w:bCs/>
          <w:szCs w:val="20"/>
        </w:rPr>
        <w:t>at least one business</w:t>
      </w:r>
      <w:r w:rsidR="00502A09">
        <w:rPr>
          <w:rFonts w:ascii="Arial" w:hAnsi="Arial" w:cs="Arial"/>
          <w:bCs/>
          <w:szCs w:val="20"/>
        </w:rPr>
        <w:t xml:space="preserve"> </w:t>
      </w:r>
      <w:r w:rsidR="00572A07">
        <w:rPr>
          <w:rFonts w:ascii="Arial" w:hAnsi="Arial" w:cs="Arial"/>
          <w:bCs/>
          <w:szCs w:val="20"/>
        </w:rPr>
        <w:t>that might otherwise have</w:t>
      </w:r>
      <w:r w:rsidR="006E6C2D" w:rsidRPr="00B9161F">
        <w:rPr>
          <w:rFonts w:ascii="Arial" w:hAnsi="Arial" w:cs="Arial"/>
          <w:bCs/>
          <w:szCs w:val="20"/>
        </w:rPr>
        <w:t xml:space="preserve"> fail</w:t>
      </w:r>
      <w:r w:rsidR="00572A07">
        <w:rPr>
          <w:rFonts w:ascii="Arial" w:hAnsi="Arial" w:cs="Arial"/>
          <w:bCs/>
          <w:szCs w:val="20"/>
        </w:rPr>
        <w:t xml:space="preserve">ed in the challenging economic conditions, with potentially significant flow-on effects </w:t>
      </w:r>
      <w:r w:rsidR="00A106C2">
        <w:rPr>
          <w:rFonts w:ascii="Arial" w:hAnsi="Arial" w:cs="Arial"/>
          <w:bCs/>
          <w:szCs w:val="20"/>
        </w:rPr>
        <w:t>on</w:t>
      </w:r>
      <w:r w:rsidR="00572A07">
        <w:rPr>
          <w:rFonts w:ascii="Arial" w:hAnsi="Arial" w:cs="Arial"/>
          <w:bCs/>
          <w:szCs w:val="20"/>
        </w:rPr>
        <w:t xml:space="preserve"> employment, value added and export income.</w:t>
      </w:r>
      <w:r w:rsidR="00FD6CB5">
        <w:rPr>
          <w:rFonts w:ascii="Arial" w:hAnsi="Arial" w:cs="Arial"/>
          <w:bCs/>
          <w:szCs w:val="20"/>
        </w:rPr>
        <w:t xml:space="preserve"> While the terms of that support likely sit </w:t>
      </w:r>
      <w:r w:rsidR="00B17EA5">
        <w:rPr>
          <w:rFonts w:ascii="Arial" w:hAnsi="Arial" w:cs="Arial"/>
          <w:bCs/>
          <w:szCs w:val="20"/>
        </w:rPr>
        <w:t>outside</w:t>
      </w:r>
      <w:r w:rsidR="00FD6CB5">
        <w:rPr>
          <w:rFonts w:ascii="Arial" w:hAnsi="Arial" w:cs="Arial"/>
          <w:bCs/>
          <w:szCs w:val="20"/>
        </w:rPr>
        <w:t xml:space="preserve"> the </w:t>
      </w:r>
      <w:r w:rsidR="00B17EA5">
        <w:rPr>
          <w:rFonts w:ascii="Arial" w:hAnsi="Arial" w:cs="Arial"/>
          <w:bCs/>
          <w:szCs w:val="20"/>
        </w:rPr>
        <w:t>‘usual’ range</w:t>
      </w:r>
      <w:r w:rsidR="00FD6CB5">
        <w:rPr>
          <w:rFonts w:ascii="Arial" w:hAnsi="Arial" w:cs="Arial"/>
          <w:bCs/>
          <w:szCs w:val="20"/>
        </w:rPr>
        <w:t xml:space="preserve"> of </w:t>
      </w:r>
      <w:r w:rsidR="00885228">
        <w:rPr>
          <w:rFonts w:ascii="Arial" w:hAnsi="Arial" w:cs="Arial"/>
          <w:bCs/>
          <w:szCs w:val="20"/>
        </w:rPr>
        <w:t xml:space="preserve">MSD </w:t>
      </w:r>
      <w:r w:rsidR="00694308">
        <w:rPr>
          <w:rFonts w:ascii="Arial" w:hAnsi="Arial" w:cs="Arial"/>
          <w:bCs/>
          <w:szCs w:val="20"/>
        </w:rPr>
        <w:t>intervention</w:t>
      </w:r>
      <w:r w:rsidR="00B17EA5">
        <w:rPr>
          <w:rFonts w:ascii="Arial" w:hAnsi="Arial" w:cs="Arial"/>
          <w:bCs/>
          <w:szCs w:val="20"/>
        </w:rPr>
        <w:t>s</w:t>
      </w:r>
      <w:r w:rsidR="00885228">
        <w:rPr>
          <w:rFonts w:ascii="Arial" w:hAnsi="Arial" w:cs="Arial"/>
          <w:bCs/>
          <w:szCs w:val="20"/>
        </w:rPr>
        <w:t xml:space="preserve">, </w:t>
      </w:r>
      <w:r w:rsidR="00641504">
        <w:rPr>
          <w:rFonts w:ascii="Arial" w:hAnsi="Arial" w:cs="Arial"/>
          <w:bCs/>
          <w:szCs w:val="20"/>
        </w:rPr>
        <w:t xml:space="preserve">the Australian High Commission </w:t>
      </w:r>
      <w:r w:rsidR="00C76189">
        <w:rPr>
          <w:rFonts w:ascii="Arial" w:hAnsi="Arial" w:cs="Arial"/>
          <w:bCs/>
          <w:szCs w:val="20"/>
        </w:rPr>
        <w:t xml:space="preserve">in Honiara </w:t>
      </w:r>
      <w:r w:rsidR="00583166">
        <w:rPr>
          <w:rFonts w:ascii="Arial" w:hAnsi="Arial" w:cs="Arial"/>
          <w:bCs/>
          <w:szCs w:val="20"/>
        </w:rPr>
        <w:t xml:space="preserve">clearly </w:t>
      </w:r>
      <w:r w:rsidR="00641504">
        <w:rPr>
          <w:rFonts w:ascii="Arial" w:hAnsi="Arial" w:cs="Arial"/>
          <w:bCs/>
          <w:szCs w:val="20"/>
        </w:rPr>
        <w:t xml:space="preserve">attaches significant value to </w:t>
      </w:r>
      <w:r w:rsidR="00FF79EF">
        <w:rPr>
          <w:rFonts w:ascii="Arial" w:hAnsi="Arial" w:cs="Arial"/>
          <w:bCs/>
          <w:szCs w:val="20"/>
        </w:rPr>
        <w:t>having a</w:t>
      </w:r>
      <w:r w:rsidR="00641504">
        <w:rPr>
          <w:rFonts w:ascii="Arial" w:hAnsi="Arial" w:cs="Arial"/>
          <w:bCs/>
          <w:szCs w:val="20"/>
        </w:rPr>
        <w:t xml:space="preserve"> flexible and convenient </w:t>
      </w:r>
      <w:r w:rsidR="00352A55">
        <w:rPr>
          <w:rFonts w:ascii="Arial" w:hAnsi="Arial" w:cs="Arial"/>
          <w:bCs/>
          <w:szCs w:val="20"/>
        </w:rPr>
        <w:t>mechanism for</w:t>
      </w:r>
      <w:r w:rsidR="00FB1E85">
        <w:rPr>
          <w:rFonts w:ascii="Arial" w:hAnsi="Arial" w:cs="Arial"/>
          <w:bCs/>
          <w:szCs w:val="20"/>
        </w:rPr>
        <w:t xml:space="preserve"> nimble</w:t>
      </w:r>
      <w:r w:rsidR="00703CB1">
        <w:rPr>
          <w:rFonts w:ascii="Arial" w:hAnsi="Arial" w:cs="Arial"/>
          <w:bCs/>
          <w:szCs w:val="20"/>
        </w:rPr>
        <w:t xml:space="preserve"> </w:t>
      </w:r>
      <w:r w:rsidR="00A173BF">
        <w:rPr>
          <w:rFonts w:ascii="Arial" w:hAnsi="Arial" w:cs="Arial"/>
          <w:bCs/>
          <w:szCs w:val="20"/>
        </w:rPr>
        <w:t>respon</w:t>
      </w:r>
      <w:r w:rsidR="00FB1E85">
        <w:rPr>
          <w:rFonts w:ascii="Arial" w:hAnsi="Arial" w:cs="Arial"/>
          <w:bCs/>
          <w:szCs w:val="20"/>
        </w:rPr>
        <w:t>se</w:t>
      </w:r>
      <w:r w:rsidR="00A173BF">
        <w:rPr>
          <w:rFonts w:ascii="Arial" w:hAnsi="Arial" w:cs="Arial"/>
          <w:bCs/>
          <w:szCs w:val="20"/>
        </w:rPr>
        <w:t xml:space="preserve"> to emerging priorities and broader</w:t>
      </w:r>
      <w:r w:rsidR="00C97911">
        <w:rPr>
          <w:rFonts w:ascii="Arial" w:hAnsi="Arial" w:cs="Arial"/>
          <w:bCs/>
          <w:szCs w:val="20"/>
        </w:rPr>
        <w:t xml:space="preserve"> </w:t>
      </w:r>
      <w:r w:rsidR="00A173BF">
        <w:rPr>
          <w:rFonts w:ascii="Arial" w:hAnsi="Arial" w:cs="Arial"/>
          <w:bCs/>
          <w:szCs w:val="20"/>
        </w:rPr>
        <w:t>strategic</w:t>
      </w:r>
      <w:r w:rsidR="00C97911">
        <w:rPr>
          <w:rFonts w:ascii="Arial" w:hAnsi="Arial" w:cs="Arial"/>
          <w:bCs/>
          <w:szCs w:val="20"/>
        </w:rPr>
        <w:t xml:space="preserve"> objectives</w:t>
      </w:r>
      <w:r w:rsidR="00641504">
        <w:rPr>
          <w:rFonts w:ascii="Arial" w:hAnsi="Arial" w:cs="Arial"/>
          <w:bCs/>
          <w:szCs w:val="20"/>
        </w:rPr>
        <w:t>.</w:t>
      </w:r>
    </w:p>
    <w:p w14:paraId="6B97A3EB" w14:textId="0890BBBD" w:rsidR="006E6C2D" w:rsidRDefault="005D04B3" w:rsidP="006E6C2D">
      <w:pPr>
        <w:spacing w:after="120"/>
        <w:rPr>
          <w:rFonts w:ascii="Arial" w:hAnsi="Arial" w:cs="Arial"/>
          <w:bCs/>
          <w:szCs w:val="20"/>
        </w:rPr>
      </w:pPr>
      <w:r>
        <w:rPr>
          <w:rFonts w:ascii="Arial" w:hAnsi="Arial" w:cs="Arial"/>
          <w:bCs/>
          <w:szCs w:val="20"/>
        </w:rPr>
        <w:t>Strongim Bisnis’</w:t>
      </w:r>
      <w:r w:rsidR="006A2C96">
        <w:rPr>
          <w:rFonts w:ascii="Arial" w:hAnsi="Arial" w:cs="Arial"/>
          <w:bCs/>
          <w:szCs w:val="20"/>
        </w:rPr>
        <w:t xml:space="preserve"> contributions to livelihoods and inclusive growth are discussed above under the EOPOs.</w:t>
      </w:r>
      <w:r w:rsidR="008B5619">
        <w:rPr>
          <w:rFonts w:ascii="Arial" w:hAnsi="Arial" w:cs="Arial"/>
          <w:bCs/>
          <w:szCs w:val="20"/>
        </w:rPr>
        <w:t xml:space="preserve"> </w:t>
      </w:r>
      <w:r w:rsidR="00650A65">
        <w:rPr>
          <w:rFonts w:ascii="Arial" w:hAnsi="Arial" w:cs="Arial"/>
          <w:bCs/>
          <w:szCs w:val="20"/>
        </w:rPr>
        <w:t xml:space="preserve">While </w:t>
      </w:r>
      <w:r w:rsidR="00B76EC9">
        <w:rPr>
          <w:rFonts w:ascii="Arial" w:hAnsi="Arial" w:cs="Arial"/>
          <w:bCs/>
          <w:szCs w:val="20"/>
        </w:rPr>
        <w:t xml:space="preserve">several stakeholders questioned the </w:t>
      </w:r>
      <w:r w:rsidR="005C6C89">
        <w:rPr>
          <w:rFonts w:ascii="Arial" w:hAnsi="Arial" w:cs="Arial"/>
          <w:bCs/>
          <w:szCs w:val="20"/>
        </w:rPr>
        <w:t xml:space="preserve">support being given to </w:t>
      </w:r>
      <w:r w:rsidR="005C6C89" w:rsidRPr="00B31367">
        <w:rPr>
          <w:rFonts w:ascii="Arial" w:hAnsi="Arial" w:cs="Arial"/>
          <w:i/>
          <w:szCs w:val="20"/>
        </w:rPr>
        <w:t>large</w:t>
      </w:r>
      <w:r w:rsidR="005C6C89">
        <w:rPr>
          <w:rFonts w:ascii="Arial" w:hAnsi="Arial" w:cs="Arial"/>
          <w:bCs/>
          <w:szCs w:val="20"/>
        </w:rPr>
        <w:t xml:space="preserve"> businesses (e.g.</w:t>
      </w:r>
      <w:r w:rsidR="00612E2B">
        <w:rPr>
          <w:rFonts w:ascii="Arial" w:hAnsi="Arial" w:cs="Arial"/>
          <w:bCs/>
          <w:szCs w:val="20"/>
        </w:rPr>
        <w:t>,</w:t>
      </w:r>
      <w:r w:rsidR="005C6C89">
        <w:rPr>
          <w:rFonts w:ascii="Arial" w:hAnsi="Arial" w:cs="Arial"/>
          <w:bCs/>
          <w:szCs w:val="20"/>
        </w:rPr>
        <w:t xml:space="preserve"> SolTuna, KFPL, Solomon Airlines)</w:t>
      </w:r>
      <w:r w:rsidR="007E4F6C">
        <w:rPr>
          <w:rFonts w:ascii="Arial" w:hAnsi="Arial" w:cs="Arial"/>
          <w:bCs/>
          <w:szCs w:val="20"/>
        </w:rPr>
        <w:t xml:space="preserve">, </w:t>
      </w:r>
      <w:r w:rsidR="00940065">
        <w:rPr>
          <w:rFonts w:ascii="Arial" w:hAnsi="Arial" w:cs="Arial"/>
          <w:bCs/>
          <w:szCs w:val="20"/>
        </w:rPr>
        <w:t>the</w:t>
      </w:r>
      <w:r w:rsidR="00871F37">
        <w:rPr>
          <w:rFonts w:ascii="Arial" w:hAnsi="Arial" w:cs="Arial"/>
          <w:bCs/>
          <w:szCs w:val="20"/>
        </w:rPr>
        <w:t xml:space="preserve"> potential</w:t>
      </w:r>
      <w:r w:rsidR="00940065">
        <w:rPr>
          <w:rFonts w:ascii="Arial" w:hAnsi="Arial" w:cs="Arial"/>
          <w:bCs/>
          <w:szCs w:val="20"/>
        </w:rPr>
        <w:t xml:space="preserve"> economic </w:t>
      </w:r>
      <w:r w:rsidR="00681C64">
        <w:rPr>
          <w:rFonts w:ascii="Arial" w:hAnsi="Arial" w:cs="Arial"/>
          <w:bCs/>
          <w:szCs w:val="20"/>
        </w:rPr>
        <w:t xml:space="preserve">and social </w:t>
      </w:r>
      <w:r w:rsidR="00940065">
        <w:rPr>
          <w:rFonts w:ascii="Arial" w:hAnsi="Arial" w:cs="Arial"/>
          <w:bCs/>
          <w:szCs w:val="20"/>
        </w:rPr>
        <w:t xml:space="preserve">impact </w:t>
      </w:r>
      <w:r w:rsidR="00871F37">
        <w:rPr>
          <w:rFonts w:ascii="Arial" w:hAnsi="Arial" w:cs="Arial"/>
          <w:bCs/>
          <w:szCs w:val="20"/>
        </w:rPr>
        <w:t>of changing their practices</w:t>
      </w:r>
      <w:r w:rsidR="0060599C">
        <w:rPr>
          <w:rFonts w:ascii="Arial" w:hAnsi="Arial" w:cs="Arial"/>
          <w:bCs/>
          <w:szCs w:val="20"/>
        </w:rPr>
        <w:t xml:space="preserve"> to improve resilience</w:t>
      </w:r>
      <w:r w:rsidR="000F05F9">
        <w:rPr>
          <w:rFonts w:ascii="Arial" w:hAnsi="Arial" w:cs="Arial"/>
          <w:bCs/>
          <w:szCs w:val="20"/>
        </w:rPr>
        <w:t>, strengthen supply chain</w:t>
      </w:r>
      <w:r w:rsidR="00221918">
        <w:rPr>
          <w:rFonts w:ascii="Arial" w:hAnsi="Arial" w:cs="Arial"/>
          <w:bCs/>
          <w:szCs w:val="20"/>
        </w:rPr>
        <w:t>s</w:t>
      </w:r>
      <w:r w:rsidR="000F05F9">
        <w:rPr>
          <w:rFonts w:ascii="Arial" w:hAnsi="Arial" w:cs="Arial"/>
          <w:bCs/>
          <w:szCs w:val="20"/>
        </w:rPr>
        <w:t xml:space="preserve"> and </w:t>
      </w:r>
      <w:r w:rsidR="00E77454">
        <w:rPr>
          <w:rFonts w:ascii="Arial" w:hAnsi="Arial" w:cs="Arial"/>
          <w:bCs/>
          <w:szCs w:val="20"/>
        </w:rPr>
        <w:t>promote inclusion are</w:t>
      </w:r>
      <w:r w:rsidR="00CC2C89">
        <w:rPr>
          <w:rFonts w:ascii="Arial" w:hAnsi="Arial" w:cs="Arial"/>
          <w:bCs/>
          <w:szCs w:val="20"/>
        </w:rPr>
        <w:t xml:space="preserve"> significant.</w:t>
      </w:r>
      <w:r w:rsidR="00DD7F68">
        <w:rPr>
          <w:rFonts w:ascii="Arial" w:hAnsi="Arial" w:cs="Arial"/>
          <w:bCs/>
          <w:szCs w:val="20"/>
        </w:rPr>
        <w:t xml:space="preserve"> </w:t>
      </w:r>
      <w:r w:rsidR="0076439E">
        <w:rPr>
          <w:rFonts w:ascii="Arial" w:hAnsi="Arial" w:cs="Arial"/>
          <w:bCs/>
          <w:szCs w:val="20"/>
        </w:rPr>
        <w:t xml:space="preserve">For instance, </w:t>
      </w:r>
      <w:r w:rsidR="006E6C2D">
        <w:rPr>
          <w:rFonts w:ascii="Arial" w:hAnsi="Arial" w:cs="Arial"/>
          <w:bCs/>
          <w:szCs w:val="20"/>
        </w:rPr>
        <w:t>KFPL</w:t>
      </w:r>
      <w:r w:rsidR="0076439E">
        <w:rPr>
          <w:rFonts w:ascii="Arial" w:hAnsi="Arial" w:cs="Arial"/>
          <w:bCs/>
          <w:szCs w:val="20"/>
        </w:rPr>
        <w:t xml:space="preserve"> provides employment</w:t>
      </w:r>
      <w:r w:rsidR="00F3793D">
        <w:rPr>
          <w:rFonts w:ascii="Arial" w:hAnsi="Arial" w:cs="Arial"/>
          <w:bCs/>
          <w:szCs w:val="20"/>
        </w:rPr>
        <w:t>, out-grower income</w:t>
      </w:r>
      <w:r w:rsidR="0076439E">
        <w:rPr>
          <w:rFonts w:ascii="Arial" w:hAnsi="Arial" w:cs="Arial"/>
          <w:bCs/>
          <w:szCs w:val="20"/>
        </w:rPr>
        <w:t xml:space="preserve"> and services</w:t>
      </w:r>
      <w:r w:rsidR="006E6C2D">
        <w:rPr>
          <w:rFonts w:ascii="Arial" w:hAnsi="Arial" w:cs="Arial"/>
          <w:bCs/>
          <w:szCs w:val="20"/>
        </w:rPr>
        <w:t xml:space="preserve"> not only for the immediate communities surrounding </w:t>
      </w:r>
      <w:r w:rsidR="006B01C9">
        <w:rPr>
          <w:rFonts w:ascii="Arial" w:hAnsi="Arial" w:cs="Arial"/>
          <w:bCs/>
          <w:szCs w:val="20"/>
        </w:rPr>
        <w:t xml:space="preserve">the plantation, </w:t>
      </w:r>
      <w:r w:rsidR="006E6C2D">
        <w:rPr>
          <w:rFonts w:ascii="Arial" w:hAnsi="Arial" w:cs="Arial"/>
          <w:bCs/>
          <w:szCs w:val="20"/>
        </w:rPr>
        <w:t xml:space="preserve">but also </w:t>
      </w:r>
      <w:r w:rsidR="006B01C9">
        <w:rPr>
          <w:rFonts w:ascii="Arial" w:hAnsi="Arial" w:cs="Arial"/>
          <w:bCs/>
          <w:szCs w:val="20"/>
        </w:rPr>
        <w:t>for many</w:t>
      </w:r>
      <w:r w:rsidR="006E6C2D">
        <w:rPr>
          <w:rFonts w:ascii="Arial" w:hAnsi="Arial" w:cs="Arial"/>
          <w:bCs/>
          <w:szCs w:val="20"/>
        </w:rPr>
        <w:t xml:space="preserve"> workers </w:t>
      </w:r>
      <w:r w:rsidR="0015555E">
        <w:rPr>
          <w:rFonts w:ascii="Arial" w:hAnsi="Arial" w:cs="Arial"/>
          <w:bCs/>
          <w:szCs w:val="20"/>
        </w:rPr>
        <w:t>and out-growers</w:t>
      </w:r>
      <w:r w:rsidR="006B01C9">
        <w:rPr>
          <w:rFonts w:ascii="Arial" w:hAnsi="Arial" w:cs="Arial"/>
          <w:bCs/>
          <w:szCs w:val="20"/>
        </w:rPr>
        <w:t xml:space="preserve"> </w:t>
      </w:r>
      <w:r w:rsidR="006E6C2D">
        <w:rPr>
          <w:rFonts w:ascii="Arial" w:hAnsi="Arial" w:cs="Arial"/>
          <w:bCs/>
          <w:szCs w:val="20"/>
        </w:rPr>
        <w:t>from other islands.</w:t>
      </w:r>
      <w:r w:rsidR="003E36D1">
        <w:rPr>
          <w:rFonts w:ascii="Arial" w:hAnsi="Arial" w:cs="Arial"/>
          <w:bCs/>
          <w:szCs w:val="20"/>
        </w:rPr>
        <w:t xml:space="preserve"> </w:t>
      </w:r>
      <w:r w:rsidR="0063332F">
        <w:rPr>
          <w:rFonts w:ascii="Arial" w:hAnsi="Arial" w:cs="Arial"/>
          <w:bCs/>
          <w:szCs w:val="20"/>
        </w:rPr>
        <w:t xml:space="preserve">Re-planting of seedlings </w:t>
      </w:r>
      <w:r w:rsidR="00324918">
        <w:rPr>
          <w:rFonts w:ascii="Arial" w:hAnsi="Arial" w:cs="Arial"/>
          <w:bCs/>
          <w:szCs w:val="20"/>
        </w:rPr>
        <w:t>is</w:t>
      </w:r>
      <w:r w:rsidR="0063332F">
        <w:rPr>
          <w:rFonts w:ascii="Arial" w:hAnsi="Arial" w:cs="Arial"/>
          <w:bCs/>
          <w:szCs w:val="20"/>
        </w:rPr>
        <w:t xml:space="preserve"> creat</w:t>
      </w:r>
      <w:r w:rsidR="00324918">
        <w:rPr>
          <w:rFonts w:ascii="Arial" w:hAnsi="Arial" w:cs="Arial"/>
          <w:bCs/>
          <w:szCs w:val="20"/>
        </w:rPr>
        <w:t>ing</w:t>
      </w:r>
      <w:r w:rsidR="0063332F">
        <w:rPr>
          <w:rFonts w:ascii="Arial" w:hAnsi="Arial" w:cs="Arial"/>
          <w:bCs/>
          <w:szCs w:val="20"/>
        </w:rPr>
        <w:t xml:space="preserve"> a store of wealth for future generations</w:t>
      </w:r>
      <w:r w:rsidR="00CC476A">
        <w:rPr>
          <w:rFonts w:ascii="Arial" w:hAnsi="Arial" w:cs="Arial"/>
          <w:bCs/>
          <w:szCs w:val="20"/>
        </w:rPr>
        <w:t xml:space="preserve"> –especially </w:t>
      </w:r>
      <w:r w:rsidR="00B36F98">
        <w:rPr>
          <w:rFonts w:ascii="Arial" w:hAnsi="Arial" w:cs="Arial"/>
          <w:bCs/>
          <w:szCs w:val="20"/>
        </w:rPr>
        <w:t xml:space="preserve">notable </w:t>
      </w:r>
      <w:r w:rsidR="00CC476A">
        <w:rPr>
          <w:rFonts w:ascii="Arial" w:hAnsi="Arial" w:cs="Arial"/>
          <w:bCs/>
          <w:szCs w:val="20"/>
        </w:rPr>
        <w:t xml:space="preserve">in the context of declining natural forest resources in </w:t>
      </w:r>
      <w:r w:rsidR="00B36F98">
        <w:rPr>
          <w:rFonts w:ascii="Arial" w:hAnsi="Arial" w:cs="Arial"/>
          <w:bCs/>
          <w:szCs w:val="20"/>
        </w:rPr>
        <w:t>the country</w:t>
      </w:r>
      <w:r w:rsidR="0063332F">
        <w:rPr>
          <w:rFonts w:ascii="Arial" w:hAnsi="Arial" w:cs="Arial"/>
          <w:bCs/>
          <w:szCs w:val="20"/>
        </w:rPr>
        <w:t>.</w:t>
      </w:r>
    </w:p>
    <w:p w14:paraId="43C1AD3D" w14:textId="1B0EDCB0" w:rsidR="001B7EB1" w:rsidRDefault="001B7EB1" w:rsidP="006E6C2D">
      <w:pPr>
        <w:spacing w:after="120"/>
        <w:rPr>
          <w:rFonts w:ascii="Arial" w:hAnsi="Arial" w:cs="Arial"/>
          <w:szCs w:val="20"/>
        </w:rPr>
      </w:pPr>
      <w:r>
        <w:rPr>
          <w:rFonts w:ascii="Arial" w:hAnsi="Arial" w:cs="Arial"/>
          <w:szCs w:val="20"/>
        </w:rPr>
        <w:t xml:space="preserve">Opportunities to </w:t>
      </w:r>
      <w:r w:rsidR="00421650">
        <w:rPr>
          <w:rFonts w:ascii="Arial" w:hAnsi="Arial" w:cs="Arial"/>
          <w:szCs w:val="20"/>
        </w:rPr>
        <w:t xml:space="preserve">forge closer links </w:t>
      </w:r>
      <w:r w:rsidR="00DC6636">
        <w:rPr>
          <w:rFonts w:ascii="Arial" w:hAnsi="Arial" w:cs="Arial"/>
          <w:szCs w:val="20"/>
        </w:rPr>
        <w:t xml:space="preserve">and maximise complementarities </w:t>
      </w:r>
      <w:r w:rsidR="00421650">
        <w:rPr>
          <w:rFonts w:ascii="Arial" w:hAnsi="Arial" w:cs="Arial"/>
          <w:szCs w:val="20"/>
        </w:rPr>
        <w:t xml:space="preserve">between </w:t>
      </w:r>
      <w:r w:rsidR="005D04B3">
        <w:rPr>
          <w:rFonts w:ascii="Arial" w:hAnsi="Arial" w:cs="Arial"/>
          <w:szCs w:val="20"/>
        </w:rPr>
        <w:t>Strongim Bisnis</w:t>
      </w:r>
      <w:r w:rsidR="00421650">
        <w:rPr>
          <w:rFonts w:ascii="Arial" w:hAnsi="Arial" w:cs="Arial"/>
          <w:szCs w:val="20"/>
        </w:rPr>
        <w:t xml:space="preserve"> and other elements of the Australia-Solomon Islands development partnership </w:t>
      </w:r>
      <w:r w:rsidR="00113F5D">
        <w:rPr>
          <w:rFonts w:ascii="Arial" w:hAnsi="Arial" w:cs="Arial"/>
          <w:szCs w:val="20"/>
        </w:rPr>
        <w:t xml:space="preserve">are evident in areas such as the </w:t>
      </w:r>
      <w:r w:rsidR="00791435">
        <w:rPr>
          <w:rFonts w:ascii="Arial" w:hAnsi="Arial" w:cs="Arial"/>
          <w:szCs w:val="20"/>
        </w:rPr>
        <w:t>enabling environment for business (ASIP-Gov; PSDI)</w:t>
      </w:r>
      <w:r w:rsidR="0039562B">
        <w:rPr>
          <w:rFonts w:ascii="Arial" w:hAnsi="Arial" w:cs="Arial"/>
          <w:szCs w:val="20"/>
        </w:rPr>
        <w:t>,</w:t>
      </w:r>
      <w:r w:rsidR="00DB27ED">
        <w:rPr>
          <w:rFonts w:ascii="Arial" w:hAnsi="Arial" w:cs="Arial"/>
          <w:szCs w:val="20"/>
        </w:rPr>
        <w:t xml:space="preserve"> the </w:t>
      </w:r>
      <w:r w:rsidR="005B77B3">
        <w:rPr>
          <w:rFonts w:ascii="Arial" w:hAnsi="Arial" w:cs="Arial"/>
          <w:szCs w:val="20"/>
        </w:rPr>
        <w:t>Pacific Australia Labour Mobility</w:t>
      </w:r>
      <w:r w:rsidR="00DB27ED">
        <w:rPr>
          <w:rFonts w:ascii="Arial" w:hAnsi="Arial" w:cs="Arial"/>
          <w:szCs w:val="20"/>
        </w:rPr>
        <w:t xml:space="preserve"> </w:t>
      </w:r>
      <w:r w:rsidR="0039562B">
        <w:rPr>
          <w:rFonts w:ascii="Arial" w:hAnsi="Arial" w:cs="Arial"/>
          <w:szCs w:val="20"/>
        </w:rPr>
        <w:t>(PALM)</w:t>
      </w:r>
      <w:r w:rsidR="005B77B3">
        <w:rPr>
          <w:rFonts w:ascii="Arial" w:hAnsi="Arial" w:cs="Arial"/>
          <w:szCs w:val="20"/>
        </w:rPr>
        <w:t xml:space="preserve"> scheme</w:t>
      </w:r>
      <w:r w:rsidR="00DF31B9">
        <w:rPr>
          <w:rFonts w:ascii="Arial" w:hAnsi="Arial" w:cs="Arial"/>
          <w:szCs w:val="20"/>
        </w:rPr>
        <w:t>,</w:t>
      </w:r>
      <w:r w:rsidR="0039562B">
        <w:rPr>
          <w:rFonts w:ascii="Arial" w:hAnsi="Arial" w:cs="Arial"/>
          <w:szCs w:val="20"/>
        </w:rPr>
        <w:t xml:space="preserve"> </w:t>
      </w:r>
      <w:r w:rsidR="00F44C80">
        <w:rPr>
          <w:rFonts w:ascii="Arial" w:hAnsi="Arial" w:cs="Arial"/>
          <w:szCs w:val="20"/>
        </w:rPr>
        <w:t>financial services (</w:t>
      </w:r>
      <w:r w:rsidR="007D1808">
        <w:rPr>
          <w:rFonts w:ascii="Arial" w:hAnsi="Arial" w:cs="Arial"/>
          <w:szCs w:val="20"/>
        </w:rPr>
        <w:t>Pacific</w:t>
      </w:r>
      <w:r w:rsidR="00F44C80">
        <w:rPr>
          <w:rFonts w:ascii="Arial" w:hAnsi="Arial" w:cs="Arial"/>
          <w:szCs w:val="20"/>
        </w:rPr>
        <w:t xml:space="preserve"> Digital </w:t>
      </w:r>
      <w:r w:rsidR="007D1808">
        <w:rPr>
          <w:rFonts w:ascii="Arial" w:hAnsi="Arial" w:cs="Arial"/>
          <w:szCs w:val="20"/>
        </w:rPr>
        <w:t>Economy Program, PDEP</w:t>
      </w:r>
      <w:r w:rsidR="007D1808" w:rsidRPr="007D1808">
        <w:rPr>
          <w:rFonts w:ascii="Arial" w:hAnsi="Arial" w:cs="Arial"/>
          <w:szCs w:val="20"/>
        </w:rPr>
        <w:t xml:space="preserve"> </w:t>
      </w:r>
      <w:r w:rsidR="00DE5BAE">
        <w:rPr>
          <w:rFonts w:ascii="Arial" w:hAnsi="Arial" w:cs="Arial"/>
          <w:szCs w:val="20"/>
        </w:rPr>
        <w:t xml:space="preserve">– through </w:t>
      </w:r>
      <w:r w:rsidR="007D1808">
        <w:rPr>
          <w:rFonts w:ascii="Arial" w:hAnsi="Arial" w:cs="Arial"/>
          <w:szCs w:val="20"/>
        </w:rPr>
        <w:t>UNCDF</w:t>
      </w:r>
      <w:r w:rsidR="00F44C80">
        <w:rPr>
          <w:rFonts w:ascii="Arial" w:hAnsi="Arial" w:cs="Arial"/>
          <w:szCs w:val="20"/>
        </w:rPr>
        <w:t>)</w:t>
      </w:r>
      <w:r w:rsidR="00DF31B9">
        <w:rPr>
          <w:rFonts w:ascii="Arial" w:hAnsi="Arial" w:cs="Arial"/>
          <w:szCs w:val="20"/>
        </w:rPr>
        <w:t>, and possibly infrastructure (Solomon Islands Infrastructure Program, SIIP)</w:t>
      </w:r>
      <w:r w:rsidR="00DE5BAE">
        <w:rPr>
          <w:rFonts w:ascii="Arial" w:hAnsi="Arial" w:cs="Arial"/>
          <w:szCs w:val="20"/>
        </w:rPr>
        <w:t>.</w:t>
      </w:r>
      <w:r w:rsidR="00FD1277">
        <w:rPr>
          <w:rFonts w:ascii="Arial" w:hAnsi="Arial" w:cs="Arial"/>
          <w:szCs w:val="20"/>
        </w:rPr>
        <w:t xml:space="preserve"> These are discussed further under KEQ4 below.</w:t>
      </w:r>
    </w:p>
    <w:p w14:paraId="38A3E81B" w14:textId="2E3B6767" w:rsidR="00366B59" w:rsidRPr="00DE76FD" w:rsidRDefault="00F618AB" w:rsidP="00DE76FD">
      <w:pPr>
        <w:pStyle w:val="Heading2NOTOC"/>
        <w:rPr>
          <w:rStyle w:val="normaltextrun"/>
          <w:color w:val="414141" w:themeColor="text2" w:themeShade="BF"/>
        </w:rPr>
      </w:pPr>
      <w:bookmarkStart w:id="17" w:name="_Toc131170444"/>
      <w:r w:rsidRPr="00DE76FD">
        <w:rPr>
          <w:rStyle w:val="normaltextrun"/>
          <w:color w:val="414141" w:themeColor="text2" w:themeShade="BF"/>
        </w:rPr>
        <w:t>Sub</w:t>
      </w:r>
      <w:r w:rsidR="007C30DF" w:rsidRPr="00DE76FD">
        <w:rPr>
          <w:rStyle w:val="normaltextrun"/>
          <w:color w:val="414141" w:themeColor="text2" w:themeShade="BF"/>
        </w:rPr>
        <w:t>Q</w:t>
      </w:r>
      <w:r w:rsidR="005C3AB3" w:rsidRPr="00DE76FD">
        <w:rPr>
          <w:rStyle w:val="normaltextrun"/>
          <w:color w:val="414141" w:themeColor="text2" w:themeShade="BF"/>
        </w:rPr>
        <w:t>1.</w:t>
      </w:r>
      <w:r w:rsidRPr="00DE76FD">
        <w:rPr>
          <w:rStyle w:val="normaltextrun"/>
          <w:color w:val="414141" w:themeColor="text2" w:themeShade="BF"/>
        </w:rPr>
        <w:t xml:space="preserve">4: </w:t>
      </w:r>
      <w:r w:rsidR="000604CF" w:rsidRPr="00DE76FD">
        <w:rPr>
          <w:rStyle w:val="normaltextrun"/>
          <w:color w:val="414141" w:themeColor="text2" w:themeShade="BF"/>
        </w:rPr>
        <w:t>Was the program value for money for the Australian Government?</w:t>
      </w:r>
      <w:bookmarkEnd w:id="17"/>
      <w:r w:rsidR="000604CF" w:rsidRPr="00DE76FD">
        <w:rPr>
          <w:rStyle w:val="normaltextrun"/>
          <w:color w:val="414141" w:themeColor="text2" w:themeShade="BF"/>
        </w:rPr>
        <w:t> </w:t>
      </w:r>
    </w:p>
    <w:p w14:paraId="7C5B109B" w14:textId="27C7C976" w:rsidR="00DD3C31" w:rsidRDefault="00DC0EAB" w:rsidP="00AA18B8">
      <w:r>
        <w:t xml:space="preserve">While value for money </w:t>
      </w:r>
      <w:r w:rsidR="009370DF">
        <w:t xml:space="preserve">(VfM) </w:t>
      </w:r>
      <w:r>
        <w:t xml:space="preserve">is often interpreted as equating to </w:t>
      </w:r>
      <w:r w:rsidR="51DB7B0B">
        <w:t>cost efficiency</w:t>
      </w:r>
      <w:r>
        <w:t xml:space="preserve">, </w:t>
      </w:r>
      <w:r w:rsidR="00D94860">
        <w:t>DFAT</w:t>
      </w:r>
      <w:r>
        <w:t>’s</w:t>
      </w:r>
      <w:r w:rsidR="00DD3C31">
        <w:t xml:space="preserve"> value for money framework </w:t>
      </w:r>
      <w:r>
        <w:t xml:space="preserve">is far broader, </w:t>
      </w:r>
      <w:r w:rsidR="00DD3C31">
        <w:t xml:space="preserve">encompassing </w:t>
      </w:r>
      <w:r w:rsidR="00347ED1">
        <w:t>eight</w:t>
      </w:r>
      <w:r w:rsidR="00DD3C31">
        <w:t xml:space="preserve"> principles</w:t>
      </w:r>
      <w:r w:rsidR="005D40AF">
        <w:t xml:space="preserve"> </w:t>
      </w:r>
      <w:r w:rsidR="009370DF">
        <w:t>under</w:t>
      </w:r>
      <w:r w:rsidR="005D40AF">
        <w:t xml:space="preserve"> the broad headings of economy, efficiency, effectiveness and ethics.</w:t>
      </w:r>
      <w:r w:rsidR="00DD3C31">
        <w:t xml:space="preserve"> </w:t>
      </w:r>
      <w:r w:rsidR="00A37F0E">
        <w:t>While no specific indicator(s) are mandated, DFAT’s M&amp;E Standards</w:t>
      </w:r>
      <w:r w:rsidR="00A37F0E">
        <w:rPr>
          <w:rStyle w:val="FootnoteReference"/>
        </w:rPr>
        <w:footnoteReference w:id="14"/>
      </w:r>
      <w:r w:rsidR="00A37F0E">
        <w:t xml:space="preserve"> require programs to track performance by developing and reporting against </w:t>
      </w:r>
      <w:r w:rsidR="00A37F0E" w:rsidRPr="0044132D">
        <w:t xml:space="preserve">context specific </w:t>
      </w:r>
      <w:r w:rsidR="00A37F0E">
        <w:t>measures.</w:t>
      </w:r>
      <w:r w:rsidR="00AA053C" w:rsidRPr="00AA053C">
        <w:t xml:space="preserve"> </w:t>
      </w:r>
      <w:r w:rsidR="00AA053C">
        <w:t>VfM and related frameworks and guidance</w:t>
      </w:r>
      <w:r w:rsidR="00AA053C" w:rsidRPr="00AA053C">
        <w:t xml:space="preserve"> </w:t>
      </w:r>
      <w:r w:rsidR="00AA053C">
        <w:t xml:space="preserve">relevant to Strongim Bisnis are outlined further in </w:t>
      </w:r>
      <w:r w:rsidR="00AA053C" w:rsidRPr="00AA053C">
        <w:rPr>
          <w:u w:val="single"/>
        </w:rPr>
        <w:t>Annex 6</w:t>
      </w:r>
      <w:r w:rsidR="00AA053C">
        <w:t>.</w:t>
      </w:r>
    </w:p>
    <w:p w14:paraId="13F88DFF" w14:textId="1C8EC8B4" w:rsidR="00FA221B" w:rsidRDefault="00FA221B" w:rsidP="00FA221B">
      <w:r w:rsidRPr="0031779B">
        <w:rPr>
          <w:b/>
        </w:rPr>
        <w:t>Strongim Bisnis has not routinely reported against explicit VfM indicators to date</w:t>
      </w:r>
      <w:r>
        <w:t xml:space="preserve">, although VfM </w:t>
      </w:r>
      <w:r w:rsidR="00C77B54">
        <w:t xml:space="preserve">considerations inform </w:t>
      </w:r>
      <w:r w:rsidR="0065342B">
        <w:t xml:space="preserve">operational </w:t>
      </w:r>
      <w:r w:rsidR="00C77B54">
        <w:t xml:space="preserve">decisions </w:t>
      </w:r>
      <w:r w:rsidR="0065342B">
        <w:t>including through</w:t>
      </w:r>
      <w:r>
        <w:t xml:space="preserve"> market system assessments and business case development. </w:t>
      </w:r>
      <w:r w:rsidR="001B7093">
        <w:t xml:space="preserve">A few </w:t>
      </w:r>
      <w:r w:rsidR="0050347C">
        <w:t xml:space="preserve">quantitative </w:t>
      </w:r>
      <w:r w:rsidR="008526B2">
        <w:t xml:space="preserve">measures are briefly </w:t>
      </w:r>
      <w:r w:rsidR="0026356D">
        <w:t>explored</w:t>
      </w:r>
      <w:r w:rsidR="008526B2">
        <w:t xml:space="preserve"> below</w:t>
      </w:r>
      <w:r w:rsidR="007D2282">
        <w:t xml:space="preserve">, </w:t>
      </w:r>
      <w:r w:rsidR="00842AE4">
        <w:t xml:space="preserve">although </w:t>
      </w:r>
      <w:r w:rsidR="00E9673D">
        <w:t>these were</w:t>
      </w:r>
      <w:r w:rsidR="007D2282" w:rsidRPr="00BE6438">
        <w:rPr>
          <w:rFonts w:ascii="Arial" w:hAnsi="Arial" w:cs="Arial"/>
          <w:szCs w:val="20"/>
        </w:rPr>
        <w:t xml:space="preserve"> inevitably affected by slowdowns and reorientation of many partnerships during </w:t>
      </w:r>
      <w:r w:rsidR="00D56C64">
        <w:rPr>
          <w:rFonts w:ascii="Arial" w:hAnsi="Arial" w:cs="Arial"/>
          <w:szCs w:val="20"/>
        </w:rPr>
        <w:t xml:space="preserve">the </w:t>
      </w:r>
      <w:r w:rsidR="007D2282" w:rsidRPr="00BE6438">
        <w:rPr>
          <w:rFonts w:ascii="Arial" w:hAnsi="Arial" w:cs="Arial"/>
          <w:szCs w:val="20"/>
        </w:rPr>
        <w:t>COVID</w:t>
      </w:r>
      <w:r w:rsidR="00D56C64">
        <w:rPr>
          <w:rFonts w:ascii="Arial" w:hAnsi="Arial" w:cs="Arial"/>
          <w:szCs w:val="20"/>
        </w:rPr>
        <w:t xml:space="preserve"> period</w:t>
      </w:r>
      <w:r w:rsidR="007D2282" w:rsidRPr="00BE6438">
        <w:rPr>
          <w:rFonts w:ascii="Arial" w:hAnsi="Arial" w:cs="Arial"/>
          <w:szCs w:val="20"/>
        </w:rPr>
        <w:t>.</w:t>
      </w:r>
      <w:r w:rsidR="00E46BAD">
        <w:rPr>
          <w:rFonts w:ascii="Arial" w:hAnsi="Arial" w:cs="Arial"/>
          <w:szCs w:val="20"/>
        </w:rPr>
        <w:t xml:space="preserve"> </w:t>
      </w:r>
      <w:r w:rsidR="00A16F9A">
        <w:rPr>
          <w:rFonts w:ascii="Arial" w:hAnsi="Arial" w:cs="Arial"/>
          <w:szCs w:val="20"/>
        </w:rPr>
        <w:t xml:space="preserve">Strongim Bisnis recently commissioned </w:t>
      </w:r>
      <w:r w:rsidR="000C2413">
        <w:rPr>
          <w:rFonts w:ascii="Arial" w:hAnsi="Arial" w:cs="Arial"/>
          <w:szCs w:val="20"/>
        </w:rPr>
        <w:t xml:space="preserve">a </w:t>
      </w:r>
      <w:r>
        <w:t xml:space="preserve">VfM </w:t>
      </w:r>
      <w:r w:rsidR="000C2413">
        <w:t xml:space="preserve">report </w:t>
      </w:r>
      <w:r>
        <w:t>which</w:t>
      </w:r>
      <w:r w:rsidR="009E6131">
        <w:t xml:space="preserve"> could inform </w:t>
      </w:r>
      <w:r w:rsidR="003A4BCA">
        <w:t xml:space="preserve">approaches </w:t>
      </w:r>
      <w:r w:rsidR="008A3ACC">
        <w:t xml:space="preserve">to VfM </w:t>
      </w:r>
      <w:r w:rsidR="003A4BCA">
        <w:t>in</w:t>
      </w:r>
      <w:r w:rsidR="005D3B6F">
        <w:t xml:space="preserve"> Phase</w:t>
      </w:r>
      <w:r w:rsidR="003A4BCA">
        <w:t xml:space="preserve"> 3</w:t>
      </w:r>
      <w:r w:rsidR="00802C69">
        <w:t>.</w:t>
      </w:r>
      <w:r w:rsidR="008A3ACC">
        <w:t xml:space="preserve"> </w:t>
      </w:r>
      <w:r w:rsidR="0025121C" w:rsidRPr="005B7140">
        <w:rPr>
          <w:b/>
          <w:bCs/>
        </w:rPr>
        <w:t xml:space="preserve">An explicit </w:t>
      </w:r>
      <w:r w:rsidR="008A3ACC" w:rsidRPr="005B7140">
        <w:rPr>
          <w:b/>
          <w:bCs/>
        </w:rPr>
        <w:t>VfM framework</w:t>
      </w:r>
      <w:r w:rsidR="00851671" w:rsidRPr="005B7140">
        <w:rPr>
          <w:b/>
          <w:bCs/>
        </w:rPr>
        <w:t xml:space="preserve"> </w:t>
      </w:r>
      <w:r w:rsidR="00103040" w:rsidRPr="005B7140">
        <w:rPr>
          <w:b/>
          <w:bCs/>
        </w:rPr>
        <w:t>w</w:t>
      </w:r>
      <w:r w:rsidRPr="005B7140">
        <w:rPr>
          <w:b/>
          <w:bCs/>
        </w:rPr>
        <w:t xml:space="preserve">ould </w:t>
      </w:r>
      <w:r w:rsidR="00103040" w:rsidRPr="005B7140">
        <w:rPr>
          <w:b/>
          <w:bCs/>
        </w:rPr>
        <w:t xml:space="preserve">help </w:t>
      </w:r>
      <w:r w:rsidRPr="005B7140">
        <w:rPr>
          <w:b/>
          <w:bCs/>
        </w:rPr>
        <w:t xml:space="preserve">systematise and strengthen VfM analysis </w:t>
      </w:r>
      <w:r w:rsidR="00D030FC" w:rsidRPr="005B7140">
        <w:rPr>
          <w:b/>
          <w:bCs/>
        </w:rPr>
        <w:t xml:space="preserve">in </w:t>
      </w:r>
      <w:r w:rsidR="005D04B3" w:rsidRPr="005B7140">
        <w:rPr>
          <w:b/>
          <w:bCs/>
        </w:rPr>
        <w:t>Strongim Bisnis</w:t>
      </w:r>
      <w:r w:rsidR="00850376" w:rsidRPr="005B7140">
        <w:rPr>
          <w:b/>
          <w:bCs/>
        </w:rPr>
        <w:t xml:space="preserve"> </w:t>
      </w:r>
      <w:r w:rsidRPr="005B7140">
        <w:rPr>
          <w:b/>
          <w:bCs/>
        </w:rPr>
        <w:t>for both adaptive management and accountability purposes.</w:t>
      </w:r>
      <w:r>
        <w:t xml:space="preserve"> </w:t>
      </w:r>
    </w:p>
    <w:p w14:paraId="0E42C2AC" w14:textId="21F702FC" w:rsidR="00A654C4" w:rsidRDefault="005D04B3" w:rsidP="00A654C4">
      <w:r>
        <w:t>Strongim Bisnis’</w:t>
      </w:r>
      <w:r w:rsidR="00A654C4">
        <w:t xml:space="preserve"> Annual Reports do not provide </w:t>
      </w:r>
      <w:r w:rsidR="00A654C4" w:rsidRPr="009B2A89">
        <w:rPr>
          <w:b/>
        </w:rPr>
        <w:t>expenditure</w:t>
      </w:r>
      <w:r w:rsidR="00A654C4">
        <w:t xml:space="preserve"> details, but </w:t>
      </w:r>
      <w:r w:rsidR="00DF31B9">
        <w:t xml:space="preserve">data supplied by the program </w:t>
      </w:r>
      <w:r w:rsidR="00A654C4">
        <w:t xml:space="preserve">on staffing, operational and support costs and program costs is summarised in Annex </w:t>
      </w:r>
      <w:r w:rsidR="00DF31B9">
        <w:t>7</w:t>
      </w:r>
      <w:r w:rsidR="00A654C4">
        <w:t xml:space="preserve"> (Table A</w:t>
      </w:r>
      <w:r w:rsidR="00DF31B9">
        <w:t>7</w:t>
      </w:r>
      <w:r w:rsidR="00A654C4">
        <w:t>.1). Across the two years</w:t>
      </w:r>
      <w:r w:rsidR="00DF31B9">
        <w:t xml:space="preserve"> of Phase 2</w:t>
      </w:r>
      <w:r w:rsidR="00A654C4">
        <w:t>, staffing (including support costs) account</w:t>
      </w:r>
      <w:r w:rsidR="00DF31B9">
        <w:t>ed</w:t>
      </w:r>
      <w:r w:rsidR="00A654C4">
        <w:t xml:space="preserve"> for around 4</w:t>
      </w:r>
      <w:r w:rsidR="00DF31B9">
        <w:t>7</w:t>
      </w:r>
      <w:r w:rsidR="00A654C4">
        <w:t>% of total expenditure, and operational costs just under 7%. The remaining 4</w:t>
      </w:r>
      <w:r w:rsidR="00DF31B9">
        <w:t>5</w:t>
      </w:r>
      <w:r w:rsidR="00A654C4">
        <w:t>% of the total was allocated to program costs.</w:t>
      </w:r>
      <w:r w:rsidR="00DF31B9">
        <w:t xml:space="preserve"> This compares favourably with Phase 1, when program spending was just 36% of total expenditure.</w:t>
      </w:r>
    </w:p>
    <w:p w14:paraId="404C431C" w14:textId="446C2F00" w:rsidR="008E7698" w:rsidRDefault="00DF31B9" w:rsidP="008E7698">
      <w:r>
        <w:rPr>
          <w:b/>
          <w:lang w:val="en-US"/>
        </w:rPr>
        <w:t>P</w:t>
      </w:r>
      <w:r w:rsidR="00B24F77" w:rsidRPr="009B2A89">
        <w:rPr>
          <w:b/>
          <w:lang w:val="en-US"/>
        </w:rPr>
        <w:t>rivate sector investment leveraged</w:t>
      </w:r>
      <w:r w:rsidRPr="00DF31B9">
        <w:rPr>
          <w:lang w:val="en-US"/>
        </w:rPr>
        <w:t xml:space="preserve"> </w:t>
      </w:r>
      <w:r>
        <w:rPr>
          <w:lang w:val="en-US"/>
        </w:rPr>
        <w:t>is a commonly used VfM indicator</w:t>
      </w:r>
      <w:r w:rsidR="00B24F77">
        <w:rPr>
          <w:lang w:val="en-US"/>
        </w:rPr>
        <w:t xml:space="preserve">. </w:t>
      </w:r>
      <w:r w:rsidR="00481AF8">
        <w:rPr>
          <w:lang w:val="en-US"/>
        </w:rPr>
        <w:t>A version of this</w:t>
      </w:r>
      <w:r w:rsidR="00596C39">
        <w:rPr>
          <w:lang w:val="en-US"/>
        </w:rPr>
        <w:t xml:space="preserve"> measure is included in </w:t>
      </w:r>
      <w:r w:rsidR="005D04B3">
        <w:rPr>
          <w:lang w:val="en-US"/>
        </w:rPr>
        <w:t>Strongim Bisnis’</w:t>
      </w:r>
      <w:r w:rsidR="00596C39">
        <w:rPr>
          <w:lang w:val="en-US"/>
        </w:rPr>
        <w:t xml:space="preserve"> MRM </w:t>
      </w:r>
      <w:r w:rsidR="00A675A9">
        <w:rPr>
          <w:lang w:val="en-US"/>
        </w:rPr>
        <w:t>system</w:t>
      </w:r>
      <w:r w:rsidR="00E570B7">
        <w:rPr>
          <w:lang w:val="en-US"/>
        </w:rPr>
        <w:t>.</w:t>
      </w:r>
      <w:r w:rsidR="00813488">
        <w:rPr>
          <w:lang w:val="en-US"/>
        </w:rPr>
        <w:t xml:space="preserve"> </w:t>
      </w:r>
      <w:r w:rsidR="00016EB9">
        <w:rPr>
          <w:lang w:val="en-US"/>
        </w:rPr>
        <w:t>In Phase 2</w:t>
      </w:r>
      <w:r w:rsidR="00B24F77">
        <w:rPr>
          <w:lang w:val="en-US"/>
        </w:rPr>
        <w:t>,</w:t>
      </w:r>
      <w:r w:rsidR="00016EB9">
        <w:rPr>
          <w:lang w:val="en-US"/>
        </w:rPr>
        <w:t xml:space="preserve"> </w:t>
      </w:r>
      <w:r w:rsidR="00936A6B">
        <w:rPr>
          <w:lang w:val="en-US"/>
        </w:rPr>
        <w:t xml:space="preserve">partners matched </w:t>
      </w:r>
      <w:r w:rsidR="005D04B3">
        <w:rPr>
          <w:lang w:val="en-US"/>
        </w:rPr>
        <w:t>Strongim Bisnis’</w:t>
      </w:r>
      <w:r w:rsidR="00936A6B">
        <w:rPr>
          <w:lang w:val="en-US"/>
        </w:rPr>
        <w:t xml:space="preserve"> </w:t>
      </w:r>
      <w:r w:rsidR="00936A6B">
        <w:t xml:space="preserve">AUD3.58m </w:t>
      </w:r>
      <w:r w:rsidR="00DD5304" w:rsidRPr="00152980">
        <w:rPr>
          <w:i/>
          <w:iCs/>
        </w:rPr>
        <w:t xml:space="preserve">partnership </w:t>
      </w:r>
      <w:r w:rsidR="00936A6B" w:rsidRPr="00152980">
        <w:rPr>
          <w:i/>
          <w:iCs/>
        </w:rPr>
        <w:t>investment</w:t>
      </w:r>
      <w:r w:rsidR="00DD5304" w:rsidRPr="00152980">
        <w:rPr>
          <w:i/>
          <w:iCs/>
        </w:rPr>
        <w:t>s</w:t>
      </w:r>
      <w:r w:rsidR="00152980">
        <w:rPr>
          <w:rStyle w:val="FootnoteReference"/>
          <w:i/>
          <w:iCs/>
        </w:rPr>
        <w:footnoteReference w:id="15"/>
      </w:r>
      <w:r w:rsidR="00936A6B">
        <w:t xml:space="preserve"> to date with financial and in-kind </w:t>
      </w:r>
      <w:r w:rsidR="00936A6B">
        <w:rPr>
          <w:lang w:val="en-US"/>
        </w:rPr>
        <w:t>contributions of</w:t>
      </w:r>
      <w:r w:rsidR="00936A6B">
        <w:t xml:space="preserve"> AUD1.12m</w:t>
      </w:r>
      <w:r w:rsidR="00EF5EBB">
        <w:t xml:space="preserve"> – a ratio of </w:t>
      </w:r>
      <w:r w:rsidR="00640A2B">
        <w:t xml:space="preserve">about </w:t>
      </w:r>
      <w:r w:rsidR="002C048F">
        <w:t>3:1</w:t>
      </w:r>
      <w:r w:rsidR="008E7698">
        <w:t>.</w:t>
      </w:r>
      <w:r w:rsidR="00711F46">
        <w:t xml:space="preserve"> </w:t>
      </w:r>
      <w:r w:rsidR="0039349F">
        <w:t>The target</w:t>
      </w:r>
      <w:r w:rsidR="00847E08">
        <w:t xml:space="preserve"> for each of </w:t>
      </w:r>
      <w:r w:rsidR="0039349F">
        <w:t xml:space="preserve">2021 and 2022 </w:t>
      </w:r>
      <w:r w:rsidR="00847E08">
        <w:t>was 450,000, which was exceeded</w:t>
      </w:r>
      <w:r w:rsidR="0039349F">
        <w:t xml:space="preserve"> </w:t>
      </w:r>
      <w:r w:rsidR="00847E08">
        <w:t>slightly in 2021 (AUD482,115) and significantly in 2022 (AUD638,460).</w:t>
      </w:r>
      <w:r w:rsidR="00593A3B">
        <w:t xml:space="preserve"> </w:t>
      </w:r>
      <w:r w:rsidR="002B71C9">
        <w:t>Leverage results by sector are shown in Table A5.3</w:t>
      </w:r>
      <w:r w:rsidR="004718DE">
        <w:t xml:space="preserve">. The </w:t>
      </w:r>
      <w:r>
        <w:t>w</w:t>
      </w:r>
      <w:r w:rsidR="004718DE">
        <w:t xml:space="preserve">aste </w:t>
      </w:r>
      <w:r>
        <w:t>m</w:t>
      </w:r>
      <w:r w:rsidR="004718DE">
        <w:t xml:space="preserve">anagement sector generated the lowest percentage co-contribution, </w:t>
      </w:r>
      <w:r>
        <w:t>and</w:t>
      </w:r>
      <w:r w:rsidR="004718DE">
        <w:t xml:space="preserve"> the </w:t>
      </w:r>
      <w:r>
        <w:t>t</w:t>
      </w:r>
      <w:r w:rsidR="004718DE">
        <w:t>ourism sector the most.</w:t>
      </w:r>
    </w:p>
    <w:p w14:paraId="3B5F5316" w14:textId="09E5F03F" w:rsidR="00151AA2" w:rsidRDefault="00151AA2" w:rsidP="008E7698">
      <w:r>
        <w:t xml:space="preserve">Another indicator that </w:t>
      </w:r>
      <w:r w:rsidR="00561B2B">
        <w:t>some</w:t>
      </w:r>
      <w:r w:rsidR="00494C4E">
        <w:t xml:space="preserve"> poverty-focused MSD </w:t>
      </w:r>
      <w:r w:rsidR="00561B2B">
        <w:t xml:space="preserve">programs report on is the </w:t>
      </w:r>
      <w:r w:rsidR="00561B2B" w:rsidRPr="009B2A89">
        <w:rPr>
          <w:b/>
        </w:rPr>
        <w:t>net attributable income increase</w:t>
      </w:r>
      <w:r w:rsidR="00561B2B">
        <w:t xml:space="preserve"> </w:t>
      </w:r>
      <w:r w:rsidR="006C7A6C">
        <w:t xml:space="preserve">to beneficiaries, </w:t>
      </w:r>
      <w:r w:rsidR="00561B2B">
        <w:t>generated by program expenditure.</w:t>
      </w:r>
      <w:r w:rsidR="00DF31B9">
        <w:t xml:space="preserve"> T</w:t>
      </w:r>
      <w:r w:rsidR="00A2228C">
        <w:t xml:space="preserve">his can </w:t>
      </w:r>
      <w:r w:rsidR="000B3C13">
        <w:t xml:space="preserve">be assessed </w:t>
      </w:r>
      <w:r w:rsidR="00DF31B9">
        <w:t xml:space="preserve">for each partnership or sector </w:t>
      </w:r>
      <w:r w:rsidR="000B3C13">
        <w:t xml:space="preserve">in terms of direct </w:t>
      </w:r>
      <w:r w:rsidR="005D04B3">
        <w:t>Strongim Bisnis</w:t>
      </w:r>
      <w:r w:rsidR="000B3C13">
        <w:t xml:space="preserve"> contributions (</w:t>
      </w:r>
      <w:r w:rsidR="0021694C">
        <w:t>s</w:t>
      </w:r>
      <w:r w:rsidR="000B3C13">
        <w:t xml:space="preserve">ee final row of Table A5.3). </w:t>
      </w:r>
      <w:r w:rsidR="0021694C">
        <w:t xml:space="preserve">For every dollar of Flexible Fund expenditure in Phase 2, </w:t>
      </w:r>
      <w:r w:rsidR="005D04B3">
        <w:t>Strongim Bisnis</w:t>
      </w:r>
      <w:r w:rsidR="0021694C">
        <w:t xml:space="preserve"> generated around 12 cents of net additional income for household and small enterprise beneficiaries.</w:t>
      </w:r>
      <w:r w:rsidR="004515E2">
        <w:t xml:space="preserve"> Tourism and </w:t>
      </w:r>
      <w:r w:rsidR="00DF31B9">
        <w:t>f</w:t>
      </w:r>
      <w:r w:rsidR="004515E2">
        <w:t xml:space="preserve">inancial </w:t>
      </w:r>
      <w:r w:rsidR="00DF31B9">
        <w:t>s</w:t>
      </w:r>
      <w:r w:rsidR="004515E2">
        <w:t xml:space="preserve">ervices performed best against this measure </w:t>
      </w:r>
      <w:r w:rsidR="00432D93">
        <w:t>(18 cents)</w:t>
      </w:r>
      <w:r w:rsidR="004515E2">
        <w:t xml:space="preserve"> </w:t>
      </w:r>
      <w:r w:rsidR="00FF050A">
        <w:t>–</w:t>
      </w:r>
      <w:r w:rsidR="004515E2">
        <w:t xml:space="preserve"> </w:t>
      </w:r>
      <w:r w:rsidR="00FF050A">
        <w:t xml:space="preserve">although the primary beneficiaries recorded </w:t>
      </w:r>
      <w:r w:rsidR="002F75A4">
        <w:t>under</w:t>
      </w:r>
      <w:r w:rsidR="00FF050A">
        <w:t xml:space="preserve"> the latter were Business Advisory </w:t>
      </w:r>
      <w:r w:rsidR="00DF31B9">
        <w:t>Service</w:t>
      </w:r>
      <w:r w:rsidR="00FF050A">
        <w:t xml:space="preserve"> </w:t>
      </w:r>
      <w:r w:rsidR="00DF31B9">
        <w:t>Providers</w:t>
      </w:r>
      <w:r w:rsidR="00FF050A">
        <w:t xml:space="preserve"> (BASPs) employed under the ASIP program.</w:t>
      </w:r>
      <w:r w:rsidR="00F969F0">
        <w:t xml:space="preserve"> Perhaps surprisingly, the </w:t>
      </w:r>
      <w:r w:rsidR="00DF31B9">
        <w:t>c</w:t>
      </w:r>
      <w:r w:rsidR="00F969F0">
        <w:t xml:space="preserve">oconut sector performed least well (5 cents), </w:t>
      </w:r>
      <w:r w:rsidR="003A310D">
        <w:t>presumably</w:t>
      </w:r>
      <w:r w:rsidR="00F969F0">
        <w:t xml:space="preserve"> reflecting </w:t>
      </w:r>
      <w:r w:rsidR="006B6E57">
        <w:t xml:space="preserve">the </w:t>
      </w:r>
      <w:r w:rsidR="007471D8">
        <w:t xml:space="preserve">challenging </w:t>
      </w:r>
      <w:r w:rsidR="009B78F8">
        <w:t>market</w:t>
      </w:r>
      <w:r w:rsidR="007471D8">
        <w:t xml:space="preserve"> environment during this period.</w:t>
      </w:r>
    </w:p>
    <w:p w14:paraId="6633C23C" w14:textId="28D3E336" w:rsidR="00DF31B9" w:rsidRDefault="00DF31B9" w:rsidP="008E7698">
      <w:r>
        <w:t>Aggregate calculations are presented in Table A7.2 of the costs (program and total) per unit of benefit generated for three common indicators. During Phase 2, total spend per ‘household or small enterprise benefitting from additional income increase’ was close to AUD15,000, and it cost AUD17 to generate each dollar of net additional income for those beneficiaries. Total spend per job created was nearly AUD63,000.</w:t>
      </w:r>
    </w:p>
    <w:p w14:paraId="76E66934" w14:textId="78C5DBC5" w:rsidR="0066064C" w:rsidRDefault="008A0D0A" w:rsidP="0066064C">
      <w:r>
        <w:t>M</w:t>
      </w:r>
      <w:r w:rsidR="0013078D">
        <w:t xml:space="preserve">any contextual factors determine performance against these type of indicator, </w:t>
      </w:r>
      <w:r>
        <w:t xml:space="preserve">and </w:t>
      </w:r>
      <w:r w:rsidR="00DF31B9">
        <w:t xml:space="preserve">the </w:t>
      </w:r>
      <w:r w:rsidR="005D04B3">
        <w:t>Strongim Bisnis</w:t>
      </w:r>
      <w:r w:rsidR="0066064C">
        <w:t xml:space="preserve"> 2021 Annual Report cautions against </w:t>
      </w:r>
      <w:r w:rsidR="00DF31B9">
        <w:t xml:space="preserve">reading too much into </w:t>
      </w:r>
      <w:r w:rsidR="0066064C">
        <w:t xml:space="preserve">simplistic </w:t>
      </w:r>
      <w:r w:rsidR="00DF31B9">
        <w:t xml:space="preserve">efficiency </w:t>
      </w:r>
      <w:r w:rsidR="0066064C">
        <w:t xml:space="preserve">measures. It points out that the program’s inclusivity objectives require it to work across a range of partners, many of whom require intensive investment of time and other resources to achieve incremental (and often </w:t>
      </w:r>
      <w:r w:rsidR="00DF31B9">
        <w:t>unquantifiable</w:t>
      </w:r>
      <w:r w:rsidR="0066064C">
        <w:t>) improvements.</w:t>
      </w:r>
      <w:r w:rsidR="00A53109">
        <w:t xml:space="preserve"> Bringing about market system change through MSD-style partnerships </w:t>
      </w:r>
      <w:r w:rsidR="00CD2DED">
        <w:t>– particularly in a thin market like Solomon Islands</w:t>
      </w:r>
      <w:r w:rsidR="00833D4F">
        <w:t>, exacerbated by COVID-19 and civil unrest</w:t>
      </w:r>
      <w:r w:rsidR="00CD2DED">
        <w:t xml:space="preserve"> – </w:t>
      </w:r>
      <w:r w:rsidR="00A53109">
        <w:t xml:space="preserve">will inevitably take longer </w:t>
      </w:r>
      <w:r w:rsidR="00DF31B9">
        <w:t xml:space="preserve">and cost more </w:t>
      </w:r>
      <w:r w:rsidR="00A53109">
        <w:t xml:space="preserve">than </w:t>
      </w:r>
      <w:r w:rsidR="0052387F">
        <w:t xml:space="preserve">other modalities involving </w:t>
      </w:r>
      <w:r w:rsidR="00E97C87">
        <w:t xml:space="preserve">more </w:t>
      </w:r>
      <w:r w:rsidR="0052387F">
        <w:t>direct support</w:t>
      </w:r>
      <w:r w:rsidR="00490A5A">
        <w:t xml:space="preserve">, but </w:t>
      </w:r>
      <w:r w:rsidR="00DF31B9">
        <w:t xml:space="preserve">it </w:t>
      </w:r>
      <w:r w:rsidR="00D77BAA">
        <w:t>should also prove more sustainable.</w:t>
      </w:r>
    </w:p>
    <w:p w14:paraId="2A4070FE" w14:textId="72729503" w:rsidR="00A069D6" w:rsidRDefault="005D04B3" w:rsidP="00AA18B8">
      <w:r>
        <w:t>Strongim Bisnis’</w:t>
      </w:r>
      <w:r w:rsidR="00360F58">
        <w:t xml:space="preserve"> anticipated new VfM framework should help </w:t>
      </w:r>
      <w:r w:rsidR="00DF31B9">
        <w:t xml:space="preserve">the program agree meaningful indicators and </w:t>
      </w:r>
      <w:r w:rsidR="00360F58">
        <w:t xml:space="preserve">ensure that costs and results across different types of interventions and different sectors are </w:t>
      </w:r>
      <w:r w:rsidR="00EF0515">
        <w:t>available to support</w:t>
      </w:r>
      <w:r w:rsidR="00EC5D5F">
        <w:t xml:space="preserve"> both accountability and program decision making</w:t>
      </w:r>
      <w:r w:rsidR="00EF0515">
        <w:t>.</w:t>
      </w:r>
      <w:r w:rsidR="00CD7918">
        <w:t xml:space="preserve"> </w:t>
      </w:r>
      <w:r w:rsidR="000A6F00">
        <w:t xml:space="preserve">There may be good reasons for </w:t>
      </w:r>
      <w:r w:rsidR="00746304">
        <w:t xml:space="preserve">maintaining </w:t>
      </w:r>
      <w:r w:rsidR="004F26CC">
        <w:t xml:space="preserve">support for </w:t>
      </w:r>
      <w:r w:rsidR="00EC403C">
        <w:t xml:space="preserve">certain types of </w:t>
      </w:r>
      <w:r w:rsidR="19B1A3DD">
        <w:t>partners</w:t>
      </w:r>
      <w:r w:rsidR="00346651">
        <w:t xml:space="preserve"> </w:t>
      </w:r>
      <w:r w:rsidR="00532985">
        <w:t xml:space="preserve">or in sectors which may appear less cost-effective, </w:t>
      </w:r>
      <w:r w:rsidR="00DB62AC">
        <w:t xml:space="preserve">and these can be articulated as part of the overall VfM </w:t>
      </w:r>
      <w:r w:rsidR="00CC7796">
        <w:t>reporting</w:t>
      </w:r>
      <w:r w:rsidR="003F4B95">
        <w:t>.</w:t>
      </w:r>
      <w:r w:rsidR="00EC5D5F">
        <w:t xml:space="preserve"> </w:t>
      </w:r>
    </w:p>
    <w:p w14:paraId="61D38E24" w14:textId="1FCE9944" w:rsidR="00C07C21" w:rsidRDefault="00C07C21" w:rsidP="005C5A01">
      <w:pPr>
        <w:pStyle w:val="Heading3"/>
      </w:pPr>
      <w:r>
        <w:t>P</w:t>
      </w:r>
      <w:r w:rsidR="008526F8">
        <w:t>rivate sector engagement (PSE)</w:t>
      </w:r>
      <w:r>
        <w:t xml:space="preserve"> </w:t>
      </w:r>
      <w:r w:rsidR="008526F8">
        <w:t>p</w:t>
      </w:r>
      <w:r>
        <w:t>rinciples</w:t>
      </w:r>
    </w:p>
    <w:p w14:paraId="36A3FA27" w14:textId="78CD1F9C" w:rsidR="00903282" w:rsidRDefault="00F7630B" w:rsidP="00AA18B8">
      <w:r>
        <w:t xml:space="preserve">Related to VfM, </w:t>
      </w:r>
      <w:r w:rsidR="007D0971">
        <w:t>but</w:t>
      </w:r>
      <w:r>
        <w:t xml:space="preserve"> a</w:t>
      </w:r>
      <w:r w:rsidR="003C1DEB">
        <w:t xml:space="preserve">rguably </w:t>
      </w:r>
      <w:r w:rsidR="003735C1">
        <w:t xml:space="preserve">even </w:t>
      </w:r>
      <w:r w:rsidR="003C1DEB">
        <w:t>more important</w:t>
      </w:r>
      <w:r>
        <w:t xml:space="preserve"> for</w:t>
      </w:r>
      <w:r w:rsidR="000271BE">
        <w:t xml:space="preserve"> a program </w:t>
      </w:r>
      <w:r>
        <w:t xml:space="preserve">such as </w:t>
      </w:r>
      <w:r w:rsidR="005D04B3">
        <w:t>Strongim Bisnis</w:t>
      </w:r>
      <w:r>
        <w:t>,</w:t>
      </w:r>
      <w:r w:rsidR="000271BE">
        <w:t xml:space="preserve"> is adherence to </w:t>
      </w:r>
      <w:r w:rsidR="00C64C53">
        <w:t xml:space="preserve">key </w:t>
      </w:r>
      <w:r w:rsidR="008C60EF">
        <w:t xml:space="preserve">DFAT (and other donor) </w:t>
      </w:r>
      <w:r w:rsidR="00C64C53">
        <w:t xml:space="preserve">principles </w:t>
      </w:r>
      <w:r w:rsidR="00591AAA">
        <w:t>for private sector engagement</w:t>
      </w:r>
      <w:r w:rsidR="00903282">
        <w:rPr>
          <w:rStyle w:val="FootnoteReference"/>
        </w:rPr>
        <w:footnoteReference w:id="16"/>
      </w:r>
      <w:r w:rsidR="00564531">
        <w:t>.</w:t>
      </w:r>
      <w:r w:rsidR="00903282">
        <w:t xml:space="preserve"> </w:t>
      </w:r>
      <w:r w:rsidR="004E7F66">
        <w:t xml:space="preserve">DFAT advises that: </w:t>
      </w:r>
    </w:p>
    <w:p w14:paraId="36BA2B2F" w14:textId="4597B0F1" w:rsidR="007853F8" w:rsidRPr="00BA10A1" w:rsidRDefault="00BC5006" w:rsidP="00BC5006">
      <w:pPr>
        <w:spacing w:line="240" w:lineRule="auto"/>
        <w:ind w:left="284"/>
        <w:rPr>
          <w:i/>
          <w:color w:val="1D336D" w:themeColor="background2"/>
          <w:sz w:val="18"/>
          <w:szCs w:val="18"/>
        </w:rPr>
      </w:pPr>
      <w:r>
        <w:rPr>
          <w:i/>
          <w:iCs/>
          <w:color w:val="1D336D" w:themeColor="background2"/>
          <w:sz w:val="18"/>
          <w:szCs w:val="18"/>
        </w:rPr>
        <w:t>‘</w:t>
      </w:r>
      <w:r w:rsidR="004E7F66" w:rsidRPr="00BA10A1">
        <w:rPr>
          <w:i/>
          <w:color w:val="1D336D" w:themeColor="background2"/>
          <w:sz w:val="18"/>
          <w:szCs w:val="18"/>
        </w:rPr>
        <w:t xml:space="preserve">All partnerships, financial and non-financial, should adhere to the principles of minimum concessionality, neutrality and sustainability. Additional principles apply to partnerships that involve the provision of financial or technical support to businesses, such as additionality and value for </w:t>
      </w:r>
      <w:r w:rsidR="004E7F66" w:rsidRPr="00BA10A1">
        <w:rPr>
          <w:i/>
          <w:iCs/>
          <w:color w:val="1D336D" w:themeColor="background2"/>
          <w:sz w:val="18"/>
          <w:szCs w:val="18"/>
        </w:rPr>
        <w:t>money</w:t>
      </w:r>
      <w:r>
        <w:rPr>
          <w:i/>
          <w:iCs/>
          <w:color w:val="1D336D" w:themeColor="background2"/>
          <w:sz w:val="18"/>
          <w:szCs w:val="18"/>
        </w:rPr>
        <w:t>’</w:t>
      </w:r>
      <w:r w:rsidR="004A2B19">
        <w:rPr>
          <w:rStyle w:val="FootnoteReference"/>
          <w:i/>
          <w:iCs/>
          <w:color w:val="1D336D" w:themeColor="background2"/>
          <w:sz w:val="18"/>
          <w:szCs w:val="18"/>
        </w:rPr>
        <w:footnoteReference w:id="17"/>
      </w:r>
    </w:p>
    <w:p w14:paraId="567C4AF9" w14:textId="5495610C" w:rsidR="00AA18B8" w:rsidRPr="00AA18B8" w:rsidRDefault="00BF550A" w:rsidP="00DF31B9">
      <w:pPr>
        <w:spacing w:after="120"/>
      </w:pPr>
      <w:r>
        <w:rPr>
          <w:rFonts w:ascii="Arial" w:hAnsi="Arial" w:cs="Arial"/>
          <w:bCs/>
          <w:szCs w:val="20"/>
        </w:rPr>
        <w:t xml:space="preserve">Further guidance on these principles is collated in Annex </w:t>
      </w:r>
      <w:r w:rsidR="00DF31B9">
        <w:rPr>
          <w:rFonts w:ascii="Arial" w:hAnsi="Arial" w:cs="Arial"/>
          <w:bCs/>
          <w:szCs w:val="20"/>
        </w:rPr>
        <w:t>8</w:t>
      </w:r>
      <w:r>
        <w:rPr>
          <w:rFonts w:ascii="Arial" w:hAnsi="Arial" w:cs="Arial"/>
          <w:bCs/>
          <w:szCs w:val="20"/>
        </w:rPr>
        <w:t xml:space="preserve">. </w:t>
      </w:r>
    </w:p>
    <w:p w14:paraId="539BCD82" w14:textId="6F3F5234" w:rsidR="003F0829" w:rsidRDefault="006B09D7" w:rsidP="003F0829">
      <w:pPr>
        <w:rPr>
          <w:rFonts w:ascii="Arial" w:hAnsi="Arial" w:cs="Arial"/>
          <w:szCs w:val="20"/>
        </w:rPr>
      </w:pPr>
      <w:r>
        <w:rPr>
          <w:rFonts w:ascii="Arial" w:hAnsi="Arial" w:cs="Arial"/>
          <w:szCs w:val="20"/>
        </w:rPr>
        <w:t xml:space="preserve">The Strongim Bisnis Flexible Fund Manual lists </w:t>
      </w:r>
      <w:r w:rsidRPr="00F21B69">
        <w:rPr>
          <w:rFonts w:ascii="Arial" w:hAnsi="Arial" w:cs="Arial"/>
          <w:b/>
          <w:bCs/>
          <w:szCs w:val="20"/>
        </w:rPr>
        <w:t>a</w:t>
      </w:r>
      <w:r w:rsidR="00C73972" w:rsidRPr="00F21B69">
        <w:rPr>
          <w:rFonts w:ascii="Arial" w:hAnsi="Arial" w:cs="Arial"/>
          <w:b/>
          <w:bCs/>
          <w:szCs w:val="20"/>
        </w:rPr>
        <w:t>dditionality</w:t>
      </w:r>
      <w:r w:rsidR="00C73972">
        <w:rPr>
          <w:rFonts w:ascii="Arial" w:hAnsi="Arial" w:cs="Arial"/>
          <w:szCs w:val="20"/>
        </w:rPr>
        <w:t xml:space="preserve"> and </w:t>
      </w:r>
      <w:r w:rsidR="00C73972" w:rsidRPr="00F21B69">
        <w:rPr>
          <w:rFonts w:ascii="Arial" w:hAnsi="Arial" w:cs="Arial"/>
          <w:b/>
          <w:bCs/>
          <w:szCs w:val="20"/>
        </w:rPr>
        <w:t>neutrality</w:t>
      </w:r>
      <w:r w:rsidR="00C73972">
        <w:rPr>
          <w:rFonts w:ascii="Arial" w:hAnsi="Arial" w:cs="Arial"/>
          <w:szCs w:val="20"/>
        </w:rPr>
        <w:t xml:space="preserve"> </w:t>
      </w:r>
      <w:r>
        <w:rPr>
          <w:rFonts w:ascii="Arial" w:hAnsi="Arial" w:cs="Arial"/>
          <w:szCs w:val="20"/>
        </w:rPr>
        <w:t>among</w:t>
      </w:r>
      <w:r w:rsidR="00C73972">
        <w:rPr>
          <w:rFonts w:ascii="Arial" w:hAnsi="Arial" w:cs="Arial"/>
          <w:szCs w:val="20"/>
        </w:rPr>
        <w:t xml:space="preserve"> </w:t>
      </w:r>
      <w:r>
        <w:rPr>
          <w:rFonts w:ascii="Arial" w:hAnsi="Arial" w:cs="Arial"/>
          <w:szCs w:val="20"/>
        </w:rPr>
        <w:t xml:space="preserve">the </w:t>
      </w:r>
      <w:r w:rsidR="00C73972">
        <w:rPr>
          <w:rFonts w:ascii="Arial" w:hAnsi="Arial" w:cs="Arial"/>
          <w:szCs w:val="20"/>
        </w:rPr>
        <w:t xml:space="preserve">operational criteria </w:t>
      </w:r>
      <w:r>
        <w:rPr>
          <w:rFonts w:ascii="Arial" w:hAnsi="Arial" w:cs="Arial"/>
          <w:szCs w:val="20"/>
        </w:rPr>
        <w:t xml:space="preserve">used </w:t>
      </w:r>
      <w:r w:rsidR="00BF7BB8">
        <w:rPr>
          <w:rFonts w:ascii="Arial" w:hAnsi="Arial" w:cs="Arial"/>
          <w:szCs w:val="20"/>
        </w:rPr>
        <w:t xml:space="preserve">to inform </w:t>
      </w:r>
      <w:r w:rsidR="00D90BDE">
        <w:rPr>
          <w:rFonts w:ascii="Arial" w:hAnsi="Arial" w:cs="Arial"/>
          <w:szCs w:val="20"/>
        </w:rPr>
        <w:t xml:space="preserve">the </w:t>
      </w:r>
      <w:r w:rsidR="00BF7BB8">
        <w:rPr>
          <w:rFonts w:ascii="Arial" w:hAnsi="Arial" w:cs="Arial"/>
          <w:szCs w:val="20"/>
        </w:rPr>
        <w:t>choice of interventions to support</w:t>
      </w:r>
      <w:r w:rsidR="00185302">
        <w:rPr>
          <w:rStyle w:val="FootnoteReference"/>
          <w:rFonts w:ascii="Arial" w:hAnsi="Arial" w:cs="Arial"/>
          <w:szCs w:val="20"/>
        </w:rPr>
        <w:footnoteReference w:id="18"/>
      </w:r>
      <w:r w:rsidR="00BF7BB8">
        <w:rPr>
          <w:rFonts w:ascii="Arial" w:hAnsi="Arial" w:cs="Arial"/>
          <w:szCs w:val="20"/>
        </w:rPr>
        <w:t>.</w:t>
      </w:r>
      <w:r w:rsidR="00DF31B9">
        <w:rPr>
          <w:rFonts w:ascii="Arial" w:hAnsi="Arial" w:cs="Arial"/>
          <w:szCs w:val="20"/>
        </w:rPr>
        <w:t xml:space="preserve"> </w:t>
      </w:r>
      <w:r w:rsidR="003F0829">
        <w:rPr>
          <w:rFonts w:ascii="Arial" w:hAnsi="Arial" w:cs="Arial"/>
          <w:szCs w:val="20"/>
        </w:rPr>
        <w:t xml:space="preserve">Feedback from the Evaluation Team’s consultations </w:t>
      </w:r>
      <w:r w:rsidR="00A80CFA">
        <w:rPr>
          <w:rFonts w:ascii="Arial" w:hAnsi="Arial" w:cs="Arial"/>
          <w:szCs w:val="20"/>
        </w:rPr>
        <w:t>leads to the conclusion</w:t>
      </w:r>
      <w:r w:rsidR="003F0829">
        <w:rPr>
          <w:rFonts w:ascii="Arial" w:hAnsi="Arial" w:cs="Arial"/>
          <w:szCs w:val="20"/>
        </w:rPr>
        <w:t xml:space="preserve"> that </w:t>
      </w:r>
      <w:r w:rsidR="002B00E4" w:rsidRPr="00DF31B9">
        <w:rPr>
          <w:rFonts w:ascii="Arial" w:hAnsi="Arial" w:cs="Arial"/>
          <w:b/>
          <w:bCs/>
          <w:szCs w:val="20"/>
        </w:rPr>
        <w:t xml:space="preserve">Strongim Bisnis’ interventions </w:t>
      </w:r>
      <w:r w:rsidR="007B56D5" w:rsidRPr="00DF31B9">
        <w:rPr>
          <w:rFonts w:ascii="Arial" w:hAnsi="Arial" w:cs="Arial"/>
          <w:b/>
          <w:bCs/>
          <w:szCs w:val="20"/>
        </w:rPr>
        <w:t xml:space="preserve">do </w:t>
      </w:r>
      <w:r w:rsidR="00CE31F0" w:rsidRPr="00DF31B9">
        <w:rPr>
          <w:rFonts w:ascii="Arial" w:hAnsi="Arial" w:cs="Arial"/>
          <w:b/>
          <w:bCs/>
          <w:szCs w:val="20"/>
        </w:rPr>
        <w:t>meet the a</w:t>
      </w:r>
      <w:r w:rsidR="003F0829" w:rsidRPr="00DF31B9">
        <w:rPr>
          <w:rFonts w:ascii="Arial" w:hAnsi="Arial" w:cs="Arial"/>
          <w:b/>
          <w:bCs/>
          <w:szCs w:val="20"/>
        </w:rPr>
        <w:t>dditionality requirement</w:t>
      </w:r>
      <w:r w:rsidR="00CE31F0">
        <w:rPr>
          <w:rFonts w:ascii="Arial" w:hAnsi="Arial" w:cs="Arial"/>
          <w:szCs w:val="20"/>
        </w:rPr>
        <w:t>.</w:t>
      </w:r>
      <w:r w:rsidR="003F0829">
        <w:rPr>
          <w:rFonts w:ascii="Arial" w:hAnsi="Arial" w:cs="Arial"/>
          <w:szCs w:val="20"/>
        </w:rPr>
        <w:t xml:space="preserve"> </w:t>
      </w:r>
      <w:r w:rsidR="00CE31F0">
        <w:rPr>
          <w:rFonts w:ascii="Arial" w:hAnsi="Arial" w:cs="Arial"/>
          <w:szCs w:val="20"/>
        </w:rPr>
        <w:t>It does appear that in most if not all cases, the partners would not have been able to fund the interventions themselves</w:t>
      </w:r>
      <w:r w:rsidR="00CD0445">
        <w:rPr>
          <w:rFonts w:ascii="Arial" w:hAnsi="Arial" w:cs="Arial"/>
          <w:szCs w:val="20"/>
        </w:rPr>
        <w:t>, or at least not within the near future</w:t>
      </w:r>
      <w:r w:rsidR="00CE31F0">
        <w:rPr>
          <w:rFonts w:ascii="Arial" w:hAnsi="Arial" w:cs="Arial"/>
          <w:szCs w:val="20"/>
        </w:rPr>
        <w:t>.</w:t>
      </w:r>
    </w:p>
    <w:p w14:paraId="1F4AAAD2" w14:textId="7D47E964" w:rsidR="00990E8D" w:rsidRDefault="006607DD" w:rsidP="00990E8D">
      <w:pPr>
        <w:rPr>
          <w:rFonts w:ascii="Arial" w:hAnsi="Arial" w:cs="Arial"/>
          <w:szCs w:val="20"/>
        </w:rPr>
      </w:pPr>
      <w:r>
        <w:t xml:space="preserve">The </w:t>
      </w:r>
      <w:r w:rsidRPr="006607DD">
        <w:rPr>
          <w:b/>
          <w:bCs/>
        </w:rPr>
        <w:t>minimal concessionality</w:t>
      </w:r>
      <w:r>
        <w:t xml:space="preserve"> principle is more difficult to assess</w:t>
      </w:r>
      <w:r w:rsidR="009A635A">
        <w:t xml:space="preserve">, partly due to a lack of </w:t>
      </w:r>
      <w:r w:rsidR="001677A5">
        <w:t>clear</w:t>
      </w:r>
      <w:r w:rsidR="009A635A">
        <w:t xml:space="preserve"> expectations or requirements</w:t>
      </w:r>
      <w:r w:rsidR="00EF217E">
        <w:t xml:space="preserve"> around cost-sharing</w:t>
      </w:r>
      <w:r>
        <w:t xml:space="preserve">. </w:t>
      </w:r>
      <w:r w:rsidR="005D04B3">
        <w:rPr>
          <w:rFonts w:ascii="Arial" w:hAnsi="Arial" w:cs="Arial"/>
          <w:szCs w:val="20"/>
        </w:rPr>
        <w:t>Strongim Bisnis</w:t>
      </w:r>
      <w:r w:rsidR="002904E8">
        <w:rPr>
          <w:rFonts w:ascii="Arial" w:hAnsi="Arial" w:cs="Arial"/>
          <w:szCs w:val="20"/>
        </w:rPr>
        <w:t xml:space="preserve"> staff indicated the norm (at least in the agriculture sector) is around 20% </w:t>
      </w:r>
      <w:r w:rsidR="0017258C">
        <w:rPr>
          <w:rFonts w:ascii="Arial" w:hAnsi="Arial" w:cs="Arial"/>
          <w:szCs w:val="20"/>
        </w:rPr>
        <w:t xml:space="preserve">partner </w:t>
      </w:r>
      <w:r w:rsidR="002904E8">
        <w:rPr>
          <w:rFonts w:ascii="Arial" w:hAnsi="Arial" w:cs="Arial"/>
          <w:szCs w:val="20"/>
        </w:rPr>
        <w:t xml:space="preserve">co-investment. </w:t>
      </w:r>
      <w:r w:rsidR="0074177C">
        <w:t>In effect,</w:t>
      </w:r>
      <w:r>
        <w:t xml:space="preserve"> </w:t>
      </w:r>
      <w:r w:rsidR="005D04B3">
        <w:rPr>
          <w:rFonts w:ascii="Arial" w:hAnsi="Arial" w:cs="Arial"/>
          <w:szCs w:val="20"/>
        </w:rPr>
        <w:t>Strongim Bisnis</w:t>
      </w:r>
      <w:r w:rsidR="00E25A53" w:rsidRPr="00E25A53">
        <w:rPr>
          <w:rFonts w:ascii="Arial" w:hAnsi="Arial" w:cs="Arial"/>
          <w:szCs w:val="20"/>
        </w:rPr>
        <w:t xml:space="preserve"> has adopted quite a flexible approach to co-investment, </w:t>
      </w:r>
      <w:r w:rsidR="00821C5D">
        <w:rPr>
          <w:rFonts w:ascii="Arial" w:hAnsi="Arial" w:cs="Arial"/>
          <w:szCs w:val="20"/>
        </w:rPr>
        <w:t>often relying heavily on</w:t>
      </w:r>
      <w:r w:rsidR="00733CC4">
        <w:rPr>
          <w:rFonts w:ascii="Arial" w:hAnsi="Arial" w:cs="Arial"/>
          <w:szCs w:val="20"/>
        </w:rPr>
        <w:t xml:space="preserve"> the imputed value of</w:t>
      </w:r>
      <w:r w:rsidR="00E25A53" w:rsidRPr="00E25A53">
        <w:rPr>
          <w:rFonts w:ascii="Arial" w:hAnsi="Arial" w:cs="Arial"/>
          <w:szCs w:val="20"/>
        </w:rPr>
        <w:t xml:space="preserve"> in-kind contributions </w:t>
      </w:r>
      <w:r w:rsidR="00D01411">
        <w:rPr>
          <w:rFonts w:ascii="Arial" w:hAnsi="Arial" w:cs="Arial"/>
          <w:szCs w:val="20"/>
        </w:rPr>
        <w:t>rather than insisting on significant</w:t>
      </w:r>
      <w:r w:rsidR="00E25A53" w:rsidRPr="00E25A53">
        <w:rPr>
          <w:rFonts w:ascii="Arial" w:hAnsi="Arial" w:cs="Arial"/>
          <w:szCs w:val="20"/>
        </w:rPr>
        <w:t xml:space="preserve"> financial contributions</w:t>
      </w:r>
      <w:r w:rsidR="00733CC4">
        <w:rPr>
          <w:rFonts w:ascii="Arial" w:hAnsi="Arial" w:cs="Arial"/>
          <w:szCs w:val="20"/>
        </w:rPr>
        <w:t>.</w:t>
      </w:r>
      <w:r w:rsidR="00990E8D">
        <w:rPr>
          <w:rFonts w:ascii="Arial" w:hAnsi="Arial" w:cs="Arial"/>
          <w:szCs w:val="20"/>
        </w:rPr>
        <w:t xml:space="preserve"> </w:t>
      </w:r>
      <w:r w:rsidR="00990E8D" w:rsidRPr="00BE6438">
        <w:rPr>
          <w:rFonts w:ascii="Arial" w:hAnsi="Arial" w:cs="Arial"/>
          <w:szCs w:val="20"/>
        </w:rPr>
        <w:t xml:space="preserve">The case-by-case approach </w:t>
      </w:r>
      <w:r w:rsidR="00695373">
        <w:rPr>
          <w:rFonts w:ascii="Arial" w:hAnsi="Arial" w:cs="Arial"/>
          <w:szCs w:val="20"/>
        </w:rPr>
        <w:t xml:space="preserve">has </w:t>
      </w:r>
      <w:r w:rsidR="00990E8D" w:rsidRPr="00BE6438">
        <w:rPr>
          <w:rFonts w:ascii="Arial" w:hAnsi="Arial" w:cs="Arial"/>
          <w:szCs w:val="20"/>
        </w:rPr>
        <w:t>allow</w:t>
      </w:r>
      <w:r w:rsidR="00695373">
        <w:rPr>
          <w:rFonts w:ascii="Arial" w:hAnsi="Arial" w:cs="Arial"/>
          <w:szCs w:val="20"/>
        </w:rPr>
        <w:t>ed</w:t>
      </w:r>
      <w:r w:rsidR="00990E8D" w:rsidRPr="00BE6438">
        <w:rPr>
          <w:rFonts w:ascii="Arial" w:hAnsi="Arial" w:cs="Arial"/>
          <w:szCs w:val="20"/>
        </w:rPr>
        <w:t xml:space="preserve"> flexibility to support partners with limited financial resources. On the other hand, </w:t>
      </w:r>
      <w:r w:rsidR="003D2F5E">
        <w:rPr>
          <w:rFonts w:ascii="Arial" w:hAnsi="Arial" w:cs="Arial"/>
          <w:szCs w:val="20"/>
        </w:rPr>
        <w:t xml:space="preserve">it has also enabled </w:t>
      </w:r>
      <w:r w:rsidR="002D017F">
        <w:rPr>
          <w:rFonts w:ascii="Arial" w:hAnsi="Arial" w:cs="Arial"/>
          <w:szCs w:val="20"/>
        </w:rPr>
        <w:t xml:space="preserve">at least </w:t>
      </w:r>
      <w:r w:rsidR="003D2F5E">
        <w:rPr>
          <w:rFonts w:ascii="Arial" w:hAnsi="Arial" w:cs="Arial"/>
          <w:szCs w:val="20"/>
        </w:rPr>
        <w:t>one</w:t>
      </w:r>
      <w:r w:rsidR="00695373">
        <w:rPr>
          <w:rFonts w:ascii="Arial" w:hAnsi="Arial" w:cs="Arial"/>
          <w:szCs w:val="20"/>
        </w:rPr>
        <w:t xml:space="preserve"> partnership</w:t>
      </w:r>
      <w:r w:rsidR="003D2F5E">
        <w:rPr>
          <w:rFonts w:ascii="Arial" w:hAnsi="Arial" w:cs="Arial"/>
          <w:szCs w:val="20"/>
        </w:rPr>
        <w:t xml:space="preserve"> that</w:t>
      </w:r>
      <w:r w:rsidR="00695373">
        <w:rPr>
          <w:rFonts w:ascii="Arial" w:hAnsi="Arial" w:cs="Arial"/>
          <w:szCs w:val="20"/>
        </w:rPr>
        <w:t xml:space="preserve"> appear</w:t>
      </w:r>
      <w:r w:rsidR="003D2F5E">
        <w:rPr>
          <w:rFonts w:ascii="Arial" w:hAnsi="Arial" w:cs="Arial"/>
          <w:szCs w:val="20"/>
        </w:rPr>
        <w:t>s</w:t>
      </w:r>
      <w:r w:rsidR="00695373">
        <w:rPr>
          <w:rFonts w:ascii="Arial" w:hAnsi="Arial" w:cs="Arial"/>
          <w:szCs w:val="20"/>
        </w:rPr>
        <w:t xml:space="preserve"> more akin to</w:t>
      </w:r>
      <w:r w:rsidR="00990E8D" w:rsidRPr="00BE6438">
        <w:rPr>
          <w:rFonts w:ascii="Arial" w:hAnsi="Arial" w:cs="Arial"/>
          <w:szCs w:val="20"/>
        </w:rPr>
        <w:t xml:space="preserve"> a </w:t>
      </w:r>
      <w:r w:rsidR="00A0700E">
        <w:rPr>
          <w:rFonts w:ascii="Arial" w:hAnsi="Arial" w:cs="Arial"/>
          <w:szCs w:val="20"/>
        </w:rPr>
        <w:t xml:space="preserve">simple </w:t>
      </w:r>
      <w:r w:rsidR="00990E8D" w:rsidRPr="00BE6438">
        <w:rPr>
          <w:rFonts w:ascii="Arial" w:hAnsi="Arial" w:cs="Arial"/>
          <w:szCs w:val="20"/>
        </w:rPr>
        <w:t>grant arrangement</w:t>
      </w:r>
      <w:r w:rsidR="00695373">
        <w:rPr>
          <w:rFonts w:ascii="Arial" w:hAnsi="Arial" w:cs="Arial"/>
          <w:szCs w:val="20"/>
        </w:rPr>
        <w:t>,</w:t>
      </w:r>
      <w:r w:rsidR="00990E8D" w:rsidRPr="00BE6438">
        <w:rPr>
          <w:rFonts w:ascii="Arial" w:hAnsi="Arial" w:cs="Arial"/>
          <w:szCs w:val="20"/>
        </w:rPr>
        <w:t xml:space="preserve"> rather than </w:t>
      </w:r>
      <w:r w:rsidR="00A0700E">
        <w:rPr>
          <w:rFonts w:ascii="Arial" w:hAnsi="Arial" w:cs="Arial"/>
          <w:szCs w:val="20"/>
        </w:rPr>
        <w:t xml:space="preserve">aiming to </w:t>
      </w:r>
      <w:r w:rsidR="00990E8D" w:rsidRPr="00BE6438">
        <w:rPr>
          <w:rFonts w:ascii="Arial" w:hAnsi="Arial" w:cs="Arial"/>
          <w:szCs w:val="20"/>
        </w:rPr>
        <w:t>leverag</w:t>
      </w:r>
      <w:r w:rsidR="00A0700E">
        <w:rPr>
          <w:rFonts w:ascii="Arial" w:hAnsi="Arial" w:cs="Arial"/>
          <w:szCs w:val="20"/>
        </w:rPr>
        <w:t>e</w:t>
      </w:r>
      <w:r w:rsidR="00990E8D" w:rsidRPr="00BE6438">
        <w:rPr>
          <w:rFonts w:ascii="Arial" w:hAnsi="Arial" w:cs="Arial"/>
          <w:szCs w:val="20"/>
        </w:rPr>
        <w:t xml:space="preserve"> private sector finance</w:t>
      </w:r>
      <w:r w:rsidR="002D017F">
        <w:rPr>
          <w:rFonts w:ascii="Arial" w:hAnsi="Arial" w:cs="Arial"/>
          <w:szCs w:val="20"/>
        </w:rPr>
        <w:t xml:space="preserve"> and generate self-sustaining change</w:t>
      </w:r>
      <w:r w:rsidR="003D2F5E">
        <w:rPr>
          <w:rStyle w:val="FootnoteReference"/>
          <w:rFonts w:ascii="Arial" w:hAnsi="Arial" w:cs="Arial"/>
          <w:szCs w:val="20"/>
        </w:rPr>
        <w:footnoteReference w:id="19"/>
      </w:r>
      <w:r w:rsidR="002D017F">
        <w:rPr>
          <w:rFonts w:ascii="Arial" w:hAnsi="Arial" w:cs="Arial"/>
          <w:szCs w:val="20"/>
        </w:rPr>
        <w:t>.</w:t>
      </w:r>
      <w:r w:rsidR="00E91D86">
        <w:rPr>
          <w:rFonts w:ascii="Arial" w:hAnsi="Arial" w:cs="Arial"/>
          <w:szCs w:val="20"/>
        </w:rPr>
        <w:t xml:space="preserve"> </w:t>
      </w:r>
      <w:r w:rsidR="00DF31B9">
        <w:rPr>
          <w:rFonts w:ascii="Arial" w:hAnsi="Arial" w:cs="Arial"/>
          <w:szCs w:val="20"/>
        </w:rPr>
        <w:t>R</w:t>
      </w:r>
      <w:r w:rsidR="00760DFC">
        <w:rPr>
          <w:rFonts w:ascii="Arial" w:hAnsi="Arial" w:cs="Arial"/>
          <w:szCs w:val="20"/>
        </w:rPr>
        <w:t xml:space="preserve">elated </w:t>
      </w:r>
      <w:r w:rsidR="00760DFC" w:rsidRPr="00760DFC">
        <w:rPr>
          <w:rFonts w:ascii="Arial" w:hAnsi="Arial" w:cs="Arial"/>
          <w:b/>
          <w:bCs/>
          <w:szCs w:val="20"/>
        </w:rPr>
        <w:t>transparency</w:t>
      </w:r>
      <w:r w:rsidR="00760DFC">
        <w:rPr>
          <w:rFonts w:ascii="Arial" w:hAnsi="Arial" w:cs="Arial"/>
          <w:szCs w:val="20"/>
        </w:rPr>
        <w:t xml:space="preserve"> issue</w:t>
      </w:r>
      <w:r w:rsidR="00DF31B9">
        <w:rPr>
          <w:rFonts w:ascii="Arial" w:hAnsi="Arial" w:cs="Arial"/>
          <w:szCs w:val="20"/>
        </w:rPr>
        <w:t>s</w:t>
      </w:r>
      <w:r w:rsidR="00760DFC">
        <w:rPr>
          <w:rFonts w:ascii="Arial" w:hAnsi="Arial" w:cs="Arial"/>
          <w:szCs w:val="20"/>
        </w:rPr>
        <w:t xml:space="preserve"> </w:t>
      </w:r>
      <w:r w:rsidR="00DF31B9">
        <w:rPr>
          <w:rFonts w:ascii="Arial" w:hAnsi="Arial" w:cs="Arial"/>
          <w:szCs w:val="20"/>
        </w:rPr>
        <w:t>are</w:t>
      </w:r>
      <w:r w:rsidR="00760DFC">
        <w:rPr>
          <w:rFonts w:ascii="Arial" w:hAnsi="Arial" w:cs="Arial"/>
          <w:szCs w:val="20"/>
        </w:rPr>
        <w:t xml:space="preserve"> discussed further under KEQ3 below.</w:t>
      </w:r>
    </w:p>
    <w:p w14:paraId="10C49DDA" w14:textId="4218ACFA" w:rsidR="00990E8D" w:rsidRDefault="00990E8D" w:rsidP="00990E8D">
      <w:pPr>
        <w:rPr>
          <w:rFonts w:ascii="Arial" w:hAnsi="Arial" w:cs="Arial"/>
          <w:szCs w:val="20"/>
        </w:rPr>
      </w:pPr>
      <w:r>
        <w:rPr>
          <w:rFonts w:ascii="Arial" w:hAnsi="Arial" w:cs="Arial"/>
          <w:szCs w:val="20"/>
        </w:rPr>
        <w:t xml:space="preserve">In </w:t>
      </w:r>
      <w:r w:rsidR="00B14F48">
        <w:rPr>
          <w:rFonts w:ascii="Arial" w:hAnsi="Arial" w:cs="Arial"/>
          <w:szCs w:val="20"/>
        </w:rPr>
        <w:t>general</w:t>
      </w:r>
      <w:r>
        <w:rPr>
          <w:rFonts w:ascii="Arial" w:hAnsi="Arial" w:cs="Arial"/>
          <w:szCs w:val="20"/>
        </w:rPr>
        <w:t xml:space="preserve"> in</w:t>
      </w:r>
      <w:r w:rsidR="00B14F48">
        <w:rPr>
          <w:rFonts w:ascii="Arial" w:hAnsi="Arial" w:cs="Arial"/>
          <w:szCs w:val="20"/>
        </w:rPr>
        <w:t xml:space="preserve"> MSD programs, the f</w:t>
      </w:r>
      <w:r>
        <w:rPr>
          <w:rFonts w:ascii="Arial" w:hAnsi="Arial" w:cs="Arial"/>
          <w:szCs w:val="20"/>
        </w:rPr>
        <w:t>unding of buildings</w:t>
      </w:r>
      <w:r w:rsidR="00B14F48">
        <w:rPr>
          <w:rFonts w:ascii="Arial" w:hAnsi="Arial" w:cs="Arial"/>
          <w:szCs w:val="20"/>
        </w:rPr>
        <w:t xml:space="preserve"> and</w:t>
      </w:r>
      <w:r>
        <w:rPr>
          <w:rFonts w:ascii="Arial" w:hAnsi="Arial" w:cs="Arial"/>
          <w:szCs w:val="20"/>
        </w:rPr>
        <w:t xml:space="preserve"> </w:t>
      </w:r>
      <w:r w:rsidR="00B14F48">
        <w:rPr>
          <w:rFonts w:ascii="Arial" w:hAnsi="Arial" w:cs="Arial"/>
          <w:szCs w:val="20"/>
        </w:rPr>
        <w:t>large</w:t>
      </w:r>
      <w:r>
        <w:rPr>
          <w:rFonts w:ascii="Arial" w:hAnsi="Arial" w:cs="Arial"/>
          <w:szCs w:val="20"/>
        </w:rPr>
        <w:t xml:space="preserve"> equipment is </w:t>
      </w:r>
      <w:r w:rsidR="00B14F48">
        <w:rPr>
          <w:rFonts w:ascii="Arial" w:hAnsi="Arial" w:cs="Arial"/>
          <w:szCs w:val="20"/>
        </w:rPr>
        <w:t>considered best avoided,</w:t>
      </w:r>
      <w:r>
        <w:rPr>
          <w:rFonts w:ascii="Arial" w:hAnsi="Arial" w:cs="Arial"/>
          <w:szCs w:val="20"/>
        </w:rPr>
        <w:t xml:space="preserve"> as it can give partners an </w:t>
      </w:r>
      <w:r w:rsidRPr="0090482F">
        <w:rPr>
          <w:rFonts w:ascii="Arial" w:hAnsi="Arial" w:cs="Arial"/>
          <w:b/>
          <w:szCs w:val="20"/>
        </w:rPr>
        <w:t>unfair</w:t>
      </w:r>
      <w:r>
        <w:rPr>
          <w:rFonts w:ascii="Arial" w:hAnsi="Arial" w:cs="Arial"/>
          <w:szCs w:val="20"/>
        </w:rPr>
        <w:t xml:space="preserve"> </w:t>
      </w:r>
      <w:r w:rsidRPr="0090482F">
        <w:rPr>
          <w:rFonts w:ascii="Arial" w:hAnsi="Arial" w:cs="Arial"/>
          <w:b/>
          <w:szCs w:val="20"/>
        </w:rPr>
        <w:t>advantage</w:t>
      </w:r>
      <w:r>
        <w:rPr>
          <w:rFonts w:ascii="Arial" w:hAnsi="Arial" w:cs="Arial"/>
          <w:szCs w:val="20"/>
        </w:rPr>
        <w:t xml:space="preserve"> over non-partners (reduc</w:t>
      </w:r>
      <w:r w:rsidR="00B14F48">
        <w:rPr>
          <w:rFonts w:ascii="Arial" w:hAnsi="Arial" w:cs="Arial"/>
          <w:szCs w:val="20"/>
        </w:rPr>
        <w:t>ing</w:t>
      </w:r>
      <w:r>
        <w:rPr>
          <w:rFonts w:ascii="Arial" w:hAnsi="Arial" w:cs="Arial"/>
          <w:szCs w:val="20"/>
        </w:rPr>
        <w:t xml:space="preserve"> competition, distort</w:t>
      </w:r>
      <w:r w:rsidR="00B14F48">
        <w:rPr>
          <w:rFonts w:ascii="Arial" w:hAnsi="Arial" w:cs="Arial"/>
          <w:szCs w:val="20"/>
        </w:rPr>
        <w:t>ing</w:t>
      </w:r>
      <w:r>
        <w:rPr>
          <w:rFonts w:ascii="Arial" w:hAnsi="Arial" w:cs="Arial"/>
          <w:szCs w:val="20"/>
        </w:rPr>
        <w:t xml:space="preserve"> markets). In the context of thin markets with few players, this is arguably less of an issue </w:t>
      </w:r>
      <w:r w:rsidR="00B14F48">
        <w:rPr>
          <w:rFonts w:ascii="Arial" w:hAnsi="Arial" w:cs="Arial"/>
          <w:szCs w:val="20"/>
        </w:rPr>
        <w:t>– for example</w:t>
      </w:r>
      <w:r>
        <w:rPr>
          <w:rFonts w:ascii="Arial" w:hAnsi="Arial" w:cs="Arial"/>
          <w:szCs w:val="20"/>
        </w:rPr>
        <w:t xml:space="preserve"> KFPL is the only major plantation timber producer</w:t>
      </w:r>
      <w:r w:rsidR="001B7753">
        <w:rPr>
          <w:rFonts w:ascii="Arial" w:hAnsi="Arial" w:cs="Arial"/>
          <w:szCs w:val="20"/>
        </w:rPr>
        <w:t xml:space="preserve">, and </w:t>
      </w:r>
      <w:r w:rsidR="005D04B3">
        <w:rPr>
          <w:rFonts w:ascii="Arial" w:hAnsi="Arial" w:cs="Arial"/>
          <w:szCs w:val="20"/>
        </w:rPr>
        <w:t>Strongim Bisnis</w:t>
      </w:r>
      <w:r w:rsidR="001B7753">
        <w:rPr>
          <w:rFonts w:ascii="Arial" w:hAnsi="Arial" w:cs="Arial"/>
          <w:szCs w:val="20"/>
        </w:rPr>
        <w:t xml:space="preserve"> supports virtually all significant players in the cocoa and coconut sectors</w:t>
      </w:r>
      <w:r>
        <w:rPr>
          <w:rFonts w:ascii="Arial" w:hAnsi="Arial" w:cs="Arial"/>
          <w:szCs w:val="20"/>
        </w:rPr>
        <w:t xml:space="preserve">. </w:t>
      </w:r>
      <w:r w:rsidR="00B14F48">
        <w:rPr>
          <w:rFonts w:ascii="Arial" w:hAnsi="Arial" w:cs="Arial"/>
          <w:szCs w:val="20"/>
        </w:rPr>
        <w:t xml:space="preserve">The practice is </w:t>
      </w:r>
      <w:r>
        <w:rPr>
          <w:rFonts w:ascii="Arial" w:hAnsi="Arial" w:cs="Arial"/>
          <w:szCs w:val="20"/>
        </w:rPr>
        <w:t xml:space="preserve">potentially </w:t>
      </w:r>
      <w:r w:rsidR="00B14F48">
        <w:rPr>
          <w:rFonts w:ascii="Arial" w:hAnsi="Arial" w:cs="Arial"/>
          <w:szCs w:val="20"/>
        </w:rPr>
        <w:t xml:space="preserve">more </w:t>
      </w:r>
      <w:r>
        <w:rPr>
          <w:rFonts w:ascii="Arial" w:hAnsi="Arial" w:cs="Arial"/>
          <w:szCs w:val="20"/>
        </w:rPr>
        <w:t xml:space="preserve">an issue in </w:t>
      </w:r>
      <w:r w:rsidR="00B14F48">
        <w:rPr>
          <w:rFonts w:ascii="Arial" w:hAnsi="Arial" w:cs="Arial"/>
          <w:szCs w:val="20"/>
        </w:rPr>
        <w:t>a broader sector such as Guadalcanal</w:t>
      </w:r>
      <w:r>
        <w:rPr>
          <w:rFonts w:ascii="Arial" w:hAnsi="Arial" w:cs="Arial"/>
          <w:szCs w:val="20"/>
        </w:rPr>
        <w:t xml:space="preserve"> Horticulture</w:t>
      </w:r>
      <w:r w:rsidR="00B14F48">
        <w:rPr>
          <w:rFonts w:ascii="Arial" w:hAnsi="Arial" w:cs="Arial"/>
          <w:szCs w:val="20"/>
        </w:rPr>
        <w:t>,</w:t>
      </w:r>
      <w:r>
        <w:rPr>
          <w:rFonts w:ascii="Arial" w:hAnsi="Arial" w:cs="Arial"/>
          <w:szCs w:val="20"/>
        </w:rPr>
        <w:t xml:space="preserve"> where there are more mid-size farmers interested in expanding operations.</w:t>
      </w:r>
      <w:r w:rsidR="007D7D72">
        <w:rPr>
          <w:rFonts w:ascii="Arial" w:hAnsi="Arial" w:cs="Arial"/>
          <w:szCs w:val="20"/>
        </w:rPr>
        <w:t xml:space="preserve"> </w:t>
      </w:r>
    </w:p>
    <w:p w14:paraId="3C603C7D" w14:textId="739D566F" w:rsidR="00F978DC" w:rsidRDefault="001E1FCE" w:rsidP="00366B59">
      <w:pPr>
        <w:pStyle w:val="Heading1"/>
      </w:pPr>
      <w:bookmarkStart w:id="18" w:name="_Toc131170445"/>
      <w:r>
        <w:t xml:space="preserve">KEQ2: </w:t>
      </w:r>
      <w:r w:rsidRPr="00FC04C1">
        <w:rPr>
          <w:rStyle w:val="normaltextrun"/>
        </w:rPr>
        <w:t>To what extent did Strongim Bisnis deliver outcomes for women, youth and people living with disabilities?</w:t>
      </w:r>
      <w:bookmarkEnd w:id="18"/>
    </w:p>
    <w:p w14:paraId="0ED385A4" w14:textId="520CAC5A" w:rsidR="008F4DA1" w:rsidRDefault="008F4DA1" w:rsidP="008F4DA1">
      <w:r>
        <w:rPr>
          <w:b/>
          <w:bCs/>
        </w:rPr>
        <w:t xml:space="preserve">The Strongim Bisnis Gender and Inclusion Action Plan (2021) sets out a clear strategy for applying a twin track approach </w:t>
      </w:r>
      <w:r>
        <w:t xml:space="preserve">based on private sector engagement (PSE) and gender equality principles. </w:t>
      </w:r>
      <w:r w:rsidR="009B744C">
        <w:t>It</w:t>
      </w:r>
      <w:r w:rsidR="0028527A">
        <w:t xml:space="preserve"> details how women, youth and people living with a disability can be identified and functionally mainstreamed across the value chain in target sectors. </w:t>
      </w:r>
      <w:r>
        <w:t xml:space="preserve">This approach was skilfully guided by the program’s WEE/SI unit whose deep local knowledge assisted in the identification of potential partners and opportunities. The twin track approach created an enabling environment where change could occur, increasing the reach of the program over time to targeted groups. </w:t>
      </w:r>
      <w:r w:rsidR="00612A33">
        <w:t>Strongim Bisnis was rated five out of six for gender equality on the 2021 IMR.</w:t>
      </w:r>
    </w:p>
    <w:p w14:paraId="47E76BA7" w14:textId="68B50DF8" w:rsidR="00512AF7" w:rsidRDefault="00512AF7" w:rsidP="00512AF7">
      <w:r>
        <w:rPr>
          <w:b/>
          <w:bCs/>
        </w:rPr>
        <w:t xml:space="preserve">Strongim Bisnis Phase </w:t>
      </w:r>
      <w:r w:rsidR="008731FE">
        <w:rPr>
          <w:b/>
          <w:bCs/>
        </w:rPr>
        <w:t>2</w:t>
      </w:r>
      <w:r>
        <w:rPr>
          <w:b/>
          <w:bCs/>
        </w:rPr>
        <w:t xml:space="preserve"> made notable progress in supporting the economic empowerment and social inclusion of women and youth </w:t>
      </w:r>
      <w:r w:rsidRPr="00FB4BDA">
        <w:t xml:space="preserve">across </w:t>
      </w:r>
      <w:r>
        <w:t>several</w:t>
      </w:r>
      <w:r w:rsidRPr="00FB4BDA">
        <w:t xml:space="preserve"> indicators</w:t>
      </w:r>
      <w:r>
        <w:t xml:space="preserve">, as outlined in the discussion for KEQ1 </w:t>
      </w:r>
      <w:r w:rsidR="003555CB">
        <w:t>(EOPO3)</w:t>
      </w:r>
      <w:r w:rsidR="00755C36">
        <w:t xml:space="preserve"> and illustrated in Box 2</w:t>
      </w:r>
      <w:r>
        <w:t xml:space="preserve">. The program’s efforts to include women, youth and people with disabilities are recognised </w:t>
      </w:r>
      <w:r w:rsidR="003875E8">
        <w:t xml:space="preserve">and rated highly </w:t>
      </w:r>
      <w:r>
        <w:t>by partners</w:t>
      </w:r>
      <w:r w:rsidR="003875E8">
        <w:rPr>
          <w:rStyle w:val="FootnoteReference"/>
        </w:rPr>
        <w:footnoteReference w:id="20"/>
      </w:r>
      <w:r w:rsidR="003E76BA">
        <w:t xml:space="preserve">, </w:t>
      </w:r>
      <w:r>
        <w:t xml:space="preserve">and have prompted businesses to explore ways of increasing participation of these groups within their business activities. </w:t>
      </w:r>
    </w:p>
    <w:p w14:paraId="509B264B" w14:textId="75B0B719" w:rsidR="0070307D" w:rsidRPr="0070307D" w:rsidRDefault="0070307D">
      <w:pPr>
        <w:pBdr>
          <w:top w:val="single" w:sz="4" w:space="1" w:color="auto"/>
          <w:left w:val="single" w:sz="4" w:space="4" w:color="auto"/>
          <w:bottom w:val="single" w:sz="4" w:space="1" w:color="auto"/>
          <w:right w:val="single" w:sz="4" w:space="4" w:color="auto"/>
        </w:pBdr>
        <w:rPr>
          <w:b/>
          <w:bCs/>
          <w:i/>
          <w:color w:val="1D336D" w:themeColor="background2"/>
          <w:sz w:val="18"/>
          <w:szCs w:val="18"/>
        </w:rPr>
      </w:pPr>
      <w:r w:rsidRPr="0070307D">
        <w:rPr>
          <w:b/>
          <w:bCs/>
          <w:i/>
          <w:color w:val="1D336D" w:themeColor="background2"/>
          <w:sz w:val="18"/>
          <w:szCs w:val="18"/>
        </w:rPr>
        <w:t xml:space="preserve">Box 2: </w:t>
      </w:r>
      <w:r w:rsidR="008F29BD">
        <w:rPr>
          <w:b/>
          <w:bCs/>
          <w:i/>
          <w:color w:val="1D336D" w:themeColor="background2"/>
          <w:sz w:val="18"/>
          <w:szCs w:val="18"/>
        </w:rPr>
        <w:t>WEE/SI c</w:t>
      </w:r>
      <w:r w:rsidR="00F22C2F" w:rsidRPr="0070307D">
        <w:rPr>
          <w:b/>
          <w:bCs/>
          <w:i/>
          <w:color w:val="1D336D" w:themeColor="background2"/>
          <w:sz w:val="18"/>
          <w:szCs w:val="18"/>
        </w:rPr>
        <w:t xml:space="preserve">ase </w:t>
      </w:r>
      <w:r w:rsidR="008B56CD" w:rsidRPr="0070307D">
        <w:rPr>
          <w:b/>
          <w:bCs/>
          <w:i/>
          <w:color w:val="1D336D" w:themeColor="background2"/>
          <w:sz w:val="18"/>
          <w:szCs w:val="18"/>
        </w:rPr>
        <w:t>stud</w:t>
      </w:r>
      <w:r w:rsidRPr="0070307D">
        <w:rPr>
          <w:b/>
          <w:bCs/>
          <w:i/>
          <w:color w:val="1D336D" w:themeColor="background2"/>
          <w:sz w:val="18"/>
          <w:szCs w:val="18"/>
        </w:rPr>
        <w:t>ies</w:t>
      </w:r>
      <w:r w:rsidR="008B56CD" w:rsidRPr="0070307D">
        <w:rPr>
          <w:b/>
          <w:bCs/>
          <w:i/>
          <w:color w:val="1D336D" w:themeColor="background2"/>
          <w:sz w:val="18"/>
          <w:szCs w:val="18"/>
        </w:rPr>
        <w:t xml:space="preserve"> </w:t>
      </w:r>
    </w:p>
    <w:p w14:paraId="48DD20BB" w14:textId="035B4192" w:rsidR="008B56CD" w:rsidRDefault="008B56CD">
      <w:pPr>
        <w:pBdr>
          <w:top w:val="single" w:sz="4" w:space="1" w:color="auto"/>
          <w:left w:val="single" w:sz="4" w:space="4" w:color="auto"/>
          <w:bottom w:val="single" w:sz="4" w:space="1" w:color="auto"/>
          <w:right w:val="single" w:sz="4" w:space="4" w:color="auto"/>
        </w:pBdr>
        <w:rPr>
          <w:i/>
          <w:color w:val="1D336D" w:themeColor="background2"/>
          <w:sz w:val="18"/>
          <w:szCs w:val="18"/>
        </w:rPr>
      </w:pPr>
      <w:r w:rsidRPr="0070307D">
        <w:rPr>
          <w:b/>
          <w:bCs/>
          <w:i/>
          <w:color w:val="1D336D" w:themeColor="background2"/>
          <w:sz w:val="18"/>
          <w:szCs w:val="18"/>
        </w:rPr>
        <w:t>Dignity Pasifik</w:t>
      </w:r>
      <w:r w:rsidR="0070307D" w:rsidRPr="0070307D">
        <w:rPr>
          <w:i/>
          <w:color w:val="1D336D" w:themeColor="background2"/>
          <w:sz w:val="18"/>
          <w:szCs w:val="18"/>
        </w:rPr>
        <w:t xml:space="preserve">: </w:t>
      </w:r>
      <w:r w:rsidR="007260A4" w:rsidRPr="0070307D">
        <w:rPr>
          <w:i/>
          <w:color w:val="1D336D" w:themeColor="background2"/>
          <w:sz w:val="18"/>
          <w:szCs w:val="18"/>
        </w:rPr>
        <w:t xml:space="preserve">Strongim Bisnis provided support to </w:t>
      </w:r>
      <w:r w:rsidR="0070307D">
        <w:rPr>
          <w:i/>
          <w:color w:val="1D336D" w:themeColor="background2"/>
          <w:sz w:val="18"/>
          <w:szCs w:val="18"/>
        </w:rPr>
        <w:t xml:space="preserve">this </w:t>
      </w:r>
      <w:r w:rsidR="007260A4" w:rsidRPr="0070307D">
        <w:rPr>
          <w:i/>
          <w:color w:val="1D336D" w:themeColor="background2"/>
          <w:sz w:val="18"/>
          <w:szCs w:val="18"/>
        </w:rPr>
        <w:t>wom</w:t>
      </w:r>
      <w:r w:rsidR="00994920" w:rsidRPr="0070307D">
        <w:rPr>
          <w:i/>
          <w:color w:val="1D336D" w:themeColor="background2"/>
          <w:sz w:val="18"/>
          <w:szCs w:val="18"/>
        </w:rPr>
        <w:t>a</w:t>
      </w:r>
      <w:r w:rsidR="007260A4" w:rsidRPr="0070307D">
        <w:rPr>
          <w:i/>
          <w:color w:val="1D336D" w:themeColor="background2"/>
          <w:sz w:val="18"/>
          <w:szCs w:val="18"/>
        </w:rPr>
        <w:t xml:space="preserve">n-owned research </w:t>
      </w:r>
      <w:r w:rsidR="0070307D">
        <w:rPr>
          <w:i/>
          <w:color w:val="1D336D" w:themeColor="background2"/>
          <w:sz w:val="18"/>
          <w:szCs w:val="18"/>
        </w:rPr>
        <w:t xml:space="preserve">and consulting </w:t>
      </w:r>
      <w:r w:rsidR="00062A8B" w:rsidRPr="0070307D">
        <w:rPr>
          <w:i/>
          <w:color w:val="1D336D" w:themeColor="background2"/>
          <w:sz w:val="18"/>
          <w:szCs w:val="18"/>
        </w:rPr>
        <w:t>firm to develop the ‘</w:t>
      </w:r>
      <w:r w:rsidRPr="0070307D">
        <w:rPr>
          <w:i/>
          <w:color w:val="1D336D" w:themeColor="background2"/>
          <w:sz w:val="18"/>
          <w:szCs w:val="18"/>
        </w:rPr>
        <w:t>Rural Women Business Development Manual</w:t>
      </w:r>
      <w:r w:rsidR="00062A8B" w:rsidRPr="0070307D">
        <w:rPr>
          <w:i/>
          <w:color w:val="1D336D" w:themeColor="background2"/>
          <w:sz w:val="18"/>
          <w:szCs w:val="18"/>
        </w:rPr>
        <w:t xml:space="preserve">’. The </w:t>
      </w:r>
      <w:r w:rsidR="000D72F1" w:rsidRPr="0070307D">
        <w:rPr>
          <w:i/>
          <w:color w:val="1D336D" w:themeColor="background2"/>
          <w:sz w:val="18"/>
          <w:szCs w:val="18"/>
        </w:rPr>
        <w:t xml:space="preserve">program has also supported use </w:t>
      </w:r>
      <w:r w:rsidR="0070307D">
        <w:rPr>
          <w:i/>
          <w:color w:val="1D336D" w:themeColor="background2"/>
          <w:sz w:val="18"/>
          <w:szCs w:val="18"/>
        </w:rPr>
        <w:t>of the manual i</w:t>
      </w:r>
      <w:r w:rsidR="000D72F1" w:rsidRPr="0070307D">
        <w:rPr>
          <w:i/>
          <w:color w:val="1D336D" w:themeColor="background2"/>
          <w:sz w:val="18"/>
          <w:szCs w:val="18"/>
        </w:rPr>
        <w:t xml:space="preserve">n delivery of </w:t>
      </w:r>
      <w:r w:rsidR="005B3B59" w:rsidRPr="0070307D">
        <w:rPr>
          <w:i/>
          <w:color w:val="1D336D" w:themeColor="background2"/>
          <w:sz w:val="18"/>
          <w:szCs w:val="18"/>
        </w:rPr>
        <w:t>business skills training with women in Malaita and Western</w:t>
      </w:r>
      <w:r w:rsidR="006B6EA5" w:rsidRPr="0070307D">
        <w:rPr>
          <w:i/>
          <w:color w:val="1D336D" w:themeColor="background2"/>
          <w:sz w:val="18"/>
          <w:szCs w:val="18"/>
        </w:rPr>
        <w:t xml:space="preserve"> Province</w:t>
      </w:r>
      <w:r w:rsidR="00156C3A" w:rsidRPr="0070307D">
        <w:rPr>
          <w:i/>
          <w:color w:val="1D336D" w:themeColor="background2"/>
          <w:sz w:val="18"/>
          <w:szCs w:val="18"/>
        </w:rPr>
        <w:t xml:space="preserve">, and it </w:t>
      </w:r>
      <w:r w:rsidR="00EF4F08" w:rsidRPr="0070307D">
        <w:rPr>
          <w:i/>
          <w:color w:val="1D336D" w:themeColor="background2"/>
          <w:sz w:val="18"/>
          <w:szCs w:val="18"/>
        </w:rPr>
        <w:t xml:space="preserve">has been </w:t>
      </w:r>
      <w:r w:rsidR="00156C3A" w:rsidRPr="0070307D">
        <w:rPr>
          <w:i/>
          <w:color w:val="1D336D" w:themeColor="background2"/>
          <w:sz w:val="18"/>
          <w:szCs w:val="18"/>
        </w:rPr>
        <w:t>adopted</w:t>
      </w:r>
      <w:r w:rsidR="00EF4F08" w:rsidRPr="0070307D">
        <w:rPr>
          <w:i/>
          <w:color w:val="1D336D" w:themeColor="background2"/>
          <w:sz w:val="18"/>
          <w:szCs w:val="18"/>
        </w:rPr>
        <w:t xml:space="preserve"> by MW</w:t>
      </w:r>
      <w:r w:rsidR="000714F6" w:rsidRPr="0070307D">
        <w:rPr>
          <w:i/>
          <w:color w:val="1D336D" w:themeColor="background2"/>
          <w:sz w:val="18"/>
          <w:szCs w:val="18"/>
        </w:rPr>
        <w:t xml:space="preserve">YCFA and MCILI </w:t>
      </w:r>
      <w:r w:rsidR="00EF4F08" w:rsidRPr="0070307D">
        <w:rPr>
          <w:i/>
          <w:color w:val="1D336D" w:themeColor="background2"/>
          <w:sz w:val="18"/>
          <w:szCs w:val="18"/>
        </w:rPr>
        <w:t xml:space="preserve">for implementation with </w:t>
      </w:r>
      <w:r w:rsidR="00994920" w:rsidRPr="0070307D">
        <w:rPr>
          <w:i/>
          <w:color w:val="1D336D" w:themeColor="background2"/>
          <w:sz w:val="18"/>
          <w:szCs w:val="18"/>
        </w:rPr>
        <w:t>M</w:t>
      </w:r>
      <w:r w:rsidR="00C5719E" w:rsidRPr="0070307D">
        <w:rPr>
          <w:i/>
          <w:color w:val="1D336D" w:themeColor="background2"/>
          <w:sz w:val="18"/>
          <w:szCs w:val="18"/>
        </w:rPr>
        <w:t>inistry staff in six provinces.</w:t>
      </w:r>
      <w:r w:rsidR="00070CC6" w:rsidRPr="0070307D">
        <w:rPr>
          <w:i/>
          <w:color w:val="1D336D" w:themeColor="background2"/>
          <w:sz w:val="18"/>
          <w:szCs w:val="18"/>
        </w:rPr>
        <w:t xml:space="preserve"> The Director of Dignity Pasifik was also invited by the Pacific Community </w:t>
      </w:r>
      <w:r w:rsidR="0043462F" w:rsidRPr="0070307D">
        <w:rPr>
          <w:i/>
          <w:color w:val="1D336D" w:themeColor="background2"/>
          <w:sz w:val="18"/>
          <w:szCs w:val="18"/>
        </w:rPr>
        <w:t xml:space="preserve">to </w:t>
      </w:r>
      <w:r w:rsidRPr="0070307D">
        <w:rPr>
          <w:i/>
          <w:color w:val="1D336D" w:themeColor="background2"/>
          <w:sz w:val="18"/>
          <w:szCs w:val="18"/>
        </w:rPr>
        <w:t xml:space="preserve">present the manual </w:t>
      </w:r>
      <w:r w:rsidR="00070CC6" w:rsidRPr="0070307D">
        <w:rPr>
          <w:i/>
          <w:color w:val="1D336D" w:themeColor="background2"/>
          <w:sz w:val="18"/>
          <w:szCs w:val="18"/>
        </w:rPr>
        <w:t xml:space="preserve">at their </w:t>
      </w:r>
      <w:r w:rsidRPr="0070307D">
        <w:rPr>
          <w:i/>
          <w:color w:val="1D336D" w:themeColor="background2"/>
          <w:sz w:val="18"/>
          <w:szCs w:val="18"/>
        </w:rPr>
        <w:t>annual conference</w:t>
      </w:r>
      <w:r w:rsidR="00070CC6" w:rsidRPr="0070307D">
        <w:rPr>
          <w:i/>
          <w:color w:val="1D336D" w:themeColor="background2"/>
          <w:sz w:val="18"/>
          <w:szCs w:val="18"/>
        </w:rPr>
        <w:t xml:space="preserve"> in Fiji</w:t>
      </w:r>
      <w:r w:rsidRPr="0070307D">
        <w:rPr>
          <w:i/>
          <w:color w:val="1D336D" w:themeColor="background2"/>
          <w:sz w:val="18"/>
          <w:szCs w:val="18"/>
        </w:rPr>
        <w:t>.</w:t>
      </w:r>
      <w:r w:rsidR="004E69DA" w:rsidRPr="0070307D">
        <w:rPr>
          <w:i/>
          <w:color w:val="1D336D" w:themeColor="background2"/>
          <w:sz w:val="18"/>
          <w:szCs w:val="18"/>
        </w:rPr>
        <w:t xml:space="preserve"> </w:t>
      </w:r>
      <w:r w:rsidR="004B0B91" w:rsidRPr="0070307D">
        <w:rPr>
          <w:i/>
          <w:color w:val="1D336D" w:themeColor="background2"/>
          <w:sz w:val="18"/>
          <w:szCs w:val="18"/>
        </w:rPr>
        <w:t>In addition,</w:t>
      </w:r>
      <w:r w:rsidR="0028683D" w:rsidRPr="0070307D">
        <w:rPr>
          <w:i/>
          <w:color w:val="1D336D" w:themeColor="background2"/>
          <w:sz w:val="18"/>
          <w:szCs w:val="18"/>
        </w:rPr>
        <w:t xml:space="preserve"> a</w:t>
      </w:r>
      <w:r w:rsidR="004E69DA" w:rsidRPr="0070307D">
        <w:rPr>
          <w:i/>
          <w:color w:val="1D336D" w:themeColor="background2"/>
          <w:sz w:val="18"/>
          <w:szCs w:val="18"/>
        </w:rPr>
        <w:t xml:space="preserve"> pilot group of 15 students</w:t>
      </w:r>
      <w:r w:rsidR="00E060AD" w:rsidRPr="0070307D">
        <w:rPr>
          <w:i/>
          <w:color w:val="1D336D" w:themeColor="background2"/>
          <w:sz w:val="18"/>
          <w:szCs w:val="18"/>
        </w:rPr>
        <w:t xml:space="preserve"> </w:t>
      </w:r>
      <w:r w:rsidR="004B0B91" w:rsidRPr="0070307D">
        <w:rPr>
          <w:i/>
          <w:color w:val="1D336D" w:themeColor="background2"/>
          <w:sz w:val="18"/>
          <w:szCs w:val="18"/>
        </w:rPr>
        <w:t>at Solomon Islands National University (SINU) will</w:t>
      </w:r>
      <w:r w:rsidR="0028683D" w:rsidRPr="0070307D">
        <w:rPr>
          <w:i/>
          <w:color w:val="1D336D" w:themeColor="background2"/>
          <w:sz w:val="18"/>
          <w:szCs w:val="18"/>
        </w:rPr>
        <w:t xml:space="preserve"> undertake the training as part of their accreditation to become</w:t>
      </w:r>
      <w:r w:rsidRPr="0070307D">
        <w:rPr>
          <w:i/>
          <w:color w:val="1D336D" w:themeColor="background2"/>
          <w:sz w:val="18"/>
          <w:szCs w:val="18"/>
        </w:rPr>
        <w:t xml:space="preserve"> business advisors. </w:t>
      </w:r>
      <w:r w:rsidR="004B0B91" w:rsidRPr="0070307D">
        <w:rPr>
          <w:i/>
          <w:color w:val="1D336D" w:themeColor="background2"/>
          <w:sz w:val="18"/>
          <w:szCs w:val="18"/>
        </w:rPr>
        <w:t>Stakeholders interviewed praised the interactive and engaging nature of the training activities.</w:t>
      </w:r>
    </w:p>
    <w:p w14:paraId="0EF06D66" w14:textId="1BA1E50F" w:rsidR="0070307D" w:rsidRPr="0070307D" w:rsidRDefault="0070307D" w:rsidP="0070307D">
      <w:pPr>
        <w:pBdr>
          <w:top w:val="single" w:sz="4" w:space="1" w:color="auto"/>
          <w:left w:val="single" w:sz="4" w:space="4" w:color="auto"/>
          <w:bottom w:val="single" w:sz="4" w:space="1" w:color="auto"/>
          <w:right w:val="single" w:sz="4" w:space="4" w:color="auto"/>
        </w:pBdr>
        <w:rPr>
          <w:i/>
          <w:color w:val="1D336D" w:themeColor="background2"/>
          <w:sz w:val="18"/>
          <w:szCs w:val="18"/>
        </w:rPr>
      </w:pPr>
      <w:r w:rsidRPr="00755C36">
        <w:rPr>
          <w:b/>
          <w:bCs/>
          <w:i/>
          <w:color w:val="1D336D" w:themeColor="background2"/>
          <w:sz w:val="18"/>
          <w:szCs w:val="18"/>
        </w:rPr>
        <w:t>Sol</w:t>
      </w:r>
      <w:r w:rsidR="00204D01">
        <w:rPr>
          <w:b/>
          <w:bCs/>
          <w:i/>
          <w:color w:val="1D336D" w:themeColor="background2"/>
          <w:sz w:val="18"/>
          <w:szCs w:val="18"/>
        </w:rPr>
        <w:t>T</w:t>
      </w:r>
      <w:r w:rsidRPr="00755C36">
        <w:rPr>
          <w:b/>
          <w:bCs/>
          <w:i/>
          <w:color w:val="1D336D" w:themeColor="background2"/>
          <w:sz w:val="18"/>
          <w:szCs w:val="18"/>
        </w:rPr>
        <w:t>una</w:t>
      </w:r>
      <w:r>
        <w:rPr>
          <w:i/>
          <w:color w:val="1D336D" w:themeColor="background2"/>
          <w:sz w:val="18"/>
          <w:szCs w:val="18"/>
        </w:rPr>
        <w:t xml:space="preserve">: </w:t>
      </w:r>
      <w:r w:rsidR="008B6410">
        <w:rPr>
          <w:i/>
          <w:color w:val="1D336D" w:themeColor="background2"/>
          <w:sz w:val="18"/>
          <w:szCs w:val="18"/>
        </w:rPr>
        <w:t xml:space="preserve">Strongim Bisnis </w:t>
      </w:r>
      <w:r w:rsidRPr="0070307D">
        <w:rPr>
          <w:i/>
          <w:color w:val="1D336D" w:themeColor="background2"/>
          <w:sz w:val="18"/>
          <w:szCs w:val="18"/>
        </w:rPr>
        <w:t>co-financ</w:t>
      </w:r>
      <w:r w:rsidR="008B6410">
        <w:rPr>
          <w:i/>
          <w:color w:val="1D336D" w:themeColor="background2"/>
          <w:sz w:val="18"/>
          <w:szCs w:val="18"/>
        </w:rPr>
        <w:t>ing for</w:t>
      </w:r>
      <w:r w:rsidRPr="0070307D">
        <w:rPr>
          <w:i/>
          <w:color w:val="1D336D" w:themeColor="background2"/>
          <w:sz w:val="18"/>
          <w:szCs w:val="18"/>
        </w:rPr>
        <w:t xml:space="preserve"> the Sol</w:t>
      </w:r>
      <w:r w:rsidR="00204D01">
        <w:rPr>
          <w:i/>
          <w:color w:val="1D336D" w:themeColor="background2"/>
          <w:sz w:val="18"/>
          <w:szCs w:val="18"/>
        </w:rPr>
        <w:t>T</w:t>
      </w:r>
      <w:r w:rsidRPr="0070307D">
        <w:rPr>
          <w:i/>
          <w:color w:val="1D336D" w:themeColor="background2"/>
          <w:sz w:val="18"/>
          <w:szCs w:val="18"/>
        </w:rPr>
        <w:t xml:space="preserve">una childcare facility </w:t>
      </w:r>
      <w:r w:rsidR="008B6410">
        <w:rPr>
          <w:i/>
          <w:color w:val="1D336D" w:themeColor="background2"/>
          <w:sz w:val="18"/>
          <w:szCs w:val="18"/>
        </w:rPr>
        <w:t xml:space="preserve">has </w:t>
      </w:r>
      <w:r w:rsidRPr="0070307D">
        <w:rPr>
          <w:i/>
          <w:color w:val="1D336D" w:themeColor="background2"/>
          <w:sz w:val="18"/>
          <w:szCs w:val="18"/>
        </w:rPr>
        <w:t xml:space="preserve">accelerated change that may otherwise have taken decades to achieve. Immediate use of the centre is </w:t>
      </w:r>
      <w:r w:rsidR="007E4AA3">
        <w:rPr>
          <w:i/>
          <w:color w:val="1D336D" w:themeColor="background2"/>
          <w:sz w:val="18"/>
          <w:szCs w:val="18"/>
        </w:rPr>
        <w:t>benefiting</w:t>
      </w:r>
      <w:r w:rsidRPr="0070307D">
        <w:rPr>
          <w:i/>
          <w:color w:val="1D336D" w:themeColor="background2"/>
          <w:sz w:val="18"/>
          <w:szCs w:val="18"/>
        </w:rPr>
        <w:t xml:space="preserve"> at least sixty</w:t>
      </w:r>
      <w:r w:rsidRPr="007E4AA3">
        <w:rPr>
          <w:i/>
          <w:color w:val="1D336D" w:themeColor="background2"/>
          <w:sz w:val="18"/>
          <w:szCs w:val="18"/>
          <w:vertAlign w:val="superscript"/>
        </w:rPr>
        <w:footnoteReference w:id="21"/>
      </w:r>
      <w:r w:rsidRPr="0070307D">
        <w:rPr>
          <w:i/>
          <w:color w:val="1D336D" w:themeColor="background2"/>
          <w:sz w:val="18"/>
          <w:szCs w:val="18"/>
        </w:rPr>
        <w:t xml:space="preserve"> female workers</w:t>
      </w:r>
      <w:r w:rsidR="007E4AA3">
        <w:rPr>
          <w:i/>
          <w:color w:val="1D336D" w:themeColor="background2"/>
          <w:sz w:val="18"/>
          <w:szCs w:val="18"/>
        </w:rPr>
        <w:t>. P</w:t>
      </w:r>
      <w:r w:rsidRPr="0070307D">
        <w:rPr>
          <w:i/>
          <w:color w:val="1D336D" w:themeColor="background2"/>
          <w:sz w:val="18"/>
          <w:szCs w:val="18"/>
        </w:rPr>
        <w:t xml:space="preserve">arents interviewed report having extra time to develop their skills and </w:t>
      </w:r>
      <w:r w:rsidR="006169B9">
        <w:rPr>
          <w:i/>
          <w:color w:val="1D336D" w:themeColor="background2"/>
          <w:sz w:val="18"/>
          <w:szCs w:val="18"/>
        </w:rPr>
        <w:t>hope</w:t>
      </w:r>
      <w:r w:rsidRPr="0070307D">
        <w:rPr>
          <w:i/>
          <w:color w:val="1D336D" w:themeColor="background2"/>
          <w:sz w:val="18"/>
          <w:szCs w:val="18"/>
        </w:rPr>
        <w:t xml:space="preserve"> </w:t>
      </w:r>
      <w:r w:rsidR="00AA6280">
        <w:rPr>
          <w:i/>
          <w:color w:val="1D336D" w:themeColor="background2"/>
          <w:sz w:val="18"/>
          <w:szCs w:val="18"/>
        </w:rPr>
        <w:t>this may lead to higher</w:t>
      </w:r>
      <w:r w:rsidRPr="0070307D">
        <w:rPr>
          <w:i/>
          <w:color w:val="1D336D" w:themeColor="background2"/>
          <w:sz w:val="18"/>
          <w:szCs w:val="18"/>
        </w:rPr>
        <w:t xml:space="preserve"> income through promotion. While it is too early to confirm the impact on absenteeism, the strategy is promising given it has created the environment for working mothers to generate income. The long-term impacts may be even greater geographically</w:t>
      </w:r>
      <w:r w:rsidR="00C449B5">
        <w:rPr>
          <w:i/>
          <w:color w:val="1D336D" w:themeColor="background2"/>
          <w:sz w:val="18"/>
          <w:szCs w:val="18"/>
        </w:rPr>
        <w:t>,</w:t>
      </w:r>
      <w:r w:rsidRPr="0070307D">
        <w:rPr>
          <w:i/>
          <w:color w:val="1D336D" w:themeColor="background2"/>
          <w:sz w:val="18"/>
          <w:szCs w:val="18"/>
        </w:rPr>
        <w:t xml:space="preserve"> since Sol</w:t>
      </w:r>
      <w:r w:rsidR="00204D01">
        <w:rPr>
          <w:i/>
          <w:color w:val="1D336D" w:themeColor="background2"/>
          <w:sz w:val="18"/>
          <w:szCs w:val="18"/>
        </w:rPr>
        <w:t>T</w:t>
      </w:r>
      <w:r w:rsidRPr="0070307D">
        <w:rPr>
          <w:i/>
          <w:color w:val="1D336D" w:themeColor="background2"/>
          <w:sz w:val="18"/>
          <w:szCs w:val="18"/>
        </w:rPr>
        <w:t>una is already developing a reputation of being an employer of choice attracting working mothers from as far away as Temotu.</w:t>
      </w:r>
    </w:p>
    <w:p w14:paraId="3A78B40A" w14:textId="3A2F0EAB" w:rsidR="00512AF7" w:rsidRDefault="00512AF7" w:rsidP="00512AF7">
      <w:r w:rsidRPr="00547C6B">
        <w:rPr>
          <w:b/>
          <w:bCs/>
        </w:rPr>
        <w:t xml:space="preserve">Ensuring adequate </w:t>
      </w:r>
      <w:r>
        <w:rPr>
          <w:b/>
          <w:bCs/>
        </w:rPr>
        <w:t>resourci</w:t>
      </w:r>
      <w:r w:rsidRPr="00547C6B">
        <w:rPr>
          <w:b/>
          <w:bCs/>
        </w:rPr>
        <w:t xml:space="preserve">ng to support women, youth, and people with disabilities is critical for achieving </w:t>
      </w:r>
      <w:r w:rsidR="002B53E7">
        <w:rPr>
          <w:b/>
          <w:bCs/>
        </w:rPr>
        <w:t>GEDSI</w:t>
      </w:r>
      <w:r w:rsidRPr="00547C6B">
        <w:rPr>
          <w:b/>
          <w:bCs/>
        </w:rPr>
        <w:t xml:space="preserve"> results.</w:t>
      </w:r>
      <w:r>
        <w:t xml:space="preserve"> Partners </w:t>
      </w:r>
      <w:r w:rsidR="00694D53">
        <w:t xml:space="preserve">especially </w:t>
      </w:r>
      <w:r>
        <w:t xml:space="preserve">highlighted the need for dedicated program resourcing to support businesses outside Honiara, </w:t>
      </w:r>
      <w:r w:rsidR="00EA6411">
        <w:t>which cannot be managed remotely but require regular in-person</w:t>
      </w:r>
      <w:r>
        <w:t xml:space="preserve"> meetings and follow-up. Additionally, stakeholders </w:t>
      </w:r>
      <w:r w:rsidR="00CB289A">
        <w:t>noted that</w:t>
      </w:r>
      <w:r>
        <w:t xml:space="preserve"> women and people with disabilities require targeted support to realise </w:t>
      </w:r>
      <w:r w:rsidR="00422C50">
        <w:t xml:space="preserve">program </w:t>
      </w:r>
      <w:r>
        <w:t xml:space="preserve">benefits. This includes both support to business owners, and to improve </w:t>
      </w:r>
      <w:r w:rsidR="000B4F87">
        <w:t xml:space="preserve">target group </w:t>
      </w:r>
      <w:r>
        <w:t>access</w:t>
      </w:r>
      <w:r w:rsidR="000B4F87">
        <w:t xml:space="preserve"> to income-enhancing</w:t>
      </w:r>
      <w:r w:rsidR="00CA557C">
        <w:t xml:space="preserve"> </w:t>
      </w:r>
      <w:r>
        <w:t xml:space="preserve">initiatives, </w:t>
      </w:r>
      <w:r w:rsidR="00F54CDE">
        <w:t>for instance through</w:t>
      </w:r>
      <w:r w:rsidR="005308E7">
        <w:t xml:space="preserve"> childcare facilities</w:t>
      </w:r>
      <w:r w:rsidR="00912DA7">
        <w:t xml:space="preserve"> and </w:t>
      </w:r>
      <w:r w:rsidR="00506CBB">
        <w:t>disability-accessible venues</w:t>
      </w:r>
      <w:r w:rsidR="004B30E8">
        <w:t xml:space="preserve"> (including the Strongim Bisnis office</w:t>
      </w:r>
      <w:r w:rsidR="00CE1CEB">
        <w:t xml:space="preserve"> itself</w:t>
      </w:r>
      <w:r w:rsidR="004B30E8">
        <w:t>)</w:t>
      </w:r>
      <w:r>
        <w:t xml:space="preserve">. </w:t>
      </w:r>
      <w:r w:rsidR="00535FE4">
        <w:t>Other suggest</w:t>
      </w:r>
      <w:r w:rsidR="00E876FB">
        <w:t xml:space="preserve">ions </w:t>
      </w:r>
      <w:r w:rsidR="00E876FB" w:rsidRPr="006646E0">
        <w:t>included</w:t>
      </w:r>
      <w:r w:rsidR="00535FE4" w:rsidRPr="006646E0">
        <w:t xml:space="preserve"> </w:t>
      </w:r>
      <w:r w:rsidR="005613D2">
        <w:t>actively seeking out</w:t>
      </w:r>
      <w:r w:rsidR="005613D2" w:rsidRPr="00F726E8">
        <w:t xml:space="preserve"> businesses owned by people with a disability</w:t>
      </w:r>
      <w:r w:rsidR="005613D2" w:rsidRPr="005613D2">
        <w:t xml:space="preserve"> </w:t>
      </w:r>
      <w:r w:rsidR="005613D2">
        <w:t xml:space="preserve">in </w:t>
      </w:r>
      <w:r w:rsidR="000B5232">
        <w:t>other provinces</w:t>
      </w:r>
      <w:r w:rsidR="005613D2">
        <w:t xml:space="preserve">, </w:t>
      </w:r>
      <w:r w:rsidR="00535FE4" w:rsidRPr="005B7140">
        <w:t>recruiting people with disabilities to program roles, and adding a person with a disability to the Strongim Bisnis steering committee</w:t>
      </w:r>
      <w:r w:rsidR="002056BA" w:rsidRPr="006646E0">
        <w:t>.</w:t>
      </w:r>
    </w:p>
    <w:p w14:paraId="25A79A32" w14:textId="176D2010" w:rsidR="00366B59" w:rsidRPr="003E0064" w:rsidRDefault="00B019A6" w:rsidP="003E0064">
      <w:pPr>
        <w:pStyle w:val="Heading2NOTOC"/>
        <w:rPr>
          <w:rStyle w:val="normaltextrun"/>
          <w:color w:val="414141" w:themeColor="text2" w:themeShade="BF"/>
        </w:rPr>
      </w:pPr>
      <w:bookmarkStart w:id="19" w:name="_Toc131170446"/>
      <w:r w:rsidRPr="003E0064">
        <w:rPr>
          <w:rStyle w:val="normaltextrun"/>
          <w:color w:val="414141" w:themeColor="text2" w:themeShade="BF"/>
        </w:rPr>
        <w:t>SubQ</w:t>
      </w:r>
      <w:r w:rsidR="005C3AB3" w:rsidRPr="003E0064">
        <w:rPr>
          <w:rStyle w:val="normaltextrun"/>
          <w:color w:val="414141" w:themeColor="text2" w:themeShade="BF"/>
        </w:rPr>
        <w:t>2.1</w:t>
      </w:r>
      <w:r w:rsidRPr="003E0064">
        <w:rPr>
          <w:rStyle w:val="normaltextrun"/>
          <w:color w:val="414141" w:themeColor="text2" w:themeShade="BF"/>
        </w:rPr>
        <w:t xml:space="preserve">: </w:t>
      </w:r>
      <w:r w:rsidR="00AA18B8" w:rsidRPr="003E0064">
        <w:rPr>
          <w:rStyle w:val="normaltextrun"/>
          <w:color w:val="414141" w:themeColor="text2" w:themeShade="BF"/>
        </w:rPr>
        <w:t xml:space="preserve">Were any approaches used by the program more effective than others at delivering </w:t>
      </w:r>
      <w:r w:rsidR="009242B4" w:rsidRPr="003E0064">
        <w:rPr>
          <w:rStyle w:val="normaltextrun"/>
          <w:color w:val="414141" w:themeColor="text2" w:themeShade="BF"/>
        </w:rPr>
        <w:t xml:space="preserve">[GEDSI] </w:t>
      </w:r>
      <w:r w:rsidR="00AA18B8" w:rsidRPr="003E0064">
        <w:rPr>
          <w:rStyle w:val="normaltextrun"/>
          <w:color w:val="414141" w:themeColor="text2" w:themeShade="BF"/>
        </w:rPr>
        <w:t>results?</w:t>
      </w:r>
      <w:bookmarkEnd w:id="19"/>
      <w:r w:rsidR="00AA18B8" w:rsidRPr="003E0064">
        <w:rPr>
          <w:rStyle w:val="normaltextrun"/>
          <w:color w:val="414141" w:themeColor="text2" w:themeShade="BF"/>
        </w:rPr>
        <w:t> </w:t>
      </w:r>
    </w:p>
    <w:p w14:paraId="7851724B" w14:textId="0AFD8C4D" w:rsidR="005A3CD0" w:rsidRDefault="00D90DFD" w:rsidP="00475814">
      <w:r>
        <w:rPr>
          <w:b/>
          <w:bCs/>
        </w:rPr>
        <w:t xml:space="preserve">Sectoral (value chain) </w:t>
      </w:r>
      <w:r w:rsidR="00475814" w:rsidRPr="00881868">
        <w:rPr>
          <w:b/>
          <w:bCs/>
        </w:rPr>
        <w:t xml:space="preserve">initiatives </w:t>
      </w:r>
      <w:r w:rsidR="003B3870">
        <w:rPr>
          <w:b/>
          <w:bCs/>
        </w:rPr>
        <w:t>achieved greater outreach</w:t>
      </w:r>
      <w:r w:rsidR="00475814" w:rsidRPr="00881868">
        <w:rPr>
          <w:b/>
          <w:bCs/>
        </w:rPr>
        <w:t xml:space="preserve"> </w:t>
      </w:r>
      <w:r w:rsidR="00F86037">
        <w:rPr>
          <w:b/>
          <w:bCs/>
        </w:rPr>
        <w:t xml:space="preserve">for women and youth </w:t>
      </w:r>
      <w:r w:rsidR="00475814" w:rsidRPr="00881868">
        <w:rPr>
          <w:b/>
          <w:bCs/>
        </w:rPr>
        <w:t>than GEDSI specific interventions</w:t>
      </w:r>
      <w:r w:rsidR="009242B4">
        <w:rPr>
          <w:b/>
          <w:bCs/>
        </w:rPr>
        <w:t>,</w:t>
      </w:r>
      <w:r w:rsidR="00475814">
        <w:rPr>
          <w:b/>
          <w:bCs/>
        </w:rPr>
        <w:t xml:space="preserve"> demonstrating the </w:t>
      </w:r>
      <w:r w:rsidR="00D351C6">
        <w:rPr>
          <w:b/>
          <w:bCs/>
        </w:rPr>
        <w:t>success of the mainstreaming approach</w:t>
      </w:r>
      <w:r w:rsidR="00475814" w:rsidRPr="00881868">
        <w:rPr>
          <w:b/>
          <w:bCs/>
        </w:rPr>
        <w:t xml:space="preserve">. </w:t>
      </w:r>
      <w:r w:rsidR="00602BA0">
        <w:t xml:space="preserve">Around one-quarter of current partnerships are in the standalone WEE/SI portfolio. </w:t>
      </w:r>
      <w:r w:rsidR="009242B4">
        <w:t xml:space="preserve">As shown in Table </w:t>
      </w:r>
      <w:r w:rsidR="00547895">
        <w:t>5 above</w:t>
      </w:r>
      <w:r w:rsidR="00475814">
        <w:t xml:space="preserve">, </w:t>
      </w:r>
      <w:r w:rsidR="00AD4BCD">
        <w:t xml:space="preserve">on most </w:t>
      </w:r>
      <w:r w:rsidR="00B26CA9">
        <w:t xml:space="preserve">EOPO3 </w:t>
      </w:r>
      <w:r w:rsidR="00AD4BCD">
        <w:t>indicators</w:t>
      </w:r>
      <w:r w:rsidR="00B26CA9">
        <w:t xml:space="preserve">, </w:t>
      </w:r>
      <w:r w:rsidR="00513D43">
        <w:t xml:space="preserve">the WEE/SI interventions accounted for </w:t>
      </w:r>
      <w:r w:rsidR="00FD3AE0">
        <w:t xml:space="preserve">one-quarter or </w:t>
      </w:r>
      <w:r w:rsidR="00513D43">
        <w:t xml:space="preserve">less </w:t>
      </w:r>
      <w:r w:rsidR="00FD3AE0">
        <w:t>of the total Phase 2</w:t>
      </w:r>
      <w:r w:rsidR="00093150">
        <w:t xml:space="preserve"> results</w:t>
      </w:r>
      <w:r w:rsidR="00FD3AE0">
        <w:t xml:space="preserve">. The exception is the GEDSI capacity building indicator (#16), </w:t>
      </w:r>
      <w:r w:rsidR="000D32EA">
        <w:t xml:space="preserve">where WEE/SI activities accounted for 35% of reach for women, </w:t>
      </w:r>
      <w:r w:rsidR="005A3CD0">
        <w:t>43% for youth and 100% for people living with a disability.</w:t>
      </w:r>
      <w:r w:rsidR="00612A33">
        <w:t xml:space="preserve"> </w:t>
      </w:r>
    </w:p>
    <w:p w14:paraId="38C453E8" w14:textId="407CA527" w:rsidR="003C6A01" w:rsidRPr="00553FF9" w:rsidRDefault="004D5334" w:rsidP="003C6A01">
      <w:r>
        <w:t xml:space="preserve">Stakeholder consultations highlighted </w:t>
      </w:r>
      <w:r w:rsidR="003C6A01">
        <w:rPr>
          <w:b/>
          <w:bCs/>
        </w:rPr>
        <w:t>particula</w:t>
      </w:r>
      <w:r>
        <w:rPr>
          <w:b/>
          <w:bCs/>
        </w:rPr>
        <w:t>r</w:t>
      </w:r>
      <w:r w:rsidR="003C6A01">
        <w:rPr>
          <w:b/>
          <w:bCs/>
        </w:rPr>
        <w:t xml:space="preserve"> benefit</w:t>
      </w:r>
      <w:r>
        <w:rPr>
          <w:b/>
          <w:bCs/>
        </w:rPr>
        <w:t>s</w:t>
      </w:r>
      <w:r w:rsidR="003C6A01">
        <w:rPr>
          <w:b/>
          <w:bCs/>
        </w:rPr>
        <w:t xml:space="preserve"> </w:t>
      </w:r>
      <w:r>
        <w:rPr>
          <w:b/>
          <w:bCs/>
        </w:rPr>
        <w:t xml:space="preserve">for youth </w:t>
      </w:r>
      <w:r w:rsidR="003C6A01">
        <w:rPr>
          <w:b/>
          <w:bCs/>
        </w:rPr>
        <w:t>during Phase 2,</w:t>
      </w:r>
      <w:r w:rsidR="003C6A01">
        <w:t xml:space="preserve"> </w:t>
      </w:r>
      <w:r w:rsidR="003C6A01" w:rsidRPr="00EE16A5">
        <w:rPr>
          <w:b/>
          <w:bCs/>
        </w:rPr>
        <w:t>including through job creation and capacity building support for business owners</w:t>
      </w:r>
      <w:r w:rsidR="003C6A01">
        <w:t xml:space="preserve">, with impacts reported across various target sectors and reaching outer provinces. As discussed further under KEQ4, </w:t>
      </w:r>
      <w:r w:rsidR="00180B6C">
        <w:t>there are opportunities for the program to scale up support to youth in Phase 3</w:t>
      </w:r>
      <w:r w:rsidR="004307CF">
        <w:t xml:space="preserve"> by leveraging the</w:t>
      </w:r>
      <w:r w:rsidR="003C6A01">
        <w:t xml:space="preserve"> skills and savings </w:t>
      </w:r>
      <w:r w:rsidR="004307CF">
        <w:t xml:space="preserve">of returning seasonal workers </w:t>
      </w:r>
      <w:r w:rsidR="003C6A01">
        <w:t xml:space="preserve">in support of business development. </w:t>
      </w:r>
    </w:p>
    <w:p w14:paraId="24C21A9B" w14:textId="3295360A" w:rsidR="00952E76" w:rsidRDefault="004B51E8" w:rsidP="00FC7CA0">
      <w:r w:rsidRPr="006F4251">
        <w:rPr>
          <w:b/>
        </w:rPr>
        <w:t xml:space="preserve">The program </w:t>
      </w:r>
      <w:r w:rsidR="00FE5C52" w:rsidRPr="005B7140">
        <w:rPr>
          <w:b/>
        </w:rPr>
        <w:t>has made deliberate efforts to</w:t>
      </w:r>
      <w:r w:rsidRPr="006F4251">
        <w:rPr>
          <w:b/>
        </w:rPr>
        <w:t xml:space="preserve"> achiev</w:t>
      </w:r>
      <w:r w:rsidR="00FE5C52" w:rsidRPr="005B7140">
        <w:rPr>
          <w:b/>
        </w:rPr>
        <w:t>e</w:t>
      </w:r>
      <w:r w:rsidR="0005440C" w:rsidRPr="005B7140">
        <w:rPr>
          <w:b/>
        </w:rPr>
        <w:t xml:space="preserve"> </w:t>
      </w:r>
      <w:r w:rsidR="00893B05" w:rsidRPr="005B7140">
        <w:rPr>
          <w:b/>
        </w:rPr>
        <w:t xml:space="preserve">transformative </w:t>
      </w:r>
      <w:r w:rsidR="00B110A8" w:rsidRPr="005B7140">
        <w:rPr>
          <w:b/>
        </w:rPr>
        <w:t xml:space="preserve">outcomes </w:t>
      </w:r>
      <w:r w:rsidRPr="006F4251">
        <w:rPr>
          <w:b/>
        </w:rPr>
        <w:t>for p</w:t>
      </w:r>
      <w:r w:rsidR="00FE352A" w:rsidRPr="006F4251">
        <w:rPr>
          <w:b/>
        </w:rPr>
        <w:t>e</w:t>
      </w:r>
      <w:r w:rsidR="006A26CF" w:rsidRPr="006F4251">
        <w:rPr>
          <w:b/>
        </w:rPr>
        <w:t>ople</w:t>
      </w:r>
      <w:r w:rsidR="00FE352A" w:rsidRPr="006F4251">
        <w:rPr>
          <w:b/>
        </w:rPr>
        <w:t xml:space="preserve"> living with disabilities</w:t>
      </w:r>
      <w:r w:rsidR="00E24226" w:rsidRPr="006F4251">
        <w:t>.</w:t>
      </w:r>
      <w:r w:rsidR="00203CDF" w:rsidRPr="006F4251">
        <w:t xml:space="preserve"> </w:t>
      </w:r>
      <w:r w:rsidR="00027D82" w:rsidRPr="005B7140">
        <w:t>As noted</w:t>
      </w:r>
      <w:r w:rsidR="00776A81" w:rsidRPr="005B7140">
        <w:t xml:space="preserve"> above</w:t>
      </w:r>
      <w:r w:rsidR="00027D82" w:rsidRPr="005B7140">
        <w:t>, t</w:t>
      </w:r>
      <w:r w:rsidR="00780C99" w:rsidRPr="005B7140">
        <w:t>here are</w:t>
      </w:r>
      <w:r w:rsidR="00E1015A" w:rsidRPr="005B7140">
        <w:t xml:space="preserve"> relatively </w:t>
      </w:r>
      <w:r w:rsidR="00780C99" w:rsidRPr="005B7140">
        <w:t xml:space="preserve">few </w:t>
      </w:r>
      <w:r w:rsidR="00E1015A" w:rsidRPr="005B7140">
        <w:t xml:space="preserve">disability-focused partnerships to date </w:t>
      </w:r>
      <w:r w:rsidR="00780C99" w:rsidRPr="005B7140">
        <w:t>and</w:t>
      </w:r>
      <w:r w:rsidR="00AD036C" w:rsidRPr="005B7140">
        <w:t xml:space="preserve"> the reported quantitative results are </w:t>
      </w:r>
      <w:r w:rsidR="00F77260" w:rsidRPr="005B7140">
        <w:t>limited</w:t>
      </w:r>
      <w:r w:rsidR="00027D82" w:rsidRPr="005B7140">
        <w:t xml:space="preserve">. </w:t>
      </w:r>
      <w:r w:rsidR="000E3EBA" w:rsidRPr="005B7140">
        <w:t>However</w:t>
      </w:r>
      <w:r w:rsidR="00F77260" w:rsidRPr="005B7140">
        <w:t xml:space="preserve">, </w:t>
      </w:r>
      <w:r w:rsidR="003478C6" w:rsidRPr="005B7140">
        <w:t xml:space="preserve">consultations </w:t>
      </w:r>
      <w:r w:rsidR="004B76F2" w:rsidRPr="006F4251">
        <w:t>indicate</w:t>
      </w:r>
      <w:r w:rsidR="003478C6" w:rsidRPr="005B7140">
        <w:t>d</w:t>
      </w:r>
      <w:r w:rsidR="0055150B" w:rsidRPr="006F4251">
        <w:t xml:space="preserve"> that the quality of empowerment demonstrated through increased agency and independence was excellent</w:t>
      </w:r>
      <w:r w:rsidR="00E1015A" w:rsidRPr="005B7140">
        <w:t xml:space="preserve">. </w:t>
      </w:r>
      <w:r w:rsidR="00DC5178" w:rsidRPr="006F4251">
        <w:t>People living with disabilities in Solomon Islands face considerable stigma and barriers to</w:t>
      </w:r>
      <w:r w:rsidR="000F772D" w:rsidRPr="006F4251">
        <w:t xml:space="preserve"> education</w:t>
      </w:r>
      <w:r w:rsidR="00DC5178" w:rsidRPr="006F4251">
        <w:t>al opportunities, and often</w:t>
      </w:r>
      <w:r w:rsidR="00E50581" w:rsidRPr="006F4251">
        <w:t xml:space="preserve"> struggl</w:t>
      </w:r>
      <w:r w:rsidR="00DC5178" w:rsidRPr="006F4251">
        <w:t>e</w:t>
      </w:r>
      <w:r w:rsidR="00E50581" w:rsidRPr="006F4251">
        <w:t xml:space="preserve"> to </w:t>
      </w:r>
      <w:r w:rsidR="00B66A53" w:rsidRPr="006F4251">
        <w:t>access</w:t>
      </w:r>
      <w:r w:rsidR="00DC5178" w:rsidRPr="006F4251">
        <w:t>,</w:t>
      </w:r>
      <w:r w:rsidR="00B66A53" w:rsidRPr="006F4251">
        <w:t xml:space="preserve"> let alone </w:t>
      </w:r>
      <w:r w:rsidR="00E50581" w:rsidRPr="006F4251">
        <w:t xml:space="preserve">participate </w:t>
      </w:r>
      <w:r w:rsidR="000F611B" w:rsidRPr="006F4251">
        <w:t>in</w:t>
      </w:r>
      <w:r w:rsidR="00DC5178" w:rsidRPr="006F4251">
        <w:t>,</w:t>
      </w:r>
      <w:r w:rsidR="000F611B" w:rsidRPr="006F4251">
        <w:t xml:space="preserve"> formal income generating activities.</w:t>
      </w:r>
      <w:r w:rsidR="004C563A">
        <w:t xml:space="preserve"> </w:t>
      </w:r>
      <w:r w:rsidR="00264C4D">
        <w:t xml:space="preserve">Strongim Bisnis </w:t>
      </w:r>
      <w:r w:rsidR="004E5EA3">
        <w:t>has been</w:t>
      </w:r>
      <w:r w:rsidR="002331B9">
        <w:t xml:space="preserve"> </w:t>
      </w:r>
      <w:r w:rsidR="002331B9" w:rsidRPr="005B7140">
        <w:rPr>
          <w:b/>
        </w:rPr>
        <w:t xml:space="preserve">helping </w:t>
      </w:r>
      <w:r w:rsidR="000249E3" w:rsidRPr="005B7140">
        <w:rPr>
          <w:b/>
        </w:rPr>
        <w:t>change perceptions</w:t>
      </w:r>
      <w:r w:rsidR="008D1B70" w:rsidRPr="005B7140">
        <w:rPr>
          <w:b/>
        </w:rPr>
        <w:t xml:space="preserve"> and open up opportunities</w:t>
      </w:r>
      <w:r w:rsidR="000249E3">
        <w:t xml:space="preserve"> </w:t>
      </w:r>
      <w:r w:rsidR="00066427">
        <w:t xml:space="preserve">through partnerships </w:t>
      </w:r>
      <w:r w:rsidR="00B73757">
        <w:t>such as</w:t>
      </w:r>
      <w:r w:rsidR="00952E76">
        <w:t>:</w:t>
      </w:r>
    </w:p>
    <w:p w14:paraId="6F220C24" w14:textId="67F7B84B" w:rsidR="008C25B9" w:rsidRDefault="008C25B9" w:rsidP="00952E76">
      <w:pPr>
        <w:pStyle w:val="ListBullet"/>
      </w:pPr>
      <w:r>
        <w:t>T</w:t>
      </w:r>
      <w:r w:rsidR="00287C4E">
        <w:t xml:space="preserve">he </w:t>
      </w:r>
      <w:r w:rsidR="00FF4314" w:rsidRPr="005B7140">
        <w:rPr>
          <w:b/>
          <w:bCs/>
        </w:rPr>
        <w:t>B</w:t>
      </w:r>
      <w:r w:rsidR="008D1B70" w:rsidRPr="005B7140">
        <w:rPr>
          <w:b/>
          <w:bCs/>
        </w:rPr>
        <w:t>-</w:t>
      </w:r>
      <w:r w:rsidR="00FF4314" w:rsidRPr="005B7140">
        <w:rPr>
          <w:b/>
          <w:bCs/>
        </w:rPr>
        <w:t>17</w:t>
      </w:r>
      <w:r w:rsidR="00287C4E">
        <w:t xml:space="preserve"> tourism venture</w:t>
      </w:r>
      <w:r>
        <w:t xml:space="preserve">: </w:t>
      </w:r>
      <w:r w:rsidR="00FF4314">
        <w:t>led, owned and operated</w:t>
      </w:r>
      <w:r w:rsidR="008420CB">
        <w:t xml:space="preserve"> by a </w:t>
      </w:r>
      <w:r w:rsidR="00EB5E93">
        <w:t>woman</w:t>
      </w:r>
      <w:r w:rsidR="008420CB">
        <w:t xml:space="preserve"> living with a disability</w:t>
      </w:r>
      <w:r w:rsidR="00EE63D1">
        <w:t>,</w:t>
      </w:r>
      <w:r w:rsidR="00475500">
        <w:t xml:space="preserve"> </w:t>
      </w:r>
      <w:r w:rsidR="005C3745" w:rsidRPr="00952E76">
        <w:rPr>
          <w:rStyle w:val="cf01"/>
          <w:rFonts w:asciiTheme="minorHAnsi" w:eastAsiaTheme="majorEastAsia" w:hAnsiTheme="minorHAnsi" w:cstheme="minorHAnsi"/>
          <w:sz w:val="20"/>
          <w:szCs w:val="20"/>
        </w:rPr>
        <w:t>and providing</w:t>
      </w:r>
      <w:r w:rsidR="00475500" w:rsidRPr="00952E76">
        <w:rPr>
          <w:rStyle w:val="cf01"/>
          <w:rFonts w:asciiTheme="minorHAnsi" w:hAnsiTheme="minorHAnsi" w:cstheme="minorHAnsi"/>
          <w:sz w:val="20"/>
          <w:szCs w:val="20"/>
        </w:rPr>
        <w:t xml:space="preserve"> accessible accommodation </w:t>
      </w:r>
      <w:r w:rsidR="005C3745" w:rsidRPr="00952E76">
        <w:rPr>
          <w:rStyle w:val="cf01"/>
          <w:rFonts w:asciiTheme="minorHAnsi" w:eastAsiaTheme="majorEastAsia" w:hAnsiTheme="minorHAnsi" w:cstheme="minorHAnsi"/>
          <w:sz w:val="20"/>
          <w:szCs w:val="20"/>
        </w:rPr>
        <w:t>and conference facilities</w:t>
      </w:r>
      <w:r w:rsidR="007D6FB1">
        <w:rPr>
          <w:rStyle w:val="cf01"/>
          <w:rFonts w:asciiTheme="minorHAnsi" w:eastAsiaTheme="majorEastAsia" w:hAnsiTheme="minorHAnsi" w:cstheme="minorHAnsi"/>
          <w:sz w:val="20"/>
          <w:szCs w:val="20"/>
        </w:rPr>
        <w:t>;</w:t>
      </w:r>
      <w:r w:rsidR="00605F38">
        <w:t xml:space="preserve"> </w:t>
      </w:r>
    </w:p>
    <w:p w14:paraId="320ACCAB" w14:textId="683B36A5" w:rsidR="002F42CA" w:rsidRDefault="00605F38" w:rsidP="00952E76">
      <w:pPr>
        <w:pStyle w:val="ListBullet"/>
      </w:pPr>
      <w:r w:rsidRPr="005B7140">
        <w:rPr>
          <w:b/>
          <w:bCs/>
        </w:rPr>
        <w:t xml:space="preserve">San Isidro </w:t>
      </w:r>
      <w:r w:rsidR="008D1B70" w:rsidRPr="005B7140">
        <w:rPr>
          <w:b/>
          <w:bCs/>
        </w:rPr>
        <w:t>Care Centre</w:t>
      </w:r>
      <w:r w:rsidR="002F42CA">
        <w:rPr>
          <w:b/>
          <w:bCs/>
        </w:rPr>
        <w:t>:</w:t>
      </w:r>
      <w:r w:rsidR="008D1B70">
        <w:t xml:space="preserve"> </w:t>
      </w:r>
      <w:r w:rsidR="00A84CB0">
        <w:t xml:space="preserve">providing formal education and </w:t>
      </w:r>
      <w:r w:rsidR="00E17284">
        <w:t xml:space="preserve">practical business training to </w:t>
      </w:r>
      <w:r w:rsidR="00E03E1E">
        <w:t>hearing-impaired students</w:t>
      </w:r>
      <w:r w:rsidR="007D6FB1">
        <w:t>;</w:t>
      </w:r>
      <w:r w:rsidR="00E03E1E">
        <w:t xml:space="preserve"> and </w:t>
      </w:r>
    </w:p>
    <w:p w14:paraId="652297B3" w14:textId="76B153DE" w:rsidR="007A6EDD" w:rsidRDefault="00E03E1E" w:rsidP="005B7140">
      <w:pPr>
        <w:pStyle w:val="ListBullet"/>
      </w:pPr>
      <w:r w:rsidRPr="005B7140">
        <w:rPr>
          <w:b/>
          <w:bCs/>
        </w:rPr>
        <w:t>Pasifiki HR</w:t>
      </w:r>
      <w:r w:rsidR="002F42CA">
        <w:rPr>
          <w:b/>
          <w:bCs/>
        </w:rPr>
        <w:t>:</w:t>
      </w:r>
      <w:r w:rsidR="00E633F3">
        <w:t xml:space="preserve"> supporting greater employment opportunities for people with a disability through training and </w:t>
      </w:r>
      <w:r w:rsidR="00CD0A3F">
        <w:t>infrastructure upgrades</w:t>
      </w:r>
      <w:r w:rsidR="008420CB">
        <w:t>.</w:t>
      </w:r>
      <w:r w:rsidR="00D90C93">
        <w:t xml:space="preserve"> </w:t>
      </w:r>
    </w:p>
    <w:p w14:paraId="67C31A99" w14:textId="11CB06F2" w:rsidR="00461198" w:rsidRDefault="008E5849" w:rsidP="00461198">
      <w:r>
        <w:t xml:space="preserve">Strongim Bisnis </w:t>
      </w:r>
      <w:r w:rsidR="00E47CFF">
        <w:t xml:space="preserve">has </w:t>
      </w:r>
      <w:r w:rsidR="005F5584">
        <w:t xml:space="preserve">also effectively </w:t>
      </w:r>
      <w:r w:rsidR="000C4026" w:rsidRPr="00611BF8">
        <w:t xml:space="preserve">used its profile and funding to </w:t>
      </w:r>
      <w:r w:rsidR="000C4026" w:rsidRPr="000C4026">
        <w:rPr>
          <w:b/>
          <w:bCs/>
        </w:rPr>
        <w:t xml:space="preserve">demonstrate </w:t>
      </w:r>
      <w:r w:rsidR="000C4026" w:rsidRPr="005B7140">
        <w:rPr>
          <w:b/>
          <w:bCs/>
        </w:rPr>
        <w:t xml:space="preserve">and support </w:t>
      </w:r>
      <w:r w:rsidR="000C4026" w:rsidRPr="000C4026">
        <w:rPr>
          <w:b/>
          <w:bCs/>
        </w:rPr>
        <w:t>disability inclusion</w:t>
      </w:r>
      <w:r w:rsidR="000C4026" w:rsidRPr="005B7140">
        <w:rPr>
          <w:b/>
          <w:bCs/>
        </w:rPr>
        <w:t xml:space="preserve"> </w:t>
      </w:r>
      <w:r w:rsidR="0000211F">
        <w:rPr>
          <w:b/>
          <w:bCs/>
        </w:rPr>
        <w:t xml:space="preserve">in Solomon Islands </w:t>
      </w:r>
      <w:r w:rsidR="000C4026" w:rsidRPr="005B7140">
        <w:rPr>
          <w:b/>
          <w:bCs/>
        </w:rPr>
        <w:t>more broadly</w:t>
      </w:r>
      <w:r w:rsidR="0000211F" w:rsidRPr="005B7140">
        <w:t>,</w:t>
      </w:r>
      <w:r w:rsidR="00924CB8">
        <w:rPr>
          <w:b/>
          <w:bCs/>
        </w:rPr>
        <w:t xml:space="preserve"> </w:t>
      </w:r>
      <w:r w:rsidR="0000211F">
        <w:t>f</w:t>
      </w:r>
      <w:r w:rsidR="00924CB8" w:rsidRPr="005B7140">
        <w:t xml:space="preserve">or example </w:t>
      </w:r>
      <w:r w:rsidR="00301659">
        <w:t xml:space="preserve">through </w:t>
      </w:r>
      <w:r w:rsidR="00301659" w:rsidRPr="005B7140">
        <w:rPr>
          <w:b/>
          <w:bCs/>
        </w:rPr>
        <w:t>social media</w:t>
      </w:r>
      <w:r w:rsidR="00B15E9A">
        <w:t xml:space="preserve"> and </w:t>
      </w:r>
      <w:r w:rsidR="00B15E9A" w:rsidRPr="005B7140">
        <w:rPr>
          <w:b/>
          <w:bCs/>
        </w:rPr>
        <w:t>public events</w:t>
      </w:r>
      <w:r w:rsidR="00B15E9A">
        <w:t xml:space="preserve">. </w:t>
      </w:r>
      <w:r w:rsidR="00971BA0">
        <w:t xml:space="preserve">The program </w:t>
      </w:r>
      <w:r w:rsidR="00924CB8" w:rsidRPr="005B7140">
        <w:t xml:space="preserve">has </w:t>
      </w:r>
      <w:r w:rsidR="00FC715A">
        <w:t>strengthened</w:t>
      </w:r>
      <w:r w:rsidR="008A2D39">
        <w:t xml:space="preserve"> </w:t>
      </w:r>
      <w:r w:rsidR="004F2418">
        <w:t xml:space="preserve">participation </w:t>
      </w:r>
      <w:r w:rsidR="005565FB">
        <w:t>of</w:t>
      </w:r>
      <w:r w:rsidR="008A2D39">
        <w:t xml:space="preserve"> </w:t>
      </w:r>
      <w:r w:rsidR="008A2D39" w:rsidRPr="00DB4A9F">
        <w:t>people living with disabilities</w:t>
      </w:r>
      <w:r w:rsidR="008A2D39">
        <w:t xml:space="preserve"> by </w:t>
      </w:r>
      <w:r w:rsidR="00924CB8">
        <w:t>provid</w:t>
      </w:r>
      <w:r w:rsidR="008A2D39">
        <w:t>ing</w:t>
      </w:r>
      <w:r w:rsidR="00924CB8">
        <w:t xml:space="preserve"> </w:t>
      </w:r>
      <w:r w:rsidR="00924CB8" w:rsidRPr="003E057D">
        <w:t>sign language interpreters</w:t>
      </w:r>
      <w:r w:rsidR="005E69CA">
        <w:t>,</w:t>
      </w:r>
      <w:r w:rsidR="00924CB8" w:rsidRPr="00924CB8">
        <w:t xml:space="preserve"> </w:t>
      </w:r>
      <w:r w:rsidR="0006791C" w:rsidRPr="005B7140">
        <w:t xml:space="preserve">accessible seating and transport </w:t>
      </w:r>
      <w:r w:rsidR="00525404" w:rsidRPr="005B7140">
        <w:t xml:space="preserve">to </w:t>
      </w:r>
      <w:r w:rsidR="00576C98">
        <w:t>event</w:t>
      </w:r>
      <w:r w:rsidR="00383EB1">
        <w:t xml:space="preserve"> venue</w:t>
      </w:r>
      <w:r w:rsidR="00576C98">
        <w:t>s</w:t>
      </w:r>
      <w:r w:rsidR="00525404" w:rsidRPr="005B7140">
        <w:t xml:space="preserve">. </w:t>
      </w:r>
      <w:r w:rsidR="009D423C" w:rsidRPr="005B7140">
        <w:t xml:space="preserve">It has </w:t>
      </w:r>
      <w:r w:rsidR="00D20ECB" w:rsidRPr="005B7140">
        <w:t>also</w:t>
      </w:r>
      <w:r w:rsidR="00B70166">
        <w:t xml:space="preserve"> drawn on existing partnerships </w:t>
      </w:r>
      <w:r w:rsidR="00F55516">
        <w:t>and collaboration</w:t>
      </w:r>
      <w:r w:rsidR="00F55516" w:rsidRPr="001502A8">
        <w:t xml:space="preserve"> with </w:t>
      </w:r>
      <w:r w:rsidR="00F55516">
        <w:t xml:space="preserve">disability-focused organisations </w:t>
      </w:r>
      <w:r w:rsidR="00EC336A">
        <w:t xml:space="preserve">to </w:t>
      </w:r>
      <w:r w:rsidR="00B70166">
        <w:t>build awareness</w:t>
      </w:r>
      <w:r w:rsidR="007870E4">
        <w:t xml:space="preserve">, </w:t>
      </w:r>
      <w:r w:rsidR="00F36BE3">
        <w:t>capacity and commitment</w:t>
      </w:r>
      <w:r w:rsidR="009378FA">
        <w:t>. F</w:t>
      </w:r>
      <w:r w:rsidR="007870E4">
        <w:t>or example</w:t>
      </w:r>
      <w:r w:rsidR="00376115">
        <w:t>,</w:t>
      </w:r>
      <w:r w:rsidR="002E5DB9">
        <w:t xml:space="preserve"> </w:t>
      </w:r>
      <w:r w:rsidR="003D186A">
        <w:t xml:space="preserve">San Isidro </w:t>
      </w:r>
      <w:r w:rsidR="009378FA">
        <w:t>teachers trained</w:t>
      </w:r>
      <w:r w:rsidR="003D186A">
        <w:t xml:space="preserve"> Dreamcast</w:t>
      </w:r>
      <w:r w:rsidR="009378FA">
        <w:t xml:space="preserve"> staff in sign language, and </w:t>
      </w:r>
      <w:r w:rsidR="00463599">
        <w:t xml:space="preserve">Dreamcast </w:t>
      </w:r>
      <w:r w:rsidR="00DF3C1C">
        <w:t>train</w:t>
      </w:r>
      <w:r w:rsidR="00463599">
        <w:t>ed San Isidro students in acting and dancing.</w:t>
      </w:r>
      <w:r w:rsidR="001F611E">
        <w:t xml:space="preserve"> San Isidro </w:t>
      </w:r>
      <w:r w:rsidR="0093295B">
        <w:t xml:space="preserve">was </w:t>
      </w:r>
      <w:r w:rsidR="001F611E">
        <w:t>also</w:t>
      </w:r>
      <w:r w:rsidR="00E7268B">
        <w:t xml:space="preserve"> </w:t>
      </w:r>
      <w:r w:rsidR="0093295B">
        <w:t xml:space="preserve">able to </w:t>
      </w:r>
      <w:r w:rsidR="00E54B4F">
        <w:t xml:space="preserve">sign a commercial agreement with </w:t>
      </w:r>
      <w:r w:rsidR="0093295B">
        <w:t>Bulk Shop</w:t>
      </w:r>
      <w:r w:rsidR="00D20ECB" w:rsidRPr="005B7140">
        <w:t>.</w:t>
      </w:r>
      <w:r w:rsidR="005F5584">
        <w:t xml:space="preserve"> </w:t>
      </w:r>
    </w:p>
    <w:p w14:paraId="479BBFDE" w14:textId="5B91BD18" w:rsidR="000332FD" w:rsidRPr="003A5075" w:rsidRDefault="000332FD" w:rsidP="007660E5">
      <w:pPr>
        <w:pStyle w:val="Heading1"/>
      </w:pPr>
      <w:bookmarkStart w:id="20" w:name="_Toc131170447"/>
      <w:r>
        <w:t xml:space="preserve">KEQ3: </w:t>
      </w:r>
      <w:r w:rsidRPr="006D2AF3">
        <w:t>How was the program viewed by stakeholders in Solomon Islands?</w:t>
      </w:r>
      <w:bookmarkEnd w:id="20"/>
      <w:r w:rsidRPr="006D2AF3">
        <w:t xml:space="preserve"> </w:t>
      </w:r>
      <w:r w:rsidR="00F55516">
        <w:t xml:space="preserve"> </w:t>
      </w:r>
    </w:p>
    <w:p w14:paraId="3D367C0D" w14:textId="77777777" w:rsidR="00F07350" w:rsidRDefault="0087255D" w:rsidP="000D26D9">
      <w:r w:rsidRPr="00023299">
        <w:rPr>
          <w:b/>
          <w:bCs/>
        </w:rPr>
        <w:t>Strongim Bisnis is overwhelmingly viewed positively</w:t>
      </w:r>
      <w:r w:rsidR="00532837" w:rsidRPr="00023299">
        <w:rPr>
          <w:b/>
          <w:bCs/>
        </w:rPr>
        <w:t xml:space="preserve"> across all stakeholder groups.</w:t>
      </w:r>
      <w:r w:rsidR="00532837">
        <w:t xml:space="preserve"> </w:t>
      </w:r>
    </w:p>
    <w:p w14:paraId="39FF3908" w14:textId="4D2EB9A9" w:rsidR="000D26D9" w:rsidRPr="005D01E1" w:rsidRDefault="00B73EDE" w:rsidP="000D26D9">
      <w:pPr>
        <w:rPr>
          <w:color w:val="auto"/>
        </w:rPr>
      </w:pPr>
      <w:r w:rsidRPr="00B73EDE">
        <w:rPr>
          <w:b/>
          <w:bCs/>
        </w:rPr>
        <w:t>Government</w:t>
      </w:r>
      <w:r w:rsidR="009834F6" w:rsidRPr="00B73EDE">
        <w:rPr>
          <w:b/>
          <w:bCs/>
        </w:rPr>
        <w:t xml:space="preserve"> partners</w:t>
      </w:r>
      <w:r w:rsidR="009834F6">
        <w:t xml:space="preserve"> </w:t>
      </w:r>
      <w:r w:rsidR="003E3D16">
        <w:t>view</w:t>
      </w:r>
      <w:r w:rsidR="00C1426E">
        <w:t xml:space="preserve"> </w:t>
      </w:r>
      <w:r w:rsidR="005D04B3">
        <w:t>Strongim Bisnis</w:t>
      </w:r>
      <w:r w:rsidR="00C1426E">
        <w:t xml:space="preserve"> </w:t>
      </w:r>
      <w:r w:rsidR="003E3D16">
        <w:t>a</w:t>
      </w:r>
      <w:r w:rsidR="00C1426E">
        <w:t>s a strong partner</w:t>
      </w:r>
      <w:r>
        <w:t>,</w:t>
      </w:r>
      <w:r w:rsidR="00C1426E">
        <w:t xml:space="preserve"> complementing </w:t>
      </w:r>
      <w:r w:rsidR="003E3D16">
        <w:t>their</w:t>
      </w:r>
      <w:r w:rsidR="00ED4896">
        <w:t xml:space="preserve"> work. </w:t>
      </w:r>
      <w:r w:rsidR="003E3D16">
        <w:t xml:space="preserve">Other </w:t>
      </w:r>
      <w:r w:rsidR="0087255D">
        <w:t>SIG</w:t>
      </w:r>
      <w:r w:rsidR="00DD4A75">
        <w:t xml:space="preserve"> </w:t>
      </w:r>
      <w:r w:rsidR="007E7D74">
        <w:t xml:space="preserve">(non-partner) </w:t>
      </w:r>
      <w:r w:rsidR="003E3D16">
        <w:t>Steering Committee members expressed</w:t>
      </w:r>
      <w:r w:rsidR="00E53208">
        <w:t xml:space="preserve"> </w:t>
      </w:r>
      <w:r w:rsidR="003E3D16">
        <w:t>‘</w:t>
      </w:r>
      <w:r w:rsidR="0087255D">
        <w:t>high respect</w:t>
      </w:r>
      <w:r w:rsidR="003E3D16">
        <w:t>’</w:t>
      </w:r>
      <w:r w:rsidR="0087255D">
        <w:t xml:space="preserve"> for the program</w:t>
      </w:r>
      <w:r w:rsidR="003E3D16">
        <w:t>’</w:t>
      </w:r>
      <w:r w:rsidR="00BA3387">
        <w:t>s</w:t>
      </w:r>
      <w:r w:rsidR="002376DB">
        <w:t xml:space="preserve"> </w:t>
      </w:r>
      <w:r w:rsidR="007A6EDD">
        <w:t>ways of working</w:t>
      </w:r>
      <w:r w:rsidR="00410040">
        <w:t xml:space="preserve">, </w:t>
      </w:r>
      <w:r w:rsidR="007564A2">
        <w:t xml:space="preserve">good governance system </w:t>
      </w:r>
      <w:r w:rsidR="00CC1212">
        <w:t>and alignment</w:t>
      </w:r>
      <w:r w:rsidR="00410040">
        <w:t xml:space="preserve"> with SIG </w:t>
      </w:r>
      <w:r w:rsidR="00BA3387">
        <w:t>policies</w:t>
      </w:r>
      <w:r w:rsidR="007564A2">
        <w:t xml:space="preserve"> and development strategies</w:t>
      </w:r>
      <w:r w:rsidR="007A6EDD">
        <w:t xml:space="preserve">. </w:t>
      </w:r>
    </w:p>
    <w:p w14:paraId="54A32260" w14:textId="7B7F4ACB" w:rsidR="00007076" w:rsidRDefault="00007076" w:rsidP="00157331">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Pr="00007076">
        <w:rPr>
          <w:i/>
          <w:iCs/>
          <w:color w:val="1D336D" w:themeColor="background2"/>
          <w:sz w:val="18"/>
          <w:szCs w:val="18"/>
        </w:rPr>
        <w:t>Strongim Bisnis is really a strong partner</w:t>
      </w:r>
      <w:r w:rsidR="00157331">
        <w:rPr>
          <w:i/>
          <w:iCs/>
          <w:color w:val="1D336D" w:themeColor="background2"/>
          <w:sz w:val="18"/>
          <w:szCs w:val="18"/>
        </w:rPr>
        <w:t>.</w:t>
      </w:r>
      <w:r w:rsidR="007A3E0E">
        <w:rPr>
          <w:i/>
          <w:iCs/>
          <w:color w:val="1D336D" w:themeColor="background2"/>
          <w:sz w:val="18"/>
          <w:szCs w:val="18"/>
        </w:rPr>
        <w:t>’</w:t>
      </w:r>
      <w:r w:rsidRPr="0001498F">
        <w:rPr>
          <w:i/>
          <w:iCs/>
          <w:color w:val="1D336D" w:themeColor="background2"/>
          <w:sz w:val="18"/>
          <w:szCs w:val="18"/>
        </w:rPr>
        <w:t xml:space="preserve"> </w:t>
      </w:r>
      <w:r w:rsidR="007D4847">
        <w:rPr>
          <w:i/>
          <w:iCs/>
          <w:color w:val="1D336D" w:themeColor="background2"/>
          <w:sz w:val="18"/>
          <w:szCs w:val="18"/>
        </w:rPr>
        <w:t xml:space="preserve">                                                        </w:t>
      </w:r>
      <w:r w:rsidR="006A2F24">
        <w:rPr>
          <w:i/>
          <w:iCs/>
          <w:color w:val="1D336D" w:themeColor="background2"/>
          <w:sz w:val="18"/>
          <w:szCs w:val="18"/>
        </w:rPr>
        <w:t xml:space="preserve">      </w:t>
      </w:r>
      <w:r w:rsidR="007D4847">
        <w:rPr>
          <w:i/>
          <w:iCs/>
          <w:color w:val="1D336D" w:themeColor="background2"/>
          <w:sz w:val="18"/>
          <w:szCs w:val="18"/>
        </w:rPr>
        <w:t xml:space="preserve">       - Senior SIG representative</w:t>
      </w:r>
    </w:p>
    <w:p w14:paraId="4C8573A5" w14:textId="71B21FCC" w:rsidR="003809CA" w:rsidRPr="00AA18B8" w:rsidRDefault="008D3D1B" w:rsidP="003809CA">
      <w:r>
        <w:rPr>
          <w:b/>
          <w:bCs/>
        </w:rPr>
        <w:t xml:space="preserve">Business partners </w:t>
      </w:r>
      <w:r w:rsidR="000D6D6F" w:rsidRPr="000D6D6F">
        <w:t>are also</w:t>
      </w:r>
      <w:r w:rsidR="000D6D6F">
        <w:rPr>
          <w:b/>
          <w:bCs/>
        </w:rPr>
        <w:t xml:space="preserve"> </w:t>
      </w:r>
      <w:r w:rsidR="00CC762F" w:rsidRPr="000D6D6F">
        <w:t>satisf</w:t>
      </w:r>
      <w:r w:rsidR="000D6D6F">
        <w:t>ied</w:t>
      </w:r>
      <w:r w:rsidR="00544E6D" w:rsidRPr="000D6D6F">
        <w:t xml:space="preserve"> with the </w:t>
      </w:r>
      <w:r w:rsidR="00513301" w:rsidRPr="000D6D6F">
        <w:t>program</w:t>
      </w:r>
      <w:r w:rsidR="000D6D6F">
        <w:t>’</w:t>
      </w:r>
      <w:r w:rsidR="00513301" w:rsidRPr="000D6D6F">
        <w:t xml:space="preserve">s </w:t>
      </w:r>
      <w:r w:rsidR="00544E6D" w:rsidRPr="000D6D6F">
        <w:t>support</w:t>
      </w:r>
      <w:r w:rsidR="00A11B67">
        <w:t xml:space="preserve"> and praised p</w:t>
      </w:r>
      <w:r w:rsidR="00A11B67" w:rsidRPr="00640A7D">
        <w:t>rogram staff for being helpful</w:t>
      </w:r>
      <w:r w:rsidR="00A11B67">
        <w:t>,</w:t>
      </w:r>
      <w:r w:rsidR="00A11B67" w:rsidRPr="00640A7D">
        <w:t xml:space="preserve"> supportive</w:t>
      </w:r>
      <w:r w:rsidR="00A11B67">
        <w:t xml:space="preserve"> and</w:t>
      </w:r>
      <w:r w:rsidR="00A11B67" w:rsidRPr="00640A7D">
        <w:t xml:space="preserve"> </w:t>
      </w:r>
      <w:r w:rsidR="00A11B67">
        <w:t xml:space="preserve">approachable. </w:t>
      </w:r>
      <w:r w:rsidR="00B86994">
        <w:t>Partners asked to rate the program</w:t>
      </w:r>
      <w:r w:rsidR="00C03596" w:rsidRPr="00C03596">
        <w:t xml:space="preserve"> overwhelmingly </w:t>
      </w:r>
      <w:r w:rsidR="00B86994">
        <w:t>selected</w:t>
      </w:r>
      <w:r w:rsidR="00C03596" w:rsidRPr="00C03596">
        <w:t xml:space="preserve"> 5 out of 6</w:t>
      </w:r>
      <w:r w:rsidR="00B86994">
        <w:t>.</w:t>
      </w:r>
      <w:r w:rsidR="003809CA">
        <w:t xml:space="preserve"> </w:t>
      </w:r>
    </w:p>
    <w:p w14:paraId="220AF4BB" w14:textId="77777777" w:rsidR="003D70AA" w:rsidRDefault="00973720" w:rsidP="00973720">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005000BE" w:rsidRPr="00973720">
        <w:rPr>
          <w:i/>
          <w:iCs/>
          <w:color w:val="1D336D" w:themeColor="background2"/>
          <w:sz w:val="18"/>
          <w:szCs w:val="18"/>
        </w:rPr>
        <w:t>They are fast to respond to my proposal</w:t>
      </w:r>
      <w:r>
        <w:rPr>
          <w:i/>
          <w:iCs/>
          <w:color w:val="1D336D" w:themeColor="background2"/>
          <w:sz w:val="18"/>
          <w:szCs w:val="18"/>
        </w:rPr>
        <w:t>.’</w:t>
      </w:r>
      <w:r w:rsidR="005000BE" w:rsidRPr="00973720">
        <w:rPr>
          <w:i/>
          <w:iCs/>
          <w:color w:val="1D336D" w:themeColor="background2"/>
          <w:sz w:val="18"/>
          <w:szCs w:val="18"/>
        </w:rPr>
        <w:t xml:space="preserve"> </w:t>
      </w:r>
    </w:p>
    <w:p w14:paraId="54C3FA64" w14:textId="77777777" w:rsidR="00BA0F72" w:rsidRDefault="00BA0F72" w:rsidP="00BA0F72">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‘She [Strongim Bisnis Business Advisor] is a fantastic lady. She helped convert my ideas into a business case, and helped me realise that the original [out-grower] model was not viable. I would be bankrupt with the old approach.’’</w:t>
      </w:r>
    </w:p>
    <w:p w14:paraId="47C1CF0C" w14:textId="77777777" w:rsidR="003D70AA" w:rsidRDefault="003D70AA" w:rsidP="00973720">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005000BE" w:rsidRPr="00973720">
        <w:rPr>
          <w:i/>
          <w:iCs/>
          <w:color w:val="1D336D" w:themeColor="background2"/>
          <w:sz w:val="18"/>
          <w:szCs w:val="18"/>
        </w:rPr>
        <w:t xml:space="preserve">They didn’t forget about us during </w:t>
      </w:r>
      <w:r>
        <w:rPr>
          <w:i/>
          <w:iCs/>
          <w:color w:val="1D336D" w:themeColor="background2"/>
          <w:sz w:val="18"/>
          <w:szCs w:val="18"/>
        </w:rPr>
        <w:t>COVID</w:t>
      </w:r>
      <w:r w:rsidR="005000BE" w:rsidRPr="00973720">
        <w:rPr>
          <w:i/>
          <w:iCs/>
          <w:color w:val="1D336D" w:themeColor="background2"/>
          <w:sz w:val="18"/>
          <w:szCs w:val="18"/>
        </w:rPr>
        <w:t xml:space="preserve"> and when our staff left us</w:t>
      </w:r>
      <w:r w:rsidR="00260EB2" w:rsidRPr="00973720">
        <w:rPr>
          <w:i/>
          <w:iCs/>
          <w:color w:val="1D336D" w:themeColor="background2"/>
          <w:sz w:val="18"/>
          <w:szCs w:val="18"/>
        </w:rPr>
        <w:t>.</w:t>
      </w:r>
      <w:r>
        <w:rPr>
          <w:i/>
          <w:iCs/>
          <w:color w:val="1D336D" w:themeColor="background2"/>
          <w:sz w:val="18"/>
          <w:szCs w:val="18"/>
        </w:rPr>
        <w:t>’</w:t>
      </w:r>
      <w:r w:rsidR="00260EB2" w:rsidRPr="00973720">
        <w:rPr>
          <w:i/>
          <w:iCs/>
          <w:color w:val="1D336D" w:themeColor="background2"/>
          <w:sz w:val="18"/>
          <w:szCs w:val="18"/>
        </w:rPr>
        <w:t xml:space="preserve"> </w:t>
      </w:r>
    </w:p>
    <w:p w14:paraId="2DD1DCF5" w14:textId="52C6B81B" w:rsidR="003D70AA" w:rsidRDefault="003D70AA" w:rsidP="00973720">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‘B</w:t>
      </w:r>
      <w:r w:rsidR="005000BE" w:rsidRPr="00973720">
        <w:rPr>
          <w:i/>
          <w:iCs/>
          <w:color w:val="1D336D" w:themeColor="background2"/>
          <w:sz w:val="18"/>
          <w:szCs w:val="18"/>
        </w:rPr>
        <w:t>ecause they helped me to get to where I am</w:t>
      </w:r>
      <w:r>
        <w:rPr>
          <w:i/>
          <w:iCs/>
          <w:color w:val="1D336D" w:themeColor="background2"/>
          <w:sz w:val="18"/>
          <w:szCs w:val="18"/>
        </w:rPr>
        <w:t>.’</w:t>
      </w:r>
    </w:p>
    <w:p w14:paraId="478D8BCC" w14:textId="21CCFF7C" w:rsidR="004E545B" w:rsidRDefault="003D70AA" w:rsidP="00973720">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‘B</w:t>
      </w:r>
      <w:r w:rsidR="005000BE" w:rsidRPr="00973720">
        <w:rPr>
          <w:i/>
          <w:iCs/>
          <w:color w:val="1D336D" w:themeColor="background2"/>
          <w:sz w:val="18"/>
          <w:szCs w:val="18"/>
        </w:rPr>
        <w:t>ecause young people have not had this type of support before</w:t>
      </w:r>
      <w:r w:rsidR="00AF4461" w:rsidRPr="00973720">
        <w:rPr>
          <w:i/>
          <w:iCs/>
          <w:color w:val="1D336D" w:themeColor="background2"/>
          <w:sz w:val="18"/>
          <w:szCs w:val="18"/>
        </w:rPr>
        <w:t>.</w:t>
      </w:r>
      <w:r>
        <w:rPr>
          <w:i/>
          <w:iCs/>
          <w:color w:val="1D336D" w:themeColor="background2"/>
          <w:sz w:val="18"/>
          <w:szCs w:val="18"/>
        </w:rPr>
        <w:t>’</w:t>
      </w:r>
      <w:r w:rsidR="00AF4461" w:rsidRPr="00973720">
        <w:rPr>
          <w:i/>
          <w:iCs/>
          <w:color w:val="1D336D" w:themeColor="background2"/>
          <w:sz w:val="18"/>
          <w:szCs w:val="18"/>
        </w:rPr>
        <w:t xml:space="preserve"> </w:t>
      </w:r>
      <w:r w:rsidR="00E11952">
        <w:rPr>
          <w:i/>
          <w:iCs/>
          <w:color w:val="1D336D" w:themeColor="background2"/>
          <w:sz w:val="18"/>
          <w:szCs w:val="18"/>
        </w:rPr>
        <w:t xml:space="preserve">                           </w:t>
      </w:r>
      <w:r w:rsidR="006A2F24">
        <w:rPr>
          <w:i/>
          <w:iCs/>
          <w:color w:val="1D336D" w:themeColor="background2"/>
          <w:sz w:val="18"/>
          <w:szCs w:val="18"/>
        </w:rPr>
        <w:t xml:space="preserve">       </w:t>
      </w:r>
      <w:r w:rsidR="00E11952">
        <w:rPr>
          <w:i/>
          <w:iCs/>
          <w:color w:val="1D336D" w:themeColor="background2"/>
          <w:sz w:val="18"/>
          <w:szCs w:val="18"/>
        </w:rPr>
        <w:t xml:space="preserve">          - Business partners</w:t>
      </w:r>
    </w:p>
    <w:p w14:paraId="58DD7345" w14:textId="55C52383" w:rsidR="00FB2805" w:rsidRDefault="00FB2805" w:rsidP="00FB2805">
      <w:pPr>
        <w:rPr>
          <w:rFonts w:ascii="Arial" w:hAnsi="Arial" w:cs="Arial"/>
          <w:bCs/>
          <w:szCs w:val="20"/>
        </w:rPr>
      </w:pPr>
      <w:r w:rsidRPr="00B63034">
        <w:rPr>
          <w:b/>
          <w:bCs/>
        </w:rPr>
        <w:t xml:space="preserve">End beneficiaries </w:t>
      </w:r>
      <w:r w:rsidR="00C74185">
        <w:rPr>
          <w:b/>
          <w:bCs/>
        </w:rPr>
        <w:t xml:space="preserve">also expressed gratitude for the </w:t>
      </w:r>
      <w:r w:rsidR="002C7649">
        <w:rPr>
          <w:b/>
          <w:bCs/>
        </w:rPr>
        <w:t>indirect impacts of</w:t>
      </w:r>
      <w:r w:rsidRPr="00B63034">
        <w:rPr>
          <w:b/>
          <w:bCs/>
        </w:rPr>
        <w:t xml:space="preserve"> Strongim Bisnis</w:t>
      </w:r>
      <w:r w:rsidR="002C7649">
        <w:rPr>
          <w:b/>
          <w:bCs/>
        </w:rPr>
        <w:t xml:space="preserve"> on their lives</w:t>
      </w:r>
      <w:r w:rsidRPr="00B63034">
        <w:rPr>
          <w:b/>
          <w:bCs/>
        </w:rPr>
        <w:t>.</w:t>
      </w:r>
      <w:r>
        <w:t xml:space="preserve"> </w:t>
      </w:r>
      <w:r w:rsidR="00BC4362">
        <w:t xml:space="preserve">Out-grower and ‘in-grower’ (farm worker) groups </w:t>
      </w:r>
      <w:r w:rsidR="00331C90">
        <w:t>welcomed the additional employment and marketing opportunities now available, and/or expected to be generated through new program support.</w:t>
      </w:r>
      <w:r w:rsidR="00BC4362">
        <w:t xml:space="preserve"> </w:t>
      </w:r>
      <w:r w:rsidRPr="009959EF">
        <w:t xml:space="preserve"> </w:t>
      </w:r>
    </w:p>
    <w:p w14:paraId="7C1C4055" w14:textId="3D51AE55" w:rsidR="00663315" w:rsidRPr="009C5903" w:rsidRDefault="00663315" w:rsidP="009C5903">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sidRPr="009C5903">
        <w:rPr>
          <w:i/>
          <w:iCs/>
          <w:color w:val="1D336D" w:themeColor="background2"/>
          <w:sz w:val="18"/>
          <w:szCs w:val="18"/>
        </w:rPr>
        <w:t>‘We are so proud.</w:t>
      </w:r>
      <w:r w:rsidR="00E30E93" w:rsidRPr="009C5903">
        <w:rPr>
          <w:i/>
          <w:iCs/>
          <w:color w:val="1D336D" w:themeColor="background2"/>
          <w:sz w:val="18"/>
          <w:szCs w:val="18"/>
        </w:rPr>
        <w:t xml:space="preserve"> Before, our husbands had their own money and we only had small work. Now we feel well occupied and we are meeting our needs</w:t>
      </w:r>
      <w:r w:rsidRPr="009C5903">
        <w:rPr>
          <w:i/>
          <w:iCs/>
          <w:color w:val="1D336D" w:themeColor="background2"/>
          <w:sz w:val="18"/>
          <w:szCs w:val="18"/>
        </w:rPr>
        <w:t xml:space="preserve">’ </w:t>
      </w:r>
      <w:r w:rsidR="00D1311F">
        <w:rPr>
          <w:i/>
          <w:iCs/>
          <w:color w:val="1D336D" w:themeColor="background2"/>
          <w:sz w:val="18"/>
          <w:szCs w:val="18"/>
        </w:rPr>
        <w:t xml:space="preserve">        </w:t>
      </w:r>
      <w:r w:rsidR="00972EB4">
        <w:rPr>
          <w:i/>
          <w:iCs/>
          <w:color w:val="1D336D" w:themeColor="background2"/>
          <w:sz w:val="18"/>
          <w:szCs w:val="18"/>
        </w:rPr>
        <w:t xml:space="preserve"> </w:t>
      </w:r>
      <w:r w:rsidR="00D1311F">
        <w:rPr>
          <w:i/>
          <w:iCs/>
          <w:color w:val="1D336D" w:themeColor="background2"/>
          <w:sz w:val="18"/>
          <w:szCs w:val="18"/>
        </w:rPr>
        <w:t xml:space="preserve">                                                              </w:t>
      </w:r>
      <w:r w:rsidRPr="009C5903">
        <w:rPr>
          <w:i/>
          <w:iCs/>
          <w:color w:val="1D336D" w:themeColor="background2"/>
          <w:sz w:val="18"/>
          <w:szCs w:val="18"/>
        </w:rPr>
        <w:t>– Female workers</w:t>
      </w:r>
      <w:r w:rsidR="00D1311F">
        <w:rPr>
          <w:i/>
          <w:iCs/>
          <w:color w:val="1D336D" w:themeColor="background2"/>
          <w:sz w:val="18"/>
          <w:szCs w:val="18"/>
        </w:rPr>
        <w:t>/out-growers</w:t>
      </w:r>
    </w:p>
    <w:p w14:paraId="3496B377" w14:textId="38A25C4C" w:rsidR="00CC4876" w:rsidRPr="009C5903" w:rsidRDefault="009C5903" w:rsidP="009C5903">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00CC4876" w:rsidRPr="009C5903">
        <w:rPr>
          <w:i/>
          <w:iCs/>
          <w:color w:val="1D336D" w:themeColor="background2"/>
          <w:sz w:val="18"/>
          <w:szCs w:val="18"/>
        </w:rPr>
        <w:t>We are very excited for the future and we are happy that women are getting money too’ – Male workers</w:t>
      </w:r>
      <w:r w:rsidR="00D1311F">
        <w:rPr>
          <w:i/>
          <w:iCs/>
          <w:color w:val="1D336D" w:themeColor="background2"/>
          <w:sz w:val="18"/>
          <w:szCs w:val="18"/>
        </w:rPr>
        <w:t>/out-growers</w:t>
      </w:r>
    </w:p>
    <w:p w14:paraId="3FF271E2" w14:textId="4A272A55" w:rsidR="006F3745" w:rsidRPr="009917FC" w:rsidRDefault="006F3745" w:rsidP="00D13EC3">
      <w:pPr>
        <w:spacing w:after="120"/>
      </w:pPr>
      <w:r w:rsidRPr="00201B9B">
        <w:t xml:space="preserve">Perhaps unsurprisingly, there was consensus among interviewees that </w:t>
      </w:r>
      <w:r w:rsidRPr="00201B9B">
        <w:rPr>
          <w:b/>
          <w:bCs/>
        </w:rPr>
        <w:t>while</w:t>
      </w:r>
      <w:r>
        <w:rPr>
          <w:b/>
          <w:bCs/>
        </w:rPr>
        <w:t xml:space="preserve"> Strongim Bisnis is well known and well regarded across the established Honiara business community, it is far less well known in rural areas and in other provinces.</w:t>
      </w:r>
      <w:r w:rsidR="009917FC">
        <w:rPr>
          <w:b/>
          <w:bCs/>
        </w:rPr>
        <w:t xml:space="preserve"> </w:t>
      </w:r>
      <w:r w:rsidR="009917FC" w:rsidRPr="009917FC">
        <w:t xml:space="preserve">The evaluation team also found that </w:t>
      </w:r>
      <w:r w:rsidR="00CB4BCC">
        <w:t>most</w:t>
      </w:r>
      <w:r w:rsidR="007B79C3">
        <w:t xml:space="preserve"> business</w:t>
      </w:r>
      <w:r w:rsidR="009917FC" w:rsidRPr="009917FC">
        <w:t xml:space="preserve"> partners were only </w:t>
      </w:r>
      <w:r w:rsidR="00CB4BCC">
        <w:t>able</w:t>
      </w:r>
      <w:r w:rsidR="009917FC" w:rsidRPr="009917FC">
        <w:t xml:space="preserve"> to discuss their own partnership and had little awareness of </w:t>
      </w:r>
      <w:r w:rsidR="009917FC">
        <w:t>other program activities.</w:t>
      </w:r>
    </w:p>
    <w:p w14:paraId="1C77FCBB" w14:textId="77777777" w:rsidR="009C653B" w:rsidRPr="00973720" w:rsidRDefault="009C653B" w:rsidP="009C653B">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Pr="00973720">
        <w:rPr>
          <w:i/>
          <w:iCs/>
          <w:color w:val="1D336D" w:themeColor="background2"/>
          <w:sz w:val="18"/>
          <w:szCs w:val="18"/>
        </w:rPr>
        <w:t>Although the program is visible its reach has been small</w:t>
      </w:r>
      <w:r>
        <w:rPr>
          <w:i/>
          <w:iCs/>
          <w:color w:val="1D336D" w:themeColor="background2"/>
          <w:sz w:val="18"/>
          <w:szCs w:val="18"/>
        </w:rPr>
        <w:t>’                                           - Business partner</w:t>
      </w:r>
      <w:r w:rsidRPr="00973720">
        <w:rPr>
          <w:i/>
          <w:iCs/>
          <w:color w:val="1D336D" w:themeColor="background2"/>
          <w:sz w:val="18"/>
          <w:szCs w:val="18"/>
        </w:rPr>
        <w:t xml:space="preserve">.  </w:t>
      </w:r>
    </w:p>
    <w:p w14:paraId="493B4E91" w14:textId="2F606473" w:rsidR="00972EB4" w:rsidRDefault="003C4793" w:rsidP="00D13EC3">
      <w:pPr>
        <w:spacing w:after="120"/>
        <w:rPr>
          <w:rFonts w:ascii="Arial" w:hAnsi="Arial" w:cs="Arial"/>
          <w:bCs/>
          <w:szCs w:val="20"/>
        </w:rPr>
      </w:pPr>
      <w:r>
        <w:rPr>
          <w:b/>
          <w:bCs/>
        </w:rPr>
        <w:t>Many stakeholders</w:t>
      </w:r>
      <w:r w:rsidR="00972EB4" w:rsidRPr="00972EB4">
        <w:rPr>
          <w:b/>
          <w:bCs/>
        </w:rPr>
        <w:t xml:space="preserve"> also had concerns and/or suggestions for improvement. </w:t>
      </w:r>
      <w:r w:rsidR="00CB75BB">
        <w:t>The</w:t>
      </w:r>
      <w:r w:rsidR="00B75B3E" w:rsidRPr="00B75B3E">
        <w:t xml:space="preserve"> main issues </w:t>
      </w:r>
      <w:r w:rsidR="00CB75BB">
        <w:t xml:space="preserve">related to </w:t>
      </w:r>
      <w:r w:rsidR="000557A7">
        <w:t xml:space="preserve">(a) </w:t>
      </w:r>
      <w:r w:rsidR="00C83446">
        <w:rPr>
          <w:rFonts w:ascii="Arial" w:hAnsi="Arial" w:cs="Arial"/>
          <w:bCs/>
          <w:szCs w:val="20"/>
        </w:rPr>
        <w:t>a</w:t>
      </w:r>
      <w:r w:rsidR="00C83446">
        <w:t xml:space="preserve"> </w:t>
      </w:r>
      <w:r w:rsidR="003237E0">
        <w:t xml:space="preserve">lack of </w:t>
      </w:r>
      <w:r w:rsidR="00DE43BD">
        <w:t xml:space="preserve">information and </w:t>
      </w:r>
      <w:r w:rsidR="003237E0">
        <w:rPr>
          <w:rFonts w:ascii="Arial" w:hAnsi="Arial" w:cs="Arial"/>
          <w:bCs/>
          <w:szCs w:val="20"/>
        </w:rPr>
        <w:t>transparency</w:t>
      </w:r>
      <w:r w:rsidR="00857B32">
        <w:rPr>
          <w:rFonts w:ascii="Arial" w:hAnsi="Arial" w:cs="Arial"/>
          <w:bCs/>
          <w:szCs w:val="20"/>
        </w:rPr>
        <w:t>,</w:t>
      </w:r>
      <w:r w:rsidR="00CB75BB">
        <w:rPr>
          <w:rFonts w:ascii="Arial" w:hAnsi="Arial" w:cs="Arial"/>
          <w:bCs/>
          <w:szCs w:val="20"/>
        </w:rPr>
        <w:t xml:space="preserve"> leading to </w:t>
      </w:r>
      <w:r w:rsidR="00CB75BB" w:rsidRPr="00CB75BB">
        <w:rPr>
          <w:rFonts w:ascii="Arial" w:hAnsi="Arial" w:cs="Arial"/>
          <w:bCs/>
          <w:szCs w:val="20"/>
        </w:rPr>
        <w:t>confusion around access and eligibility for program support</w:t>
      </w:r>
      <w:r w:rsidR="000557A7">
        <w:rPr>
          <w:rFonts w:ascii="Arial" w:hAnsi="Arial" w:cs="Arial"/>
          <w:bCs/>
          <w:szCs w:val="20"/>
        </w:rPr>
        <w:t>; and (b)</w:t>
      </w:r>
      <w:r w:rsidR="000557A7" w:rsidRPr="000557A7">
        <w:rPr>
          <w:rFonts w:ascii="Arial" w:hAnsi="Arial" w:cs="Arial"/>
          <w:bCs/>
          <w:szCs w:val="20"/>
        </w:rPr>
        <w:t xml:space="preserve"> </w:t>
      </w:r>
      <w:r w:rsidR="000557A7">
        <w:rPr>
          <w:rFonts w:ascii="Arial" w:hAnsi="Arial" w:cs="Arial"/>
          <w:bCs/>
          <w:szCs w:val="20"/>
        </w:rPr>
        <w:t xml:space="preserve">procurement </w:t>
      </w:r>
      <w:r w:rsidR="000557A7" w:rsidRPr="00CB75BB">
        <w:rPr>
          <w:rFonts w:ascii="Arial" w:hAnsi="Arial" w:cs="Arial"/>
          <w:bCs/>
          <w:szCs w:val="20"/>
        </w:rPr>
        <w:t>processes</w:t>
      </w:r>
      <w:r w:rsidR="000557A7">
        <w:rPr>
          <w:rFonts w:ascii="Arial" w:hAnsi="Arial" w:cs="Arial"/>
          <w:bCs/>
          <w:szCs w:val="20"/>
        </w:rPr>
        <w:t xml:space="preserve"> that were perceived to be </w:t>
      </w:r>
      <w:r w:rsidR="0055786E">
        <w:rPr>
          <w:rFonts w:ascii="Arial" w:hAnsi="Arial" w:cs="Arial"/>
          <w:bCs/>
          <w:szCs w:val="20"/>
        </w:rPr>
        <w:t>burdensome</w:t>
      </w:r>
      <w:r w:rsidR="000557A7">
        <w:rPr>
          <w:rFonts w:ascii="Arial" w:hAnsi="Arial" w:cs="Arial"/>
          <w:bCs/>
          <w:szCs w:val="20"/>
        </w:rPr>
        <w:t xml:space="preserve"> or unexpectedly slow.</w:t>
      </w:r>
      <w:r w:rsidR="00B00BEC">
        <w:rPr>
          <w:rFonts w:ascii="Arial" w:hAnsi="Arial" w:cs="Arial"/>
          <w:bCs/>
          <w:szCs w:val="20"/>
        </w:rPr>
        <w:t xml:space="preserve"> </w:t>
      </w:r>
      <w:r w:rsidR="0077455B">
        <w:rPr>
          <w:rFonts w:ascii="Arial" w:hAnsi="Arial" w:cs="Arial"/>
          <w:bCs/>
          <w:szCs w:val="20"/>
        </w:rPr>
        <w:t>Feedback</w:t>
      </w:r>
      <w:r w:rsidR="001536A6">
        <w:rPr>
          <w:rFonts w:ascii="Arial" w:hAnsi="Arial" w:cs="Arial"/>
          <w:bCs/>
          <w:szCs w:val="20"/>
        </w:rPr>
        <w:t xml:space="preserve"> </w:t>
      </w:r>
      <w:r w:rsidR="00601B11">
        <w:rPr>
          <w:rFonts w:ascii="Arial" w:hAnsi="Arial" w:cs="Arial"/>
          <w:bCs/>
          <w:szCs w:val="20"/>
        </w:rPr>
        <w:t>relevant to</w:t>
      </w:r>
      <w:r w:rsidR="001536A6">
        <w:rPr>
          <w:rFonts w:ascii="Arial" w:hAnsi="Arial" w:cs="Arial"/>
          <w:bCs/>
          <w:szCs w:val="20"/>
        </w:rPr>
        <w:t xml:space="preserve"> the next phase </w:t>
      </w:r>
      <w:r w:rsidR="00C56C44">
        <w:rPr>
          <w:rFonts w:ascii="Arial" w:hAnsi="Arial" w:cs="Arial"/>
          <w:bCs/>
          <w:szCs w:val="20"/>
        </w:rPr>
        <w:t xml:space="preserve">of Strongim Bisnis </w:t>
      </w:r>
      <w:r w:rsidR="0077455B">
        <w:rPr>
          <w:rFonts w:ascii="Arial" w:hAnsi="Arial" w:cs="Arial"/>
          <w:bCs/>
          <w:szCs w:val="20"/>
        </w:rPr>
        <w:t>is</w:t>
      </w:r>
      <w:r w:rsidR="001536A6">
        <w:rPr>
          <w:rFonts w:ascii="Arial" w:hAnsi="Arial" w:cs="Arial"/>
          <w:bCs/>
          <w:szCs w:val="20"/>
        </w:rPr>
        <w:t xml:space="preserve"> considered further under KEQ4</w:t>
      </w:r>
      <w:r w:rsidR="00C56C44">
        <w:rPr>
          <w:rFonts w:ascii="Arial" w:hAnsi="Arial" w:cs="Arial"/>
          <w:bCs/>
          <w:szCs w:val="20"/>
        </w:rPr>
        <w:t xml:space="preserve"> below</w:t>
      </w:r>
      <w:r w:rsidR="001536A6">
        <w:rPr>
          <w:rFonts w:ascii="Arial" w:hAnsi="Arial" w:cs="Arial"/>
          <w:bCs/>
          <w:szCs w:val="20"/>
        </w:rPr>
        <w:t>.</w:t>
      </w:r>
    </w:p>
    <w:p w14:paraId="11124C11" w14:textId="66E2731F" w:rsidR="00DB6731" w:rsidRDefault="00AC0D50" w:rsidP="00D13EC3">
      <w:pPr>
        <w:spacing w:after="120"/>
        <w:rPr>
          <w:rFonts w:ascii="Arial" w:hAnsi="Arial" w:cs="Arial"/>
          <w:bCs/>
          <w:szCs w:val="20"/>
        </w:rPr>
      </w:pPr>
      <w:r>
        <w:t>S</w:t>
      </w:r>
      <w:r w:rsidR="00CE13D7">
        <w:t xml:space="preserve">takeholders from both the private sector and SIG </w:t>
      </w:r>
      <w:r w:rsidR="00B306F3">
        <w:t xml:space="preserve">noted a </w:t>
      </w:r>
      <w:r w:rsidR="00B306F3" w:rsidRPr="00416E59">
        <w:rPr>
          <w:b/>
          <w:bCs/>
        </w:rPr>
        <w:t>common perception that Strongim Bisnis is intended to support micro-enterprises and SMEs, especially those led by women</w:t>
      </w:r>
      <w:r w:rsidR="00B306F3">
        <w:t xml:space="preserve">. </w:t>
      </w:r>
      <w:r w:rsidR="0098757E">
        <w:t xml:space="preserve">This may </w:t>
      </w:r>
      <w:r w:rsidR="006D383A">
        <w:t>be partly due to</w:t>
      </w:r>
      <w:r w:rsidR="0098757E">
        <w:t xml:space="preserve"> </w:t>
      </w:r>
      <w:r w:rsidR="000C7258">
        <w:t>publicity given to</w:t>
      </w:r>
      <w:r w:rsidR="0098757E">
        <w:t xml:space="preserve"> </w:t>
      </w:r>
      <w:r w:rsidR="00E7216D">
        <w:t>such</w:t>
      </w:r>
      <w:r w:rsidR="0098757E">
        <w:t xml:space="preserve"> partnerships in news and social media. </w:t>
      </w:r>
      <w:r>
        <w:t xml:space="preserve">Several </w:t>
      </w:r>
      <w:r w:rsidR="001B14D9">
        <w:t>stakeholders</w:t>
      </w:r>
      <w:r w:rsidR="001B14D9">
        <w:rPr>
          <w:rFonts w:ascii="Arial" w:hAnsi="Arial" w:cs="Arial"/>
          <w:bCs/>
          <w:szCs w:val="20"/>
        </w:rPr>
        <w:t xml:space="preserve"> </w:t>
      </w:r>
      <w:r w:rsidR="00F676F5">
        <w:rPr>
          <w:rFonts w:ascii="Arial" w:hAnsi="Arial" w:cs="Arial"/>
          <w:bCs/>
          <w:szCs w:val="20"/>
        </w:rPr>
        <w:t xml:space="preserve">said </w:t>
      </w:r>
      <w:r w:rsidR="00436F54">
        <w:rPr>
          <w:rFonts w:ascii="Arial" w:hAnsi="Arial" w:cs="Arial"/>
          <w:bCs/>
          <w:szCs w:val="20"/>
        </w:rPr>
        <w:t xml:space="preserve">the program </w:t>
      </w:r>
      <w:r w:rsidR="00436F54" w:rsidRPr="00436F54">
        <w:rPr>
          <w:rFonts w:ascii="Arial" w:hAnsi="Arial" w:cs="Arial"/>
          <w:bCs/>
          <w:i/>
          <w:iCs/>
          <w:szCs w:val="20"/>
        </w:rPr>
        <w:t>should</w:t>
      </w:r>
      <w:r w:rsidR="00476120">
        <w:rPr>
          <w:rFonts w:ascii="Arial" w:hAnsi="Arial" w:cs="Arial"/>
          <w:bCs/>
          <w:szCs w:val="20"/>
        </w:rPr>
        <w:t xml:space="preserve"> focus </w:t>
      </w:r>
      <w:r w:rsidR="00436F54">
        <w:rPr>
          <w:rFonts w:ascii="Arial" w:hAnsi="Arial" w:cs="Arial"/>
          <w:bCs/>
          <w:szCs w:val="20"/>
        </w:rPr>
        <w:t xml:space="preserve">primarily </w:t>
      </w:r>
      <w:r w:rsidR="00476120">
        <w:rPr>
          <w:rFonts w:ascii="Arial" w:hAnsi="Arial" w:cs="Arial"/>
          <w:bCs/>
          <w:szCs w:val="20"/>
        </w:rPr>
        <w:t xml:space="preserve">on </w:t>
      </w:r>
      <w:r w:rsidR="00691A3F">
        <w:rPr>
          <w:rFonts w:ascii="Arial" w:hAnsi="Arial" w:cs="Arial"/>
          <w:bCs/>
          <w:szCs w:val="20"/>
        </w:rPr>
        <w:t xml:space="preserve">new and </w:t>
      </w:r>
      <w:r w:rsidR="00476120">
        <w:rPr>
          <w:rFonts w:ascii="Arial" w:hAnsi="Arial" w:cs="Arial"/>
          <w:bCs/>
          <w:szCs w:val="20"/>
        </w:rPr>
        <w:t>emerging businesses</w:t>
      </w:r>
      <w:r w:rsidR="00F676F5">
        <w:rPr>
          <w:rFonts w:ascii="Arial" w:hAnsi="Arial" w:cs="Arial"/>
          <w:bCs/>
          <w:szCs w:val="20"/>
        </w:rPr>
        <w:t>,</w:t>
      </w:r>
      <w:r w:rsidR="00476120">
        <w:rPr>
          <w:rFonts w:ascii="Arial" w:hAnsi="Arial" w:cs="Arial"/>
          <w:bCs/>
          <w:szCs w:val="20"/>
        </w:rPr>
        <w:t xml:space="preserve"> rather than on ones </w:t>
      </w:r>
      <w:r>
        <w:rPr>
          <w:rFonts w:ascii="Arial" w:hAnsi="Arial" w:cs="Arial"/>
          <w:bCs/>
          <w:szCs w:val="20"/>
        </w:rPr>
        <w:t>that</w:t>
      </w:r>
      <w:r w:rsidR="00476120">
        <w:rPr>
          <w:rFonts w:ascii="Arial" w:hAnsi="Arial" w:cs="Arial"/>
          <w:bCs/>
          <w:szCs w:val="20"/>
        </w:rPr>
        <w:t xml:space="preserve"> have already experienced success. </w:t>
      </w:r>
      <w:r w:rsidR="00A36E4E">
        <w:t>They</w:t>
      </w:r>
      <w:r w:rsidR="00B670E9">
        <w:t xml:space="preserve"> were not happy about the </w:t>
      </w:r>
      <w:r w:rsidR="007A5EAB">
        <w:t xml:space="preserve">support </w:t>
      </w:r>
      <w:r w:rsidR="00B670E9">
        <w:t>being given to</w:t>
      </w:r>
      <w:r w:rsidR="007A5EAB">
        <w:t xml:space="preserve"> </w:t>
      </w:r>
      <w:r w:rsidR="00A36E4E">
        <w:t>big</w:t>
      </w:r>
      <w:r w:rsidR="007A5EAB">
        <w:t xml:space="preserve"> business</w:t>
      </w:r>
      <w:r w:rsidR="00B670E9">
        <w:t>,</w:t>
      </w:r>
      <w:r w:rsidR="007A5EAB">
        <w:t xml:space="preserve"> </w:t>
      </w:r>
      <w:r w:rsidR="00EA5AE7">
        <w:t xml:space="preserve">particularly </w:t>
      </w:r>
      <w:r w:rsidR="00B670E9">
        <w:t>given</w:t>
      </w:r>
      <w:r w:rsidR="00EA5AE7">
        <w:t xml:space="preserve"> the same companies </w:t>
      </w:r>
      <w:r w:rsidR="006D383A">
        <w:t>have attracted</w:t>
      </w:r>
      <w:r w:rsidR="00EA5AE7">
        <w:t xml:space="preserve"> support from multiple sources</w:t>
      </w:r>
      <w:r w:rsidR="00665976">
        <w:t xml:space="preserve">. </w:t>
      </w:r>
      <w:r w:rsidR="00DB6731">
        <w:t xml:space="preserve">As one official put it, ‘these [large companies] </w:t>
      </w:r>
      <w:r w:rsidR="00DB6731" w:rsidRPr="0040542D">
        <w:rPr>
          <w:rFonts w:ascii="Arial" w:hAnsi="Arial" w:cs="Arial"/>
          <w:bCs/>
          <w:szCs w:val="20"/>
        </w:rPr>
        <w:t>are good and capable partners</w:t>
      </w:r>
      <w:r w:rsidR="00DB6731">
        <w:rPr>
          <w:rFonts w:ascii="Arial" w:hAnsi="Arial" w:cs="Arial"/>
          <w:bCs/>
          <w:szCs w:val="20"/>
        </w:rPr>
        <w:t>,</w:t>
      </w:r>
      <w:r w:rsidR="00DB6731" w:rsidRPr="0040542D">
        <w:rPr>
          <w:rFonts w:ascii="Arial" w:hAnsi="Arial" w:cs="Arial"/>
          <w:bCs/>
          <w:szCs w:val="20"/>
        </w:rPr>
        <w:t xml:space="preserve"> but</w:t>
      </w:r>
      <w:r w:rsidR="00DB6731">
        <w:rPr>
          <w:rFonts w:ascii="Arial" w:hAnsi="Arial" w:cs="Arial"/>
          <w:bCs/>
          <w:szCs w:val="20"/>
        </w:rPr>
        <w:t xml:space="preserve"> the</w:t>
      </w:r>
      <w:r w:rsidR="00EA5AE7">
        <w:rPr>
          <w:rFonts w:ascii="Arial" w:hAnsi="Arial" w:cs="Arial"/>
          <w:bCs/>
          <w:szCs w:val="20"/>
        </w:rPr>
        <w:t>y’re the</w:t>
      </w:r>
      <w:r w:rsidR="00DB6731" w:rsidRPr="0040542D">
        <w:rPr>
          <w:rFonts w:ascii="Arial" w:hAnsi="Arial" w:cs="Arial"/>
          <w:bCs/>
          <w:szCs w:val="20"/>
        </w:rPr>
        <w:t xml:space="preserve"> usual suspects.</w:t>
      </w:r>
      <w:r w:rsidR="00DB6731">
        <w:rPr>
          <w:rFonts w:ascii="Arial" w:hAnsi="Arial" w:cs="Arial"/>
          <w:bCs/>
          <w:szCs w:val="20"/>
        </w:rPr>
        <w:t>’</w:t>
      </w:r>
    </w:p>
    <w:p w14:paraId="35862597" w14:textId="27D7427B" w:rsidR="00A341C1" w:rsidRDefault="00A341C1" w:rsidP="00D13EC3">
      <w:pPr>
        <w:spacing w:after="120"/>
      </w:pPr>
      <w:r>
        <w:rPr>
          <w:rFonts w:ascii="Arial" w:hAnsi="Arial" w:cs="Arial"/>
          <w:bCs/>
          <w:szCs w:val="20"/>
        </w:rPr>
        <w:t xml:space="preserve">In somewhat similar vein, </w:t>
      </w:r>
      <w:r w:rsidR="00B55AAC">
        <w:rPr>
          <w:rFonts w:ascii="Arial" w:hAnsi="Arial" w:cs="Arial"/>
          <w:bCs/>
          <w:szCs w:val="20"/>
        </w:rPr>
        <w:t xml:space="preserve">some interviewees </w:t>
      </w:r>
      <w:r w:rsidR="006F14D2">
        <w:rPr>
          <w:rFonts w:ascii="Arial" w:hAnsi="Arial" w:cs="Arial"/>
          <w:bCs/>
          <w:szCs w:val="20"/>
        </w:rPr>
        <w:t xml:space="preserve">perceived </w:t>
      </w:r>
      <w:r w:rsidR="00B55AAC">
        <w:rPr>
          <w:rFonts w:ascii="Arial" w:hAnsi="Arial" w:cs="Arial"/>
          <w:bCs/>
          <w:szCs w:val="20"/>
        </w:rPr>
        <w:t xml:space="preserve">Strongim Bisnis </w:t>
      </w:r>
      <w:r w:rsidR="008660E1">
        <w:rPr>
          <w:rFonts w:ascii="Arial" w:hAnsi="Arial" w:cs="Arial"/>
          <w:bCs/>
          <w:szCs w:val="20"/>
        </w:rPr>
        <w:t>to be</w:t>
      </w:r>
      <w:r w:rsidR="00B55AAC">
        <w:rPr>
          <w:rFonts w:ascii="Arial" w:hAnsi="Arial" w:cs="Arial"/>
          <w:bCs/>
          <w:szCs w:val="20"/>
        </w:rPr>
        <w:t xml:space="preserve"> </w:t>
      </w:r>
      <w:r w:rsidR="006F14D2">
        <w:rPr>
          <w:rFonts w:ascii="Arial" w:hAnsi="Arial" w:cs="Arial"/>
          <w:bCs/>
          <w:szCs w:val="20"/>
        </w:rPr>
        <w:t>rather</w:t>
      </w:r>
      <w:r w:rsidR="00B55AAC">
        <w:rPr>
          <w:rFonts w:ascii="Arial" w:hAnsi="Arial" w:cs="Arial"/>
          <w:bCs/>
          <w:szCs w:val="20"/>
        </w:rPr>
        <w:t xml:space="preserve"> ‘corporate’ in its approach (and even in its office setting), </w:t>
      </w:r>
      <w:r w:rsidR="0041517B">
        <w:rPr>
          <w:rFonts w:ascii="Arial" w:hAnsi="Arial" w:cs="Arial"/>
          <w:bCs/>
          <w:szCs w:val="20"/>
        </w:rPr>
        <w:t xml:space="preserve">and </w:t>
      </w:r>
      <w:r w:rsidR="0041517B" w:rsidRPr="008660E1">
        <w:rPr>
          <w:b/>
          <w:bCs/>
        </w:rPr>
        <w:t>difficult or intimidating to access</w:t>
      </w:r>
      <w:r w:rsidR="0041517B" w:rsidRPr="00773130">
        <w:t xml:space="preserve"> especially for </w:t>
      </w:r>
      <w:r w:rsidR="005734F6">
        <w:t>those</w:t>
      </w:r>
      <w:r w:rsidR="00AE379C">
        <w:t xml:space="preserve"> </w:t>
      </w:r>
      <w:r w:rsidR="005734F6">
        <w:t xml:space="preserve">new to </w:t>
      </w:r>
      <w:r w:rsidR="006F14D2">
        <w:t>formal sector</w:t>
      </w:r>
      <w:r w:rsidR="00920F26">
        <w:t xml:space="preserve"> entrepreneurship</w:t>
      </w:r>
      <w:r w:rsidR="008D26CB">
        <w:t xml:space="preserve"> – often </w:t>
      </w:r>
      <w:r w:rsidR="008D26CB" w:rsidRPr="00773130">
        <w:t>women and youth</w:t>
      </w:r>
      <w:r w:rsidR="006F14D2">
        <w:t>.</w:t>
      </w:r>
    </w:p>
    <w:p w14:paraId="08206176" w14:textId="11D494EF" w:rsidR="00F8437C" w:rsidRDefault="00396CBF" w:rsidP="006A2F24">
      <w:pPr>
        <w:spacing w:after="120"/>
      </w:pPr>
      <w:r>
        <w:rPr>
          <w:b/>
          <w:bCs/>
        </w:rPr>
        <w:t xml:space="preserve">The lack of readily-available information on program eligibility and selection criteria </w:t>
      </w:r>
      <w:r w:rsidRPr="00396CBF">
        <w:t xml:space="preserve">was </w:t>
      </w:r>
      <w:r w:rsidR="008660E1">
        <w:t>another</w:t>
      </w:r>
      <w:r w:rsidRPr="00396CBF">
        <w:t xml:space="preserve"> source of concern among many people interviewed.</w:t>
      </w:r>
      <w:r>
        <w:t xml:space="preserve"> </w:t>
      </w:r>
      <w:r w:rsidR="00CC14D5">
        <w:t xml:space="preserve">Some business partners were experiencing jealousy from other business owners who had not been offered program support. </w:t>
      </w:r>
      <w:r w:rsidR="009B04E3">
        <w:t xml:space="preserve">This </w:t>
      </w:r>
      <w:r w:rsidR="00F8437C">
        <w:t xml:space="preserve">sense of unequal opportunity was </w:t>
      </w:r>
      <w:r w:rsidR="009B04E3">
        <w:t xml:space="preserve">also evident in social media: </w:t>
      </w:r>
      <w:r w:rsidR="00F8437C">
        <w:t xml:space="preserve">a Strongim Bisnis Facebook post </w:t>
      </w:r>
      <w:r w:rsidR="000B3EC4">
        <w:t>celebrating</w:t>
      </w:r>
      <w:r w:rsidR="00F8437C">
        <w:t xml:space="preserve"> equipment provided to one partner elicited several comments </w:t>
      </w:r>
      <w:r w:rsidR="00D57E98">
        <w:t xml:space="preserve">from other producers </w:t>
      </w:r>
      <w:r w:rsidR="00F8437C">
        <w:t>asking where or how they could get a similar machine for their own operation</w:t>
      </w:r>
      <w:r w:rsidR="000B3EC4">
        <w:t>s</w:t>
      </w:r>
      <w:r w:rsidR="005E4BF1">
        <w:rPr>
          <w:rStyle w:val="FootnoteReference"/>
        </w:rPr>
        <w:footnoteReference w:id="22"/>
      </w:r>
      <w:r w:rsidR="00F8437C">
        <w:t>.</w:t>
      </w:r>
      <w:r w:rsidR="00DE4F0F">
        <w:t xml:space="preserve"> </w:t>
      </w:r>
    </w:p>
    <w:p w14:paraId="2161D869" w14:textId="436FCB57" w:rsidR="006A2F24" w:rsidRDefault="00F54558" w:rsidP="006A2F24">
      <w:pPr>
        <w:spacing w:after="120"/>
        <w:rPr>
          <w:color w:val="auto"/>
        </w:rPr>
      </w:pPr>
      <w:r w:rsidRPr="00F54558">
        <w:rPr>
          <w:b/>
          <w:bCs/>
        </w:rPr>
        <w:t>Government</w:t>
      </w:r>
      <w:r>
        <w:t xml:space="preserve"> stakeholders </w:t>
      </w:r>
      <w:r w:rsidR="00CF69E3">
        <w:t xml:space="preserve">also complained about not understanding how investment decisions are made, and </w:t>
      </w:r>
      <w:r>
        <w:t>requested</w:t>
      </w:r>
      <w:r w:rsidR="006A2F24" w:rsidRPr="005D01E1">
        <w:rPr>
          <w:color w:val="auto"/>
        </w:rPr>
        <w:t xml:space="preserve"> more information on program implementation to </w:t>
      </w:r>
      <w:r w:rsidR="00875AFA">
        <w:rPr>
          <w:color w:val="auto"/>
        </w:rPr>
        <w:t>improve</w:t>
      </w:r>
      <w:r w:rsidR="006A2F24" w:rsidRPr="005D01E1">
        <w:rPr>
          <w:color w:val="auto"/>
        </w:rPr>
        <w:t xml:space="preserve"> coordination and mutual benefit.  </w:t>
      </w:r>
    </w:p>
    <w:p w14:paraId="2F66D386" w14:textId="22B7F348" w:rsidR="00D0526B" w:rsidRDefault="0079699F" w:rsidP="003C08C1">
      <w:pPr>
        <w:spacing w:after="120"/>
        <w:rPr>
          <w:rFonts w:ascii="Arial" w:hAnsi="Arial" w:cs="Arial"/>
          <w:bCs/>
          <w:szCs w:val="20"/>
        </w:rPr>
      </w:pPr>
      <w:r>
        <w:rPr>
          <w:color w:val="auto"/>
        </w:rPr>
        <w:t xml:space="preserve">Even partners who were </w:t>
      </w:r>
      <w:r w:rsidR="006D2DE2">
        <w:rPr>
          <w:color w:val="auto"/>
        </w:rPr>
        <w:t xml:space="preserve">generally very </w:t>
      </w:r>
      <w:r>
        <w:rPr>
          <w:color w:val="auto"/>
        </w:rPr>
        <w:t xml:space="preserve">happy with Strongim Bisnis operations </w:t>
      </w:r>
      <w:r w:rsidR="006D2DE2">
        <w:rPr>
          <w:color w:val="auto"/>
        </w:rPr>
        <w:t>sometimes</w:t>
      </w:r>
      <w:r>
        <w:rPr>
          <w:color w:val="auto"/>
        </w:rPr>
        <w:t xml:space="preserve"> had </w:t>
      </w:r>
      <w:r w:rsidR="006D2DE2">
        <w:rPr>
          <w:color w:val="auto"/>
        </w:rPr>
        <w:t>quibbles about administrative processes, especially relating to procurement</w:t>
      </w:r>
      <w:r w:rsidR="003D5545">
        <w:rPr>
          <w:color w:val="auto"/>
        </w:rPr>
        <w:t xml:space="preserve"> of machinery</w:t>
      </w:r>
      <w:r w:rsidR="00056F24">
        <w:rPr>
          <w:color w:val="auto"/>
        </w:rPr>
        <w:t xml:space="preserve"> and equipment</w:t>
      </w:r>
      <w:r w:rsidR="003D5545">
        <w:rPr>
          <w:color w:val="auto"/>
        </w:rPr>
        <w:t>.</w:t>
      </w:r>
      <w:r w:rsidR="00056F24">
        <w:rPr>
          <w:color w:val="auto"/>
        </w:rPr>
        <w:t xml:space="preserve"> While the program’s Flexible Fund manual </w:t>
      </w:r>
      <w:r w:rsidR="009E4279">
        <w:rPr>
          <w:color w:val="auto"/>
        </w:rPr>
        <w:t>offers</w:t>
      </w:r>
      <w:r w:rsidR="00983520">
        <w:rPr>
          <w:color w:val="auto"/>
        </w:rPr>
        <w:t xml:space="preserve"> several procurement options, some </w:t>
      </w:r>
      <w:r w:rsidR="001B499E">
        <w:rPr>
          <w:color w:val="auto"/>
        </w:rPr>
        <w:t xml:space="preserve">partners were required to pay up-front for items and then seek reimbursement. This </w:t>
      </w:r>
      <w:r w:rsidR="00125EB5">
        <w:rPr>
          <w:color w:val="auto"/>
        </w:rPr>
        <w:t xml:space="preserve">was proving a </w:t>
      </w:r>
      <w:r w:rsidR="00125EB5">
        <w:t xml:space="preserve">barrier for business owners with limited access to capital, and </w:t>
      </w:r>
      <w:r w:rsidR="00236539">
        <w:t>had</w:t>
      </w:r>
      <w:r w:rsidR="00125EB5">
        <w:t xml:space="preserve"> contributed to implementation delays</w:t>
      </w:r>
      <w:r w:rsidR="00236539">
        <w:t xml:space="preserve">. </w:t>
      </w:r>
      <w:r w:rsidR="00440113">
        <w:rPr>
          <w:rFonts w:ascii="Arial" w:hAnsi="Arial" w:cs="Arial"/>
          <w:bCs/>
          <w:szCs w:val="20"/>
        </w:rPr>
        <w:t xml:space="preserve">One partner complained that they </w:t>
      </w:r>
      <w:r w:rsidR="00056B6B">
        <w:rPr>
          <w:rFonts w:ascii="Arial" w:hAnsi="Arial" w:cs="Arial"/>
          <w:bCs/>
          <w:szCs w:val="20"/>
        </w:rPr>
        <w:t xml:space="preserve">took out a loan to pay for </w:t>
      </w:r>
      <w:r w:rsidR="009513E6">
        <w:rPr>
          <w:rFonts w:ascii="Arial" w:hAnsi="Arial" w:cs="Arial"/>
          <w:bCs/>
          <w:szCs w:val="20"/>
        </w:rPr>
        <w:t>materials,</w:t>
      </w:r>
      <w:r w:rsidR="00056B6B">
        <w:rPr>
          <w:rFonts w:ascii="Arial" w:hAnsi="Arial" w:cs="Arial"/>
          <w:bCs/>
          <w:szCs w:val="20"/>
        </w:rPr>
        <w:t xml:space="preserve"> but reimbursement took </w:t>
      </w:r>
      <w:r w:rsidR="00B42575">
        <w:rPr>
          <w:rFonts w:ascii="Arial" w:hAnsi="Arial" w:cs="Arial"/>
          <w:bCs/>
          <w:szCs w:val="20"/>
        </w:rPr>
        <w:t>a few months</w:t>
      </w:r>
      <w:r w:rsidR="00AC44B5">
        <w:rPr>
          <w:rFonts w:ascii="Arial" w:hAnsi="Arial" w:cs="Arial"/>
          <w:bCs/>
          <w:szCs w:val="20"/>
        </w:rPr>
        <w:t>,</w:t>
      </w:r>
      <w:r w:rsidR="00B42575">
        <w:rPr>
          <w:rFonts w:ascii="Arial" w:hAnsi="Arial" w:cs="Arial"/>
          <w:bCs/>
          <w:szCs w:val="20"/>
        </w:rPr>
        <w:t xml:space="preserve"> resulting in lost time and money. </w:t>
      </w:r>
    </w:p>
    <w:p w14:paraId="0B7068D7" w14:textId="59660B44" w:rsidR="00366B59" w:rsidRPr="003E0064" w:rsidRDefault="00F618AB" w:rsidP="003E0064">
      <w:pPr>
        <w:pStyle w:val="Heading2NOTOC"/>
        <w:rPr>
          <w:rStyle w:val="normaltextrun"/>
          <w:color w:val="414141" w:themeColor="text2" w:themeShade="BF"/>
        </w:rPr>
      </w:pPr>
      <w:bookmarkStart w:id="21" w:name="_Toc131170448"/>
      <w:r w:rsidRPr="003E0064">
        <w:rPr>
          <w:rStyle w:val="normaltextrun"/>
          <w:color w:val="414141" w:themeColor="text2" w:themeShade="BF"/>
        </w:rPr>
        <w:t>Sub</w:t>
      </w:r>
      <w:r w:rsidR="004C7ADF" w:rsidRPr="003E0064">
        <w:rPr>
          <w:rStyle w:val="normaltextrun"/>
          <w:color w:val="414141" w:themeColor="text2" w:themeShade="BF"/>
        </w:rPr>
        <w:t>Q</w:t>
      </w:r>
      <w:r w:rsidR="005C3AB3" w:rsidRPr="003E0064">
        <w:rPr>
          <w:rStyle w:val="normaltextrun"/>
          <w:color w:val="414141" w:themeColor="text2" w:themeShade="BF"/>
        </w:rPr>
        <w:t>3.1</w:t>
      </w:r>
      <w:r w:rsidRPr="003E0064">
        <w:rPr>
          <w:rStyle w:val="normaltextrun"/>
          <w:color w:val="414141" w:themeColor="text2" w:themeShade="BF"/>
        </w:rPr>
        <w:t xml:space="preserve">: </w:t>
      </w:r>
      <w:r w:rsidR="00AA18B8" w:rsidRPr="003E0064">
        <w:rPr>
          <w:rStyle w:val="normaltextrun"/>
          <w:color w:val="414141" w:themeColor="text2" w:themeShade="BF"/>
        </w:rPr>
        <w:t>Which elements were regarded as successful and why?</w:t>
      </w:r>
      <w:bookmarkEnd w:id="21"/>
      <w:r w:rsidR="00AA18B8" w:rsidRPr="003E0064">
        <w:rPr>
          <w:rStyle w:val="normaltextrun"/>
          <w:color w:val="414141" w:themeColor="text2" w:themeShade="BF"/>
        </w:rPr>
        <w:t> </w:t>
      </w:r>
    </w:p>
    <w:p w14:paraId="47B0A0D4" w14:textId="5213D258" w:rsidR="00BE7252" w:rsidRDefault="005C110F" w:rsidP="008D5188">
      <w:r>
        <w:t>Strongim Bisnis management cite</w:t>
      </w:r>
      <w:r w:rsidR="00AC4A4B">
        <w:t>d</w:t>
      </w:r>
      <w:r>
        <w:t xml:space="preserve"> the program’s ability to </w:t>
      </w:r>
      <w:r w:rsidR="008631E7" w:rsidRPr="00AC4A4B">
        <w:rPr>
          <w:b/>
          <w:bCs/>
        </w:rPr>
        <w:t>apply</w:t>
      </w:r>
      <w:r w:rsidRPr="00AC4A4B">
        <w:rPr>
          <w:b/>
          <w:bCs/>
        </w:rPr>
        <w:t xml:space="preserve"> its contextually-tailored MSD model beyond the original three sectors to several new areas</w:t>
      </w:r>
      <w:r w:rsidR="00A529CB">
        <w:rPr>
          <w:b/>
          <w:bCs/>
        </w:rPr>
        <w:t xml:space="preserve"> </w:t>
      </w:r>
      <w:r w:rsidR="00A529CB" w:rsidRPr="00A529CB">
        <w:t>as a highlight of Phase 2</w:t>
      </w:r>
      <w:r w:rsidRPr="00A529CB">
        <w:t>.</w:t>
      </w:r>
      <w:r w:rsidR="002C617A" w:rsidRPr="00A529CB">
        <w:t xml:space="preserve"> </w:t>
      </w:r>
      <w:r w:rsidR="00A7598D">
        <w:t xml:space="preserve">Program staff are </w:t>
      </w:r>
      <w:r w:rsidR="006A3079">
        <w:t>also</w:t>
      </w:r>
      <w:r w:rsidR="00A7598D">
        <w:t xml:space="preserve"> proud of new</w:t>
      </w:r>
      <w:r w:rsidR="00561811">
        <w:t xml:space="preserve"> partnerships in the WEE/SI portfolio</w:t>
      </w:r>
      <w:r w:rsidR="00A7598D">
        <w:t xml:space="preserve">, such as the </w:t>
      </w:r>
      <w:r w:rsidR="00A7598D" w:rsidRPr="00A7598D">
        <w:t>SolTuna childcare centre and the Vinakeke Youth Group fish shop</w:t>
      </w:r>
      <w:r w:rsidR="006A3079">
        <w:t>.</w:t>
      </w:r>
      <w:r w:rsidR="00A54BF9" w:rsidRPr="00A54BF9">
        <w:t xml:space="preserve"> </w:t>
      </w:r>
      <w:r w:rsidR="00A54BF9">
        <w:t>A senior SIG official praised the program as having successfully carved out a ‘specific space that it fits’.</w:t>
      </w:r>
      <w:r w:rsidR="0083390E" w:rsidRPr="0083390E">
        <w:t xml:space="preserve"> </w:t>
      </w:r>
      <w:r w:rsidR="0083390E" w:rsidRPr="00A529CB">
        <w:t>This</w:t>
      </w:r>
      <w:r w:rsidR="0083390E">
        <w:t xml:space="preserve"> </w:t>
      </w:r>
      <w:r w:rsidR="00211EA6">
        <w:t>is</w:t>
      </w:r>
      <w:r w:rsidR="0083390E">
        <w:t xml:space="preserve"> </w:t>
      </w:r>
      <w:r w:rsidR="008D18F1">
        <w:t xml:space="preserve">especially </w:t>
      </w:r>
      <w:r w:rsidR="00211EA6">
        <w:t>notable</w:t>
      </w:r>
      <w:r w:rsidR="008D18F1">
        <w:t xml:space="preserve"> in view of</w:t>
      </w:r>
      <w:r w:rsidR="0083390E">
        <w:t xml:space="preserve"> the difficulties faced in Phase 1 in securing acceptance of the </w:t>
      </w:r>
      <w:r w:rsidR="00D86608">
        <w:t xml:space="preserve">MSD </w:t>
      </w:r>
      <w:r w:rsidR="0083390E">
        <w:t xml:space="preserve">approach among </w:t>
      </w:r>
      <w:r w:rsidR="00FB76B0">
        <w:t xml:space="preserve">government </w:t>
      </w:r>
      <w:r w:rsidR="0083390E">
        <w:t>stakeholders.</w:t>
      </w:r>
    </w:p>
    <w:p w14:paraId="1EB4DBD9" w14:textId="2AE7A767" w:rsidR="003E0FCB" w:rsidRDefault="009A0EC5" w:rsidP="008D5188">
      <w:r>
        <w:t xml:space="preserve">Those with good knowledge of Strongim Bisnis recognise </w:t>
      </w:r>
      <w:r w:rsidR="009F3C75">
        <w:t>its achievement in</w:t>
      </w:r>
      <w:r w:rsidR="001A78E9">
        <w:t xml:space="preserve"> establish</w:t>
      </w:r>
      <w:r w:rsidR="009F3C75">
        <w:t>ing</w:t>
      </w:r>
      <w:r w:rsidR="001A78E9">
        <w:t xml:space="preserve"> a </w:t>
      </w:r>
      <w:r w:rsidR="001A78E9" w:rsidRPr="009C3094">
        <w:rPr>
          <w:b/>
          <w:bCs/>
        </w:rPr>
        <w:t xml:space="preserve">strong range of partnerships </w:t>
      </w:r>
      <w:r w:rsidR="00DB3761" w:rsidRPr="009C3094">
        <w:rPr>
          <w:b/>
          <w:bCs/>
        </w:rPr>
        <w:t>spanning the spectrum from some of the largest companies in Solomon Islands, through to micro</w:t>
      </w:r>
      <w:r w:rsidR="006603DF" w:rsidRPr="009C3094">
        <w:rPr>
          <w:b/>
          <w:bCs/>
        </w:rPr>
        <w:t>-</w:t>
      </w:r>
      <w:r w:rsidR="00DB3761" w:rsidRPr="009C3094">
        <w:rPr>
          <w:b/>
          <w:bCs/>
        </w:rPr>
        <w:t>enterprises run by individual women</w:t>
      </w:r>
      <w:r w:rsidR="00DB3761">
        <w:t xml:space="preserve">. </w:t>
      </w:r>
      <w:r w:rsidR="00455AEB">
        <w:t xml:space="preserve">This reflects the program’s </w:t>
      </w:r>
      <w:r w:rsidR="006603DF">
        <w:t xml:space="preserve">inclusive growth objective, </w:t>
      </w:r>
      <w:r w:rsidR="00091A13">
        <w:t>as well as relative ‘thinness’ of the local private sector.</w:t>
      </w:r>
      <w:r w:rsidR="00334D54">
        <w:t xml:space="preserve"> </w:t>
      </w:r>
      <w:r w:rsidR="00C00306">
        <w:t>Large businesses can generate strong</w:t>
      </w:r>
      <w:r w:rsidR="00334D54">
        <w:t xml:space="preserve"> economic impact </w:t>
      </w:r>
      <w:r w:rsidR="008A52C1">
        <w:t xml:space="preserve">with relatively </w:t>
      </w:r>
      <w:r w:rsidR="00300C3C">
        <w:t>low</w:t>
      </w:r>
      <w:r w:rsidR="00334D54">
        <w:t xml:space="preserve"> </w:t>
      </w:r>
      <w:r w:rsidR="008A52C1">
        <w:t>cost</w:t>
      </w:r>
      <w:r w:rsidR="00334D54">
        <w:t xml:space="preserve"> </w:t>
      </w:r>
      <w:r w:rsidR="00300C3C">
        <w:t xml:space="preserve">per beneficiary, but </w:t>
      </w:r>
      <w:r w:rsidR="00303529">
        <w:t xml:space="preserve">there are few </w:t>
      </w:r>
      <w:r w:rsidR="00E91B47">
        <w:t>such businesses</w:t>
      </w:r>
      <w:r w:rsidR="00C12718">
        <w:t xml:space="preserve">. </w:t>
      </w:r>
      <w:r w:rsidR="00F65DF4">
        <w:t>Seeking out</w:t>
      </w:r>
      <w:r w:rsidR="00BF4E45">
        <w:t xml:space="preserve"> viable partners </w:t>
      </w:r>
      <w:r w:rsidR="005073B3">
        <w:t>at micro and SME level is</w:t>
      </w:r>
      <w:r w:rsidR="00F65DF4">
        <w:t xml:space="preserve"> risky and time-consuming but </w:t>
      </w:r>
      <w:r w:rsidR="00BA73E9">
        <w:t xml:space="preserve">Strongim Bisnis has helped </w:t>
      </w:r>
      <w:r w:rsidR="00DC1EFC">
        <w:t>many</w:t>
      </w:r>
      <w:r w:rsidR="005945B3">
        <w:t xml:space="preserve"> to expand </w:t>
      </w:r>
      <w:r w:rsidR="00564512">
        <w:t>their activities</w:t>
      </w:r>
      <w:r w:rsidR="00DC1EFC">
        <w:t xml:space="preserve">, </w:t>
      </w:r>
      <w:r w:rsidR="002C371C">
        <w:t>generating benefits also</w:t>
      </w:r>
      <w:r w:rsidR="00854165">
        <w:t xml:space="preserve"> for</w:t>
      </w:r>
      <w:r w:rsidR="00A4113D">
        <w:t xml:space="preserve"> workers and suppliers</w:t>
      </w:r>
      <w:r w:rsidR="00A5039C">
        <w:t xml:space="preserve"> (as discussed under KEQ1)</w:t>
      </w:r>
      <w:r w:rsidR="00A4113D">
        <w:t>.</w:t>
      </w:r>
    </w:p>
    <w:p w14:paraId="41D9B12F" w14:textId="77777777" w:rsidR="00EC7614" w:rsidRPr="00157331" w:rsidRDefault="00EC7614" w:rsidP="00EC7614">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Pr="00157331">
        <w:rPr>
          <w:i/>
          <w:iCs/>
          <w:color w:val="1D336D" w:themeColor="background2"/>
          <w:sz w:val="18"/>
          <w:szCs w:val="18"/>
        </w:rPr>
        <w:t>Both the informal and formal sectors need strengthening but the Women’s Expo Trade Fair is a standout event</w:t>
      </w:r>
      <w:r>
        <w:rPr>
          <w:i/>
          <w:iCs/>
          <w:color w:val="1D336D" w:themeColor="background2"/>
          <w:sz w:val="18"/>
          <w:szCs w:val="18"/>
        </w:rPr>
        <w:t>’ - SIG</w:t>
      </w:r>
    </w:p>
    <w:p w14:paraId="4FEB4348" w14:textId="6228E8EE" w:rsidR="008D5188" w:rsidRDefault="00F40E58" w:rsidP="008D5188">
      <w:r w:rsidRPr="00FE070C">
        <w:rPr>
          <w:b/>
          <w:bCs/>
        </w:rPr>
        <w:t xml:space="preserve">Stakeholders </w:t>
      </w:r>
      <w:r w:rsidR="00826699">
        <w:rPr>
          <w:b/>
          <w:bCs/>
        </w:rPr>
        <w:t>praised</w:t>
      </w:r>
      <w:r w:rsidRPr="00FE070C">
        <w:rPr>
          <w:b/>
          <w:bCs/>
        </w:rPr>
        <w:t xml:space="preserve"> </w:t>
      </w:r>
      <w:r w:rsidR="00553CEB" w:rsidRPr="00FE070C">
        <w:rPr>
          <w:b/>
          <w:bCs/>
        </w:rPr>
        <w:t>Strongim Bisnis’ s</w:t>
      </w:r>
      <w:r w:rsidR="00FA5DD9" w:rsidRPr="00FE070C">
        <w:rPr>
          <w:b/>
          <w:bCs/>
        </w:rPr>
        <w:t>ocial media presence</w:t>
      </w:r>
      <w:r w:rsidR="00357F89" w:rsidRPr="00FE070C">
        <w:rPr>
          <w:b/>
          <w:bCs/>
        </w:rPr>
        <w:t>.</w:t>
      </w:r>
      <w:r w:rsidR="00357F89">
        <w:t xml:space="preserve"> Newspaper articles and online social media were </w:t>
      </w:r>
      <w:r w:rsidR="00796DBE">
        <w:t xml:space="preserve">highlighted as </w:t>
      </w:r>
      <w:r w:rsidR="00262154">
        <w:t>having</w:t>
      </w:r>
      <w:r w:rsidR="00796DBE">
        <w:t xml:space="preserve"> </w:t>
      </w:r>
      <w:r w:rsidR="003B4B2B">
        <w:t>built</w:t>
      </w:r>
      <w:r w:rsidR="00796DBE">
        <w:t xml:space="preserve"> </w:t>
      </w:r>
      <w:r w:rsidR="003A55C7">
        <w:t>partners’</w:t>
      </w:r>
      <w:r w:rsidR="00796DBE">
        <w:t xml:space="preserve"> confidence </w:t>
      </w:r>
      <w:r w:rsidR="00262154">
        <w:t>that</w:t>
      </w:r>
      <w:r w:rsidR="00796DBE">
        <w:t xml:space="preserve"> the </w:t>
      </w:r>
      <w:r w:rsidR="002F1D5D">
        <w:t>program</w:t>
      </w:r>
      <w:r w:rsidR="00A30729">
        <w:t xml:space="preserve"> align</w:t>
      </w:r>
      <w:r w:rsidR="00262154">
        <w:t>ed</w:t>
      </w:r>
      <w:r w:rsidR="001B1F8F">
        <w:t xml:space="preserve"> with </w:t>
      </w:r>
      <w:r w:rsidR="00C062CD">
        <w:t xml:space="preserve">both </w:t>
      </w:r>
      <w:r w:rsidR="00262154">
        <w:t xml:space="preserve">their own interests and with </w:t>
      </w:r>
      <w:r w:rsidR="00315954">
        <w:t>the country’s</w:t>
      </w:r>
      <w:r w:rsidR="001B1F8F">
        <w:t xml:space="preserve"> </w:t>
      </w:r>
      <w:r w:rsidR="002F1D5D">
        <w:t xml:space="preserve">development </w:t>
      </w:r>
      <w:r w:rsidR="00315954">
        <w:t>needs</w:t>
      </w:r>
      <w:r w:rsidR="00796DBE">
        <w:t xml:space="preserve">. </w:t>
      </w:r>
      <w:r w:rsidR="00C062CD">
        <w:t>SIG</w:t>
      </w:r>
      <w:r w:rsidR="00F526B0">
        <w:t xml:space="preserve"> partners felt the </w:t>
      </w:r>
      <w:r w:rsidR="00303F1B">
        <w:t>program</w:t>
      </w:r>
      <w:r w:rsidR="00826699">
        <w:t>’</w:t>
      </w:r>
      <w:r w:rsidR="001B26B2">
        <w:t xml:space="preserve">s </w:t>
      </w:r>
      <w:r w:rsidR="00C30852">
        <w:t xml:space="preserve">communications </w:t>
      </w:r>
      <w:r w:rsidR="001B26B2">
        <w:t xml:space="preserve">were resourceful and </w:t>
      </w:r>
      <w:r w:rsidR="00C062CD">
        <w:t>were</w:t>
      </w:r>
      <w:r w:rsidR="00D508BF">
        <w:t xml:space="preserve"> helping</w:t>
      </w:r>
      <w:r w:rsidR="001B26B2">
        <w:t xml:space="preserve"> </w:t>
      </w:r>
      <w:r w:rsidR="00781EB9">
        <w:t>enhanc</w:t>
      </w:r>
      <w:r w:rsidR="00AE3B9B">
        <w:t>e</w:t>
      </w:r>
      <w:r w:rsidR="00781EB9">
        <w:t xml:space="preserve"> already</w:t>
      </w:r>
      <w:r w:rsidR="00303F1B">
        <w:t xml:space="preserve"> good connections to markets</w:t>
      </w:r>
      <w:r w:rsidR="00AE3B9B">
        <w:t>.</w:t>
      </w:r>
      <w:r w:rsidR="00303F1B">
        <w:t xml:space="preserve"> </w:t>
      </w:r>
    </w:p>
    <w:p w14:paraId="0E26EF42" w14:textId="4F406638" w:rsidR="00B00884" w:rsidRPr="00E40192" w:rsidRDefault="006131BF" w:rsidP="00E40192">
      <w:r w:rsidRPr="00F93413">
        <w:rPr>
          <w:b/>
          <w:bCs/>
        </w:rPr>
        <w:t xml:space="preserve">Strongim Bisnis’ support for </w:t>
      </w:r>
      <w:r w:rsidR="006D5E19">
        <w:rPr>
          <w:b/>
          <w:bCs/>
        </w:rPr>
        <w:t xml:space="preserve">the </w:t>
      </w:r>
      <w:r w:rsidRPr="00F93413">
        <w:rPr>
          <w:b/>
          <w:bCs/>
        </w:rPr>
        <w:t>t</w:t>
      </w:r>
      <w:r w:rsidR="00A30729" w:rsidRPr="00F93413">
        <w:rPr>
          <w:b/>
          <w:bCs/>
        </w:rPr>
        <w:t xml:space="preserve">ourism sector </w:t>
      </w:r>
      <w:r w:rsidR="0019047D">
        <w:rPr>
          <w:b/>
          <w:bCs/>
        </w:rPr>
        <w:t>during the COVID-19 period was highly valued</w:t>
      </w:r>
      <w:r w:rsidRPr="00F93413">
        <w:rPr>
          <w:b/>
          <w:bCs/>
        </w:rPr>
        <w:t>.</w:t>
      </w:r>
      <w:r w:rsidR="00681303">
        <w:t xml:space="preserve"> </w:t>
      </w:r>
      <w:r w:rsidR="00EC2DFF">
        <w:t xml:space="preserve">The program </w:t>
      </w:r>
      <w:r w:rsidR="0019047D">
        <w:t>is</w:t>
      </w:r>
      <w:r w:rsidR="00EC2DFF">
        <w:t xml:space="preserve"> well known and highly regarded in the tourism industry</w:t>
      </w:r>
      <w:r w:rsidR="0065566F">
        <w:t xml:space="preserve"> and its</w:t>
      </w:r>
      <w:r w:rsidR="00AA1AD1">
        <w:t xml:space="preserve"> support </w:t>
      </w:r>
      <w:r w:rsidR="0065566F">
        <w:t>was described</w:t>
      </w:r>
      <w:r w:rsidR="00AA1AD1">
        <w:t xml:space="preserve"> </w:t>
      </w:r>
      <w:r w:rsidR="00560DFE">
        <w:t xml:space="preserve">as </w:t>
      </w:r>
      <w:r w:rsidR="0065566F">
        <w:t>‘</w:t>
      </w:r>
      <w:r w:rsidR="00560DFE">
        <w:t>excellent</w:t>
      </w:r>
      <w:r w:rsidR="0065566F">
        <w:t>’</w:t>
      </w:r>
      <w:r w:rsidR="008A69DA">
        <w:t>.</w:t>
      </w:r>
      <w:r w:rsidR="00E20482">
        <w:t xml:space="preserve"> </w:t>
      </w:r>
      <w:r w:rsidR="00F91525">
        <w:t>On the domestic market pivot</w:t>
      </w:r>
      <w:r w:rsidR="00A63837">
        <w:t>, one partner enthused</w:t>
      </w:r>
      <w:r w:rsidR="00F91525">
        <w:t xml:space="preserve"> </w:t>
      </w:r>
      <w:r w:rsidR="008A69DA">
        <w:t>‘we couldn’t have done it without them’</w:t>
      </w:r>
      <w:r w:rsidR="00E95DE4">
        <w:t xml:space="preserve">. </w:t>
      </w:r>
      <w:r w:rsidR="00001A53">
        <w:t>T</w:t>
      </w:r>
      <w:r w:rsidR="00DF7E38">
        <w:t>he program</w:t>
      </w:r>
      <w:r w:rsidR="00001A53">
        <w:t xml:space="preserve"> was praised in particular for its</w:t>
      </w:r>
      <w:r w:rsidR="00DF7E38">
        <w:t xml:space="preserve"> ability to </w:t>
      </w:r>
      <w:r w:rsidR="00001A53">
        <w:t>bring</w:t>
      </w:r>
      <w:r w:rsidR="00183237">
        <w:t xml:space="preserve"> partners</w:t>
      </w:r>
      <w:r w:rsidR="00001A53">
        <w:t xml:space="preserve"> together to</w:t>
      </w:r>
      <w:r w:rsidR="00183237">
        <w:t xml:space="preserve"> shar</w:t>
      </w:r>
      <w:r w:rsidR="00001A53">
        <w:t>e</w:t>
      </w:r>
      <w:r w:rsidR="00183237">
        <w:t xml:space="preserve"> information and </w:t>
      </w:r>
      <w:r w:rsidR="006078E2">
        <w:t>networks.</w:t>
      </w:r>
      <w:r w:rsidR="00F93413">
        <w:t xml:space="preserve"> </w:t>
      </w:r>
    </w:p>
    <w:p w14:paraId="1F8206FF" w14:textId="778C74EE" w:rsidR="00190BEA" w:rsidRDefault="000332FD" w:rsidP="00190BEA">
      <w:pPr>
        <w:pStyle w:val="Heading1"/>
      </w:pPr>
      <w:bookmarkStart w:id="22" w:name="_Toc131170449"/>
      <w:bookmarkStart w:id="23" w:name="_Toc129006820"/>
      <w:r>
        <w:t xml:space="preserve">KEQ4: </w:t>
      </w:r>
      <w:r w:rsidRPr="006D2AF3">
        <w:rPr>
          <w:rStyle w:val="normaltextrun"/>
        </w:rPr>
        <w:t>Outline practical recommendations for the refreshed Strongim Bisnis program design team</w:t>
      </w:r>
      <w:bookmarkEnd w:id="22"/>
      <w:r>
        <w:t xml:space="preserve"> </w:t>
      </w:r>
      <w:bookmarkEnd w:id="23"/>
    </w:p>
    <w:p w14:paraId="41A2B8C4" w14:textId="1D71BBFA" w:rsidR="00190BEA" w:rsidRPr="00D71E71" w:rsidRDefault="004C7ADF" w:rsidP="00D71E71">
      <w:pPr>
        <w:pStyle w:val="Heading2NOTOC"/>
        <w:rPr>
          <w:rStyle w:val="normaltextrun"/>
          <w:color w:val="414141" w:themeColor="text2" w:themeShade="BF"/>
        </w:rPr>
      </w:pPr>
      <w:bookmarkStart w:id="24" w:name="_Toc129006821"/>
      <w:bookmarkStart w:id="25" w:name="_Toc131170450"/>
      <w:r w:rsidRPr="00D71E71">
        <w:rPr>
          <w:rStyle w:val="normaltextrun"/>
          <w:color w:val="414141" w:themeColor="text2" w:themeShade="BF"/>
        </w:rPr>
        <w:t>S</w:t>
      </w:r>
      <w:r w:rsidR="00190BEA" w:rsidRPr="00D71E71">
        <w:rPr>
          <w:rStyle w:val="normaltextrun"/>
          <w:color w:val="414141" w:themeColor="text2" w:themeShade="BF"/>
        </w:rPr>
        <w:t>ub</w:t>
      </w:r>
      <w:r w:rsidRPr="00D71E71">
        <w:rPr>
          <w:rStyle w:val="normaltextrun"/>
          <w:color w:val="414141" w:themeColor="text2" w:themeShade="BF"/>
        </w:rPr>
        <w:t>Q</w:t>
      </w:r>
      <w:r w:rsidR="00190BEA" w:rsidRPr="00D71E71">
        <w:rPr>
          <w:rStyle w:val="normaltextrun"/>
          <w:color w:val="414141" w:themeColor="text2" w:themeShade="BF"/>
        </w:rPr>
        <w:t>4.1: Which elements of the existing program should be maintained and why</w:t>
      </w:r>
      <w:bookmarkEnd w:id="24"/>
      <w:bookmarkEnd w:id="25"/>
    </w:p>
    <w:p w14:paraId="2AD0DBB6" w14:textId="6E0FEEE7" w:rsidR="001D184F" w:rsidRPr="005B7140" w:rsidRDefault="00D516C2" w:rsidP="005B7140">
      <w:pPr>
        <w:pStyle w:val="ListParagraph"/>
        <w:numPr>
          <w:ilvl w:val="0"/>
          <w:numId w:val="45"/>
        </w:numPr>
        <w:spacing w:after="120"/>
        <w:ind w:left="357" w:hanging="357"/>
        <w:contextualSpacing w:val="0"/>
        <w:rPr>
          <w:rFonts w:ascii="Arial" w:hAnsi="Arial" w:cs="Arial"/>
          <w:bCs/>
          <w:szCs w:val="20"/>
        </w:rPr>
      </w:pPr>
      <w:r w:rsidRPr="005B7140">
        <w:rPr>
          <w:rFonts w:ascii="Arial" w:hAnsi="Arial" w:cs="Arial"/>
          <w:bCs/>
          <w:szCs w:val="20"/>
        </w:rPr>
        <w:t xml:space="preserve">The Evaluation Team recommends </w:t>
      </w:r>
      <w:r w:rsidR="00FF25BC" w:rsidRPr="005B7140">
        <w:rPr>
          <w:rFonts w:ascii="Arial" w:hAnsi="Arial" w:cs="Arial"/>
          <w:b/>
          <w:szCs w:val="20"/>
        </w:rPr>
        <w:t>maintaining</w:t>
      </w:r>
      <w:r w:rsidR="00FF25BC" w:rsidRPr="005B7140">
        <w:rPr>
          <w:rFonts w:ascii="Arial" w:hAnsi="Arial" w:cs="Arial"/>
          <w:bCs/>
          <w:szCs w:val="20"/>
        </w:rPr>
        <w:t xml:space="preserve"> </w:t>
      </w:r>
      <w:r w:rsidRPr="005B7140">
        <w:rPr>
          <w:rFonts w:ascii="Arial" w:hAnsi="Arial" w:cs="Arial"/>
          <w:bCs/>
          <w:szCs w:val="20"/>
        </w:rPr>
        <w:t>the following</w:t>
      </w:r>
      <w:r w:rsidR="00FF25BC" w:rsidRPr="005B7140">
        <w:rPr>
          <w:rFonts w:ascii="Arial" w:hAnsi="Arial" w:cs="Arial"/>
          <w:bCs/>
          <w:szCs w:val="20"/>
        </w:rPr>
        <w:t xml:space="preserve"> elements of the existing program</w:t>
      </w:r>
      <w:r w:rsidRPr="005B7140">
        <w:rPr>
          <w:rFonts w:ascii="Arial" w:hAnsi="Arial" w:cs="Arial"/>
          <w:bCs/>
          <w:szCs w:val="20"/>
        </w:rPr>
        <w:t>:</w:t>
      </w:r>
    </w:p>
    <w:p w14:paraId="1A9716AA" w14:textId="015CD6DB" w:rsidR="00190BEA" w:rsidRPr="005B7140" w:rsidRDefault="00190BEA" w:rsidP="005B7140">
      <w:pPr>
        <w:pStyle w:val="ListParagraph"/>
        <w:numPr>
          <w:ilvl w:val="1"/>
          <w:numId w:val="46"/>
        </w:numPr>
        <w:spacing w:after="120"/>
        <w:ind w:left="568" w:hanging="284"/>
        <w:contextualSpacing w:val="0"/>
        <w:rPr>
          <w:rFonts w:ascii="Arial" w:hAnsi="Arial" w:cs="Arial"/>
          <w:b/>
          <w:szCs w:val="20"/>
        </w:rPr>
      </w:pPr>
      <w:r w:rsidRPr="005B7140">
        <w:rPr>
          <w:rFonts w:ascii="Arial" w:hAnsi="Arial" w:cs="Arial"/>
          <w:b/>
          <w:szCs w:val="20"/>
        </w:rPr>
        <w:t>Most elements of the existing program should be maintained into Phase 3.</w:t>
      </w:r>
      <w:r w:rsidRPr="005B7140">
        <w:rPr>
          <w:rFonts w:ascii="Arial" w:hAnsi="Arial" w:cs="Arial"/>
          <w:bCs/>
          <w:szCs w:val="20"/>
        </w:rPr>
        <w:t xml:space="preserve"> Consultations across diverse stakeholders confirmed </w:t>
      </w:r>
      <w:r w:rsidR="005D04B3" w:rsidRPr="005B7140">
        <w:rPr>
          <w:rFonts w:ascii="Arial" w:hAnsi="Arial" w:cs="Arial"/>
          <w:bCs/>
          <w:szCs w:val="20"/>
        </w:rPr>
        <w:t>Strongim Bisnis</w:t>
      </w:r>
      <w:r w:rsidRPr="005B7140">
        <w:rPr>
          <w:rFonts w:ascii="Arial" w:hAnsi="Arial" w:cs="Arial"/>
          <w:bCs/>
          <w:szCs w:val="20"/>
        </w:rPr>
        <w:t xml:space="preserve"> has built long-term relationships and trust, established a solid reputation and ‘brand’ and performed reasonably well despite very difficult circumstances.</w:t>
      </w:r>
    </w:p>
    <w:p w14:paraId="314D3AF8" w14:textId="510229BA" w:rsidR="00190BEA" w:rsidRPr="005B7140" w:rsidRDefault="005D04B3" w:rsidP="005B7140">
      <w:pPr>
        <w:pStyle w:val="ListParagraph"/>
        <w:numPr>
          <w:ilvl w:val="1"/>
          <w:numId w:val="46"/>
        </w:numPr>
        <w:spacing w:after="120"/>
        <w:ind w:left="568" w:hanging="284"/>
        <w:contextualSpacing w:val="0"/>
        <w:rPr>
          <w:rFonts w:ascii="Arial" w:hAnsi="Arial" w:cs="Arial"/>
          <w:bCs/>
          <w:szCs w:val="20"/>
        </w:rPr>
      </w:pPr>
      <w:r w:rsidRPr="005B7140">
        <w:rPr>
          <w:rFonts w:ascii="Arial" w:hAnsi="Arial" w:cs="Arial"/>
          <w:b/>
          <w:szCs w:val="20"/>
        </w:rPr>
        <w:t>Strongim Bisnis’</w:t>
      </w:r>
      <w:r w:rsidR="00190BEA" w:rsidRPr="005B7140">
        <w:rPr>
          <w:rFonts w:ascii="Arial" w:hAnsi="Arial" w:cs="Arial"/>
          <w:b/>
          <w:szCs w:val="20"/>
        </w:rPr>
        <w:t xml:space="preserve"> flexible and adaptive approach should remain a core feature of the program. </w:t>
      </w:r>
      <w:r w:rsidRPr="005B7140">
        <w:rPr>
          <w:rFonts w:ascii="Arial" w:hAnsi="Arial" w:cs="Arial"/>
          <w:bCs/>
          <w:szCs w:val="20"/>
        </w:rPr>
        <w:t>Strongim Bisnis’</w:t>
      </w:r>
      <w:r w:rsidR="00190BEA" w:rsidRPr="005B7140">
        <w:rPr>
          <w:rFonts w:ascii="Arial" w:hAnsi="Arial" w:cs="Arial"/>
          <w:bCs/>
          <w:szCs w:val="20"/>
        </w:rPr>
        <w:t xml:space="preserve"> ability to maintain operations and achieve results despite the immense challenges of COVID-19 restrictions and Honiara riots is in large part due to its quick response to emerging priorities and opportunities, and reorientation of existing partnerships to reflect changing needs. This is valued by all stakeholders.</w:t>
      </w:r>
    </w:p>
    <w:p w14:paraId="7ADC134F" w14:textId="61AB449B" w:rsidR="00190BEA" w:rsidRPr="005B7140" w:rsidRDefault="00190BEA" w:rsidP="005B7140">
      <w:pPr>
        <w:pStyle w:val="ListParagraph"/>
        <w:numPr>
          <w:ilvl w:val="1"/>
          <w:numId w:val="46"/>
        </w:numPr>
        <w:spacing w:after="120"/>
        <w:ind w:left="568" w:hanging="284"/>
        <w:contextualSpacing w:val="0"/>
        <w:rPr>
          <w:rFonts w:ascii="Arial" w:hAnsi="Arial" w:cs="Arial"/>
          <w:bCs/>
          <w:szCs w:val="20"/>
        </w:rPr>
      </w:pPr>
      <w:r w:rsidRPr="005B7140">
        <w:rPr>
          <w:rFonts w:ascii="Arial" w:hAnsi="Arial" w:cs="Arial"/>
          <w:b/>
          <w:szCs w:val="20"/>
        </w:rPr>
        <w:t xml:space="preserve">The program should continue to be guided by core </w:t>
      </w:r>
      <w:r w:rsidR="00021EE4">
        <w:rPr>
          <w:rFonts w:ascii="Arial" w:hAnsi="Arial" w:cs="Arial"/>
          <w:b/>
          <w:szCs w:val="20"/>
        </w:rPr>
        <w:t>MSD</w:t>
      </w:r>
      <w:r>
        <w:rPr>
          <w:rFonts w:ascii="Arial" w:hAnsi="Arial" w:cs="Arial"/>
          <w:b/>
          <w:szCs w:val="20"/>
        </w:rPr>
        <w:t xml:space="preserve"> </w:t>
      </w:r>
      <w:r w:rsidRPr="005B7140">
        <w:rPr>
          <w:rFonts w:ascii="Arial" w:hAnsi="Arial" w:cs="Arial"/>
          <w:b/>
          <w:szCs w:val="20"/>
        </w:rPr>
        <w:t>principles</w:t>
      </w:r>
      <w:r w:rsidRPr="005B7140">
        <w:rPr>
          <w:rFonts w:ascii="Arial" w:hAnsi="Arial" w:cs="Arial"/>
          <w:bCs/>
          <w:szCs w:val="20"/>
        </w:rPr>
        <w:t xml:space="preserve">, but without getting caught up in unhelpful theoretical niceties. By and large, MSD principles </w:t>
      </w:r>
      <w:r w:rsidRPr="005B7140">
        <w:rPr>
          <w:rFonts w:ascii="Arial" w:hAnsi="Arial" w:cs="Arial"/>
          <w:bCs/>
          <w:szCs w:val="20"/>
          <w:u w:val="single"/>
        </w:rPr>
        <w:t>are</w:t>
      </w:r>
      <w:r w:rsidRPr="005B7140">
        <w:rPr>
          <w:rFonts w:ascii="Arial" w:hAnsi="Arial" w:cs="Arial"/>
          <w:bCs/>
          <w:szCs w:val="20"/>
        </w:rPr>
        <w:t xml:space="preserve"> still guiding the approach (e.g. systems perspective, ambitions around large-scale or sector-wide change, sustainability, facilitation, adaptive management.) While acknowledging </w:t>
      </w:r>
      <w:r w:rsidR="005D04B3" w:rsidRPr="005B7140">
        <w:rPr>
          <w:rFonts w:ascii="Arial" w:hAnsi="Arial" w:cs="Arial"/>
          <w:bCs/>
          <w:szCs w:val="20"/>
        </w:rPr>
        <w:t>Strongim Bisnis</w:t>
      </w:r>
      <w:r w:rsidRPr="005B7140">
        <w:rPr>
          <w:rFonts w:ascii="Arial" w:hAnsi="Arial" w:cs="Arial"/>
          <w:bCs/>
          <w:szCs w:val="20"/>
        </w:rPr>
        <w:t xml:space="preserve"> is ‘adapted’ MSD, it would be helpful to publicly articulate the principles guiding the program to ensure clarity on where the boundaries lie. This does not necessarily preclude occasional interventions that would not normally be considered appropriate in an MSD program</w:t>
      </w:r>
      <w:r>
        <w:rPr>
          <w:rStyle w:val="FootnoteReference"/>
          <w:rFonts w:ascii="Arial" w:hAnsi="Arial" w:cs="Arial"/>
          <w:bCs/>
          <w:szCs w:val="20"/>
        </w:rPr>
        <w:footnoteReference w:id="23"/>
      </w:r>
      <w:r w:rsidRPr="005B7140">
        <w:rPr>
          <w:rFonts w:ascii="Arial" w:hAnsi="Arial" w:cs="Arial"/>
          <w:bCs/>
          <w:szCs w:val="20"/>
        </w:rPr>
        <w:t xml:space="preserve">, but it would ensure that the rationale in such cases is clearly understood and agreed by relevant parties. The existing Flexible Fund Manual (2019) and associated operational templates provide useful guidance but may need updating for Phase 3. </w:t>
      </w:r>
    </w:p>
    <w:p w14:paraId="67DDA805" w14:textId="77777777" w:rsidR="00190BEA" w:rsidRPr="005B7140" w:rsidRDefault="00190BEA" w:rsidP="005B7140">
      <w:pPr>
        <w:pStyle w:val="ListParagraph"/>
        <w:numPr>
          <w:ilvl w:val="1"/>
          <w:numId w:val="46"/>
        </w:numPr>
        <w:spacing w:after="120"/>
        <w:ind w:left="568" w:hanging="284"/>
        <w:contextualSpacing w:val="0"/>
        <w:rPr>
          <w:rFonts w:ascii="Arial" w:hAnsi="Arial" w:cs="Arial"/>
          <w:b/>
          <w:szCs w:val="20"/>
        </w:rPr>
      </w:pPr>
      <w:r w:rsidRPr="005B7140">
        <w:rPr>
          <w:rFonts w:ascii="Arial" w:hAnsi="Arial" w:cs="Arial"/>
          <w:b/>
          <w:szCs w:val="20"/>
        </w:rPr>
        <w:t xml:space="preserve">Economic and social inclusion criteria should remain paramount in identifying partners and interventions. </w:t>
      </w:r>
      <w:r w:rsidRPr="005B7140">
        <w:rPr>
          <w:rFonts w:ascii="Arial" w:hAnsi="Arial" w:cs="Arial"/>
          <w:bCs/>
          <w:szCs w:val="20"/>
        </w:rPr>
        <w:t>Community-based programs such as the</w:t>
      </w:r>
      <w:r w:rsidRPr="005B7140">
        <w:rPr>
          <w:rFonts w:ascii="Arial" w:hAnsi="Arial" w:cs="Arial"/>
          <w:lang w:val="en-US"/>
        </w:rPr>
        <w:t xml:space="preserve"> collection of recyclables provide multiple benefits, not all of which are reflected in results reporting. While these should be acknowledged, there is a risk of diluting the program and detracting from its core mandate if it tries to be ‘all things to all people’, for instance by adding environmental benefits to its selection criteria</w:t>
      </w:r>
      <w:r>
        <w:rPr>
          <w:rStyle w:val="FootnoteReference"/>
          <w:rFonts w:ascii="Arial" w:hAnsi="Arial" w:cs="Arial"/>
          <w:lang w:val="en-US"/>
        </w:rPr>
        <w:footnoteReference w:id="24"/>
      </w:r>
      <w:r w:rsidRPr="005B7140">
        <w:rPr>
          <w:rFonts w:ascii="Arial" w:hAnsi="Arial" w:cs="Arial"/>
          <w:lang w:val="en-US"/>
        </w:rPr>
        <w:t xml:space="preserve">. </w:t>
      </w:r>
    </w:p>
    <w:p w14:paraId="3D83BE6E" w14:textId="4DE1F8FD" w:rsidR="00190BEA" w:rsidRPr="005B7140" w:rsidRDefault="00190BEA" w:rsidP="005B7140">
      <w:pPr>
        <w:pStyle w:val="ListParagraph"/>
        <w:numPr>
          <w:ilvl w:val="1"/>
          <w:numId w:val="46"/>
        </w:numPr>
        <w:spacing w:after="120"/>
        <w:ind w:left="568" w:hanging="284"/>
        <w:contextualSpacing w:val="0"/>
        <w:rPr>
          <w:rFonts w:ascii="Arial" w:hAnsi="Arial" w:cs="Arial"/>
          <w:bCs/>
          <w:szCs w:val="20"/>
        </w:rPr>
      </w:pPr>
      <w:r w:rsidRPr="005B7140">
        <w:rPr>
          <w:rFonts w:ascii="Arial" w:hAnsi="Arial" w:cs="Arial"/>
          <w:b/>
          <w:szCs w:val="20"/>
        </w:rPr>
        <w:t xml:space="preserve">Most of </w:t>
      </w:r>
      <w:r w:rsidR="005D04B3" w:rsidRPr="005B7140">
        <w:rPr>
          <w:rFonts w:ascii="Arial" w:hAnsi="Arial" w:cs="Arial"/>
          <w:b/>
          <w:szCs w:val="20"/>
        </w:rPr>
        <w:t>Strongim Bisnis’</w:t>
      </w:r>
      <w:r w:rsidRPr="005B7140">
        <w:rPr>
          <w:rFonts w:ascii="Arial" w:hAnsi="Arial" w:cs="Arial"/>
          <w:b/>
          <w:szCs w:val="20"/>
        </w:rPr>
        <w:t xml:space="preserve"> current sectors remain appropriate.</w:t>
      </w:r>
      <w:r w:rsidRPr="005B7140">
        <w:rPr>
          <w:rFonts w:ascii="Arial" w:hAnsi="Arial" w:cs="Arial"/>
          <w:bCs/>
          <w:szCs w:val="20"/>
        </w:rPr>
        <w:t xml:space="preserve"> The program should </w:t>
      </w:r>
      <w:r w:rsidRPr="005B7140">
        <w:rPr>
          <w:rFonts w:ascii="Arial" w:hAnsi="Arial" w:cs="Arial"/>
          <w:lang w:val="en-US"/>
        </w:rPr>
        <w:t xml:space="preserve">regularly assess growth and inclusion opportunities </w:t>
      </w:r>
      <w:r w:rsidRPr="005B7140">
        <w:rPr>
          <w:rFonts w:ascii="Arial" w:hAnsi="Arial" w:cs="Arial"/>
          <w:bCs/>
          <w:szCs w:val="20"/>
        </w:rPr>
        <w:t xml:space="preserve">within and across these sectors, </w:t>
      </w:r>
      <w:r w:rsidRPr="005B7140">
        <w:rPr>
          <w:rFonts w:ascii="Arial" w:hAnsi="Arial" w:cs="Arial"/>
          <w:lang w:val="en-US"/>
        </w:rPr>
        <w:t>and</w:t>
      </w:r>
      <w:r w:rsidRPr="005B7140">
        <w:rPr>
          <w:rFonts w:ascii="Arial" w:hAnsi="Arial" w:cs="Arial"/>
          <w:bCs/>
          <w:szCs w:val="20"/>
        </w:rPr>
        <w:t xml:space="preserve"> rebalance allocations as required to maximise achievement of its various objectives. The annual</w:t>
      </w:r>
      <w:r w:rsidRPr="00EE6753">
        <w:rPr>
          <w:lang w:val="en-US"/>
        </w:rPr>
        <w:t xml:space="preserve"> </w:t>
      </w:r>
      <w:r w:rsidRPr="005B7140">
        <w:rPr>
          <w:rFonts w:ascii="Arial" w:hAnsi="Arial" w:cs="Arial"/>
          <w:lang w:val="en-US"/>
        </w:rPr>
        <w:t>reviews of partnerships will support this process, but more frequent ‘health checks’ may be warranted in some cases. The Financial Services sector could benefit from</w:t>
      </w:r>
      <w:r w:rsidRPr="005B7140">
        <w:rPr>
          <w:rFonts w:ascii="Arial" w:hAnsi="Arial" w:cs="Arial"/>
          <w:bCs/>
          <w:szCs w:val="20"/>
        </w:rPr>
        <w:t xml:space="preserve"> a fresh approach and there are potential new areas to explore, as outlined under SubQ4.2 below.</w:t>
      </w:r>
      <w:r w:rsidRPr="00EE6753">
        <w:rPr>
          <w:lang w:val="en-US"/>
        </w:rPr>
        <w:t xml:space="preserve"> </w:t>
      </w:r>
    </w:p>
    <w:p w14:paraId="3D516F55" w14:textId="77777777" w:rsidR="00AE1D46" w:rsidRPr="00AE1D46" w:rsidRDefault="005D04B3">
      <w:pPr>
        <w:pStyle w:val="ListParagraph"/>
        <w:numPr>
          <w:ilvl w:val="1"/>
          <w:numId w:val="46"/>
        </w:numPr>
        <w:spacing w:after="120"/>
        <w:ind w:left="568" w:hanging="284"/>
        <w:contextualSpacing w:val="0"/>
        <w:rPr>
          <w:rFonts w:ascii="Arial" w:hAnsi="Arial" w:cs="Arial"/>
          <w:lang w:val="en-US"/>
        </w:rPr>
      </w:pPr>
      <w:r w:rsidRPr="005B7140">
        <w:rPr>
          <w:rFonts w:ascii="Arial" w:hAnsi="Arial" w:cs="Arial"/>
          <w:b/>
          <w:szCs w:val="20"/>
        </w:rPr>
        <w:t>Strongim Bisnis</w:t>
      </w:r>
      <w:r w:rsidR="00190BEA" w:rsidRPr="005B7140">
        <w:rPr>
          <w:rFonts w:ascii="Arial" w:hAnsi="Arial" w:cs="Arial"/>
          <w:b/>
          <w:szCs w:val="20"/>
        </w:rPr>
        <w:t xml:space="preserve"> should retain its twin-track approach to GEDSI, including a </w:t>
      </w:r>
      <w:r w:rsidR="00190BEA" w:rsidRPr="005B7140">
        <w:rPr>
          <w:rFonts w:ascii="Arial" w:hAnsi="Arial" w:cs="Arial"/>
          <w:b/>
          <w:lang w:val="en-US"/>
        </w:rPr>
        <w:t>focus on GEDSI across all interventions</w:t>
      </w:r>
      <w:r w:rsidR="00AF11BF" w:rsidRPr="00C45381">
        <w:rPr>
          <w:rFonts w:ascii="Arial" w:hAnsi="Arial" w:cs="Arial"/>
          <w:b/>
          <w:lang w:val="en-US"/>
        </w:rPr>
        <w:t>.</w:t>
      </w:r>
      <w:r w:rsidR="00AF11BF" w:rsidRPr="005B7140">
        <w:rPr>
          <w:rFonts w:ascii="Arial" w:hAnsi="Arial" w:cs="Arial"/>
          <w:bCs/>
          <w:lang w:val="en-US"/>
        </w:rPr>
        <w:t xml:space="preserve"> </w:t>
      </w:r>
      <w:r w:rsidR="00C45381" w:rsidRPr="005B7140">
        <w:rPr>
          <w:rFonts w:ascii="Arial" w:hAnsi="Arial" w:cs="Arial"/>
          <w:bCs/>
          <w:lang w:val="en-US"/>
        </w:rPr>
        <w:t xml:space="preserve">This is </w:t>
      </w:r>
      <w:r w:rsidR="00D95BED">
        <w:rPr>
          <w:rFonts w:ascii="Arial" w:hAnsi="Arial" w:cs="Arial"/>
          <w:bCs/>
          <w:lang w:val="en-US"/>
        </w:rPr>
        <w:t>delivering strong results, particularly for women and youth.</w:t>
      </w:r>
    </w:p>
    <w:p w14:paraId="022D4A0C" w14:textId="1B3F28E1" w:rsidR="00190BEA" w:rsidRPr="004154B4" w:rsidRDefault="00AE1D46" w:rsidP="005B7140">
      <w:pPr>
        <w:spacing w:after="120"/>
        <w:ind w:left="568"/>
        <w:rPr>
          <w:rFonts w:ascii="Arial" w:hAnsi="Arial" w:cs="Arial"/>
          <w:lang w:val="en-US"/>
        </w:rPr>
      </w:pPr>
      <w:r w:rsidRPr="005B7140">
        <w:rPr>
          <w:rFonts w:ascii="Arial" w:hAnsi="Arial" w:cs="Arial"/>
          <w:b/>
          <w:lang w:val="en-US"/>
        </w:rPr>
        <w:t>Further</w:t>
      </w:r>
      <w:r w:rsidR="00863088" w:rsidRPr="005B7140">
        <w:rPr>
          <w:rFonts w:ascii="Arial" w:hAnsi="Arial" w:cs="Arial"/>
          <w:b/>
          <w:lang w:val="en-US"/>
        </w:rPr>
        <w:t xml:space="preserve"> efforts</w:t>
      </w:r>
      <w:r w:rsidR="005A7C56" w:rsidRPr="005B7140">
        <w:rPr>
          <w:b/>
        </w:rPr>
        <w:t xml:space="preserve"> </w:t>
      </w:r>
      <w:r w:rsidR="00BC4CB5" w:rsidRPr="005B7140">
        <w:rPr>
          <w:b/>
        </w:rPr>
        <w:t>will be required</w:t>
      </w:r>
      <w:r w:rsidR="005F0070" w:rsidRPr="005B7140">
        <w:rPr>
          <w:b/>
        </w:rPr>
        <w:t xml:space="preserve"> </w:t>
      </w:r>
      <w:r w:rsidR="005A7C56" w:rsidRPr="005B7140">
        <w:rPr>
          <w:b/>
        </w:rPr>
        <w:t xml:space="preserve">to increase the number of people </w:t>
      </w:r>
      <w:r w:rsidR="00FA4EEE" w:rsidRPr="005B7140">
        <w:rPr>
          <w:b/>
        </w:rPr>
        <w:t xml:space="preserve">living </w:t>
      </w:r>
      <w:r w:rsidR="005A7C56" w:rsidRPr="005B7140">
        <w:rPr>
          <w:b/>
        </w:rPr>
        <w:t xml:space="preserve">with disabilities </w:t>
      </w:r>
      <w:r w:rsidR="00C51396" w:rsidRPr="005B7140">
        <w:rPr>
          <w:b/>
        </w:rPr>
        <w:t xml:space="preserve">who </w:t>
      </w:r>
      <w:r w:rsidR="00FA4EEE" w:rsidRPr="005B7140">
        <w:rPr>
          <w:b/>
        </w:rPr>
        <w:t>benefit from</w:t>
      </w:r>
      <w:r w:rsidR="005A7C56" w:rsidRPr="005B7140">
        <w:rPr>
          <w:b/>
        </w:rPr>
        <w:t xml:space="preserve"> program activities</w:t>
      </w:r>
      <w:r w:rsidRPr="005B7140">
        <w:rPr>
          <w:b/>
        </w:rPr>
        <w:t>.</w:t>
      </w:r>
      <w:r w:rsidRPr="005B7140">
        <w:t xml:space="preserve"> B</w:t>
      </w:r>
      <w:r w:rsidRPr="005B7140">
        <w:rPr>
          <w:rFonts w:ascii="Arial" w:hAnsi="Arial" w:cs="Arial"/>
          <w:lang w:val="en-US"/>
        </w:rPr>
        <w:t xml:space="preserve">uilding on achievements to date, </w:t>
      </w:r>
      <w:r w:rsidR="007063BE" w:rsidRPr="005B7140">
        <w:rPr>
          <w:rFonts w:ascii="Arial" w:hAnsi="Arial" w:cs="Arial"/>
          <w:lang w:val="en-US"/>
        </w:rPr>
        <w:t xml:space="preserve">strategies </w:t>
      </w:r>
      <w:r w:rsidR="00765068" w:rsidRPr="005B7140">
        <w:t xml:space="preserve">could include </w:t>
      </w:r>
      <w:r w:rsidR="00DC2834" w:rsidRPr="005B7140">
        <w:t xml:space="preserve">developing </w:t>
      </w:r>
      <w:r w:rsidR="001411B2" w:rsidRPr="005B7140">
        <w:t>new partnerships</w:t>
      </w:r>
      <w:r w:rsidR="001358D8" w:rsidRPr="005B7140">
        <w:t xml:space="preserve"> with businesses owned by or </w:t>
      </w:r>
      <w:r w:rsidR="000C54C5" w:rsidRPr="005B7140">
        <w:t xml:space="preserve">servicing </w:t>
      </w:r>
      <w:r w:rsidR="005F5A76" w:rsidRPr="005B7140">
        <w:t>people living with a disability</w:t>
      </w:r>
      <w:r w:rsidR="001358D8" w:rsidRPr="005B7140">
        <w:t>,</w:t>
      </w:r>
      <w:r w:rsidR="00451336" w:rsidRPr="005B7140">
        <w:t xml:space="preserve"> </w:t>
      </w:r>
      <w:r w:rsidR="00985BFA" w:rsidRPr="005B7140">
        <w:t xml:space="preserve">increasing </w:t>
      </w:r>
      <w:r w:rsidR="00E46A72" w:rsidRPr="005B7140">
        <w:t>support</w:t>
      </w:r>
      <w:r w:rsidR="00985BFA" w:rsidRPr="005B7140">
        <w:t xml:space="preserve"> for</w:t>
      </w:r>
      <w:r w:rsidR="002302B3" w:rsidRPr="005B7140">
        <w:t xml:space="preserve"> </w:t>
      </w:r>
      <w:r w:rsidR="00E83552" w:rsidRPr="005B7140">
        <w:t xml:space="preserve">events and </w:t>
      </w:r>
      <w:r w:rsidR="00FB75F7" w:rsidRPr="005B7140">
        <w:t>collaborations</w:t>
      </w:r>
      <w:r w:rsidR="00107D5D" w:rsidRPr="005B7140">
        <w:t xml:space="preserve"> </w:t>
      </w:r>
      <w:r w:rsidR="00FB75F7" w:rsidRPr="005B7140">
        <w:t>that</w:t>
      </w:r>
      <w:r w:rsidR="00107D5D" w:rsidRPr="005B7140">
        <w:t xml:space="preserve"> </w:t>
      </w:r>
      <w:r w:rsidR="00985BFA" w:rsidRPr="005B7140">
        <w:t>improve</w:t>
      </w:r>
      <w:r w:rsidR="001358D8" w:rsidRPr="005B7140">
        <w:t xml:space="preserve"> the </w:t>
      </w:r>
      <w:r w:rsidR="00892A93" w:rsidRPr="005B7140">
        <w:t>profile and community acceptance</w:t>
      </w:r>
      <w:r w:rsidR="001358D8" w:rsidRPr="005B7140">
        <w:t xml:space="preserve"> of</w:t>
      </w:r>
      <w:r w:rsidR="005F5A76" w:rsidRPr="005B7140">
        <w:t xml:space="preserve"> this target group</w:t>
      </w:r>
      <w:r w:rsidR="001358D8" w:rsidRPr="005B7140">
        <w:t xml:space="preserve">, </w:t>
      </w:r>
      <w:r w:rsidR="005E6947" w:rsidRPr="005B7140">
        <w:t xml:space="preserve">and engaging regularly with </w:t>
      </w:r>
      <w:r w:rsidR="00D91E25" w:rsidRPr="005B7140">
        <w:t xml:space="preserve">disability-focused </w:t>
      </w:r>
      <w:r w:rsidR="005E6947" w:rsidRPr="005B7140">
        <w:t>organisations</w:t>
      </w:r>
      <w:r w:rsidR="00493892" w:rsidRPr="005B7140">
        <w:t xml:space="preserve">. </w:t>
      </w:r>
      <w:r w:rsidR="0047582A">
        <w:t xml:space="preserve">Strongim Bisnis should also </w:t>
      </w:r>
      <w:r w:rsidR="002A2833">
        <w:t>promote access and inclusion in</w:t>
      </w:r>
      <w:r w:rsidR="008C6E6C">
        <w:t xml:space="preserve"> its own workplace</w:t>
      </w:r>
      <w:r w:rsidR="008A328B">
        <w:t xml:space="preserve">. </w:t>
      </w:r>
      <w:r w:rsidR="00F34D29">
        <w:t xml:space="preserve"> </w:t>
      </w:r>
    </w:p>
    <w:p w14:paraId="1E7E57CC" w14:textId="57329091" w:rsidR="00190BEA" w:rsidRPr="005B7140" w:rsidRDefault="005D04B3" w:rsidP="005B7140">
      <w:pPr>
        <w:pStyle w:val="ListParagraph"/>
        <w:numPr>
          <w:ilvl w:val="1"/>
          <w:numId w:val="46"/>
        </w:numPr>
        <w:spacing w:after="120"/>
        <w:ind w:left="568" w:hanging="284"/>
        <w:contextualSpacing w:val="0"/>
        <w:rPr>
          <w:rFonts w:ascii="Arial" w:hAnsi="Arial" w:cs="Arial"/>
          <w:bCs/>
          <w:szCs w:val="20"/>
        </w:rPr>
      </w:pPr>
      <w:r w:rsidRPr="005B7140">
        <w:rPr>
          <w:rFonts w:ascii="Arial" w:hAnsi="Arial" w:cs="Arial"/>
          <w:b/>
          <w:szCs w:val="20"/>
        </w:rPr>
        <w:t>Strongim Bisnis</w:t>
      </w:r>
      <w:r w:rsidR="00190BEA" w:rsidRPr="005B7140">
        <w:rPr>
          <w:rFonts w:ascii="Arial" w:hAnsi="Arial" w:cs="Arial"/>
          <w:b/>
          <w:szCs w:val="20"/>
        </w:rPr>
        <w:t xml:space="preserve"> Phase 3 will inevitably retain its heaviest footprint in Honiara and nearby parts of Guadalcanal</w:t>
      </w:r>
      <w:r w:rsidR="00190BEA" w:rsidRPr="005B7140">
        <w:rPr>
          <w:rFonts w:ascii="Arial" w:hAnsi="Arial" w:cs="Arial"/>
          <w:bCs/>
          <w:szCs w:val="20"/>
        </w:rPr>
        <w:t xml:space="preserve">, given that is the primary locus of economic activity in the chosen sectors. A few partners are in Western and Central Provinces, including two very large ones, KFPL and SolTuna. In addition, several </w:t>
      </w:r>
      <w:r w:rsidRPr="005B7140">
        <w:rPr>
          <w:rFonts w:ascii="Arial" w:hAnsi="Arial" w:cs="Arial"/>
          <w:bCs/>
          <w:szCs w:val="20"/>
        </w:rPr>
        <w:t>Strongim Bisnis</w:t>
      </w:r>
      <w:r w:rsidR="00190BEA" w:rsidRPr="005B7140">
        <w:rPr>
          <w:rFonts w:ascii="Arial" w:hAnsi="Arial" w:cs="Arial"/>
          <w:bCs/>
          <w:szCs w:val="20"/>
        </w:rPr>
        <w:t xml:space="preserve"> partners have strong supply chain linkages into other locations. Given the high costs of intensive work in other provinces, </w:t>
      </w:r>
      <w:r w:rsidRPr="005B7140">
        <w:rPr>
          <w:rFonts w:ascii="Arial" w:hAnsi="Arial" w:cs="Arial"/>
          <w:bCs/>
          <w:szCs w:val="20"/>
        </w:rPr>
        <w:t>Strongim Bisnis</w:t>
      </w:r>
      <w:r w:rsidR="00190BEA" w:rsidRPr="005B7140">
        <w:rPr>
          <w:rFonts w:ascii="Arial" w:hAnsi="Arial" w:cs="Arial"/>
          <w:bCs/>
          <w:szCs w:val="20"/>
        </w:rPr>
        <w:t xml:space="preserve"> should in the first instance continue to expand its geographic reach indirectly through this type of partner, while also exploring potential new partnerships based in other provinces that can be managed efficiently within the available resourcing. </w:t>
      </w:r>
      <w:r w:rsidR="00195768">
        <w:rPr>
          <w:rFonts w:ascii="Arial" w:hAnsi="Arial" w:cs="Arial"/>
          <w:bCs/>
          <w:szCs w:val="20"/>
        </w:rPr>
        <w:t xml:space="preserve">Expanding the program’s impacts on people living with disabilities will </w:t>
      </w:r>
      <w:r w:rsidR="006A7B10">
        <w:rPr>
          <w:rFonts w:ascii="Arial" w:hAnsi="Arial" w:cs="Arial"/>
          <w:bCs/>
          <w:szCs w:val="20"/>
        </w:rPr>
        <w:t xml:space="preserve">also </w:t>
      </w:r>
      <w:r w:rsidR="00195768">
        <w:rPr>
          <w:rFonts w:ascii="Arial" w:hAnsi="Arial" w:cs="Arial"/>
          <w:bCs/>
          <w:szCs w:val="20"/>
        </w:rPr>
        <w:t>likely require identify</w:t>
      </w:r>
      <w:r w:rsidR="00616848">
        <w:rPr>
          <w:rFonts w:ascii="Arial" w:hAnsi="Arial" w:cs="Arial"/>
          <w:bCs/>
          <w:szCs w:val="20"/>
        </w:rPr>
        <w:t>ing</w:t>
      </w:r>
      <w:r w:rsidR="00056CA2">
        <w:rPr>
          <w:rFonts w:ascii="Arial" w:hAnsi="Arial" w:cs="Arial"/>
          <w:bCs/>
          <w:szCs w:val="20"/>
        </w:rPr>
        <w:t xml:space="preserve"> </w:t>
      </w:r>
      <w:r w:rsidR="003043D1">
        <w:rPr>
          <w:rFonts w:ascii="Arial" w:hAnsi="Arial" w:cs="Arial"/>
          <w:bCs/>
          <w:szCs w:val="20"/>
        </w:rPr>
        <w:t>additional</w:t>
      </w:r>
      <w:r w:rsidR="00056CA2">
        <w:rPr>
          <w:rFonts w:ascii="Arial" w:hAnsi="Arial" w:cs="Arial"/>
          <w:bCs/>
          <w:szCs w:val="20"/>
        </w:rPr>
        <w:t xml:space="preserve"> partnership</w:t>
      </w:r>
      <w:r w:rsidR="003043D1">
        <w:rPr>
          <w:rFonts w:ascii="Arial" w:hAnsi="Arial" w:cs="Arial"/>
          <w:bCs/>
          <w:szCs w:val="20"/>
        </w:rPr>
        <w:t xml:space="preserve"> opportunities outside Guadalcanal.</w:t>
      </w:r>
      <w:r w:rsidR="00E775DC">
        <w:rPr>
          <w:rFonts w:ascii="Arial" w:hAnsi="Arial" w:cs="Arial"/>
          <w:bCs/>
          <w:szCs w:val="20"/>
        </w:rPr>
        <w:t xml:space="preserve"> </w:t>
      </w:r>
      <w:r w:rsidR="006B79D1">
        <w:rPr>
          <w:rFonts w:ascii="Arial" w:hAnsi="Arial" w:cs="Arial"/>
          <w:bCs/>
          <w:szCs w:val="20"/>
        </w:rPr>
        <w:t xml:space="preserve"> </w:t>
      </w:r>
    </w:p>
    <w:p w14:paraId="6FFAF1BE" w14:textId="7CD2C3A9" w:rsidR="00190BEA" w:rsidRPr="005B7140" w:rsidRDefault="00190BEA" w:rsidP="005B7140">
      <w:pPr>
        <w:pStyle w:val="ListParagraph"/>
        <w:numPr>
          <w:ilvl w:val="1"/>
          <w:numId w:val="46"/>
        </w:numPr>
        <w:spacing w:after="120"/>
        <w:ind w:left="568" w:hanging="284"/>
        <w:contextualSpacing w:val="0"/>
        <w:rPr>
          <w:rFonts w:ascii="Arial" w:hAnsi="Arial" w:cs="Arial"/>
          <w:bCs/>
          <w:szCs w:val="20"/>
        </w:rPr>
      </w:pPr>
      <w:r w:rsidRPr="005B7140">
        <w:rPr>
          <w:rFonts w:ascii="Arial" w:hAnsi="Arial" w:cs="Arial"/>
          <w:b/>
          <w:szCs w:val="20"/>
        </w:rPr>
        <w:t>Opportunities should continue being sought to promote domestic markets as well as exports</w:t>
      </w:r>
      <w:r w:rsidRPr="005B7140">
        <w:rPr>
          <w:rFonts w:ascii="Arial" w:hAnsi="Arial" w:cs="Arial"/>
          <w:bCs/>
          <w:szCs w:val="20"/>
        </w:rPr>
        <w:t xml:space="preserve">. While the ‘value of exports facilitated’ is an important </w:t>
      </w:r>
      <w:r w:rsidR="005D04B3" w:rsidRPr="005B7140">
        <w:rPr>
          <w:rFonts w:ascii="Arial" w:hAnsi="Arial" w:cs="Arial"/>
          <w:bCs/>
          <w:szCs w:val="20"/>
        </w:rPr>
        <w:t>Strongim Bisnis</w:t>
      </w:r>
      <w:r w:rsidRPr="005B7140">
        <w:rPr>
          <w:rFonts w:ascii="Arial" w:hAnsi="Arial" w:cs="Arial"/>
          <w:bCs/>
          <w:szCs w:val="20"/>
        </w:rPr>
        <w:t xml:space="preserve"> progress indicator, relatively few entrepreneurs are able to access export markets whereas many can benefit from the domestic circulation of produce and income. The enforced pivot of the tourism sector to domestic travellers can be further built on during Phase 3.</w:t>
      </w:r>
    </w:p>
    <w:p w14:paraId="0919058E" w14:textId="2DFDFF25" w:rsidR="00190BEA" w:rsidRPr="005B7140" w:rsidRDefault="00190BEA" w:rsidP="005B7140">
      <w:pPr>
        <w:pStyle w:val="ListParagraph"/>
        <w:numPr>
          <w:ilvl w:val="1"/>
          <w:numId w:val="46"/>
        </w:numPr>
        <w:spacing w:after="120"/>
        <w:ind w:left="568" w:hanging="284"/>
        <w:rPr>
          <w:rFonts w:ascii="Arial" w:hAnsi="Arial" w:cs="Arial"/>
          <w:bCs/>
          <w:szCs w:val="20"/>
        </w:rPr>
      </w:pPr>
      <w:r w:rsidRPr="005B7140">
        <w:rPr>
          <w:rFonts w:ascii="Arial" w:hAnsi="Arial" w:cs="Arial"/>
          <w:b/>
          <w:szCs w:val="20"/>
        </w:rPr>
        <w:t>Collaboration with other development partner programs remains essential</w:t>
      </w:r>
      <w:r w:rsidRPr="005B7140">
        <w:rPr>
          <w:rFonts w:ascii="Arial" w:hAnsi="Arial" w:cs="Arial"/>
          <w:bCs/>
          <w:szCs w:val="20"/>
        </w:rPr>
        <w:t xml:space="preserve"> to avoid duplication or inconsistency. There are potential areas of overlap </w:t>
      </w:r>
      <w:r w:rsidR="0031150E" w:rsidRPr="005B7140">
        <w:rPr>
          <w:rFonts w:ascii="Arial" w:hAnsi="Arial" w:cs="Arial"/>
          <w:bCs/>
          <w:szCs w:val="20"/>
        </w:rPr>
        <w:t xml:space="preserve">in particular </w:t>
      </w:r>
      <w:r w:rsidRPr="005B7140">
        <w:rPr>
          <w:rFonts w:ascii="Arial" w:hAnsi="Arial" w:cs="Arial"/>
          <w:bCs/>
          <w:szCs w:val="20"/>
        </w:rPr>
        <w:t>with</w:t>
      </w:r>
      <w:r w:rsidR="004010C6">
        <w:rPr>
          <w:rFonts w:ascii="Arial" w:hAnsi="Arial" w:cs="Arial"/>
          <w:bCs/>
          <w:szCs w:val="20"/>
        </w:rPr>
        <w:t xml:space="preserve"> the </w:t>
      </w:r>
      <w:r w:rsidR="0031150E" w:rsidRPr="005B7140">
        <w:rPr>
          <w:rFonts w:ascii="Arial" w:hAnsi="Arial" w:cs="Arial"/>
          <w:b/>
          <w:szCs w:val="20"/>
        </w:rPr>
        <w:t>PHAMA Plus</w:t>
      </w:r>
      <w:r w:rsidR="0031150E">
        <w:rPr>
          <w:rFonts w:ascii="Arial" w:hAnsi="Arial" w:cs="Arial"/>
          <w:b/>
          <w:szCs w:val="20"/>
        </w:rPr>
        <w:t xml:space="preserve"> </w:t>
      </w:r>
      <w:r w:rsidR="0031150E" w:rsidRPr="0054321B">
        <w:rPr>
          <w:rFonts w:ascii="Arial" w:hAnsi="Arial" w:cs="Arial"/>
          <w:bCs/>
          <w:szCs w:val="20"/>
        </w:rPr>
        <w:t xml:space="preserve">program funded </w:t>
      </w:r>
      <w:r w:rsidR="0031150E">
        <w:rPr>
          <w:rFonts w:ascii="Arial" w:hAnsi="Arial" w:cs="Arial"/>
          <w:bCs/>
          <w:szCs w:val="20"/>
        </w:rPr>
        <w:t xml:space="preserve">by </w:t>
      </w:r>
      <w:r w:rsidR="004010C6" w:rsidRPr="0054321B">
        <w:rPr>
          <w:rFonts w:ascii="Arial" w:hAnsi="Arial" w:cs="Arial"/>
          <w:bCs/>
          <w:szCs w:val="20"/>
        </w:rPr>
        <w:t>Australia and New Zealand</w:t>
      </w:r>
      <w:r w:rsidRPr="005B7140">
        <w:rPr>
          <w:rFonts w:ascii="Arial" w:hAnsi="Arial" w:cs="Arial"/>
          <w:bCs/>
          <w:szCs w:val="20"/>
        </w:rPr>
        <w:t xml:space="preserve">, </w:t>
      </w:r>
      <w:r w:rsidR="009E30D2" w:rsidRPr="005B7140">
        <w:rPr>
          <w:rFonts w:ascii="Arial" w:hAnsi="Arial" w:cs="Arial"/>
          <w:bCs/>
          <w:szCs w:val="20"/>
        </w:rPr>
        <w:t xml:space="preserve">at </w:t>
      </w:r>
      <w:r w:rsidRPr="005B7140">
        <w:rPr>
          <w:rFonts w:ascii="Arial" w:hAnsi="Arial" w:cs="Arial"/>
          <w:bCs/>
          <w:szCs w:val="20"/>
        </w:rPr>
        <w:t xml:space="preserve">both strategic and partner level. This appears to have been managed reasonably well through informal communications, but it could be worth articulating ‘who does what’ more clearly for external audiences, as outlined below. There has also been good collaboration with </w:t>
      </w:r>
      <w:r w:rsidRPr="005B7140">
        <w:rPr>
          <w:rFonts w:ascii="Arial" w:hAnsi="Arial" w:cs="Arial"/>
          <w:b/>
          <w:szCs w:val="20"/>
        </w:rPr>
        <w:t>New Zealand</w:t>
      </w:r>
      <w:r w:rsidRPr="005B7140">
        <w:rPr>
          <w:rFonts w:ascii="Arial" w:hAnsi="Arial" w:cs="Arial"/>
          <w:bCs/>
          <w:szCs w:val="20"/>
        </w:rPr>
        <w:t xml:space="preserve"> </w:t>
      </w:r>
      <w:r w:rsidRPr="005B7140">
        <w:rPr>
          <w:rFonts w:ascii="Arial" w:hAnsi="Arial" w:cs="Arial"/>
          <w:b/>
          <w:szCs w:val="20"/>
        </w:rPr>
        <w:t>MFAT</w:t>
      </w:r>
      <w:r w:rsidRPr="005B7140">
        <w:rPr>
          <w:rFonts w:ascii="Arial" w:hAnsi="Arial" w:cs="Arial"/>
          <w:bCs/>
          <w:szCs w:val="20"/>
        </w:rPr>
        <w:t>, which is a major player in the tourism and business services sectors.</w:t>
      </w:r>
    </w:p>
    <w:p w14:paraId="1FF6D20F" w14:textId="653B5660" w:rsidR="00190BEA" w:rsidRPr="00D71E71" w:rsidRDefault="00190BEA" w:rsidP="00D71E71">
      <w:pPr>
        <w:pStyle w:val="Heading2NOTOC"/>
        <w:rPr>
          <w:rStyle w:val="normaltextrun"/>
          <w:color w:val="414141" w:themeColor="text2" w:themeShade="BF"/>
        </w:rPr>
      </w:pPr>
      <w:bookmarkStart w:id="26" w:name="_Toc129006822"/>
      <w:bookmarkStart w:id="27" w:name="_Toc131170451"/>
      <w:r w:rsidRPr="00D71E71">
        <w:rPr>
          <w:rStyle w:val="normaltextrun"/>
          <w:color w:val="414141" w:themeColor="text2" w:themeShade="BF"/>
        </w:rPr>
        <w:t>Sub</w:t>
      </w:r>
      <w:r w:rsidR="004C7ADF" w:rsidRPr="00D71E71">
        <w:rPr>
          <w:rStyle w:val="normaltextrun"/>
          <w:color w:val="414141" w:themeColor="text2" w:themeShade="BF"/>
        </w:rPr>
        <w:t>Q</w:t>
      </w:r>
      <w:r w:rsidRPr="00D71E71">
        <w:rPr>
          <w:rStyle w:val="normaltextrun"/>
          <w:color w:val="414141" w:themeColor="text2" w:themeShade="BF"/>
        </w:rPr>
        <w:t>4.2: How elements of the existing program should be changed and why</w:t>
      </w:r>
      <w:bookmarkEnd w:id="26"/>
      <w:bookmarkEnd w:id="27"/>
    </w:p>
    <w:p w14:paraId="5AE54923" w14:textId="10276B6E" w:rsidR="00190BEA" w:rsidRPr="005B7140" w:rsidRDefault="00190BEA" w:rsidP="005B7140">
      <w:pPr>
        <w:pStyle w:val="ListParagraph"/>
        <w:numPr>
          <w:ilvl w:val="0"/>
          <w:numId w:val="53"/>
        </w:numPr>
        <w:spacing w:after="120"/>
        <w:rPr>
          <w:rFonts w:ascii="Arial" w:hAnsi="Arial" w:cs="Arial"/>
          <w:bCs/>
          <w:szCs w:val="20"/>
        </w:rPr>
      </w:pPr>
      <w:r w:rsidRPr="005B7140">
        <w:rPr>
          <w:rFonts w:ascii="Arial" w:hAnsi="Arial" w:cs="Arial"/>
          <w:b/>
          <w:szCs w:val="20"/>
        </w:rPr>
        <w:t xml:space="preserve">The upcoming Design Refresh for Phase 3 is an opportunity to acknowledge and build on the considerable adaptation and evolution of the program during Phase 2, and ensure </w:t>
      </w:r>
      <w:r w:rsidR="005D04B3" w:rsidRPr="005B7140">
        <w:rPr>
          <w:rFonts w:ascii="Arial" w:hAnsi="Arial" w:cs="Arial"/>
          <w:b/>
          <w:szCs w:val="20"/>
        </w:rPr>
        <w:t>Strongim Bisnis</w:t>
      </w:r>
      <w:r w:rsidRPr="005B7140">
        <w:rPr>
          <w:rFonts w:ascii="Arial" w:hAnsi="Arial" w:cs="Arial"/>
          <w:b/>
          <w:szCs w:val="20"/>
        </w:rPr>
        <w:t xml:space="preserve"> remains fit for purpose. </w:t>
      </w:r>
      <w:r w:rsidRPr="005B7140">
        <w:rPr>
          <w:rFonts w:ascii="Arial" w:hAnsi="Arial" w:cs="Arial"/>
          <w:bCs/>
          <w:szCs w:val="20"/>
        </w:rPr>
        <w:t>While most of the feedback received during consultations was positive, several areas were also highlighted for improvement.</w:t>
      </w:r>
      <w:r w:rsidR="00960833" w:rsidRPr="00BA6434">
        <w:rPr>
          <w:rFonts w:ascii="Arial" w:hAnsi="Arial" w:cs="Arial"/>
          <w:szCs w:val="20"/>
        </w:rPr>
        <w:t xml:space="preserve"> The </w:t>
      </w:r>
      <w:r w:rsidR="00520EDF" w:rsidRPr="00BA6434">
        <w:rPr>
          <w:rFonts w:ascii="Arial" w:hAnsi="Arial" w:cs="Arial"/>
          <w:szCs w:val="20"/>
        </w:rPr>
        <w:t>evaluation</w:t>
      </w:r>
      <w:r w:rsidR="00960833" w:rsidRPr="00BA6434">
        <w:rPr>
          <w:rFonts w:ascii="Arial" w:hAnsi="Arial" w:cs="Arial"/>
          <w:szCs w:val="20"/>
        </w:rPr>
        <w:t xml:space="preserve"> team recommends the following:</w:t>
      </w:r>
    </w:p>
    <w:p w14:paraId="2933ACB1" w14:textId="77777777" w:rsidR="00190BEA" w:rsidRPr="00AB2E71" w:rsidRDefault="00190BEA" w:rsidP="005B7140">
      <w:pPr>
        <w:pStyle w:val="Heading3"/>
        <w:spacing w:before="120" w:after="120"/>
      </w:pPr>
      <w:r>
        <w:t>Communications and transparency</w:t>
      </w:r>
    </w:p>
    <w:p w14:paraId="3E74C822" w14:textId="7F2229A2" w:rsidR="00190BEA" w:rsidRPr="005B7140" w:rsidRDefault="00190BEA" w:rsidP="00CA7B66">
      <w:pPr>
        <w:pStyle w:val="ListParagraph"/>
        <w:numPr>
          <w:ilvl w:val="1"/>
          <w:numId w:val="51"/>
        </w:numPr>
        <w:spacing w:after="120"/>
        <w:ind w:left="568" w:hanging="284"/>
        <w:contextualSpacing w:val="0"/>
        <w:rPr>
          <w:rFonts w:ascii="Arial" w:hAnsi="Arial" w:cs="Arial"/>
          <w:b/>
          <w:szCs w:val="20"/>
        </w:rPr>
      </w:pPr>
      <w:r w:rsidRPr="005B7140">
        <w:rPr>
          <w:rFonts w:ascii="Arial" w:hAnsi="Arial" w:cs="Arial"/>
          <w:b/>
          <w:szCs w:val="20"/>
        </w:rPr>
        <w:t xml:space="preserve">Program communications need further attention. </w:t>
      </w:r>
      <w:r w:rsidRPr="005B7140">
        <w:rPr>
          <w:rFonts w:ascii="Arial" w:hAnsi="Arial" w:cs="Arial"/>
          <w:bCs/>
          <w:szCs w:val="20"/>
        </w:rPr>
        <w:t xml:space="preserve">It has taken some time to build awareness and acceptance of what Strongim Bisnis does and how it operates. Programs that work primarily with the private sector are unusual in development cooperation portfolios. While good use is made of social media and newspapers to publicise activities and partnerships, the context and rationale for these may not be clear to the general public. It would be helpful to add simple messaging around what </w:t>
      </w:r>
      <w:r w:rsidR="005D04B3" w:rsidRPr="005B7140">
        <w:rPr>
          <w:rFonts w:ascii="Arial" w:hAnsi="Arial" w:cs="Arial"/>
          <w:bCs/>
          <w:szCs w:val="20"/>
        </w:rPr>
        <w:t>Strongim Bisnis</w:t>
      </w:r>
      <w:r w:rsidRPr="005B7140">
        <w:rPr>
          <w:rFonts w:ascii="Arial" w:hAnsi="Arial" w:cs="Arial"/>
          <w:bCs/>
          <w:szCs w:val="20"/>
        </w:rPr>
        <w:t xml:space="preserve"> does, why, how and with whom. Outreach via </w:t>
      </w:r>
      <w:r w:rsidRPr="005B7140">
        <w:rPr>
          <w:rFonts w:ascii="Arial" w:hAnsi="Arial" w:cs="Arial"/>
          <w:b/>
          <w:szCs w:val="20"/>
        </w:rPr>
        <w:t>radio</w:t>
      </w:r>
      <w:r w:rsidRPr="005B7140">
        <w:rPr>
          <w:rFonts w:ascii="Arial" w:hAnsi="Arial" w:cs="Arial"/>
          <w:bCs/>
          <w:szCs w:val="20"/>
        </w:rPr>
        <w:t xml:space="preserve"> would spread awareness beyond educated urban populations. </w:t>
      </w:r>
      <w:r w:rsidRPr="005B7140">
        <w:rPr>
          <w:rFonts w:ascii="Arial" w:hAnsi="Arial" w:cs="Arial"/>
          <w:b/>
          <w:szCs w:val="20"/>
        </w:rPr>
        <w:t xml:space="preserve">Impact stories </w:t>
      </w:r>
      <w:r w:rsidRPr="005B7140">
        <w:rPr>
          <w:rFonts w:ascii="Arial" w:hAnsi="Arial" w:cs="Arial"/>
          <w:bCs/>
          <w:szCs w:val="20"/>
        </w:rPr>
        <w:t xml:space="preserve">would also help explain </w:t>
      </w:r>
      <w:r w:rsidR="005D04B3" w:rsidRPr="005B7140">
        <w:rPr>
          <w:rFonts w:ascii="Arial" w:hAnsi="Arial" w:cs="Arial"/>
          <w:bCs/>
          <w:szCs w:val="20"/>
        </w:rPr>
        <w:t>Strongim Bisnis</w:t>
      </w:r>
      <w:r w:rsidRPr="005B7140">
        <w:rPr>
          <w:rFonts w:ascii="Arial" w:hAnsi="Arial" w:cs="Arial"/>
          <w:bCs/>
          <w:szCs w:val="20"/>
        </w:rPr>
        <w:t xml:space="preserve"> to a wider audience.</w:t>
      </w:r>
    </w:p>
    <w:p w14:paraId="212EA548" w14:textId="192B3D58" w:rsidR="00190BEA" w:rsidRPr="005B7140" w:rsidRDefault="00190BEA" w:rsidP="005B7140">
      <w:pPr>
        <w:spacing w:after="120"/>
        <w:ind w:left="568"/>
        <w:rPr>
          <w:rFonts w:ascii="Arial" w:hAnsi="Arial" w:cs="Arial"/>
          <w:bCs/>
          <w:szCs w:val="20"/>
        </w:rPr>
      </w:pPr>
      <w:r w:rsidRPr="005B7140">
        <w:rPr>
          <w:rFonts w:ascii="Arial" w:hAnsi="Arial" w:cs="Arial"/>
          <w:bCs/>
          <w:szCs w:val="20"/>
        </w:rPr>
        <w:t>In particular,</w:t>
      </w:r>
      <w:r w:rsidRPr="005B7140">
        <w:rPr>
          <w:rFonts w:ascii="Arial" w:hAnsi="Arial" w:cs="Arial"/>
          <w:b/>
          <w:szCs w:val="20"/>
        </w:rPr>
        <w:t xml:space="preserve"> the rationale for supporting businesses of different sizes needs better articulation</w:t>
      </w:r>
      <w:r w:rsidRPr="005B7140">
        <w:rPr>
          <w:rFonts w:ascii="Arial" w:hAnsi="Arial" w:cs="Arial"/>
          <w:bCs/>
          <w:szCs w:val="20"/>
        </w:rPr>
        <w:t xml:space="preserve">. Many in the community understand </w:t>
      </w:r>
      <w:r w:rsidR="005D04B3" w:rsidRPr="005B7140">
        <w:rPr>
          <w:rFonts w:ascii="Arial" w:hAnsi="Arial" w:cs="Arial"/>
          <w:bCs/>
          <w:szCs w:val="20"/>
        </w:rPr>
        <w:t>Strongim Bisnis</w:t>
      </w:r>
      <w:r w:rsidRPr="005B7140">
        <w:rPr>
          <w:rFonts w:ascii="Arial" w:hAnsi="Arial" w:cs="Arial"/>
          <w:bCs/>
          <w:szCs w:val="20"/>
        </w:rPr>
        <w:t xml:space="preserve"> to be about helping micro and small businesses. Partnerships with large players such as SolTuna, KFPL and Bulk Shop do not fit these expectations, leading to confusion and potential reputational risks.</w:t>
      </w:r>
    </w:p>
    <w:p w14:paraId="15878856" w14:textId="7D5EE579" w:rsidR="00190BEA" w:rsidRPr="00B76A0D" w:rsidRDefault="00190BEA" w:rsidP="005B7140">
      <w:pPr>
        <w:ind w:left="568"/>
        <w:rPr>
          <w:bCs/>
        </w:rPr>
      </w:pPr>
      <w:r w:rsidRPr="005B7140">
        <w:rPr>
          <w:rFonts w:ascii="Arial" w:hAnsi="Arial" w:cs="Arial"/>
          <w:b/>
          <w:szCs w:val="20"/>
        </w:rPr>
        <w:t>The Strongim Bisnis name should be retained for Phase 3</w:t>
      </w:r>
      <w:r w:rsidRPr="005B7140">
        <w:rPr>
          <w:rFonts w:ascii="Arial" w:hAnsi="Arial" w:cs="Arial"/>
          <w:bCs/>
          <w:szCs w:val="20"/>
        </w:rPr>
        <w:t xml:space="preserve">, given the ‘brand’ is now well-established. However, </w:t>
      </w:r>
      <w:r w:rsidR="00300057" w:rsidRPr="005B7140">
        <w:rPr>
          <w:rFonts w:ascii="Arial" w:hAnsi="Arial" w:cs="Arial"/>
          <w:bCs/>
          <w:szCs w:val="20"/>
        </w:rPr>
        <w:t>some</w:t>
      </w:r>
      <w:r w:rsidRPr="005B7140">
        <w:rPr>
          <w:rFonts w:ascii="Arial" w:hAnsi="Arial" w:cs="Arial"/>
          <w:bCs/>
          <w:szCs w:val="20"/>
        </w:rPr>
        <w:t xml:space="preserve"> stakeholder</w:t>
      </w:r>
      <w:r w:rsidR="00300057" w:rsidRPr="005B7140">
        <w:rPr>
          <w:rFonts w:ascii="Arial" w:hAnsi="Arial" w:cs="Arial"/>
          <w:bCs/>
          <w:szCs w:val="20"/>
        </w:rPr>
        <w:t>s</w:t>
      </w:r>
      <w:r w:rsidRPr="005B7140">
        <w:rPr>
          <w:rFonts w:ascii="Arial" w:hAnsi="Arial" w:cs="Arial"/>
          <w:bCs/>
          <w:szCs w:val="20"/>
        </w:rPr>
        <w:t xml:space="preserve"> </w:t>
      </w:r>
      <w:r w:rsidR="00300057" w:rsidRPr="005B7140">
        <w:rPr>
          <w:rFonts w:ascii="Arial" w:hAnsi="Arial" w:cs="Arial"/>
          <w:bCs/>
          <w:szCs w:val="20"/>
        </w:rPr>
        <w:t>suggested</w:t>
      </w:r>
      <w:r w:rsidRPr="005B7140">
        <w:rPr>
          <w:rFonts w:ascii="Arial" w:hAnsi="Arial" w:cs="Arial"/>
          <w:bCs/>
          <w:szCs w:val="20"/>
        </w:rPr>
        <w:t xml:space="preserve"> the name </w:t>
      </w:r>
      <w:r w:rsidR="00300057" w:rsidRPr="005B7140">
        <w:rPr>
          <w:rFonts w:ascii="Arial" w:hAnsi="Arial" w:cs="Arial"/>
          <w:bCs/>
          <w:szCs w:val="20"/>
        </w:rPr>
        <w:t>does not convey</w:t>
      </w:r>
      <w:r w:rsidRPr="005B7140">
        <w:rPr>
          <w:rFonts w:ascii="Arial" w:hAnsi="Arial" w:cs="Arial"/>
          <w:bCs/>
          <w:szCs w:val="20"/>
        </w:rPr>
        <w:t xml:space="preserve"> inclusive</w:t>
      </w:r>
      <w:r w:rsidR="00300057" w:rsidRPr="005B7140">
        <w:rPr>
          <w:rFonts w:ascii="Arial" w:hAnsi="Arial" w:cs="Arial"/>
          <w:bCs/>
          <w:szCs w:val="20"/>
        </w:rPr>
        <w:t>ness</w:t>
      </w:r>
      <w:r w:rsidRPr="005B7140">
        <w:rPr>
          <w:rFonts w:ascii="Arial" w:hAnsi="Arial" w:cs="Arial"/>
          <w:bCs/>
          <w:szCs w:val="20"/>
        </w:rPr>
        <w:t xml:space="preserve">, </w:t>
      </w:r>
      <w:r w:rsidR="00300057" w:rsidRPr="005B7140">
        <w:rPr>
          <w:rFonts w:ascii="Arial" w:hAnsi="Arial" w:cs="Arial"/>
          <w:bCs/>
          <w:szCs w:val="20"/>
        </w:rPr>
        <w:t xml:space="preserve">so </w:t>
      </w:r>
      <w:r w:rsidRPr="005B7140">
        <w:rPr>
          <w:rFonts w:ascii="Arial" w:hAnsi="Arial" w:cs="Arial"/>
          <w:bCs/>
          <w:szCs w:val="20"/>
        </w:rPr>
        <w:t xml:space="preserve">it could be worth crafting a sub-title or motto to soften the image.   </w:t>
      </w:r>
    </w:p>
    <w:p w14:paraId="0B86022B" w14:textId="5FDEC08C" w:rsidR="00190BEA" w:rsidRPr="005B7140" w:rsidRDefault="00190BEA" w:rsidP="005B7140">
      <w:pPr>
        <w:pStyle w:val="ListParagraph"/>
        <w:numPr>
          <w:ilvl w:val="1"/>
          <w:numId w:val="51"/>
        </w:numPr>
        <w:spacing w:after="120"/>
        <w:ind w:left="568" w:hanging="284"/>
        <w:contextualSpacing w:val="0"/>
        <w:rPr>
          <w:rFonts w:ascii="Arial" w:hAnsi="Arial" w:cs="Arial"/>
          <w:bCs/>
          <w:szCs w:val="20"/>
        </w:rPr>
      </w:pPr>
      <w:r w:rsidRPr="005B7140">
        <w:rPr>
          <w:rFonts w:ascii="Arial" w:hAnsi="Arial" w:cs="Arial"/>
          <w:b/>
          <w:szCs w:val="20"/>
        </w:rPr>
        <w:t>Brief quarterly updates would help appease SIG stakeholders</w:t>
      </w:r>
      <w:r w:rsidRPr="005B7140">
        <w:rPr>
          <w:rFonts w:ascii="Arial" w:hAnsi="Arial" w:cs="Arial"/>
          <w:bCs/>
          <w:szCs w:val="20"/>
        </w:rPr>
        <w:t xml:space="preserve"> who complain about lack of visibility and potential overlap of SIG and </w:t>
      </w:r>
      <w:r w:rsidR="005D04B3" w:rsidRPr="005B7140">
        <w:rPr>
          <w:rFonts w:ascii="Arial" w:hAnsi="Arial" w:cs="Arial"/>
          <w:bCs/>
          <w:szCs w:val="20"/>
        </w:rPr>
        <w:t>Strongim Bisnis</w:t>
      </w:r>
      <w:r w:rsidRPr="005B7140">
        <w:rPr>
          <w:rFonts w:ascii="Arial" w:hAnsi="Arial" w:cs="Arial"/>
          <w:bCs/>
          <w:szCs w:val="20"/>
        </w:rPr>
        <w:t xml:space="preserve"> support. While </w:t>
      </w:r>
      <w:r w:rsidR="005D04B3" w:rsidRPr="005B7140">
        <w:rPr>
          <w:rFonts w:ascii="Arial" w:hAnsi="Arial" w:cs="Arial"/>
          <w:bCs/>
          <w:szCs w:val="20"/>
        </w:rPr>
        <w:t>Strongim Bisnis</w:t>
      </w:r>
      <w:r w:rsidRPr="005B7140">
        <w:rPr>
          <w:rFonts w:ascii="Arial" w:hAnsi="Arial" w:cs="Arial"/>
          <w:bCs/>
          <w:szCs w:val="20"/>
        </w:rPr>
        <w:t xml:space="preserve"> must remain true to its market-driven </w:t>
      </w:r>
      <w:r w:rsidR="00F947D4" w:rsidRPr="005B7140">
        <w:rPr>
          <w:rFonts w:ascii="Arial" w:hAnsi="Arial" w:cs="Arial"/>
          <w:bCs/>
          <w:szCs w:val="20"/>
        </w:rPr>
        <w:t>operating</w:t>
      </w:r>
      <w:r w:rsidRPr="005B7140">
        <w:rPr>
          <w:rFonts w:ascii="Arial" w:hAnsi="Arial" w:cs="Arial"/>
          <w:bCs/>
          <w:szCs w:val="20"/>
        </w:rPr>
        <w:t xml:space="preserve"> principles, it s</w:t>
      </w:r>
      <w:r w:rsidRPr="005B7140">
        <w:rPr>
          <w:rFonts w:ascii="Arial" w:hAnsi="Arial" w:cs="Arial"/>
          <w:lang w:val="en-US"/>
        </w:rPr>
        <w:t>hould also be able to explain how its activities align with government priorities.</w:t>
      </w:r>
    </w:p>
    <w:p w14:paraId="2F0DE491" w14:textId="09B3D38B" w:rsidR="00190BEA" w:rsidRPr="005B7140" w:rsidRDefault="00190BEA" w:rsidP="005B7140">
      <w:pPr>
        <w:pStyle w:val="ListParagraph"/>
        <w:numPr>
          <w:ilvl w:val="1"/>
          <w:numId w:val="51"/>
        </w:numPr>
        <w:ind w:left="568" w:hanging="284"/>
        <w:contextualSpacing w:val="0"/>
        <w:rPr>
          <w:rFonts w:ascii="Arial" w:hAnsi="Arial" w:cs="Arial"/>
          <w:bCs/>
          <w:szCs w:val="20"/>
        </w:rPr>
      </w:pPr>
      <w:r w:rsidRPr="005B7140">
        <w:rPr>
          <w:rFonts w:ascii="Arial" w:hAnsi="Arial" w:cs="Arial"/>
          <w:b/>
          <w:szCs w:val="20"/>
        </w:rPr>
        <w:t xml:space="preserve">A clearer narrative can now be developed for each sector. </w:t>
      </w:r>
      <w:r w:rsidRPr="005B7140">
        <w:rPr>
          <w:rFonts w:ascii="Arial" w:hAnsi="Arial" w:cs="Arial"/>
          <w:bCs/>
          <w:szCs w:val="20"/>
        </w:rPr>
        <w:t xml:space="preserve">Several sectors are relatively new and it has taken time to establish </w:t>
      </w:r>
      <w:r w:rsidR="005D04B3" w:rsidRPr="005B7140">
        <w:rPr>
          <w:rFonts w:ascii="Arial" w:hAnsi="Arial" w:cs="Arial"/>
          <w:bCs/>
          <w:szCs w:val="20"/>
        </w:rPr>
        <w:t>Strongim Bisnis’</w:t>
      </w:r>
      <w:r w:rsidRPr="005B7140">
        <w:rPr>
          <w:rFonts w:ascii="Arial" w:hAnsi="Arial" w:cs="Arial"/>
          <w:bCs/>
          <w:szCs w:val="20"/>
        </w:rPr>
        <w:t xml:space="preserve"> niche. Sector information on the </w:t>
      </w:r>
      <w:r w:rsidR="005D04B3" w:rsidRPr="005B7140">
        <w:rPr>
          <w:rFonts w:ascii="Arial" w:hAnsi="Arial" w:cs="Arial"/>
          <w:bCs/>
          <w:szCs w:val="20"/>
        </w:rPr>
        <w:t>Strongim Bisnis</w:t>
      </w:r>
      <w:r w:rsidRPr="005B7140">
        <w:rPr>
          <w:rFonts w:ascii="Arial" w:hAnsi="Arial" w:cs="Arial"/>
          <w:bCs/>
          <w:szCs w:val="20"/>
        </w:rPr>
        <w:t xml:space="preserve"> website is outdated, not consistent across the various sectors, and in English only. Short sector briefs</w:t>
      </w:r>
      <w:r>
        <w:rPr>
          <w:rStyle w:val="FootnoteReference"/>
          <w:rFonts w:ascii="Arial" w:hAnsi="Arial" w:cs="Arial"/>
          <w:bCs/>
          <w:szCs w:val="20"/>
        </w:rPr>
        <w:footnoteReference w:id="25"/>
      </w:r>
      <w:r w:rsidRPr="005B7140">
        <w:rPr>
          <w:rFonts w:ascii="Arial" w:hAnsi="Arial" w:cs="Arial"/>
          <w:bCs/>
          <w:szCs w:val="20"/>
        </w:rPr>
        <w:t>, regularly refreshed, would serve multiple purposes including information flow to relevant SIG agencies and outreach to potential partners. These could include the rationale, objectives and strategies for investing in that sector, what types of partners would be considered for support, and a listing of current partnerships. Targeted use of printed versions, in plain English and Pijin, would help expand awareness and understanding of program activities and potentially generate new partnership opportunities. In agriculture sectors, the division of labour with PHAMA Plus should also be clarified.</w:t>
      </w:r>
    </w:p>
    <w:p w14:paraId="43066A50" w14:textId="386FED89" w:rsidR="00190BEA" w:rsidRPr="005B7140" w:rsidRDefault="00190BEA" w:rsidP="005B7140">
      <w:pPr>
        <w:pStyle w:val="ListParagraph"/>
        <w:numPr>
          <w:ilvl w:val="1"/>
          <w:numId w:val="51"/>
        </w:numPr>
        <w:spacing w:after="120"/>
        <w:ind w:left="568" w:hanging="284"/>
        <w:contextualSpacing w:val="0"/>
        <w:rPr>
          <w:rFonts w:ascii="Arial" w:hAnsi="Arial" w:cs="Arial"/>
          <w:bCs/>
          <w:szCs w:val="20"/>
        </w:rPr>
      </w:pPr>
      <w:r w:rsidRPr="005B7140">
        <w:rPr>
          <w:rFonts w:ascii="Arial" w:hAnsi="Arial" w:cs="Arial"/>
          <w:b/>
          <w:szCs w:val="20"/>
        </w:rPr>
        <w:t>Greater transparency and clarity around decision-making criteria will be important both for accountability purposes and to minimise negative perceptions around favouritism or lack of fairness.</w:t>
      </w:r>
      <w:r w:rsidRPr="005B7140">
        <w:rPr>
          <w:rFonts w:ascii="Arial" w:hAnsi="Arial" w:cs="Arial"/>
          <w:bCs/>
          <w:szCs w:val="20"/>
        </w:rPr>
        <w:t xml:space="preserve"> Several stakeholders were confused or critical about processes for partner selection. Even some </w:t>
      </w:r>
      <w:r w:rsidR="005D04B3" w:rsidRPr="005B7140">
        <w:rPr>
          <w:rFonts w:ascii="Arial" w:hAnsi="Arial" w:cs="Arial"/>
          <w:bCs/>
          <w:szCs w:val="20"/>
        </w:rPr>
        <w:t>Strongim Bisnis</w:t>
      </w:r>
      <w:r w:rsidRPr="005B7140">
        <w:rPr>
          <w:rFonts w:ascii="Arial" w:hAnsi="Arial" w:cs="Arial"/>
          <w:bCs/>
          <w:szCs w:val="20"/>
        </w:rPr>
        <w:t xml:space="preserve"> staff acknowledged not having a good understanding of how the criteria are applied across the program. As well as putting more information on the website, program overview flyers in Pijin and English could be developed explaining eligibility and processes – what or who the program is looking for in its partnerships, what kinds of support might be provided under what conditions, how to express interest, and what </w:t>
      </w:r>
      <w:r w:rsidR="002C60C6">
        <w:rPr>
          <w:rFonts w:ascii="Arial" w:hAnsi="Arial" w:cs="Arial"/>
          <w:bCs/>
          <w:szCs w:val="20"/>
        </w:rPr>
        <w:t xml:space="preserve">steps and </w:t>
      </w:r>
      <w:r w:rsidRPr="005B7140">
        <w:rPr>
          <w:rFonts w:ascii="Arial" w:hAnsi="Arial" w:cs="Arial"/>
          <w:bCs/>
          <w:szCs w:val="20"/>
        </w:rPr>
        <w:t>requirements would</w:t>
      </w:r>
      <w:r>
        <w:rPr>
          <w:rFonts w:ascii="Arial" w:hAnsi="Arial" w:cs="Arial"/>
          <w:szCs w:val="20"/>
        </w:rPr>
        <w:t xml:space="preserve"> </w:t>
      </w:r>
      <w:r w:rsidR="002C60C6">
        <w:rPr>
          <w:rFonts w:ascii="Arial" w:hAnsi="Arial" w:cs="Arial"/>
          <w:bCs/>
          <w:szCs w:val="20"/>
        </w:rPr>
        <w:t>then</w:t>
      </w:r>
      <w:r w:rsidRPr="005B7140">
        <w:rPr>
          <w:rFonts w:ascii="Arial" w:hAnsi="Arial" w:cs="Arial"/>
          <w:bCs/>
          <w:szCs w:val="20"/>
        </w:rPr>
        <w:t xml:space="preserve"> follow. </w:t>
      </w:r>
    </w:p>
    <w:p w14:paraId="68295E85" w14:textId="77777777" w:rsidR="00190BEA" w:rsidRPr="005B7140" w:rsidRDefault="00190BEA" w:rsidP="005B7140">
      <w:pPr>
        <w:pStyle w:val="ListParagraph"/>
        <w:numPr>
          <w:ilvl w:val="1"/>
          <w:numId w:val="51"/>
        </w:numPr>
        <w:spacing w:after="120"/>
        <w:ind w:left="568" w:hanging="284"/>
        <w:contextualSpacing w:val="0"/>
        <w:rPr>
          <w:rFonts w:ascii="Arial" w:hAnsi="Arial" w:cs="Arial"/>
          <w:b/>
          <w:szCs w:val="20"/>
        </w:rPr>
      </w:pPr>
      <w:r w:rsidRPr="005B7140">
        <w:rPr>
          <w:rFonts w:ascii="Arial" w:hAnsi="Arial" w:cs="Arial"/>
          <w:b/>
          <w:szCs w:val="20"/>
        </w:rPr>
        <w:t xml:space="preserve">The program must ensure adherence to the core PSE guiding principles of additionality, fairness and transparency. </w:t>
      </w:r>
      <w:r w:rsidRPr="005B7140">
        <w:rPr>
          <w:rFonts w:ascii="Arial" w:hAnsi="Arial" w:cs="Arial"/>
          <w:bCs/>
          <w:szCs w:val="20"/>
        </w:rPr>
        <w:t>DFAT has developed clearer</w:t>
      </w:r>
      <w:r w:rsidRPr="005B7140">
        <w:rPr>
          <w:rFonts w:ascii="Arial" w:hAnsi="Arial" w:cs="Arial"/>
          <w:b/>
          <w:szCs w:val="20"/>
        </w:rPr>
        <w:t xml:space="preserve"> </w:t>
      </w:r>
      <w:r w:rsidRPr="005B7140">
        <w:rPr>
          <w:rFonts w:ascii="Arial" w:hAnsi="Arial" w:cs="Arial"/>
          <w:bCs/>
          <w:szCs w:val="20"/>
        </w:rPr>
        <w:t>guidance on PSE in recent years, which also applies to MSD-style programs. Internal program communications and documentation such as the Flexible Fund Manual should be reviewed in this light. The actions listed above would help explain to stakeholders how and why these principles are central to Strongim Bisnis’ implementation.</w:t>
      </w:r>
    </w:p>
    <w:p w14:paraId="161BFDE5" w14:textId="77777777" w:rsidR="00190BEA" w:rsidRDefault="00190BEA" w:rsidP="005B7140">
      <w:pPr>
        <w:pStyle w:val="Heading3"/>
        <w:spacing w:before="160" w:after="120"/>
      </w:pPr>
      <w:r>
        <w:t xml:space="preserve">Sectoral focus </w:t>
      </w:r>
    </w:p>
    <w:p w14:paraId="4AE7EB0B" w14:textId="08227BAD" w:rsidR="00190BEA" w:rsidRPr="005B7140" w:rsidRDefault="00190BEA" w:rsidP="005B7140">
      <w:pPr>
        <w:pStyle w:val="ListParagraph"/>
        <w:numPr>
          <w:ilvl w:val="1"/>
          <w:numId w:val="51"/>
        </w:numPr>
        <w:spacing w:after="120"/>
        <w:ind w:left="568" w:hanging="284"/>
        <w:contextualSpacing w:val="0"/>
        <w:rPr>
          <w:rFonts w:ascii="Arial" w:hAnsi="Arial" w:cs="Arial"/>
          <w:bCs/>
          <w:szCs w:val="20"/>
        </w:rPr>
      </w:pPr>
      <w:r w:rsidRPr="005B7140">
        <w:rPr>
          <w:rFonts w:ascii="Arial" w:hAnsi="Arial" w:cs="Arial"/>
          <w:b/>
          <w:szCs w:val="20"/>
        </w:rPr>
        <w:t xml:space="preserve">Market system assessments (MSAs) for the current </w:t>
      </w:r>
      <w:r w:rsidR="005D04B3" w:rsidRPr="005B7140">
        <w:rPr>
          <w:rFonts w:ascii="Arial" w:hAnsi="Arial" w:cs="Arial"/>
          <w:b/>
          <w:szCs w:val="20"/>
        </w:rPr>
        <w:t>Strongim Bisnis</w:t>
      </w:r>
      <w:r w:rsidRPr="005B7140">
        <w:rPr>
          <w:rFonts w:ascii="Arial" w:hAnsi="Arial" w:cs="Arial"/>
          <w:b/>
          <w:szCs w:val="20"/>
        </w:rPr>
        <w:t xml:space="preserve"> sectors should be revisited</w:t>
      </w:r>
      <w:r w:rsidRPr="005B7140">
        <w:rPr>
          <w:rFonts w:ascii="Arial" w:hAnsi="Arial" w:cs="Arial"/>
          <w:bCs/>
          <w:szCs w:val="20"/>
        </w:rPr>
        <w:t xml:space="preserve"> early in Phase 3 and updated where necessary to reflect the post-COVID circumstances and other significant economic events such as the Pacific Games (where relevant). </w:t>
      </w:r>
      <w:r w:rsidR="001C540B">
        <w:rPr>
          <w:rFonts w:ascii="Arial" w:hAnsi="Arial" w:cs="Arial"/>
          <w:bCs/>
          <w:szCs w:val="20"/>
        </w:rPr>
        <w:t xml:space="preserve">Given the importance of </w:t>
      </w:r>
      <w:r w:rsidR="00526643">
        <w:rPr>
          <w:rFonts w:ascii="Arial" w:hAnsi="Arial" w:cs="Arial"/>
          <w:bCs/>
          <w:szCs w:val="20"/>
        </w:rPr>
        <w:t>paid work</w:t>
      </w:r>
      <w:r w:rsidR="001C540B">
        <w:rPr>
          <w:rFonts w:ascii="Arial" w:hAnsi="Arial" w:cs="Arial"/>
          <w:bCs/>
          <w:szCs w:val="20"/>
        </w:rPr>
        <w:t xml:space="preserve"> for poverty reduction and economic growth, </w:t>
      </w:r>
      <w:r w:rsidR="00D34982" w:rsidRPr="00000708">
        <w:rPr>
          <w:rFonts w:ascii="Arial" w:hAnsi="Arial" w:cs="Arial"/>
          <w:bCs/>
          <w:szCs w:val="20"/>
        </w:rPr>
        <w:t>MSAs should</w:t>
      </w:r>
      <w:r w:rsidR="00000708" w:rsidRPr="00000708">
        <w:rPr>
          <w:rFonts w:ascii="Arial" w:hAnsi="Arial" w:cs="Arial"/>
          <w:bCs/>
          <w:szCs w:val="20"/>
        </w:rPr>
        <w:t xml:space="preserve"> give</w:t>
      </w:r>
      <w:r w:rsidR="00D34982" w:rsidRPr="00000708">
        <w:rPr>
          <w:rFonts w:ascii="Arial" w:hAnsi="Arial" w:cs="Arial"/>
          <w:bCs/>
          <w:szCs w:val="20"/>
        </w:rPr>
        <w:t xml:space="preserve"> </w:t>
      </w:r>
      <w:r w:rsidR="00D34982" w:rsidRPr="00000708">
        <w:rPr>
          <w:bCs/>
        </w:rPr>
        <w:t xml:space="preserve">particular attention to opportunities to increase </w:t>
      </w:r>
      <w:r w:rsidR="00D34982" w:rsidRPr="005B7140">
        <w:rPr>
          <w:b/>
        </w:rPr>
        <w:t>job creation</w:t>
      </w:r>
      <w:r w:rsidR="00D34982" w:rsidRPr="00000708">
        <w:rPr>
          <w:bCs/>
        </w:rPr>
        <w:t xml:space="preserve"> </w:t>
      </w:r>
      <w:r w:rsidR="00B27109" w:rsidRPr="005B7140">
        <w:rPr>
          <w:rFonts w:ascii="Arial" w:hAnsi="Arial" w:cs="Arial"/>
          <w:bCs/>
        </w:rPr>
        <w:t>outcomes, especially for GEDSI target groups.</w:t>
      </w:r>
    </w:p>
    <w:p w14:paraId="3E30EF52" w14:textId="7A90B829" w:rsidR="00190BEA" w:rsidRPr="005B7140" w:rsidRDefault="00190BEA" w:rsidP="005B7140">
      <w:pPr>
        <w:pStyle w:val="ListParagraph"/>
        <w:numPr>
          <w:ilvl w:val="1"/>
          <w:numId w:val="51"/>
        </w:numPr>
        <w:spacing w:after="120"/>
        <w:ind w:left="568" w:hanging="284"/>
        <w:contextualSpacing w:val="0"/>
        <w:rPr>
          <w:rFonts w:ascii="Arial" w:hAnsi="Arial" w:cs="Arial"/>
          <w:bCs/>
          <w:szCs w:val="20"/>
        </w:rPr>
      </w:pPr>
      <w:r w:rsidRPr="005B7140">
        <w:rPr>
          <w:rFonts w:ascii="Arial" w:hAnsi="Arial" w:cs="Arial"/>
        </w:rPr>
        <w:t>Strongim Bisnis should work with DFAT, NZ MFAT and relevant SIG agencies</w:t>
      </w:r>
      <w:r w:rsidRPr="005B7140">
        <w:rPr>
          <w:rStyle w:val="FootnoteReference"/>
          <w:rFonts w:ascii="Arial" w:hAnsi="Arial" w:cs="Arial"/>
        </w:rPr>
        <w:footnoteReference w:id="26"/>
      </w:r>
      <w:r w:rsidRPr="005B7140">
        <w:rPr>
          <w:rFonts w:ascii="Arial" w:hAnsi="Arial" w:cs="Arial"/>
        </w:rPr>
        <w:t xml:space="preserve"> to identify</w:t>
      </w:r>
      <w:r w:rsidRPr="005B7140">
        <w:rPr>
          <w:rFonts w:ascii="Arial" w:hAnsi="Arial" w:cs="Arial"/>
          <w:b/>
          <w:bCs/>
        </w:rPr>
        <w:t xml:space="preserve"> opportunities arising from temporary labour migration (seasonal worker) programs</w:t>
      </w:r>
      <w:r w:rsidRPr="005B7140">
        <w:rPr>
          <w:rFonts w:ascii="Arial" w:hAnsi="Arial" w:cs="Arial"/>
        </w:rPr>
        <w:t>. These will likely become an increasingly significant contributor to the Solomon Islands economy. Workers’ households gain access to remittances, and returning workers will bring savings and skills that can be harnessed into business opportunities, with suitable ‘Startim Bisnis’ assistance.</w:t>
      </w:r>
    </w:p>
    <w:p w14:paraId="72E480D7" w14:textId="32F1023F" w:rsidR="00190BEA" w:rsidRPr="005B7140" w:rsidRDefault="00190BEA" w:rsidP="005B7140">
      <w:pPr>
        <w:pStyle w:val="ListParagraph"/>
        <w:numPr>
          <w:ilvl w:val="1"/>
          <w:numId w:val="51"/>
        </w:numPr>
        <w:spacing w:after="120"/>
        <w:ind w:left="568" w:hanging="284"/>
        <w:rPr>
          <w:rFonts w:ascii="Arial" w:hAnsi="Arial" w:cs="Arial"/>
          <w:lang w:val="en-US"/>
        </w:rPr>
      </w:pPr>
      <w:r w:rsidRPr="005B7140">
        <w:rPr>
          <w:rFonts w:ascii="Arial" w:hAnsi="Arial" w:cs="Arial"/>
          <w:b/>
          <w:bCs/>
          <w:lang w:val="en-US"/>
        </w:rPr>
        <w:t>Financial Services (or Business Skills Development) should be a cross-cutting interest rather than a standalone sector</w:t>
      </w:r>
      <w:r w:rsidRPr="005B7140">
        <w:rPr>
          <w:rFonts w:ascii="Arial" w:hAnsi="Arial" w:cs="Arial"/>
          <w:lang w:val="en-US"/>
        </w:rPr>
        <w:t xml:space="preserve">. The current partnerships would be more appropriately described as capacity building in core business skills – clearly an area of high need across the micro/small enterprise sector. New Zealand’s Business Link Pacific and </w:t>
      </w:r>
      <w:r w:rsidR="00BA4B34" w:rsidRPr="005B7140">
        <w:rPr>
          <w:rFonts w:ascii="Arial" w:hAnsi="Arial" w:cs="Arial"/>
          <w:lang w:val="en-US"/>
        </w:rPr>
        <w:t>the Australian</w:t>
      </w:r>
      <w:r w:rsidR="00B773E6">
        <w:rPr>
          <w:rFonts w:ascii="Arial" w:hAnsi="Arial" w:cs="Arial"/>
          <w:lang w:val="en-US"/>
        </w:rPr>
        <w:t>-</w:t>
      </w:r>
      <w:r w:rsidR="00BA4B34" w:rsidRPr="005B7140">
        <w:rPr>
          <w:rFonts w:ascii="Arial" w:hAnsi="Arial" w:cs="Arial"/>
          <w:lang w:val="en-US"/>
        </w:rPr>
        <w:t>funded Pacific Digital Economy Program (PDEP</w:t>
      </w:r>
      <w:r w:rsidR="00B773E6">
        <w:rPr>
          <w:rFonts w:ascii="Arial" w:hAnsi="Arial" w:cs="Arial"/>
          <w:lang w:val="en-US"/>
        </w:rPr>
        <w:t>,</w:t>
      </w:r>
      <w:r w:rsidR="00BA4B34" w:rsidRPr="005B7140">
        <w:rPr>
          <w:rFonts w:ascii="Arial" w:hAnsi="Arial" w:cs="Arial"/>
          <w:lang w:val="en-US"/>
        </w:rPr>
        <w:t xml:space="preserve"> delivered by UNCDF</w:t>
      </w:r>
      <w:r w:rsidR="00B773E6">
        <w:rPr>
          <w:rFonts w:ascii="Arial" w:hAnsi="Arial" w:cs="Arial"/>
          <w:lang w:val="en-US"/>
        </w:rPr>
        <w:t>)</w:t>
      </w:r>
      <w:r w:rsidR="00BA4B34" w:rsidRPr="005B7140">
        <w:rPr>
          <w:rFonts w:ascii="Arial" w:hAnsi="Arial" w:cs="Arial"/>
          <w:lang w:val="en-US"/>
        </w:rPr>
        <w:t xml:space="preserve"> </w:t>
      </w:r>
      <w:r w:rsidRPr="005B7140">
        <w:rPr>
          <w:rFonts w:ascii="Arial" w:hAnsi="Arial" w:cs="Arial"/>
          <w:lang w:val="en-US"/>
        </w:rPr>
        <w:t xml:space="preserve">are providing or developing similar types of support. Basic business and financial literacy skills are also being provided under </w:t>
      </w:r>
      <w:r w:rsidR="005D04B3" w:rsidRPr="005B7140">
        <w:rPr>
          <w:rFonts w:ascii="Arial" w:hAnsi="Arial" w:cs="Arial"/>
          <w:lang w:val="en-US"/>
        </w:rPr>
        <w:t>Strongim Bisnis’</w:t>
      </w:r>
      <w:r w:rsidRPr="005B7140">
        <w:rPr>
          <w:rFonts w:ascii="Arial" w:hAnsi="Arial" w:cs="Arial"/>
          <w:lang w:val="en-US"/>
        </w:rPr>
        <w:t xml:space="preserve"> WEE/SI portfolio, and some </w:t>
      </w:r>
      <w:r w:rsidR="005D04B3" w:rsidRPr="005B7140">
        <w:rPr>
          <w:rFonts w:ascii="Arial" w:hAnsi="Arial" w:cs="Arial"/>
          <w:lang w:val="en-US"/>
        </w:rPr>
        <w:t>Strongim Bisnis</w:t>
      </w:r>
      <w:r w:rsidRPr="005B7140">
        <w:rPr>
          <w:rFonts w:ascii="Arial" w:hAnsi="Arial" w:cs="Arial"/>
          <w:lang w:val="en-US"/>
        </w:rPr>
        <w:t xml:space="preserve"> partners are helping their workers with financial literacy and access to finance through their own initiatives (e.g. Sape Farm savings club; not part of the </w:t>
      </w:r>
      <w:r w:rsidR="005D04B3" w:rsidRPr="005B7140">
        <w:rPr>
          <w:rFonts w:ascii="Arial" w:hAnsi="Arial" w:cs="Arial"/>
          <w:lang w:val="en-US"/>
        </w:rPr>
        <w:t>Strongim Bisnis</w:t>
      </w:r>
      <w:r w:rsidRPr="005B7140">
        <w:rPr>
          <w:rFonts w:ascii="Arial" w:hAnsi="Arial" w:cs="Arial"/>
          <w:lang w:val="en-US"/>
        </w:rPr>
        <w:t xml:space="preserve"> partnership). </w:t>
      </w:r>
    </w:p>
    <w:p w14:paraId="117C3B6C" w14:textId="56ABC946" w:rsidR="004040AA" w:rsidRPr="005B7140" w:rsidRDefault="004040AA" w:rsidP="005B7140">
      <w:pPr>
        <w:spacing w:after="120"/>
        <w:ind w:left="568"/>
        <w:rPr>
          <w:rFonts w:ascii="Arial" w:hAnsi="Arial" w:cs="Arial"/>
          <w:bCs/>
          <w:szCs w:val="20"/>
        </w:rPr>
      </w:pPr>
      <w:r w:rsidRPr="005B7140">
        <w:rPr>
          <w:rFonts w:ascii="Arial" w:hAnsi="Arial" w:cs="Arial"/>
          <w:b/>
          <w:bCs/>
          <w:lang w:val="en-US"/>
        </w:rPr>
        <w:t>Closer collaboration with PDEP could be more effective than independent Financial Services interventions</w:t>
      </w:r>
      <w:r w:rsidRPr="005B7140">
        <w:rPr>
          <w:rFonts w:ascii="Arial" w:hAnsi="Arial" w:cs="Arial"/>
          <w:lang w:val="en-US"/>
        </w:rPr>
        <w:t>. Financial</w:t>
      </w:r>
      <w:r w:rsidRPr="005B7140">
        <w:rPr>
          <w:rFonts w:ascii="Arial" w:hAnsi="Arial" w:cs="Arial"/>
          <w:bCs/>
          <w:szCs w:val="20"/>
        </w:rPr>
        <w:t xml:space="preserve"> Services is a complex sector needing specific expertise and interventions at multiple levels of the system. UNCDF has been working with Our Telekom and the Central Bank on an agency model suitable for large-scale roll-out, and developing micro-entrepreneur training packages on financial and digital literacy. Current Strongim Bisnis partnerships have similar objectives but very limited reach and relatively high cost per beneficiary.</w:t>
      </w:r>
    </w:p>
    <w:p w14:paraId="432FB277" w14:textId="0480C978" w:rsidR="00190BEA" w:rsidRPr="005B7140" w:rsidRDefault="00190BEA" w:rsidP="005B7140">
      <w:pPr>
        <w:pStyle w:val="ListParagraph"/>
        <w:numPr>
          <w:ilvl w:val="1"/>
          <w:numId w:val="51"/>
        </w:numPr>
        <w:spacing w:after="120"/>
        <w:ind w:left="568" w:hanging="284"/>
        <w:contextualSpacing w:val="0"/>
        <w:rPr>
          <w:rFonts w:ascii="Arial" w:hAnsi="Arial" w:cs="Arial"/>
          <w:bCs/>
          <w:szCs w:val="20"/>
        </w:rPr>
      </w:pPr>
      <w:r w:rsidRPr="005B7140">
        <w:rPr>
          <w:rFonts w:ascii="Arial" w:hAnsi="Arial" w:cs="Arial"/>
          <w:b/>
          <w:szCs w:val="20"/>
        </w:rPr>
        <w:t xml:space="preserve">Further opportunities to </w:t>
      </w:r>
      <w:r w:rsidRPr="005B7140">
        <w:rPr>
          <w:rFonts w:ascii="Arial" w:hAnsi="Arial" w:cs="Arial"/>
          <w:b/>
          <w:lang w:val="en-US"/>
        </w:rPr>
        <w:t>harness digital technology should be explored</w:t>
      </w:r>
      <w:r w:rsidRPr="005B7140">
        <w:rPr>
          <w:rFonts w:ascii="Arial" w:hAnsi="Arial" w:cs="Arial"/>
          <w:lang w:val="en-US"/>
        </w:rPr>
        <w:t xml:space="preserve">. </w:t>
      </w:r>
      <w:r w:rsidRPr="005B7140">
        <w:rPr>
          <w:rFonts w:ascii="Arial" w:hAnsi="Arial" w:cs="Arial"/>
          <w:bCs/>
          <w:szCs w:val="20"/>
        </w:rPr>
        <w:t xml:space="preserve">This could open up opportunities for further growth across several sectors, and with youth groups such as YECSI and returning seasonal workers. </w:t>
      </w:r>
      <w:r w:rsidRPr="005B7140">
        <w:rPr>
          <w:rFonts w:ascii="Arial" w:hAnsi="Arial" w:cs="Arial"/>
          <w:lang w:val="en-US"/>
        </w:rPr>
        <w:t xml:space="preserve">Many </w:t>
      </w:r>
      <w:r w:rsidR="005D04B3" w:rsidRPr="005B7140">
        <w:rPr>
          <w:rFonts w:ascii="Arial" w:hAnsi="Arial" w:cs="Arial"/>
          <w:lang w:val="en-US"/>
        </w:rPr>
        <w:t>Strongim Bisnis</w:t>
      </w:r>
      <w:r w:rsidRPr="005B7140">
        <w:rPr>
          <w:rFonts w:ascii="Arial" w:hAnsi="Arial" w:cs="Arial"/>
          <w:lang w:val="en-US"/>
        </w:rPr>
        <w:t xml:space="preserve"> partners – including some relatively small enterprises – are already using some form of digital marketing, such as Facebook groups. </w:t>
      </w:r>
      <w:r w:rsidR="005D04B3" w:rsidRPr="005B7140">
        <w:rPr>
          <w:rFonts w:ascii="Arial" w:hAnsi="Arial" w:cs="Arial"/>
          <w:bCs/>
          <w:szCs w:val="20"/>
        </w:rPr>
        <w:t>Strongim Bisnis</w:t>
      </w:r>
      <w:r w:rsidRPr="005B7140">
        <w:rPr>
          <w:rFonts w:ascii="Arial" w:hAnsi="Arial" w:cs="Arial"/>
          <w:bCs/>
          <w:szCs w:val="20"/>
        </w:rPr>
        <w:t xml:space="preserve"> is supporting some of the larger and more established businesses to </w:t>
      </w:r>
      <w:r w:rsidRPr="005B7140">
        <w:rPr>
          <w:rFonts w:ascii="Arial" w:hAnsi="Arial" w:cs="Arial"/>
          <w:lang w:val="en-US"/>
        </w:rPr>
        <w:t>improve their website presence and e-commerce capabilities</w:t>
      </w:r>
      <w:r w:rsidRPr="005B7140">
        <w:rPr>
          <w:rFonts w:ascii="Arial" w:hAnsi="Arial" w:cs="Arial"/>
          <w:bCs/>
          <w:szCs w:val="20"/>
        </w:rPr>
        <w:t xml:space="preserve"> (e.g. Solomon Airlines online booking system), and other partners also mentioned interests in online marketing. Smaller businesses, such as homestays or farmers, could be linked to broader platforms such as Tourism Solomons or digital marketing sites. As with financial services, a dedicated role and/or short term specialist skills would be needed to support work in this area.</w:t>
      </w:r>
    </w:p>
    <w:p w14:paraId="7DBCAA74" w14:textId="1D5A15EC" w:rsidR="00DF31B9" w:rsidRDefault="00190BEA" w:rsidP="005B7140">
      <w:pPr>
        <w:pStyle w:val="ListParagraph"/>
        <w:numPr>
          <w:ilvl w:val="1"/>
          <w:numId w:val="51"/>
        </w:numPr>
        <w:spacing w:after="120"/>
        <w:ind w:left="568" w:hanging="284"/>
      </w:pPr>
      <w:r w:rsidRPr="005B7140">
        <w:rPr>
          <w:rFonts w:ascii="Arial" w:hAnsi="Arial" w:cs="Arial"/>
          <w:b/>
          <w:szCs w:val="20"/>
        </w:rPr>
        <w:t xml:space="preserve">The design refresh for the next phase of </w:t>
      </w:r>
      <w:r w:rsidR="005D04B3" w:rsidRPr="005B7140">
        <w:rPr>
          <w:rFonts w:ascii="Arial" w:hAnsi="Arial" w:cs="Arial"/>
          <w:b/>
          <w:szCs w:val="20"/>
        </w:rPr>
        <w:t>Strongim Bisnis</w:t>
      </w:r>
      <w:r w:rsidRPr="005B7140">
        <w:rPr>
          <w:rFonts w:ascii="Arial" w:hAnsi="Arial" w:cs="Arial"/>
          <w:b/>
          <w:szCs w:val="20"/>
        </w:rPr>
        <w:t xml:space="preserve"> could usefully </w:t>
      </w:r>
      <w:r w:rsidRPr="005B7140">
        <w:rPr>
          <w:rFonts w:ascii="Arial" w:hAnsi="Arial" w:cs="Arial"/>
          <w:b/>
        </w:rPr>
        <w:t>explore selected other</w:t>
      </w:r>
      <w:r w:rsidRPr="005B7140">
        <w:rPr>
          <w:rFonts w:ascii="Arial" w:hAnsi="Arial" w:cs="Arial"/>
          <w:b/>
          <w:bCs/>
        </w:rPr>
        <w:t xml:space="preserve"> ‘growth’ </w:t>
      </w:r>
      <w:r w:rsidR="0051737B">
        <w:rPr>
          <w:rFonts w:ascii="Arial" w:hAnsi="Arial" w:cs="Arial"/>
          <w:b/>
          <w:bCs/>
        </w:rPr>
        <w:t>and/</w:t>
      </w:r>
      <w:r w:rsidRPr="005B7140">
        <w:rPr>
          <w:rFonts w:ascii="Arial" w:hAnsi="Arial" w:cs="Arial"/>
          <w:b/>
          <w:bCs/>
        </w:rPr>
        <w:t xml:space="preserve">or ‘inclusion’ opportunities. </w:t>
      </w:r>
      <w:r w:rsidR="00DF31B9" w:rsidRPr="005B7140">
        <w:rPr>
          <w:rFonts w:ascii="Arial" w:hAnsi="Arial" w:cs="Arial"/>
        </w:rPr>
        <w:t xml:space="preserve">Several informants suggested </w:t>
      </w:r>
      <w:r w:rsidRPr="005B7140">
        <w:rPr>
          <w:rFonts w:ascii="Arial" w:hAnsi="Arial" w:cs="Arial"/>
          <w:b/>
          <w:bCs/>
        </w:rPr>
        <w:t>construction</w:t>
      </w:r>
      <w:r w:rsidRPr="005B7140">
        <w:rPr>
          <w:rFonts w:ascii="Arial" w:hAnsi="Arial" w:cs="Arial"/>
        </w:rPr>
        <w:t xml:space="preserve"> </w:t>
      </w:r>
      <w:r w:rsidR="00B50EB5" w:rsidRPr="005B7140">
        <w:rPr>
          <w:rFonts w:ascii="Arial" w:hAnsi="Arial" w:cs="Arial"/>
        </w:rPr>
        <w:t>as a significant growth sector</w:t>
      </w:r>
      <w:r w:rsidRPr="005B7140">
        <w:rPr>
          <w:rFonts w:ascii="Arial" w:hAnsi="Arial" w:cs="Arial"/>
        </w:rPr>
        <w:t>.</w:t>
      </w:r>
      <w:r w:rsidR="00DF31B9" w:rsidRPr="005B7140">
        <w:rPr>
          <w:rFonts w:ascii="Arial" w:hAnsi="Arial" w:cs="Arial"/>
        </w:rPr>
        <w:t xml:space="preserve"> P</w:t>
      </w:r>
      <w:r w:rsidR="00DF31B9" w:rsidRPr="00DF31B9">
        <w:t xml:space="preserve">reparations for the Pacific Games in November 2023 </w:t>
      </w:r>
      <w:r w:rsidR="00DF31B9" w:rsidRPr="005B7140">
        <w:rPr>
          <w:rFonts w:ascii="Arial" w:hAnsi="Arial" w:cs="Arial"/>
        </w:rPr>
        <w:t>have involved</w:t>
      </w:r>
      <w:r w:rsidR="00DF31B9" w:rsidRPr="00DF31B9">
        <w:t xml:space="preserve"> </w:t>
      </w:r>
      <w:r w:rsidR="00DF31B9">
        <w:t>s</w:t>
      </w:r>
      <w:r w:rsidR="00DF31B9" w:rsidRPr="00DF31B9">
        <w:t>tadium construction and other major infrastructure works</w:t>
      </w:r>
      <w:r w:rsidR="00DF31B9">
        <w:t xml:space="preserve">, and businesses providing both hard and soft infrastructure and technologies have prospered. Once the Games are over, there is a risk of a return to the pre-Games underinvestment landscape that stifled business progress. </w:t>
      </w:r>
      <w:r w:rsidR="002F5DDD">
        <w:t>Opportunities may arise for Strongim Bisnis to collaborate with</w:t>
      </w:r>
      <w:r w:rsidR="003B131F">
        <w:t xml:space="preserve"> the</w:t>
      </w:r>
      <w:r w:rsidR="00DF31B9">
        <w:t xml:space="preserve"> new Australian-funded Solomon Islands Infrastructure Program</w:t>
      </w:r>
      <w:r w:rsidR="003B131F">
        <w:t xml:space="preserve"> to</w:t>
      </w:r>
      <w:r w:rsidR="00DF31B9">
        <w:t xml:space="preserve"> build on the impetus of the Games.</w:t>
      </w:r>
    </w:p>
    <w:p w14:paraId="2757745E" w14:textId="77777777" w:rsidR="00253E7F" w:rsidRDefault="00253E7F" w:rsidP="005B7140">
      <w:pPr>
        <w:spacing w:after="120"/>
        <w:ind w:left="568"/>
      </w:pPr>
      <w:r w:rsidRPr="00253E7F">
        <w:rPr>
          <w:rFonts w:ascii="Arial" w:hAnsi="Arial" w:cs="Arial"/>
        </w:rPr>
        <w:t>As noted under Recommendation 1(f), development of additional</w:t>
      </w:r>
      <w:r w:rsidRPr="00253E7F">
        <w:rPr>
          <w:rFonts w:ascii="Arial" w:hAnsi="Arial" w:cs="Arial"/>
          <w:b/>
          <w:bCs/>
        </w:rPr>
        <w:t xml:space="preserve"> disability-focused partnerships</w:t>
      </w:r>
      <w:r w:rsidRPr="00253E7F">
        <w:rPr>
          <w:rFonts w:ascii="Arial" w:hAnsi="Arial" w:cs="Arial"/>
        </w:rPr>
        <w:t xml:space="preserve"> would strengthen the program’s inclusion portfolio.</w:t>
      </w:r>
    </w:p>
    <w:p w14:paraId="414B73CC" w14:textId="0358D08B" w:rsidR="00DF31B9" w:rsidRDefault="00DF31B9" w:rsidP="00AA6CA4">
      <w:pPr>
        <w:spacing w:after="120"/>
        <w:ind w:left="568"/>
        <w:rPr>
          <w:rFonts w:ascii="Arial" w:hAnsi="Arial" w:cs="Arial"/>
        </w:rPr>
      </w:pPr>
      <w:r w:rsidRPr="005B7140">
        <w:rPr>
          <w:rFonts w:ascii="Arial" w:hAnsi="Arial" w:cs="Arial"/>
        </w:rPr>
        <w:t xml:space="preserve">Expansion of the agriculture portfolio also to include </w:t>
      </w:r>
      <w:r w:rsidR="008F4728" w:rsidRPr="005B7140">
        <w:rPr>
          <w:rFonts w:ascii="Arial" w:hAnsi="Arial" w:cs="Arial"/>
          <w:b/>
          <w:bCs/>
        </w:rPr>
        <w:t>livestock</w:t>
      </w:r>
      <w:r w:rsidR="008F4728" w:rsidRPr="005B7140">
        <w:rPr>
          <w:rFonts w:ascii="Arial" w:hAnsi="Arial" w:cs="Arial"/>
        </w:rPr>
        <w:t xml:space="preserve"> and </w:t>
      </w:r>
      <w:r w:rsidRPr="005B7140">
        <w:rPr>
          <w:rFonts w:ascii="Arial" w:hAnsi="Arial" w:cs="Arial"/>
        </w:rPr>
        <w:t>small-scale</w:t>
      </w:r>
      <w:r w:rsidRPr="005B7140">
        <w:rPr>
          <w:rFonts w:ascii="Arial" w:hAnsi="Arial" w:cs="Arial"/>
          <w:b/>
          <w:bCs/>
        </w:rPr>
        <w:t xml:space="preserve"> fishing</w:t>
      </w:r>
      <w:r w:rsidRPr="005B7140">
        <w:rPr>
          <w:rFonts w:ascii="Arial" w:hAnsi="Arial" w:cs="Arial"/>
        </w:rPr>
        <w:t xml:space="preserve"> </w:t>
      </w:r>
      <w:r w:rsidR="008F4728" w:rsidRPr="005B7140">
        <w:rPr>
          <w:rFonts w:ascii="Arial" w:hAnsi="Arial" w:cs="Arial"/>
        </w:rPr>
        <w:t>were</w:t>
      </w:r>
      <w:r w:rsidRPr="005B7140">
        <w:rPr>
          <w:rFonts w:ascii="Arial" w:hAnsi="Arial" w:cs="Arial"/>
        </w:rPr>
        <w:t xml:space="preserve"> other suggestion</w:t>
      </w:r>
      <w:r w:rsidR="008F4728" w:rsidRPr="005B7140">
        <w:rPr>
          <w:rFonts w:ascii="Arial" w:hAnsi="Arial" w:cs="Arial"/>
        </w:rPr>
        <w:t>s</w:t>
      </w:r>
      <w:r w:rsidRPr="005B7140">
        <w:rPr>
          <w:rFonts w:ascii="Arial" w:hAnsi="Arial" w:cs="Arial"/>
        </w:rPr>
        <w:t xml:space="preserve"> that </w:t>
      </w:r>
      <w:r w:rsidR="00D81373" w:rsidRPr="005B7140">
        <w:rPr>
          <w:rFonts w:ascii="Arial" w:hAnsi="Arial" w:cs="Arial"/>
        </w:rPr>
        <w:t xml:space="preserve">could warrant </w:t>
      </w:r>
      <w:r w:rsidRPr="005B7140">
        <w:rPr>
          <w:rFonts w:ascii="Arial" w:hAnsi="Arial" w:cs="Arial"/>
        </w:rPr>
        <w:t>further explor</w:t>
      </w:r>
      <w:r w:rsidR="00D81373" w:rsidRPr="005B7140">
        <w:rPr>
          <w:rFonts w:ascii="Arial" w:hAnsi="Arial" w:cs="Arial"/>
        </w:rPr>
        <w:t>ation</w:t>
      </w:r>
      <w:r w:rsidRPr="009A69E2">
        <w:rPr>
          <w:rFonts w:ascii="Arial" w:hAnsi="Arial" w:cs="Arial"/>
        </w:rPr>
        <w:t>.</w:t>
      </w:r>
    </w:p>
    <w:p w14:paraId="45DE324D" w14:textId="2998326D" w:rsidR="00190BEA" w:rsidRDefault="00190BEA" w:rsidP="005B7140">
      <w:pPr>
        <w:pStyle w:val="Heading3"/>
        <w:spacing w:before="160" w:after="120"/>
      </w:pPr>
      <w:r>
        <w:t>Other</w:t>
      </w:r>
    </w:p>
    <w:p w14:paraId="783C8737" w14:textId="77777777" w:rsidR="00190BEA" w:rsidRPr="005B7140" w:rsidRDefault="00190BEA" w:rsidP="005B7140">
      <w:pPr>
        <w:pStyle w:val="ListParagraph"/>
        <w:numPr>
          <w:ilvl w:val="1"/>
          <w:numId w:val="51"/>
        </w:numPr>
        <w:spacing w:after="120"/>
        <w:ind w:left="568" w:hanging="284"/>
        <w:contextualSpacing w:val="0"/>
        <w:rPr>
          <w:rFonts w:ascii="Arial" w:hAnsi="Arial" w:cs="Arial"/>
          <w:bCs/>
          <w:szCs w:val="20"/>
        </w:rPr>
      </w:pPr>
      <w:r w:rsidRPr="005B7140">
        <w:rPr>
          <w:rFonts w:ascii="Arial" w:hAnsi="Arial" w:cs="Arial"/>
          <w:b/>
          <w:szCs w:val="20"/>
        </w:rPr>
        <w:t>The design refresh should develop a simpler set of End of Program Outcomes (EOPOs) as part of an updated program logic.</w:t>
      </w:r>
      <w:r w:rsidRPr="005B7140">
        <w:rPr>
          <w:rFonts w:ascii="Arial" w:hAnsi="Arial" w:cs="Arial"/>
          <w:bCs/>
          <w:szCs w:val="20"/>
        </w:rPr>
        <w:t xml:space="preserve"> The current EOPOs incorporate too many elements, mixing outputs, outcomes and processes. There is no clear relationship between the EOPOs and the program logic. While the program logic includes a high-level poverty reduction goal (‘increased net income for households’), the end-beneficiary impacts being pursued during project implementation are not reflected in EOPOs 1 and 2, and EOPO3 is specific to women, youth and people living with disabilities. This creates a disconnect between the EOPOs and the indicators used to report against them, which do include data for the full range of end-beneficiaries (households and/or individuals).</w:t>
      </w:r>
    </w:p>
    <w:p w14:paraId="451C419D" w14:textId="437E0EA1" w:rsidR="00190BEA" w:rsidRPr="005B7140" w:rsidRDefault="00190BEA" w:rsidP="005B7140">
      <w:pPr>
        <w:pStyle w:val="ListParagraph"/>
        <w:numPr>
          <w:ilvl w:val="1"/>
          <w:numId w:val="51"/>
        </w:numPr>
        <w:ind w:left="568" w:hanging="284"/>
        <w:rPr>
          <w:rFonts w:ascii="Arial" w:hAnsi="Arial" w:cs="Arial"/>
          <w:b/>
          <w:szCs w:val="20"/>
        </w:rPr>
      </w:pPr>
      <w:r w:rsidRPr="005B7140">
        <w:rPr>
          <w:rFonts w:ascii="Arial" w:hAnsi="Arial" w:cs="Arial"/>
          <w:b/>
          <w:szCs w:val="20"/>
        </w:rPr>
        <w:t>The Phase 3 implementing contractor should seek DFAT’s agreement on future VfM reporting</w:t>
      </w:r>
      <w:r w:rsidRPr="005B7140">
        <w:rPr>
          <w:rFonts w:ascii="Arial" w:hAnsi="Arial" w:cs="Arial"/>
          <w:bCs/>
          <w:szCs w:val="20"/>
        </w:rPr>
        <w:t xml:space="preserve">, </w:t>
      </w:r>
      <w:r w:rsidR="00FF3EF2" w:rsidRPr="00FF3EF2">
        <w:rPr>
          <w:rFonts w:ascii="Arial" w:hAnsi="Arial" w:cs="Arial"/>
          <w:bCs/>
          <w:szCs w:val="20"/>
        </w:rPr>
        <w:t>building on recent preparatory work that could inform development of</w:t>
      </w:r>
      <w:r w:rsidR="00FF3EF2" w:rsidRPr="00FF3EF2">
        <w:rPr>
          <w:rFonts w:ascii="Arial" w:hAnsi="Arial" w:cs="Arial"/>
          <w:b/>
          <w:szCs w:val="20"/>
        </w:rPr>
        <w:t xml:space="preserve"> </w:t>
      </w:r>
      <w:r w:rsidR="00FF3EF2" w:rsidRPr="00FF3EF2">
        <w:rPr>
          <w:rFonts w:ascii="Arial" w:hAnsi="Arial" w:cs="Arial"/>
          <w:bCs/>
          <w:szCs w:val="20"/>
        </w:rPr>
        <w:t>a VfM framework</w:t>
      </w:r>
      <w:r w:rsidR="00775830">
        <w:rPr>
          <w:rFonts w:ascii="Arial" w:hAnsi="Arial" w:cs="Arial"/>
          <w:bCs/>
          <w:szCs w:val="20"/>
        </w:rPr>
        <w:t>.</w:t>
      </w:r>
      <w:r w:rsidR="00FF3EF2">
        <w:rPr>
          <w:rFonts w:ascii="Arial" w:hAnsi="Arial" w:cs="Arial"/>
          <w:bCs/>
          <w:szCs w:val="20"/>
        </w:rPr>
        <w:t xml:space="preserve"> </w:t>
      </w:r>
    </w:p>
    <w:p w14:paraId="18623F2D" w14:textId="057B5D89" w:rsidR="00A2169B" w:rsidRDefault="00A2169B" w:rsidP="00A2169B">
      <w:pPr>
        <w:pStyle w:val="ChapterHeading"/>
      </w:pPr>
      <w:bookmarkStart w:id="28" w:name="_Toc131170452"/>
      <w:r>
        <w:t>Annexes</w:t>
      </w:r>
      <w:bookmarkEnd w:id="28"/>
    </w:p>
    <w:p w14:paraId="45AE0FEF" w14:textId="77777777" w:rsidR="00566527" w:rsidRDefault="00566527" w:rsidP="00566527">
      <w:pPr>
        <w:pStyle w:val="Heading1"/>
      </w:pPr>
      <w:bookmarkStart w:id="29" w:name="_Toc124870844"/>
      <w:bookmarkStart w:id="30" w:name="_Toc131170453"/>
      <w:r>
        <w:t>Annex 1: Terms of Reference (extract)</w:t>
      </w:r>
      <w:bookmarkEnd w:id="29"/>
      <w:bookmarkEnd w:id="30"/>
    </w:p>
    <w:p w14:paraId="43130599" w14:textId="5DC79557" w:rsidR="00D93971" w:rsidRDefault="00D93971" w:rsidP="00D93971">
      <w:r w:rsidRPr="00FC3C43">
        <w:rPr>
          <w:b/>
          <w:bCs/>
        </w:rPr>
        <w:t>Title</w:t>
      </w:r>
      <w:r>
        <w:rPr>
          <w:b/>
          <w:bCs/>
        </w:rPr>
        <w:t xml:space="preserve">: </w:t>
      </w:r>
      <w:r>
        <w:rPr>
          <w:b/>
          <w:bCs/>
        </w:rPr>
        <w:tab/>
      </w:r>
      <w:r>
        <w:rPr>
          <w:b/>
          <w:bCs/>
        </w:rPr>
        <w:tab/>
      </w:r>
      <w:r w:rsidR="00106E82">
        <w:rPr>
          <w:b/>
          <w:bCs/>
        </w:rPr>
        <w:tab/>
      </w:r>
      <w:r w:rsidRPr="00D93971">
        <w:t>End of Program Evaluation of Strongim Bisnis Program – Solomon Islands</w:t>
      </w:r>
    </w:p>
    <w:p w14:paraId="22BAF6D9" w14:textId="79A6EF3F" w:rsidR="00106E82" w:rsidRDefault="00106E82" w:rsidP="00D93971">
      <w:r w:rsidRPr="00FC3C43">
        <w:rPr>
          <w:b/>
          <w:bCs/>
        </w:rPr>
        <w:t>Duration</w:t>
      </w:r>
      <w:r>
        <w:rPr>
          <w:b/>
          <w:bCs/>
        </w:rPr>
        <w:t>:</w:t>
      </w:r>
      <w:r>
        <w:rPr>
          <w:b/>
          <w:bCs/>
        </w:rPr>
        <w:tab/>
      </w:r>
      <w:r w:rsidRPr="00106E82">
        <w:t>December 2022 – March 2023</w:t>
      </w:r>
    </w:p>
    <w:p w14:paraId="74A1BF05" w14:textId="77777777" w:rsidR="00106E82" w:rsidRPr="00FC3C43" w:rsidRDefault="00106E82" w:rsidP="00106E82">
      <w:pPr>
        <w:rPr>
          <w:b/>
          <w:bCs/>
        </w:rPr>
      </w:pPr>
      <w:r w:rsidRPr="00FC3C43">
        <w:rPr>
          <w:b/>
          <w:bCs/>
        </w:rPr>
        <w:t>Reports to:</w:t>
      </w:r>
      <w:r>
        <w:rPr>
          <w:b/>
          <w:bCs/>
        </w:rPr>
        <w:tab/>
      </w:r>
      <w:r w:rsidRPr="00106E82">
        <w:t>First Sec. (Economics) Louisa Macdonald Hall</w:t>
      </w:r>
    </w:p>
    <w:p w14:paraId="25C21C7B" w14:textId="7C2A08A4" w:rsidR="00106E82" w:rsidRPr="00106E82" w:rsidRDefault="00106E82" w:rsidP="00106E82">
      <w:pPr>
        <w:ind w:left="852" w:firstLine="284"/>
      </w:pPr>
      <w:r w:rsidRPr="00106E82">
        <w:t>DFAT Assistant Program Manager Rosslyn Ramoifuila</w:t>
      </w:r>
    </w:p>
    <w:p w14:paraId="7EFC8935" w14:textId="77777777" w:rsidR="00F15A6D" w:rsidRPr="00CB2B60" w:rsidRDefault="00F15A6D" w:rsidP="00F15A6D">
      <w:pPr>
        <w:rPr>
          <w:rFonts w:ascii="Arial" w:eastAsia="Arial" w:hAnsi="Arial" w:cs="Arial"/>
          <w:sz w:val="18"/>
          <w:szCs w:val="18"/>
        </w:rPr>
      </w:pPr>
      <w:r w:rsidRPr="00CB2B60">
        <w:rPr>
          <w:rFonts w:ascii="Arial" w:hAnsi="Arial" w:cs="Arial"/>
          <w:b/>
          <w:bCs/>
          <w:sz w:val="18"/>
          <w:szCs w:val="18"/>
        </w:rPr>
        <w:t>Background</w:t>
      </w:r>
      <w:r w:rsidRPr="00CB2B60">
        <w:rPr>
          <w:rFonts w:ascii="Arial" w:eastAsia="Arial" w:hAnsi="Arial" w:cs="Arial"/>
          <w:b/>
          <w:bCs/>
          <w:sz w:val="18"/>
          <w:szCs w:val="18"/>
        </w:rPr>
        <w:t xml:space="preserve"> </w:t>
      </w:r>
      <w:r w:rsidRPr="00CB2B60">
        <w:rPr>
          <w:rFonts w:ascii="Arial" w:hAnsi="Arial" w:cs="Arial"/>
          <w:sz w:val="18"/>
          <w:szCs w:val="18"/>
        </w:rPr>
        <w:tab/>
      </w:r>
      <w:r w:rsidRPr="00CB2B60">
        <w:rPr>
          <w:rFonts w:ascii="Arial" w:hAnsi="Arial" w:cs="Arial"/>
          <w:sz w:val="18"/>
          <w:szCs w:val="18"/>
        </w:rPr>
        <w:tab/>
      </w:r>
      <w:r w:rsidRPr="00CB2B60">
        <w:rPr>
          <w:rFonts w:ascii="Arial" w:eastAsia="Arial" w:hAnsi="Arial" w:cs="Arial"/>
          <w:sz w:val="18"/>
          <w:szCs w:val="18"/>
        </w:rPr>
        <w:t xml:space="preserve"> </w:t>
      </w:r>
    </w:p>
    <w:p w14:paraId="3928B269" w14:textId="77777777" w:rsidR="00F15A6D" w:rsidRPr="00CB2B60" w:rsidRDefault="00F15A6D" w:rsidP="00F15A6D">
      <w:pPr>
        <w:rPr>
          <w:rFonts w:ascii="Arial" w:eastAsia="Arial" w:hAnsi="Arial" w:cs="Arial"/>
          <w:sz w:val="18"/>
          <w:szCs w:val="18"/>
        </w:rPr>
      </w:pPr>
      <w:r w:rsidRPr="00CB2B60">
        <w:rPr>
          <w:rFonts w:ascii="Arial" w:eastAsia="Arial" w:hAnsi="Arial" w:cs="Arial"/>
          <w:sz w:val="18"/>
          <w:szCs w:val="18"/>
        </w:rPr>
        <w:t>Solomon Islands has a nascent private sector. The country’s economy has a very narrow base, as it remains highly reliant on the unsustainable export of round logs. Businesses must grapple with significant operating costs, including some of the world’s highest energy prices, land issues, security uncertainty, and low human resource capacity. Supply chains are often unreliable. The private sector has traditionally underdelivered on opportunities for women, youth and people living with disabilities. Against this context, Australia’s Solomon Islands COVID</w:t>
      </w:r>
      <w:r w:rsidRPr="00CB2B60">
        <w:rPr>
          <w:rFonts w:ascii="Cambria Math" w:eastAsia="Arial" w:hAnsi="Cambria Math" w:cs="Cambria Math"/>
          <w:sz w:val="18"/>
          <w:szCs w:val="18"/>
        </w:rPr>
        <w:t>‐</w:t>
      </w:r>
      <w:r w:rsidRPr="00CB2B60">
        <w:rPr>
          <w:rFonts w:ascii="Arial" w:eastAsia="Arial" w:hAnsi="Arial" w:cs="Arial"/>
          <w:sz w:val="18"/>
          <w:szCs w:val="18"/>
        </w:rPr>
        <w:t>19 Development Response Plan, which sits under the Australian Government’s Partnerships for Recovery development strategy, states that Australia will ‘promote economic response and recovery, private sector resilience, open markets and supply chains, improved livelihoods and inclusive growth.’ For the past six years, the Strongim Bisnis program has been at the centre of Australia’s programming to deliver on this commitment in Solomon Islands.</w:t>
      </w:r>
    </w:p>
    <w:p w14:paraId="69513F3B" w14:textId="77777777" w:rsidR="00F15A6D" w:rsidRPr="00CB2B60" w:rsidRDefault="00F15A6D" w:rsidP="00F15A6D">
      <w:pPr>
        <w:rPr>
          <w:rFonts w:ascii="Arial" w:eastAsia="Arial" w:hAnsi="Arial" w:cs="Arial"/>
          <w:b/>
          <w:bCs/>
          <w:sz w:val="18"/>
          <w:szCs w:val="18"/>
        </w:rPr>
      </w:pPr>
      <w:r w:rsidRPr="00CB2B60">
        <w:rPr>
          <w:rFonts w:ascii="Arial" w:eastAsia="Arial" w:hAnsi="Arial" w:cs="Arial"/>
          <w:b/>
          <w:bCs/>
          <w:sz w:val="18"/>
          <w:szCs w:val="18"/>
        </w:rPr>
        <w:t xml:space="preserve">Program Description </w:t>
      </w:r>
    </w:p>
    <w:p w14:paraId="6CF3B982" w14:textId="77777777" w:rsidR="00F15A6D" w:rsidRPr="00CB2B60" w:rsidRDefault="00F15A6D" w:rsidP="00F15A6D">
      <w:pPr>
        <w:rPr>
          <w:rFonts w:ascii="Arial" w:eastAsia="Arial" w:hAnsi="Arial" w:cs="Arial"/>
          <w:sz w:val="18"/>
          <w:szCs w:val="18"/>
        </w:rPr>
      </w:pPr>
      <w:r w:rsidRPr="00CB2B60">
        <w:rPr>
          <w:rFonts w:ascii="Arial" w:eastAsia="Arial" w:hAnsi="Arial" w:cs="Arial"/>
          <w:sz w:val="18"/>
          <w:szCs w:val="18"/>
        </w:rPr>
        <w:t>Strongim Bisnis is a private sector development program funded by the Australian Government and managed by Adam Smith International Australia Pty Ltd (ASI). The program was designed to be delivered in two phases: July 2017 – June 2020; and July 2020 – June 2023. ASI was selected through an open tender process in 2017 to deliver the first phase, with an option for a 36-month extension. Following a mid-term review in 2019, Phase 1 of the program was extended for six months extension to allow a design refresh process to take place. ASI was then engaged to deliver Phase 2 commencing in January 2021. The program is due to finish in June 2023. Strongim Bisnis uses market systems approaches, adapted in practice for a Solomon Islands context. It seeks to make strategic value chain interventions through partnerships with private sector actors, civil society associations and government agencies. Activities and interventions are selected based on sector market system analyses, completed specifically for the program. In addition, Strongim Bisnis has worked to be flexible and use complementary approaches to support the private sector and partners, especially in response to challenging circumstances such as those around the COVID-19 pandemic and November 2021 unrest.</w:t>
      </w:r>
    </w:p>
    <w:p w14:paraId="5D20B2D3" w14:textId="77777777" w:rsidR="00F15A6D" w:rsidRPr="00CB2B60" w:rsidRDefault="00F15A6D" w:rsidP="00F15A6D">
      <w:pPr>
        <w:rPr>
          <w:rFonts w:ascii="Arial" w:eastAsia="Arial" w:hAnsi="Arial" w:cs="Arial"/>
          <w:b/>
          <w:bCs/>
          <w:sz w:val="18"/>
          <w:szCs w:val="18"/>
        </w:rPr>
      </w:pPr>
      <w:r w:rsidRPr="00CB2B60">
        <w:rPr>
          <w:rFonts w:ascii="Arial" w:eastAsia="Arial" w:hAnsi="Arial" w:cs="Arial"/>
          <w:b/>
          <w:bCs/>
          <w:sz w:val="18"/>
          <w:szCs w:val="18"/>
        </w:rPr>
        <w:t xml:space="preserve">The objective of this independent evaluation is to: </w:t>
      </w:r>
    </w:p>
    <w:p w14:paraId="4A793992" w14:textId="77777777" w:rsidR="00F15A6D" w:rsidRPr="00CB2B60" w:rsidRDefault="00F15A6D" w:rsidP="00F15A6D">
      <w:pPr>
        <w:rPr>
          <w:rFonts w:ascii="Arial" w:hAnsi="Arial" w:cs="Arial"/>
          <w:sz w:val="18"/>
          <w:szCs w:val="18"/>
        </w:rPr>
      </w:pPr>
      <w:r w:rsidRPr="00CB2B60">
        <w:rPr>
          <w:rFonts w:ascii="Arial" w:eastAsia="Arial" w:hAnsi="Arial" w:cs="Arial"/>
          <w:sz w:val="18"/>
          <w:szCs w:val="18"/>
        </w:rPr>
        <w:t>1. assess the program’s performance between 2020 and 2023, including in relation to its delivery: a. against the EOPOs; and b. in support of the Australian Government’s economic development objectives in Solomon Islands; 2. generate recommendations to enable a Phase 3 design team to: a. maintain successful elements of the program; b. make improvements to the program design where needed; and c. avoid including elements in the design which have been tried, tested but have not delivered results. This evaluation will be conducted in accordance with DFAT’s Monitoring and Evaluation Standards to assess the relevancy and efficiency of the program.</w:t>
      </w:r>
    </w:p>
    <w:p w14:paraId="27A2659D" w14:textId="77777777" w:rsidR="00F15A6D" w:rsidRPr="00CB2B60" w:rsidRDefault="00F15A6D" w:rsidP="00F15A6D">
      <w:pPr>
        <w:rPr>
          <w:rFonts w:ascii="Arial" w:eastAsia="Arial" w:hAnsi="Arial" w:cs="Arial"/>
          <w:b/>
          <w:bCs/>
          <w:sz w:val="18"/>
          <w:szCs w:val="18"/>
        </w:rPr>
      </w:pPr>
      <w:r w:rsidRPr="00CB2B60">
        <w:rPr>
          <w:rFonts w:ascii="Arial" w:eastAsia="Arial" w:hAnsi="Arial" w:cs="Arial"/>
          <w:b/>
          <w:bCs/>
          <w:sz w:val="18"/>
          <w:szCs w:val="18"/>
        </w:rPr>
        <w:t xml:space="preserve">Evaluation process </w:t>
      </w:r>
    </w:p>
    <w:p w14:paraId="1C210E21" w14:textId="77777777" w:rsidR="00F15A6D" w:rsidRPr="00CB2B60" w:rsidRDefault="00F15A6D" w:rsidP="00F15A6D">
      <w:pPr>
        <w:rPr>
          <w:rFonts w:ascii="Arial" w:eastAsia="Arial" w:hAnsi="Arial" w:cs="Arial"/>
          <w:b/>
          <w:bCs/>
          <w:sz w:val="18"/>
          <w:szCs w:val="18"/>
        </w:rPr>
      </w:pPr>
      <w:r w:rsidRPr="00CB2B60">
        <w:rPr>
          <w:rFonts w:ascii="Arial" w:eastAsia="Arial" w:hAnsi="Arial" w:cs="Arial"/>
          <w:b/>
          <w:bCs/>
          <w:sz w:val="18"/>
          <w:szCs w:val="18"/>
        </w:rPr>
        <w:t xml:space="preserve">Timeline and methodology </w:t>
      </w:r>
    </w:p>
    <w:p w14:paraId="3B27D684" w14:textId="77777777" w:rsidR="00F15A6D" w:rsidRDefault="00F15A6D" w:rsidP="00F15A6D">
      <w:pPr>
        <w:rPr>
          <w:rFonts w:ascii="Arial" w:eastAsia="Arial" w:hAnsi="Arial" w:cs="Arial"/>
          <w:sz w:val="18"/>
          <w:szCs w:val="18"/>
        </w:rPr>
      </w:pPr>
      <w:r w:rsidRPr="00CB2B60">
        <w:rPr>
          <w:rFonts w:ascii="Arial" w:eastAsia="Arial" w:hAnsi="Arial" w:cs="Arial"/>
          <w:sz w:val="18"/>
          <w:szCs w:val="18"/>
        </w:rPr>
        <w:t xml:space="preserve">The evaluation process is expected to commence by December 2022 with final report to be submitted to Australian High Commission by 31 March 2023. This evaluation is expected to include both desk-based activities and an in-country mission (to be scheduled in early February). The process will kick off with a verbal briefing from the Australian High Commission private sector development team and DT Global. Regular meetings with this group will follow, particularly during the early phase as the evaluation plan is being developed. Up to 60 days may be allocated for the entire evaluation to be divided amongst nominated team members. </w:t>
      </w:r>
    </w:p>
    <w:tbl>
      <w:tblPr>
        <w:tblStyle w:val="TableGrid"/>
        <w:tblW w:w="0" w:type="auto"/>
        <w:tblLook w:val="04A0" w:firstRow="1" w:lastRow="0" w:firstColumn="1" w:lastColumn="0" w:noHBand="0" w:noVBand="1"/>
      </w:tblPr>
      <w:tblGrid>
        <w:gridCol w:w="447"/>
        <w:gridCol w:w="5382"/>
        <w:gridCol w:w="3573"/>
      </w:tblGrid>
      <w:tr w:rsidR="00F15A6D" w:rsidRPr="00994973" w14:paraId="13610710" w14:textId="77777777" w:rsidTr="00CD63CE">
        <w:trPr>
          <w:trHeight w:val="20"/>
          <w:tblHeader/>
        </w:trPr>
        <w:tc>
          <w:tcPr>
            <w:tcW w:w="447" w:type="dxa"/>
          </w:tcPr>
          <w:p w14:paraId="025D4738" w14:textId="77777777" w:rsidR="00F15A6D" w:rsidRPr="00CB2B60" w:rsidRDefault="00F15A6D" w:rsidP="00ED3482">
            <w:pPr>
              <w:spacing w:after="0" w:line="240" w:lineRule="auto"/>
              <w:rPr>
                <w:rFonts w:ascii="Arial" w:eastAsia="Arial" w:hAnsi="Arial" w:cs="Arial"/>
                <w:b/>
                <w:bCs/>
                <w:sz w:val="16"/>
                <w:szCs w:val="16"/>
              </w:rPr>
            </w:pPr>
            <w:r w:rsidRPr="00CB2B60">
              <w:rPr>
                <w:rFonts w:ascii="Arial" w:eastAsia="Arial" w:hAnsi="Arial" w:cs="Arial"/>
                <w:b/>
                <w:bCs/>
                <w:sz w:val="16"/>
                <w:szCs w:val="16"/>
              </w:rPr>
              <w:t>No</w:t>
            </w:r>
          </w:p>
        </w:tc>
        <w:tc>
          <w:tcPr>
            <w:tcW w:w="5382" w:type="dxa"/>
          </w:tcPr>
          <w:p w14:paraId="4F81EAD6" w14:textId="77777777" w:rsidR="00F15A6D" w:rsidRPr="00CB2B60" w:rsidRDefault="00F15A6D" w:rsidP="00ED3482">
            <w:pPr>
              <w:spacing w:after="0" w:line="240" w:lineRule="auto"/>
              <w:rPr>
                <w:rFonts w:ascii="Arial" w:eastAsia="Arial" w:hAnsi="Arial" w:cs="Arial"/>
                <w:b/>
                <w:bCs/>
                <w:sz w:val="16"/>
                <w:szCs w:val="16"/>
              </w:rPr>
            </w:pPr>
            <w:r w:rsidRPr="00CB2B60">
              <w:rPr>
                <w:rFonts w:ascii="Arial" w:eastAsia="Arial" w:hAnsi="Arial" w:cs="Arial"/>
                <w:b/>
                <w:bCs/>
                <w:sz w:val="16"/>
                <w:szCs w:val="16"/>
              </w:rPr>
              <w:t>Activity</w:t>
            </w:r>
          </w:p>
        </w:tc>
        <w:tc>
          <w:tcPr>
            <w:tcW w:w="3573" w:type="dxa"/>
          </w:tcPr>
          <w:p w14:paraId="461AF620" w14:textId="77777777" w:rsidR="00F15A6D" w:rsidRPr="00CB2B60" w:rsidRDefault="00F15A6D" w:rsidP="00ED3482">
            <w:pPr>
              <w:spacing w:after="0" w:line="240" w:lineRule="auto"/>
              <w:rPr>
                <w:rFonts w:ascii="Arial" w:eastAsia="Arial" w:hAnsi="Arial" w:cs="Arial"/>
                <w:b/>
                <w:bCs/>
                <w:sz w:val="16"/>
                <w:szCs w:val="16"/>
              </w:rPr>
            </w:pPr>
            <w:r w:rsidRPr="00CB2B60">
              <w:rPr>
                <w:rFonts w:ascii="Arial" w:eastAsia="Arial" w:hAnsi="Arial" w:cs="Arial"/>
                <w:b/>
                <w:bCs/>
                <w:sz w:val="16"/>
                <w:szCs w:val="16"/>
              </w:rPr>
              <w:t>Indicative dates</w:t>
            </w:r>
          </w:p>
        </w:tc>
      </w:tr>
      <w:tr w:rsidR="00F15A6D" w14:paraId="0B756591" w14:textId="77777777" w:rsidTr="00ED3482">
        <w:trPr>
          <w:trHeight w:val="20"/>
        </w:trPr>
        <w:tc>
          <w:tcPr>
            <w:tcW w:w="447" w:type="dxa"/>
          </w:tcPr>
          <w:p w14:paraId="0C58B7B3"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1</w:t>
            </w:r>
          </w:p>
        </w:tc>
        <w:tc>
          <w:tcPr>
            <w:tcW w:w="5382" w:type="dxa"/>
          </w:tcPr>
          <w:p w14:paraId="428BFB0F"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 xml:space="preserve">Desk review and evaluation preparation </w:t>
            </w:r>
          </w:p>
        </w:tc>
        <w:tc>
          <w:tcPr>
            <w:tcW w:w="3573" w:type="dxa"/>
          </w:tcPr>
          <w:p w14:paraId="0F2B4EA9"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December</w:t>
            </w:r>
          </w:p>
        </w:tc>
      </w:tr>
      <w:tr w:rsidR="00F15A6D" w14:paraId="27C47090" w14:textId="77777777" w:rsidTr="00ED3482">
        <w:trPr>
          <w:trHeight w:val="20"/>
        </w:trPr>
        <w:tc>
          <w:tcPr>
            <w:tcW w:w="447" w:type="dxa"/>
          </w:tcPr>
          <w:p w14:paraId="31C619AF"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2</w:t>
            </w:r>
          </w:p>
        </w:tc>
        <w:tc>
          <w:tcPr>
            <w:tcW w:w="5382" w:type="dxa"/>
          </w:tcPr>
          <w:p w14:paraId="17D41649"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 xml:space="preserve">Evaluation Plan (maximum 8 pages plus reasonable, necessary attachments) </w:t>
            </w:r>
          </w:p>
        </w:tc>
        <w:tc>
          <w:tcPr>
            <w:tcW w:w="3573" w:type="dxa"/>
          </w:tcPr>
          <w:p w14:paraId="3E679B7A"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December / January (allowing for breaks) working towards final plan by 20 January</w:t>
            </w:r>
          </w:p>
        </w:tc>
      </w:tr>
      <w:tr w:rsidR="00F15A6D" w14:paraId="7DD57537" w14:textId="77777777" w:rsidTr="00ED3482">
        <w:trPr>
          <w:trHeight w:val="20"/>
        </w:trPr>
        <w:tc>
          <w:tcPr>
            <w:tcW w:w="447" w:type="dxa"/>
          </w:tcPr>
          <w:p w14:paraId="361F049A"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3</w:t>
            </w:r>
          </w:p>
        </w:tc>
        <w:tc>
          <w:tcPr>
            <w:tcW w:w="5382" w:type="dxa"/>
          </w:tcPr>
          <w:p w14:paraId="5F005BF0"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In-country mission</w:t>
            </w:r>
            <w:r>
              <w:rPr>
                <w:rFonts w:ascii="Arial" w:eastAsia="Arial" w:hAnsi="Arial" w:cs="Arial"/>
                <w:sz w:val="16"/>
                <w:szCs w:val="16"/>
              </w:rPr>
              <w:t xml:space="preserve">: </w:t>
            </w:r>
            <w:r w:rsidRPr="00CB2B60">
              <w:rPr>
                <w:rFonts w:ascii="Arial" w:eastAsia="Arial" w:hAnsi="Arial" w:cs="Arial"/>
                <w:sz w:val="16"/>
                <w:szCs w:val="16"/>
              </w:rPr>
              <w:t xml:space="preserve"> Data collection </w:t>
            </w:r>
            <w:r w:rsidRPr="00CB2B60">
              <w:rPr>
                <w:rFonts w:ascii="Arial" w:eastAsia="Arial" w:hAnsi="Arial" w:cs="Arial"/>
                <w:sz w:val="16"/>
                <w:szCs w:val="16"/>
              </w:rPr>
              <w:t xml:space="preserve"> Stakeholder engagement </w:t>
            </w:r>
            <w:r w:rsidRPr="00CB2B60">
              <w:rPr>
                <w:rFonts w:ascii="Arial" w:eastAsia="Arial" w:hAnsi="Arial" w:cs="Arial"/>
                <w:sz w:val="16"/>
                <w:szCs w:val="16"/>
              </w:rPr>
              <w:t> Preliminary data and report work in country</w:t>
            </w:r>
            <w:r>
              <w:rPr>
                <w:rFonts w:ascii="Arial" w:eastAsia="Arial" w:hAnsi="Arial" w:cs="Arial"/>
                <w:sz w:val="16"/>
                <w:szCs w:val="16"/>
              </w:rPr>
              <w:t xml:space="preserve"> </w:t>
            </w:r>
            <w:r w:rsidRPr="00A93286">
              <w:rPr>
                <w:rFonts w:ascii="Arial" w:eastAsia="Arial" w:hAnsi="Arial" w:cs="Arial"/>
                <w:sz w:val="16"/>
                <w:szCs w:val="16"/>
              </w:rPr>
              <w:t xml:space="preserve"> </w:t>
            </w:r>
            <w:r w:rsidRPr="00DF1A10">
              <w:rPr>
                <w:rFonts w:ascii="Arial" w:eastAsia="Arial" w:hAnsi="Arial" w:cs="Arial"/>
                <w:sz w:val="16"/>
                <w:szCs w:val="16"/>
              </w:rPr>
              <w:t xml:space="preserve">Mission report presented to DFAT team on final day </w:t>
            </w:r>
          </w:p>
        </w:tc>
        <w:tc>
          <w:tcPr>
            <w:tcW w:w="3573" w:type="dxa"/>
          </w:tcPr>
          <w:p w14:paraId="2BD3F7C8"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1-15 February</w:t>
            </w:r>
          </w:p>
        </w:tc>
      </w:tr>
      <w:tr w:rsidR="00F15A6D" w14:paraId="17F73813" w14:textId="77777777" w:rsidTr="00ED3482">
        <w:trPr>
          <w:trHeight w:val="20"/>
        </w:trPr>
        <w:tc>
          <w:tcPr>
            <w:tcW w:w="447" w:type="dxa"/>
          </w:tcPr>
          <w:p w14:paraId="00FEBCB7"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4</w:t>
            </w:r>
          </w:p>
        </w:tc>
        <w:tc>
          <w:tcPr>
            <w:tcW w:w="5382" w:type="dxa"/>
          </w:tcPr>
          <w:p w14:paraId="479A642A"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Draft Evaluation Report (maximum 20 pages including executive summary plus reasonable, necessary attachments)</w:t>
            </w:r>
          </w:p>
        </w:tc>
        <w:tc>
          <w:tcPr>
            <w:tcW w:w="3573" w:type="dxa"/>
          </w:tcPr>
          <w:p w14:paraId="09017521"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By 7 March</w:t>
            </w:r>
          </w:p>
        </w:tc>
      </w:tr>
      <w:tr w:rsidR="00F15A6D" w14:paraId="699A6191" w14:textId="77777777" w:rsidTr="00ED3482">
        <w:trPr>
          <w:trHeight w:val="20"/>
        </w:trPr>
        <w:tc>
          <w:tcPr>
            <w:tcW w:w="447" w:type="dxa"/>
          </w:tcPr>
          <w:p w14:paraId="022EF684"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5</w:t>
            </w:r>
          </w:p>
        </w:tc>
        <w:tc>
          <w:tcPr>
            <w:tcW w:w="5382" w:type="dxa"/>
          </w:tcPr>
          <w:p w14:paraId="5EB3CF9D"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 xml:space="preserve">Final Evaluation Report (maximum 20 pages including executive summary plus reasonable, necessary attachments) </w:t>
            </w:r>
          </w:p>
        </w:tc>
        <w:tc>
          <w:tcPr>
            <w:tcW w:w="3573" w:type="dxa"/>
          </w:tcPr>
          <w:p w14:paraId="33309394" w14:textId="77777777" w:rsidR="00F15A6D" w:rsidRPr="00CB2B60" w:rsidRDefault="00F15A6D" w:rsidP="00ED3482">
            <w:pPr>
              <w:spacing w:after="0" w:line="240" w:lineRule="auto"/>
              <w:rPr>
                <w:rFonts w:ascii="Arial" w:eastAsia="Arial" w:hAnsi="Arial" w:cs="Arial"/>
                <w:sz w:val="16"/>
                <w:szCs w:val="16"/>
              </w:rPr>
            </w:pPr>
            <w:r w:rsidRPr="00CB2B60">
              <w:rPr>
                <w:rFonts w:ascii="Arial" w:eastAsia="Arial" w:hAnsi="Arial" w:cs="Arial"/>
                <w:sz w:val="16"/>
                <w:szCs w:val="16"/>
              </w:rPr>
              <w:t>By 31 March.</w:t>
            </w:r>
          </w:p>
        </w:tc>
      </w:tr>
    </w:tbl>
    <w:p w14:paraId="629DD87B" w14:textId="77777777" w:rsidR="00F15A6D" w:rsidRPr="00CB2B60" w:rsidRDefault="00F15A6D" w:rsidP="00F15A6D">
      <w:pPr>
        <w:rPr>
          <w:rFonts w:ascii="Arial" w:eastAsia="Arial" w:hAnsi="Arial" w:cs="Arial"/>
          <w:b/>
          <w:bCs/>
          <w:sz w:val="18"/>
          <w:szCs w:val="18"/>
        </w:rPr>
      </w:pPr>
      <w:r w:rsidRPr="00CB2B60">
        <w:rPr>
          <w:rFonts w:ascii="Arial" w:eastAsia="Arial" w:hAnsi="Arial" w:cs="Arial"/>
          <w:b/>
          <w:bCs/>
          <w:sz w:val="18"/>
          <w:szCs w:val="18"/>
        </w:rPr>
        <w:t xml:space="preserve">Expected Outputs </w:t>
      </w:r>
    </w:p>
    <w:p w14:paraId="5C86DA99" w14:textId="77777777" w:rsidR="00F15A6D" w:rsidRPr="00CB2B60" w:rsidRDefault="00F15A6D" w:rsidP="00F15A6D">
      <w:pPr>
        <w:rPr>
          <w:rFonts w:ascii="Arial" w:hAnsi="Arial" w:cs="Arial"/>
          <w:sz w:val="18"/>
          <w:szCs w:val="18"/>
        </w:rPr>
      </w:pPr>
      <w:r w:rsidRPr="00CB2B60">
        <w:rPr>
          <w:rFonts w:ascii="Arial" w:eastAsia="Arial" w:hAnsi="Arial" w:cs="Arial"/>
          <w:sz w:val="18"/>
          <w:szCs w:val="18"/>
        </w:rPr>
        <w:t>The evaluation team is expected to deliver the following outputs:</w:t>
      </w:r>
    </w:p>
    <w:p w14:paraId="3C7CF959" w14:textId="77777777" w:rsidR="00F15A6D" w:rsidRPr="00CB2B60" w:rsidRDefault="00F15A6D" w:rsidP="00F15A6D">
      <w:pPr>
        <w:rPr>
          <w:rFonts w:ascii="Arial" w:hAnsi="Arial" w:cs="Arial"/>
          <w:sz w:val="18"/>
          <w:szCs w:val="18"/>
        </w:rPr>
      </w:pPr>
      <w:r w:rsidRPr="00CB2B60">
        <w:rPr>
          <w:rFonts w:ascii="Arial" w:eastAsia="Arial" w:hAnsi="Arial" w:cs="Arial"/>
          <w:b/>
          <w:bCs/>
          <w:sz w:val="18"/>
          <w:szCs w:val="18"/>
        </w:rPr>
        <w:t>Final, agreed Evaluation Plan by 20 January 2023 (no more than 8 pages, excluding attachments)</w:t>
      </w:r>
      <w:r w:rsidRPr="00CB2B60">
        <w:rPr>
          <w:rFonts w:ascii="Arial" w:eastAsia="Arial" w:hAnsi="Arial" w:cs="Arial"/>
          <w:sz w:val="18"/>
          <w:szCs w:val="18"/>
        </w:rPr>
        <w:t xml:space="preserve"> o The evaluation plan will be developed by the Team Leader in consultation with members of the evaluation team and approved by Australian High Commission prior to the commencement of the in-country mission. The evaluation plan should comply with </w:t>
      </w:r>
      <w:r w:rsidRPr="00CB2B60">
        <w:rPr>
          <w:rFonts w:ascii="Arial" w:eastAsia="Arial" w:hAnsi="Arial" w:cs="Arial"/>
          <w:i/>
          <w:iCs/>
          <w:sz w:val="18"/>
          <w:szCs w:val="18"/>
        </w:rPr>
        <w:t>DFAT’s M&amp;E Standards</w:t>
      </w:r>
      <w:r w:rsidRPr="00CB2B60">
        <w:rPr>
          <w:rFonts w:ascii="Arial" w:eastAsia="Arial" w:hAnsi="Arial" w:cs="Arial"/>
          <w:sz w:val="18"/>
          <w:szCs w:val="18"/>
        </w:rPr>
        <w:t xml:space="preserve"> and </w:t>
      </w:r>
      <w:r w:rsidRPr="00CB2B60">
        <w:rPr>
          <w:rFonts w:ascii="Arial" w:eastAsia="Arial" w:hAnsi="Arial" w:cs="Arial"/>
          <w:i/>
          <w:iCs/>
          <w:sz w:val="18"/>
          <w:szCs w:val="18"/>
        </w:rPr>
        <w:t>Ethical Research and Evaluation Guidance Note</w:t>
      </w:r>
      <w:r w:rsidRPr="00CB2B60">
        <w:rPr>
          <w:rFonts w:ascii="Arial" w:eastAsia="Arial" w:hAnsi="Arial" w:cs="Arial"/>
          <w:sz w:val="18"/>
          <w:szCs w:val="18"/>
        </w:rPr>
        <w:t xml:space="preserve"> and describe the methodology the team intends to use to answer the key evaluation questions, within the allocated timeline and resources. </w:t>
      </w:r>
    </w:p>
    <w:p w14:paraId="2176960A" w14:textId="77777777" w:rsidR="00F15A6D" w:rsidRPr="00CB2B60" w:rsidRDefault="00F15A6D" w:rsidP="00F15A6D">
      <w:pPr>
        <w:rPr>
          <w:rFonts w:ascii="Arial" w:hAnsi="Arial" w:cs="Arial"/>
          <w:sz w:val="18"/>
          <w:szCs w:val="18"/>
        </w:rPr>
      </w:pPr>
      <w:r w:rsidRPr="00CB2B60">
        <w:rPr>
          <w:rFonts w:ascii="Arial" w:eastAsia="Arial" w:hAnsi="Arial" w:cs="Arial"/>
          <w:sz w:val="18"/>
          <w:szCs w:val="18"/>
        </w:rPr>
        <w:t xml:space="preserve">The evaluation plan should include: </w:t>
      </w:r>
      <w:r w:rsidRPr="00CB2B60">
        <w:rPr>
          <w:rFonts w:ascii="Arial" w:eastAsia="Arial" w:hAnsi="Arial" w:cs="Arial"/>
          <w:sz w:val="18"/>
          <w:szCs w:val="18"/>
        </w:rPr>
        <w:t xml:space="preserve"> the methodology being used to answer the key evaluation questions; </w:t>
      </w:r>
      <w:r w:rsidRPr="00CB2B60">
        <w:rPr>
          <w:rFonts w:ascii="Arial" w:eastAsia="Arial" w:hAnsi="Arial" w:cs="Arial"/>
          <w:sz w:val="18"/>
          <w:szCs w:val="18"/>
        </w:rPr>
        <w:t xml:space="preserve"> the proposed data collection and analysis processes, including sampling strategy and key informant categories; </w:t>
      </w:r>
      <w:r w:rsidRPr="00CB2B60">
        <w:rPr>
          <w:rFonts w:ascii="Arial" w:eastAsia="Arial" w:hAnsi="Arial" w:cs="Arial"/>
          <w:sz w:val="18"/>
          <w:szCs w:val="18"/>
        </w:rPr>
        <w:t xml:space="preserve"> the list of sub-questions developed from the key evaluation questions; </w:t>
      </w:r>
      <w:r w:rsidRPr="00CB2B60">
        <w:rPr>
          <w:rFonts w:ascii="Arial" w:eastAsia="Arial" w:hAnsi="Arial" w:cs="Arial"/>
          <w:sz w:val="18"/>
          <w:szCs w:val="18"/>
        </w:rPr>
        <w:t xml:space="preserve"> challenges anticipated in achieving the evaluation objectives; </w:t>
      </w:r>
      <w:r w:rsidRPr="00CB2B60">
        <w:rPr>
          <w:rFonts w:ascii="Arial" w:eastAsia="Arial" w:hAnsi="Arial" w:cs="Arial"/>
          <w:sz w:val="18"/>
          <w:szCs w:val="18"/>
        </w:rPr>
        <w:t xml:space="preserve"> allocation of tasks to the evaluation team; </w:t>
      </w:r>
      <w:r w:rsidRPr="00CB2B60">
        <w:rPr>
          <w:rFonts w:ascii="Arial" w:eastAsia="Arial" w:hAnsi="Arial" w:cs="Arial"/>
          <w:sz w:val="18"/>
          <w:szCs w:val="18"/>
        </w:rPr>
        <w:t xml:space="preserve"> implementation and deliverables timeline; and </w:t>
      </w:r>
      <w:r w:rsidRPr="00CB2B60">
        <w:rPr>
          <w:rFonts w:ascii="Arial" w:eastAsia="Arial" w:hAnsi="Arial" w:cs="Arial"/>
          <w:sz w:val="18"/>
          <w:szCs w:val="18"/>
        </w:rPr>
        <w:t xml:space="preserve"> a draft in-country schedule of meetings and visits. </w:t>
      </w:r>
      <w:r w:rsidRPr="00CB2B60">
        <w:rPr>
          <w:rFonts w:ascii="Arial" w:eastAsia="Arial" w:hAnsi="Arial" w:cs="Arial"/>
          <w:sz w:val="18"/>
          <w:szCs w:val="18"/>
        </w:rPr>
        <w:t xml:space="preserve"> </w:t>
      </w:r>
    </w:p>
    <w:p w14:paraId="5D66B4C7" w14:textId="77777777" w:rsidR="00F15A6D" w:rsidRPr="00CB2B60" w:rsidRDefault="00F15A6D" w:rsidP="00F15A6D">
      <w:pPr>
        <w:rPr>
          <w:rFonts w:ascii="Arial" w:hAnsi="Arial" w:cs="Arial"/>
          <w:sz w:val="18"/>
          <w:szCs w:val="18"/>
        </w:rPr>
      </w:pPr>
      <w:r w:rsidRPr="00CB2B60">
        <w:rPr>
          <w:rFonts w:ascii="Arial" w:eastAsia="Arial" w:hAnsi="Arial" w:cs="Arial"/>
          <w:b/>
          <w:bCs/>
          <w:sz w:val="18"/>
          <w:szCs w:val="18"/>
        </w:rPr>
        <w:t>Mission report at end of in</w:t>
      </w:r>
      <w:r w:rsidRPr="00CB2B60">
        <w:rPr>
          <w:rFonts w:ascii="Cambria Math" w:eastAsia="Arial" w:hAnsi="Cambria Math" w:cs="Cambria Math"/>
          <w:b/>
          <w:bCs/>
          <w:sz w:val="18"/>
          <w:szCs w:val="18"/>
        </w:rPr>
        <w:t>‐</w:t>
      </w:r>
      <w:r w:rsidRPr="00CB2B60">
        <w:rPr>
          <w:rFonts w:ascii="Arial" w:eastAsia="Arial" w:hAnsi="Arial" w:cs="Arial"/>
          <w:b/>
          <w:bCs/>
          <w:sz w:val="18"/>
          <w:szCs w:val="18"/>
        </w:rPr>
        <w:t xml:space="preserve">country inputs by 15 February 2023 (verbal report accompanied by appropriate presentation, with opportunities for question and discussion) </w:t>
      </w:r>
      <w:r w:rsidRPr="00CB2B60">
        <w:rPr>
          <w:rFonts w:ascii="Arial" w:eastAsia="Arial" w:hAnsi="Arial" w:cs="Arial"/>
          <w:sz w:val="18"/>
          <w:szCs w:val="18"/>
        </w:rPr>
        <w:t xml:space="preserve"> </w:t>
      </w:r>
    </w:p>
    <w:p w14:paraId="48322A82" w14:textId="77777777" w:rsidR="00F15A6D" w:rsidRPr="00CB2B60" w:rsidRDefault="00F15A6D" w:rsidP="00F15A6D">
      <w:pPr>
        <w:rPr>
          <w:rFonts w:ascii="Arial" w:hAnsi="Arial" w:cs="Arial"/>
          <w:sz w:val="18"/>
          <w:szCs w:val="18"/>
        </w:rPr>
      </w:pPr>
      <w:r w:rsidRPr="00CB2B60">
        <w:rPr>
          <w:rFonts w:ascii="Arial" w:eastAsia="Arial" w:hAnsi="Arial" w:cs="Arial"/>
          <w:b/>
          <w:bCs/>
          <w:sz w:val="18"/>
          <w:szCs w:val="18"/>
        </w:rPr>
        <w:t>Draft Independent Evaluation Report by 7 March 2023 (maximum 20 pages including executive summary plus reasonable, necessary attachments).</w:t>
      </w:r>
      <w:r w:rsidRPr="00CB2B60">
        <w:rPr>
          <w:rFonts w:ascii="Arial" w:eastAsia="Arial" w:hAnsi="Arial" w:cs="Arial"/>
          <w:sz w:val="18"/>
          <w:szCs w:val="18"/>
        </w:rPr>
        <w:t xml:space="preserve"> o The Independent Evaluation Report should meet the DFAT M&amp;E Standards, address the evaluation questions and targeted to the needs of the intended users. The report should have a succinct and clear executive summary, which can be read as a stand-alone document. Key challenges and achievements should be clearly presented in the executive summary, throughout the report and should be evidence-based</w:t>
      </w:r>
      <w:r>
        <w:rPr>
          <w:rFonts w:ascii="Arial" w:eastAsia="Arial" w:hAnsi="Arial" w:cs="Arial"/>
          <w:sz w:val="18"/>
          <w:szCs w:val="18"/>
        </w:rPr>
        <w:t>.</w:t>
      </w:r>
      <w:r w:rsidRPr="00CB2B60">
        <w:rPr>
          <w:rFonts w:ascii="Arial" w:eastAsia="Arial" w:hAnsi="Arial" w:cs="Arial"/>
          <w:sz w:val="18"/>
          <w:szCs w:val="18"/>
        </w:rPr>
        <w:t xml:space="preserve"> </w:t>
      </w:r>
    </w:p>
    <w:p w14:paraId="4DFB64B9" w14:textId="47958C80" w:rsidR="00D93971" w:rsidRPr="00D93971" w:rsidRDefault="00F15A6D" w:rsidP="00F15A6D">
      <w:r w:rsidRPr="00CB2B60">
        <w:rPr>
          <w:rFonts w:ascii="Arial" w:eastAsia="Arial" w:hAnsi="Arial" w:cs="Arial"/>
          <w:sz w:val="18"/>
          <w:szCs w:val="18"/>
        </w:rPr>
        <w:t xml:space="preserve">In addition, the report should be: </w:t>
      </w:r>
      <w:r w:rsidRPr="00CB2B60">
        <w:rPr>
          <w:rFonts w:ascii="Arial" w:eastAsia="Arial" w:hAnsi="Arial" w:cs="Arial"/>
          <w:sz w:val="18"/>
          <w:szCs w:val="18"/>
        </w:rPr>
        <w:t xml:space="preserve"> written in plain English </w:t>
      </w:r>
      <w:r w:rsidRPr="00CB2B60">
        <w:rPr>
          <w:rFonts w:ascii="Arial" w:eastAsia="Arial" w:hAnsi="Arial" w:cs="Arial"/>
          <w:sz w:val="18"/>
          <w:szCs w:val="18"/>
        </w:rPr>
        <w:t xml:space="preserve"> evidence-based in its statements and conclusions </w:t>
      </w:r>
      <w:r w:rsidRPr="00CB2B60">
        <w:rPr>
          <w:rFonts w:ascii="Arial" w:eastAsia="Arial" w:hAnsi="Arial" w:cs="Arial"/>
          <w:sz w:val="18"/>
          <w:szCs w:val="18"/>
        </w:rPr>
        <w:t xml:space="preserve"> clear and unambiguous in its judgements </w:t>
      </w:r>
      <w:r w:rsidRPr="00CB2B60">
        <w:rPr>
          <w:rFonts w:ascii="Arial" w:eastAsia="Arial" w:hAnsi="Arial" w:cs="Arial"/>
          <w:sz w:val="18"/>
          <w:szCs w:val="18"/>
        </w:rPr>
        <w:t xml:space="preserve"> practical and strategic in its recommendations. </w:t>
      </w:r>
      <w:r w:rsidRPr="00CB2B60">
        <w:rPr>
          <w:rFonts w:ascii="Arial" w:eastAsia="Arial" w:hAnsi="Arial" w:cs="Arial"/>
          <w:b/>
          <w:bCs/>
          <w:sz w:val="18"/>
          <w:szCs w:val="18"/>
        </w:rPr>
        <w:t xml:space="preserve">Final Independent Evaluation Report by 31 March 2023 (maximum 20 pages including executive summary plus reasonable, necessary attachments) </w:t>
      </w:r>
      <w:r w:rsidRPr="00CB2B60">
        <w:rPr>
          <w:rFonts w:ascii="Arial" w:eastAsia="Arial" w:hAnsi="Arial" w:cs="Arial"/>
          <w:sz w:val="18"/>
          <w:szCs w:val="18"/>
        </w:rPr>
        <w:t>The final report must incorporate comments on the draft report from Australian High Commission. The final report will be published on the DFAT website in line with the Transparency Charter. All documents must be delivered to DFAT in electronic MS Word format.</w:t>
      </w:r>
    </w:p>
    <w:p w14:paraId="66C397FA" w14:textId="25063EDC" w:rsidR="000F453D" w:rsidRPr="003712B6" w:rsidRDefault="00566527" w:rsidP="003712B6">
      <w:pPr>
        <w:spacing w:after="0" w:line="240" w:lineRule="auto"/>
        <w:rPr>
          <w:caps/>
          <w:color w:val="1D336D" w:themeColor="background2"/>
          <w:sz w:val="32"/>
          <w:szCs w:val="28"/>
        </w:rPr>
        <w:sectPr w:rsidR="000F453D" w:rsidRPr="003712B6" w:rsidSect="0053563A">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pgNumType w:start="1"/>
          <w:cols w:space="709"/>
          <w:docGrid w:linePitch="360"/>
        </w:sectPr>
      </w:pPr>
      <w:r>
        <w:br w:type="page"/>
      </w:r>
    </w:p>
    <w:p w14:paraId="10AB2C85" w14:textId="090F6B44" w:rsidR="00B37461" w:rsidRPr="003A5075" w:rsidRDefault="00D86335" w:rsidP="00B37461">
      <w:pPr>
        <w:pStyle w:val="Heading1"/>
      </w:pPr>
      <w:bookmarkStart w:id="31" w:name="_Toc131170454"/>
      <w:r>
        <w:t>Annex 2</w:t>
      </w:r>
      <w:r w:rsidR="00531FA8">
        <w:t>:</w:t>
      </w:r>
      <w:r>
        <w:t xml:space="preserve"> </w:t>
      </w:r>
      <w:r w:rsidR="00B37461">
        <w:t>Strongim Bisnis Program Logic</w:t>
      </w:r>
      <w:bookmarkEnd w:id="31"/>
    </w:p>
    <w:p w14:paraId="37222B3E" w14:textId="18B42961" w:rsidR="00AD2530" w:rsidRDefault="00B37461" w:rsidP="00AF488E">
      <w:r>
        <w:rPr>
          <w:noProof/>
        </w:rPr>
        <w:drawing>
          <wp:inline distT="0" distB="0" distL="0" distR="0" wp14:anchorId="327A08EF" wp14:editId="19694359">
            <wp:extent cx="9242425" cy="4698231"/>
            <wp:effectExtent l="0" t="0" r="0" b="7620"/>
            <wp:docPr id="765152405" name="Picture 765152405" descr="Depiction of program theory of change. Hard to read, but attempting to show intervention areas leading to market system changes, leading to enterprise outcomes, and ultimately resulting in increased income for households, reducing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52405" name="Picture 765152405" descr="Depiction of program theory of change. Hard to read, but attempting to show intervention areas leading to market system changes, leading to enterprise outcomes, and ultimately resulting in increased income for households, reducing poverty."/>
                    <pic:cNvPicPr/>
                  </pic:nvPicPr>
                  <pic:blipFill>
                    <a:blip r:embed="rId19">
                      <a:extLst>
                        <a:ext uri="{28A0092B-C50C-407E-A947-70E740481C1C}">
                          <a14:useLocalDpi xmlns:a14="http://schemas.microsoft.com/office/drawing/2010/main" val="0"/>
                        </a:ext>
                      </a:extLst>
                    </a:blip>
                    <a:stretch>
                      <a:fillRect/>
                    </a:stretch>
                  </pic:blipFill>
                  <pic:spPr>
                    <a:xfrm>
                      <a:off x="0" y="0"/>
                      <a:ext cx="9274838" cy="4714708"/>
                    </a:xfrm>
                    <a:prstGeom prst="rect">
                      <a:avLst/>
                    </a:prstGeom>
                  </pic:spPr>
                </pic:pic>
              </a:graphicData>
            </a:graphic>
          </wp:inline>
        </w:drawing>
      </w:r>
    </w:p>
    <w:p w14:paraId="535AA8DA" w14:textId="77777777" w:rsidR="000F453D" w:rsidRDefault="000F453D" w:rsidP="00B37461">
      <w:pPr>
        <w:pStyle w:val="Heading1"/>
        <w:sectPr w:rsidR="000F453D" w:rsidSect="00070332">
          <w:pgSz w:w="16838" w:h="11906" w:orient="landscape" w:code="9"/>
          <w:pgMar w:top="113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2A646E28" w14:textId="44233687" w:rsidR="00D57DBC" w:rsidRDefault="00D86335" w:rsidP="00B37461">
      <w:pPr>
        <w:pStyle w:val="Heading1"/>
      </w:pPr>
      <w:bookmarkStart w:id="32" w:name="_Toc131170455"/>
      <w:r>
        <w:t>Annex 3</w:t>
      </w:r>
      <w:r w:rsidR="00A214B7">
        <w:t>:</w:t>
      </w:r>
      <w:r>
        <w:t xml:space="preserve"> </w:t>
      </w:r>
      <w:r w:rsidR="00AB763B">
        <w:t xml:space="preserve">Overview of </w:t>
      </w:r>
      <w:r w:rsidR="00C07AB1">
        <w:t>C</w:t>
      </w:r>
      <w:r w:rsidR="00AB763B">
        <w:t>urrent Partnerships</w:t>
      </w:r>
      <w:bookmarkEnd w:id="32"/>
      <w:r w:rsidR="00AB763B">
        <w:t xml:space="preserve"> </w:t>
      </w:r>
    </w:p>
    <w:p w14:paraId="167462E7" w14:textId="4650E0A0" w:rsidR="00A214B7" w:rsidRDefault="00A214B7" w:rsidP="00A214B7">
      <w:r>
        <w:t>The locations of current partnerships (by sector/theme) are summarised in Table A3.1, and the spread of partnership value is shown in Table A3.2. The dollar value of current Strongim Bisnis partnerships (committed investment) ranges from AUD33,000 to over AUD800,000, with over half being below AUD100,000. The two highest-value partnerships are in Western Province.</w:t>
      </w:r>
    </w:p>
    <w:p w14:paraId="1D36D540" w14:textId="71C10F49" w:rsidR="004A7D0D" w:rsidRPr="0026626E" w:rsidRDefault="004A7D0D" w:rsidP="004A7D0D">
      <w:pPr>
        <w:spacing w:after="40" w:line="240" w:lineRule="auto"/>
        <w:rPr>
          <w:b/>
          <w:color w:val="4E72D0" w:themeColor="background2" w:themeTint="99"/>
        </w:rPr>
      </w:pPr>
      <w:r w:rsidRPr="0026626E">
        <w:rPr>
          <w:b/>
          <w:color w:val="4E72D0" w:themeColor="background2" w:themeTint="99"/>
        </w:rPr>
        <w:t xml:space="preserve">Table </w:t>
      </w:r>
      <w:r>
        <w:rPr>
          <w:b/>
          <w:color w:val="4E72D0" w:themeColor="background2" w:themeTint="99"/>
        </w:rPr>
        <w:t>A3.1</w:t>
      </w:r>
      <w:r w:rsidRPr="0026626E">
        <w:rPr>
          <w:b/>
          <w:color w:val="4E72D0" w:themeColor="background2" w:themeTint="99"/>
        </w:rPr>
        <w:t>. Location of current partnerships, by Strongim Bisnis sector</w:t>
      </w:r>
    </w:p>
    <w:tbl>
      <w:tblPr>
        <w:tblStyle w:val="DefaultTable"/>
        <w:tblW w:w="5000" w:type="pct"/>
        <w:tblLayout w:type="fixed"/>
        <w:tblCellMar>
          <w:top w:w="57" w:type="dxa"/>
          <w:bottom w:w="57" w:type="dxa"/>
        </w:tblCellMar>
        <w:tblLook w:val="04A0" w:firstRow="1" w:lastRow="0" w:firstColumn="1" w:lastColumn="0" w:noHBand="0" w:noVBand="1"/>
      </w:tblPr>
      <w:tblGrid>
        <w:gridCol w:w="3252"/>
        <w:gridCol w:w="1277"/>
        <w:gridCol w:w="1419"/>
        <w:gridCol w:w="1271"/>
        <w:gridCol w:w="1204"/>
        <w:gridCol w:w="1205"/>
      </w:tblGrid>
      <w:tr w:rsidR="004A7D0D" w:rsidRPr="00CB2B60" w14:paraId="4333A962" w14:textId="77777777" w:rsidTr="00CD63CE">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689" w:type="pct"/>
            <w:hideMark/>
          </w:tcPr>
          <w:p w14:paraId="74EC2A5C" w14:textId="77777777" w:rsidR="004A7D0D" w:rsidRPr="00CB2B60" w:rsidRDefault="004A7D0D">
            <w:pPr>
              <w:spacing w:after="0" w:line="240" w:lineRule="auto"/>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Sector Value Chain/ Cross-Cutting</w:t>
            </w:r>
          </w:p>
        </w:tc>
        <w:tc>
          <w:tcPr>
            <w:tcW w:w="663" w:type="pct"/>
            <w:tcBorders>
              <w:top w:val="single" w:sz="4" w:space="0" w:color="FFFFFF" w:themeColor="background1"/>
            </w:tcBorders>
            <w:hideMark/>
          </w:tcPr>
          <w:p w14:paraId="23220389" w14:textId="77777777" w:rsidR="004A7D0D" w:rsidRPr="00CB2B60" w:rsidRDefault="004A7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In/near Honiara</w:t>
            </w:r>
          </w:p>
        </w:tc>
        <w:tc>
          <w:tcPr>
            <w:tcW w:w="737" w:type="pct"/>
            <w:tcBorders>
              <w:top w:val="single" w:sz="4" w:space="0" w:color="FFFFFF" w:themeColor="background1"/>
            </w:tcBorders>
            <w:hideMark/>
          </w:tcPr>
          <w:p w14:paraId="6AEE58D6" w14:textId="77777777" w:rsidR="004A7D0D" w:rsidRPr="00CB2B60" w:rsidRDefault="004A7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Other Guadalcanal</w:t>
            </w:r>
          </w:p>
        </w:tc>
        <w:tc>
          <w:tcPr>
            <w:tcW w:w="660" w:type="pct"/>
            <w:tcBorders>
              <w:top w:val="single" w:sz="4" w:space="0" w:color="FFFFFF" w:themeColor="background1"/>
            </w:tcBorders>
            <w:hideMark/>
          </w:tcPr>
          <w:p w14:paraId="54D3012D" w14:textId="77777777" w:rsidR="004A7D0D" w:rsidRPr="00CB2B60" w:rsidRDefault="004A7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Western Province</w:t>
            </w:r>
          </w:p>
        </w:tc>
        <w:tc>
          <w:tcPr>
            <w:tcW w:w="625" w:type="pct"/>
            <w:tcBorders>
              <w:top w:val="single" w:sz="4" w:space="0" w:color="FFFFFF" w:themeColor="background1"/>
            </w:tcBorders>
            <w:hideMark/>
          </w:tcPr>
          <w:p w14:paraId="3DE109DE" w14:textId="77777777" w:rsidR="004A7D0D" w:rsidRPr="00CB2B60" w:rsidRDefault="004A7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Central Province</w:t>
            </w:r>
          </w:p>
        </w:tc>
        <w:tc>
          <w:tcPr>
            <w:tcW w:w="626" w:type="pct"/>
            <w:tcBorders>
              <w:top w:val="single" w:sz="4" w:space="0" w:color="FFFFFF" w:themeColor="background1"/>
            </w:tcBorders>
            <w:hideMark/>
          </w:tcPr>
          <w:p w14:paraId="7D446069" w14:textId="77777777" w:rsidR="004A7D0D" w:rsidRPr="00CB2B60" w:rsidRDefault="004A7D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Total</w:t>
            </w:r>
          </w:p>
        </w:tc>
      </w:tr>
      <w:tr w:rsidR="004A7D0D" w:rsidRPr="00CB2B60" w14:paraId="37A7C07B" w14:textId="77777777">
        <w:trPr>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2FF5FD94"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Tourism</w:t>
            </w:r>
          </w:p>
        </w:tc>
        <w:tc>
          <w:tcPr>
            <w:tcW w:w="663" w:type="pct"/>
            <w:hideMark/>
          </w:tcPr>
          <w:p w14:paraId="0B0DDC9A"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4</w:t>
            </w:r>
          </w:p>
        </w:tc>
        <w:tc>
          <w:tcPr>
            <w:tcW w:w="737" w:type="pct"/>
            <w:hideMark/>
          </w:tcPr>
          <w:p w14:paraId="2DD4BE83"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1</w:t>
            </w:r>
          </w:p>
        </w:tc>
        <w:tc>
          <w:tcPr>
            <w:tcW w:w="660" w:type="pct"/>
            <w:hideMark/>
          </w:tcPr>
          <w:p w14:paraId="559D74C4"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1</w:t>
            </w:r>
          </w:p>
        </w:tc>
        <w:tc>
          <w:tcPr>
            <w:tcW w:w="625" w:type="pct"/>
            <w:hideMark/>
          </w:tcPr>
          <w:p w14:paraId="1495607E"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1</w:t>
            </w:r>
          </w:p>
        </w:tc>
        <w:tc>
          <w:tcPr>
            <w:tcW w:w="626" w:type="pct"/>
            <w:hideMark/>
          </w:tcPr>
          <w:p w14:paraId="41A37AB8"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7</w:t>
            </w:r>
          </w:p>
        </w:tc>
      </w:tr>
      <w:tr w:rsidR="004A7D0D" w:rsidRPr="00CB2B60" w14:paraId="168308EB" w14:textId="7777777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39900E25"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Cocoa</w:t>
            </w:r>
          </w:p>
        </w:tc>
        <w:tc>
          <w:tcPr>
            <w:tcW w:w="663" w:type="pct"/>
            <w:hideMark/>
          </w:tcPr>
          <w:p w14:paraId="667B64A6"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3</w:t>
            </w:r>
          </w:p>
        </w:tc>
        <w:tc>
          <w:tcPr>
            <w:tcW w:w="737" w:type="pct"/>
            <w:hideMark/>
          </w:tcPr>
          <w:p w14:paraId="26D131E3"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2</w:t>
            </w:r>
          </w:p>
        </w:tc>
        <w:tc>
          <w:tcPr>
            <w:tcW w:w="660" w:type="pct"/>
            <w:hideMark/>
          </w:tcPr>
          <w:p w14:paraId="4273956D" w14:textId="1BDE1252" w:rsidR="004A7D0D" w:rsidRPr="00CB2B60" w:rsidRDefault="009E5B4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25" w:type="pct"/>
            <w:hideMark/>
          </w:tcPr>
          <w:p w14:paraId="673846C5" w14:textId="074C0B57" w:rsidR="004A7D0D" w:rsidRPr="00CB2B60" w:rsidRDefault="009E5B4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0</w:t>
            </w:r>
          </w:p>
        </w:tc>
        <w:tc>
          <w:tcPr>
            <w:tcW w:w="626" w:type="pct"/>
            <w:hideMark/>
          </w:tcPr>
          <w:p w14:paraId="74FFDB0A"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5</w:t>
            </w:r>
          </w:p>
        </w:tc>
      </w:tr>
      <w:tr w:rsidR="004A7D0D" w:rsidRPr="00CB2B60" w14:paraId="2EBA623D" w14:textId="77777777">
        <w:trPr>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3BF9E3A2"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Coconuts</w:t>
            </w:r>
          </w:p>
        </w:tc>
        <w:tc>
          <w:tcPr>
            <w:tcW w:w="663" w:type="pct"/>
            <w:hideMark/>
          </w:tcPr>
          <w:p w14:paraId="7C9E8388"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4</w:t>
            </w:r>
          </w:p>
        </w:tc>
        <w:tc>
          <w:tcPr>
            <w:tcW w:w="737" w:type="pct"/>
            <w:hideMark/>
          </w:tcPr>
          <w:p w14:paraId="6828F5C2"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1</w:t>
            </w:r>
          </w:p>
        </w:tc>
        <w:tc>
          <w:tcPr>
            <w:tcW w:w="660" w:type="pct"/>
            <w:hideMark/>
          </w:tcPr>
          <w:p w14:paraId="06690F56" w14:textId="1AAB2B55" w:rsidR="004A7D0D" w:rsidRPr="00CB2B60" w:rsidRDefault="009E5B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25" w:type="pct"/>
            <w:hideMark/>
          </w:tcPr>
          <w:p w14:paraId="077E1363" w14:textId="1DEA1B01" w:rsidR="004A7D0D" w:rsidRPr="00CB2B60" w:rsidRDefault="009E5B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0</w:t>
            </w:r>
          </w:p>
        </w:tc>
        <w:tc>
          <w:tcPr>
            <w:tcW w:w="626" w:type="pct"/>
            <w:hideMark/>
          </w:tcPr>
          <w:p w14:paraId="0ABA78D6"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5</w:t>
            </w:r>
          </w:p>
        </w:tc>
      </w:tr>
      <w:tr w:rsidR="004A7D0D" w:rsidRPr="00CB2B60" w14:paraId="6B186858" w14:textId="7777777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3F57965A"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Timber</w:t>
            </w:r>
          </w:p>
        </w:tc>
        <w:tc>
          <w:tcPr>
            <w:tcW w:w="663" w:type="pct"/>
            <w:hideMark/>
          </w:tcPr>
          <w:p w14:paraId="1E2FCC85"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2</w:t>
            </w:r>
          </w:p>
        </w:tc>
        <w:tc>
          <w:tcPr>
            <w:tcW w:w="737" w:type="pct"/>
            <w:hideMark/>
          </w:tcPr>
          <w:p w14:paraId="2AC5CB48" w14:textId="3487D878" w:rsidR="004A7D0D" w:rsidRPr="00CB2B60" w:rsidRDefault="00AC668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60" w:type="pct"/>
            <w:hideMark/>
          </w:tcPr>
          <w:p w14:paraId="01144F25"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1</w:t>
            </w:r>
          </w:p>
        </w:tc>
        <w:tc>
          <w:tcPr>
            <w:tcW w:w="625" w:type="pct"/>
            <w:hideMark/>
          </w:tcPr>
          <w:p w14:paraId="032CE495" w14:textId="32690313" w:rsidR="004A7D0D" w:rsidRPr="00CB2B60" w:rsidRDefault="009E5B4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26" w:type="pct"/>
            <w:hideMark/>
          </w:tcPr>
          <w:p w14:paraId="6C49ED10"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3</w:t>
            </w:r>
          </w:p>
        </w:tc>
      </w:tr>
      <w:tr w:rsidR="004A7D0D" w:rsidRPr="00CB2B60" w14:paraId="522D330F" w14:textId="77777777">
        <w:trPr>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2267EE48"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Guadalcanal Horticulture*</w:t>
            </w:r>
          </w:p>
        </w:tc>
        <w:tc>
          <w:tcPr>
            <w:tcW w:w="663" w:type="pct"/>
            <w:hideMark/>
          </w:tcPr>
          <w:p w14:paraId="082D12CE"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6</w:t>
            </w:r>
          </w:p>
        </w:tc>
        <w:tc>
          <w:tcPr>
            <w:tcW w:w="737" w:type="pct"/>
            <w:hideMark/>
          </w:tcPr>
          <w:p w14:paraId="443729B9"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2</w:t>
            </w:r>
          </w:p>
        </w:tc>
        <w:tc>
          <w:tcPr>
            <w:tcW w:w="660" w:type="pct"/>
            <w:hideMark/>
          </w:tcPr>
          <w:p w14:paraId="13488397" w14:textId="7DE6A291" w:rsidR="004A7D0D" w:rsidRPr="00CB2B60" w:rsidRDefault="00E638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25" w:type="pct"/>
            <w:hideMark/>
          </w:tcPr>
          <w:p w14:paraId="5FECE21D" w14:textId="7529B933" w:rsidR="004A7D0D" w:rsidRPr="00CB2B60" w:rsidRDefault="00E638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0</w:t>
            </w:r>
          </w:p>
        </w:tc>
        <w:tc>
          <w:tcPr>
            <w:tcW w:w="626" w:type="pct"/>
            <w:hideMark/>
          </w:tcPr>
          <w:p w14:paraId="1DAB5D76"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8</w:t>
            </w:r>
          </w:p>
        </w:tc>
      </w:tr>
      <w:tr w:rsidR="004A7D0D" w:rsidRPr="00CB2B60" w14:paraId="7F5376B3" w14:textId="7777777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2B0CB352"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Waste Management</w:t>
            </w:r>
          </w:p>
        </w:tc>
        <w:tc>
          <w:tcPr>
            <w:tcW w:w="663" w:type="pct"/>
            <w:hideMark/>
          </w:tcPr>
          <w:p w14:paraId="214827B5"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3</w:t>
            </w:r>
          </w:p>
        </w:tc>
        <w:tc>
          <w:tcPr>
            <w:tcW w:w="737" w:type="pct"/>
            <w:hideMark/>
          </w:tcPr>
          <w:p w14:paraId="68281934" w14:textId="12B7BD92" w:rsidR="004A7D0D" w:rsidRPr="00CB2B60" w:rsidRDefault="00E6381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60" w:type="pct"/>
            <w:hideMark/>
          </w:tcPr>
          <w:p w14:paraId="655BC08C"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1</w:t>
            </w:r>
          </w:p>
        </w:tc>
        <w:tc>
          <w:tcPr>
            <w:tcW w:w="625" w:type="pct"/>
            <w:hideMark/>
          </w:tcPr>
          <w:p w14:paraId="0BF6A0D7" w14:textId="580B149F" w:rsidR="004A7D0D" w:rsidRPr="00CB2B60" w:rsidRDefault="00E6381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26" w:type="pct"/>
            <w:hideMark/>
          </w:tcPr>
          <w:p w14:paraId="0F8513C0"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4</w:t>
            </w:r>
          </w:p>
        </w:tc>
      </w:tr>
      <w:tr w:rsidR="004A7D0D" w:rsidRPr="00CB2B60" w14:paraId="74A422FB" w14:textId="77777777">
        <w:trPr>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3FFDBBF2"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Financial Services</w:t>
            </w:r>
          </w:p>
        </w:tc>
        <w:tc>
          <w:tcPr>
            <w:tcW w:w="663" w:type="pct"/>
            <w:hideMark/>
          </w:tcPr>
          <w:p w14:paraId="042003C4"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2</w:t>
            </w:r>
          </w:p>
        </w:tc>
        <w:tc>
          <w:tcPr>
            <w:tcW w:w="737" w:type="pct"/>
            <w:hideMark/>
          </w:tcPr>
          <w:p w14:paraId="5B3D294E" w14:textId="28DE1CC0" w:rsidR="004A7D0D" w:rsidRPr="00CB2B60" w:rsidRDefault="00AC66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60" w:type="pct"/>
            <w:hideMark/>
          </w:tcPr>
          <w:p w14:paraId="54666A87" w14:textId="516B5983" w:rsidR="004A7D0D" w:rsidRPr="00CB2B60" w:rsidRDefault="00AC66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0</w:t>
            </w:r>
          </w:p>
        </w:tc>
        <w:tc>
          <w:tcPr>
            <w:tcW w:w="625" w:type="pct"/>
            <w:hideMark/>
          </w:tcPr>
          <w:p w14:paraId="7811AB09" w14:textId="3B155354" w:rsidR="004A7D0D" w:rsidRPr="00CB2B60" w:rsidRDefault="00AC66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0</w:t>
            </w:r>
          </w:p>
        </w:tc>
        <w:tc>
          <w:tcPr>
            <w:tcW w:w="626" w:type="pct"/>
            <w:hideMark/>
          </w:tcPr>
          <w:p w14:paraId="58DB6AFC"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2</w:t>
            </w:r>
          </w:p>
        </w:tc>
      </w:tr>
      <w:tr w:rsidR="004A7D0D" w:rsidRPr="00CB2B60" w14:paraId="2F99A98A" w14:textId="7777777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57DEE46E"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WEE / SI</w:t>
            </w:r>
          </w:p>
        </w:tc>
        <w:tc>
          <w:tcPr>
            <w:tcW w:w="663" w:type="pct"/>
            <w:hideMark/>
          </w:tcPr>
          <w:p w14:paraId="1CEE2382"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8</w:t>
            </w:r>
          </w:p>
        </w:tc>
        <w:tc>
          <w:tcPr>
            <w:tcW w:w="737" w:type="pct"/>
            <w:hideMark/>
          </w:tcPr>
          <w:p w14:paraId="76D4FA01"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1</w:t>
            </w:r>
          </w:p>
        </w:tc>
        <w:tc>
          <w:tcPr>
            <w:tcW w:w="660" w:type="pct"/>
            <w:hideMark/>
          </w:tcPr>
          <w:p w14:paraId="6387F903"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B2B60">
              <w:rPr>
                <w:rFonts w:eastAsia="Times New Roman" w:cstheme="minorHAnsi"/>
                <w:color w:val="000000"/>
                <w:sz w:val="18"/>
                <w:szCs w:val="18"/>
              </w:rPr>
              <w:t>2</w:t>
            </w:r>
          </w:p>
        </w:tc>
        <w:tc>
          <w:tcPr>
            <w:tcW w:w="625" w:type="pct"/>
            <w:hideMark/>
          </w:tcPr>
          <w:p w14:paraId="7268E3A5" w14:textId="37B39B76" w:rsidR="004A7D0D" w:rsidRPr="00CB2B60" w:rsidRDefault="00AC668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626" w:type="pct"/>
            <w:hideMark/>
          </w:tcPr>
          <w:p w14:paraId="3CF21EF0" w14:textId="77777777" w:rsidR="004A7D0D" w:rsidRPr="00CB2B60" w:rsidRDefault="004A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11</w:t>
            </w:r>
          </w:p>
        </w:tc>
      </w:tr>
      <w:tr w:rsidR="004A7D0D" w:rsidRPr="00CB2B60" w14:paraId="0C81C3D3" w14:textId="77777777">
        <w:trPr>
          <w:trHeight w:val="113"/>
        </w:trPr>
        <w:tc>
          <w:tcPr>
            <w:cnfStyle w:val="001000000000" w:firstRow="0" w:lastRow="0" w:firstColumn="1" w:lastColumn="0" w:oddVBand="0" w:evenVBand="0" w:oddHBand="0" w:evenHBand="0" w:firstRowFirstColumn="0" w:firstRowLastColumn="0" w:lastRowFirstColumn="0" w:lastRowLastColumn="0"/>
            <w:tcW w:w="1689" w:type="pct"/>
            <w:hideMark/>
          </w:tcPr>
          <w:p w14:paraId="3509F07F"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color w:val="000000"/>
                <w:sz w:val="18"/>
                <w:szCs w:val="18"/>
              </w:rPr>
              <w:t>Total</w:t>
            </w:r>
          </w:p>
        </w:tc>
        <w:tc>
          <w:tcPr>
            <w:tcW w:w="663" w:type="pct"/>
            <w:hideMark/>
          </w:tcPr>
          <w:p w14:paraId="595BF80D"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32</w:t>
            </w:r>
          </w:p>
        </w:tc>
        <w:tc>
          <w:tcPr>
            <w:tcW w:w="737" w:type="pct"/>
            <w:hideMark/>
          </w:tcPr>
          <w:p w14:paraId="3847E23D"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7</w:t>
            </w:r>
          </w:p>
        </w:tc>
        <w:tc>
          <w:tcPr>
            <w:tcW w:w="660" w:type="pct"/>
            <w:hideMark/>
          </w:tcPr>
          <w:p w14:paraId="38BF1DFF"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5</w:t>
            </w:r>
          </w:p>
        </w:tc>
        <w:tc>
          <w:tcPr>
            <w:tcW w:w="625" w:type="pct"/>
            <w:hideMark/>
          </w:tcPr>
          <w:p w14:paraId="16EE7F54"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1</w:t>
            </w:r>
          </w:p>
        </w:tc>
        <w:tc>
          <w:tcPr>
            <w:tcW w:w="626" w:type="pct"/>
            <w:hideMark/>
          </w:tcPr>
          <w:p w14:paraId="56977C20" w14:textId="77777777" w:rsidR="004A7D0D" w:rsidRPr="00CB2B60" w:rsidRDefault="004A7D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CB2B60">
              <w:rPr>
                <w:rFonts w:eastAsia="Times New Roman" w:cstheme="minorHAnsi"/>
                <w:b/>
                <w:bCs/>
                <w:color w:val="000000"/>
                <w:sz w:val="18"/>
                <w:szCs w:val="18"/>
              </w:rPr>
              <w:t>45*</w:t>
            </w:r>
          </w:p>
        </w:tc>
      </w:tr>
    </w:tbl>
    <w:p w14:paraId="69423437" w14:textId="77777777" w:rsidR="004A7D0D" w:rsidRDefault="004A7D0D" w:rsidP="004A7D0D">
      <w:pPr>
        <w:spacing w:after="40" w:line="240" w:lineRule="auto"/>
        <w:rPr>
          <w:sz w:val="18"/>
          <w:szCs w:val="18"/>
        </w:rPr>
      </w:pPr>
      <w:r w:rsidRPr="000C3BBA">
        <w:rPr>
          <w:sz w:val="18"/>
          <w:szCs w:val="18"/>
        </w:rPr>
        <w:t xml:space="preserve">* One partnership with two separate partners has been split in two </w:t>
      </w:r>
      <w:r>
        <w:rPr>
          <w:sz w:val="18"/>
          <w:szCs w:val="18"/>
        </w:rPr>
        <w:t>to facilitate</w:t>
      </w:r>
      <w:r w:rsidRPr="000C3BBA">
        <w:rPr>
          <w:sz w:val="18"/>
          <w:szCs w:val="18"/>
        </w:rPr>
        <w:t xml:space="preserve"> data sorting.</w:t>
      </w:r>
    </w:p>
    <w:p w14:paraId="2BDA1585" w14:textId="01D26443" w:rsidR="004A7D0D" w:rsidRPr="0026626E" w:rsidRDefault="004A7D0D" w:rsidP="004A7D0D">
      <w:pPr>
        <w:spacing w:before="240" w:after="40" w:line="240" w:lineRule="auto"/>
        <w:rPr>
          <w:b/>
          <w:color w:val="4E72D0" w:themeColor="background2" w:themeTint="99"/>
        </w:rPr>
      </w:pPr>
      <w:r w:rsidRPr="0026626E">
        <w:rPr>
          <w:b/>
          <w:color w:val="4E72D0" w:themeColor="background2" w:themeTint="99"/>
        </w:rPr>
        <w:t xml:space="preserve">Table </w:t>
      </w:r>
      <w:r>
        <w:rPr>
          <w:b/>
          <w:color w:val="4E72D0" w:themeColor="background2" w:themeTint="99"/>
        </w:rPr>
        <w:t>A3.2</w:t>
      </w:r>
      <w:r w:rsidRPr="0026626E">
        <w:rPr>
          <w:b/>
          <w:color w:val="4E72D0" w:themeColor="background2" w:themeTint="99"/>
        </w:rPr>
        <w:t>. Value of Strongim Bisnis’ current partnerships</w:t>
      </w:r>
    </w:p>
    <w:tbl>
      <w:tblPr>
        <w:tblStyle w:val="TableGrid20"/>
        <w:tblW w:w="4852" w:type="dxa"/>
        <w:tblLook w:val="04A0" w:firstRow="1" w:lastRow="0" w:firstColumn="1" w:lastColumn="0" w:noHBand="0" w:noVBand="1"/>
      </w:tblPr>
      <w:tblGrid>
        <w:gridCol w:w="3500"/>
        <w:gridCol w:w="1352"/>
      </w:tblGrid>
      <w:tr w:rsidR="004A7D0D" w:rsidRPr="00CB2B60" w14:paraId="4F80AC40" w14:textId="77777777" w:rsidTr="00CD63CE">
        <w:trPr>
          <w:trHeight w:val="510"/>
          <w:tblHeader/>
        </w:trPr>
        <w:tc>
          <w:tcPr>
            <w:tcW w:w="3500" w:type="dxa"/>
            <w:shd w:val="clear" w:color="auto" w:fill="1D336D" w:themeFill="background2"/>
            <w:hideMark/>
          </w:tcPr>
          <w:p w14:paraId="68786C9A" w14:textId="77777777" w:rsidR="004A7D0D" w:rsidRPr="00CB2B60" w:rsidRDefault="004A7D0D">
            <w:pPr>
              <w:spacing w:after="0" w:line="240" w:lineRule="auto"/>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Program committed investment values (AUD)</w:t>
            </w:r>
          </w:p>
        </w:tc>
        <w:tc>
          <w:tcPr>
            <w:tcW w:w="1352" w:type="dxa"/>
            <w:shd w:val="clear" w:color="auto" w:fill="1D336D" w:themeFill="background2"/>
            <w:hideMark/>
          </w:tcPr>
          <w:p w14:paraId="6EEB2F40" w14:textId="77777777" w:rsidR="004A7D0D" w:rsidRPr="00CB2B60" w:rsidRDefault="004A7D0D">
            <w:pPr>
              <w:spacing w:after="0" w:line="240" w:lineRule="auto"/>
              <w:jc w:val="center"/>
              <w:rPr>
                <w:rFonts w:eastAsia="Times New Roman" w:cstheme="minorHAnsi"/>
                <w:b/>
                <w:bCs/>
                <w:color w:val="FFFFFF" w:themeColor="background1"/>
                <w:sz w:val="18"/>
                <w:szCs w:val="18"/>
              </w:rPr>
            </w:pPr>
            <w:r w:rsidRPr="00CB2B60">
              <w:rPr>
                <w:rFonts w:eastAsia="Times New Roman" w:cstheme="minorHAnsi"/>
                <w:b/>
                <w:bCs/>
                <w:color w:val="FFFFFF" w:themeColor="background1"/>
                <w:sz w:val="18"/>
                <w:szCs w:val="18"/>
              </w:rPr>
              <w:t>Frequency</w:t>
            </w:r>
          </w:p>
        </w:tc>
      </w:tr>
      <w:tr w:rsidR="004A7D0D" w:rsidRPr="00CB2B60" w14:paraId="13E51EA0" w14:textId="77777777">
        <w:trPr>
          <w:trHeight w:val="255"/>
        </w:trPr>
        <w:tc>
          <w:tcPr>
            <w:tcW w:w="3500" w:type="dxa"/>
            <w:shd w:val="clear" w:color="auto" w:fill="C4CFEF" w:themeFill="background2" w:themeFillTint="33"/>
            <w:hideMark/>
          </w:tcPr>
          <w:p w14:paraId="165CF2C9" w14:textId="77777777" w:rsidR="004A7D0D" w:rsidRPr="00CB2B60" w:rsidRDefault="004A7D0D">
            <w:pPr>
              <w:spacing w:after="0" w:line="240" w:lineRule="auto"/>
              <w:rPr>
                <w:rFonts w:eastAsia="Times New Roman" w:cstheme="minorHAnsi"/>
                <w:color w:val="000000"/>
                <w:sz w:val="18"/>
                <w:szCs w:val="18"/>
              </w:rPr>
            </w:pPr>
            <w:r w:rsidRPr="00CB2B60">
              <w:rPr>
                <w:rFonts w:eastAsia="Times New Roman" w:cstheme="minorHAnsi"/>
                <w:sz w:val="18"/>
                <w:szCs w:val="18"/>
              </w:rPr>
              <w:t>&lt; $50,000</w:t>
            </w:r>
          </w:p>
        </w:tc>
        <w:tc>
          <w:tcPr>
            <w:tcW w:w="1352" w:type="dxa"/>
            <w:hideMark/>
          </w:tcPr>
          <w:p w14:paraId="06DAD334" w14:textId="77777777" w:rsidR="004A7D0D" w:rsidRPr="00CB2B60" w:rsidRDefault="004A7D0D">
            <w:pPr>
              <w:spacing w:after="0" w:line="240" w:lineRule="auto"/>
              <w:jc w:val="center"/>
              <w:rPr>
                <w:rFonts w:eastAsia="Times New Roman" w:cstheme="minorHAnsi"/>
                <w:color w:val="000000"/>
                <w:sz w:val="18"/>
                <w:szCs w:val="18"/>
              </w:rPr>
            </w:pPr>
            <w:r w:rsidRPr="00CB2B60">
              <w:rPr>
                <w:rFonts w:eastAsia="Times New Roman" w:cstheme="minorHAnsi"/>
                <w:sz w:val="18"/>
                <w:szCs w:val="18"/>
              </w:rPr>
              <w:t>7</w:t>
            </w:r>
          </w:p>
        </w:tc>
      </w:tr>
      <w:tr w:rsidR="004A7D0D" w:rsidRPr="00CB2B60" w14:paraId="4A7E3430" w14:textId="77777777">
        <w:trPr>
          <w:trHeight w:val="255"/>
        </w:trPr>
        <w:tc>
          <w:tcPr>
            <w:tcW w:w="3500" w:type="dxa"/>
            <w:shd w:val="clear" w:color="auto" w:fill="C4CFEF" w:themeFill="background2" w:themeFillTint="33"/>
            <w:hideMark/>
          </w:tcPr>
          <w:p w14:paraId="57D4A475" w14:textId="77777777" w:rsidR="004A7D0D" w:rsidRPr="00CB2B60" w:rsidRDefault="004A7D0D">
            <w:pPr>
              <w:spacing w:after="0" w:line="240" w:lineRule="auto"/>
              <w:rPr>
                <w:rFonts w:eastAsia="Times New Roman" w:cstheme="minorHAnsi"/>
                <w:color w:val="000000"/>
                <w:sz w:val="18"/>
                <w:szCs w:val="18"/>
              </w:rPr>
            </w:pPr>
            <w:r w:rsidRPr="00CB2B60">
              <w:rPr>
                <w:rFonts w:eastAsia="Times New Roman" w:cstheme="minorHAnsi"/>
                <w:sz w:val="18"/>
                <w:szCs w:val="18"/>
              </w:rPr>
              <w:t>$50,000-$100,000</w:t>
            </w:r>
          </w:p>
        </w:tc>
        <w:tc>
          <w:tcPr>
            <w:tcW w:w="1352" w:type="dxa"/>
            <w:hideMark/>
          </w:tcPr>
          <w:p w14:paraId="13B60F86" w14:textId="77777777" w:rsidR="004A7D0D" w:rsidRPr="00CB2B60" w:rsidRDefault="004A7D0D">
            <w:pPr>
              <w:spacing w:after="0" w:line="240" w:lineRule="auto"/>
              <w:jc w:val="center"/>
              <w:rPr>
                <w:rFonts w:eastAsia="Times New Roman" w:cstheme="minorHAnsi"/>
                <w:color w:val="000000"/>
                <w:sz w:val="18"/>
                <w:szCs w:val="18"/>
              </w:rPr>
            </w:pPr>
            <w:r w:rsidRPr="00CB2B60">
              <w:rPr>
                <w:rFonts w:eastAsia="Times New Roman" w:cstheme="minorHAnsi"/>
                <w:sz w:val="18"/>
                <w:szCs w:val="18"/>
              </w:rPr>
              <w:t>19</w:t>
            </w:r>
          </w:p>
        </w:tc>
      </w:tr>
      <w:tr w:rsidR="004A7D0D" w:rsidRPr="00CB2B60" w14:paraId="581A8086" w14:textId="77777777">
        <w:trPr>
          <w:trHeight w:val="255"/>
        </w:trPr>
        <w:tc>
          <w:tcPr>
            <w:tcW w:w="3500" w:type="dxa"/>
            <w:shd w:val="clear" w:color="auto" w:fill="C4CFEF" w:themeFill="background2" w:themeFillTint="33"/>
            <w:hideMark/>
          </w:tcPr>
          <w:p w14:paraId="66A4EB3A" w14:textId="77777777" w:rsidR="004A7D0D" w:rsidRPr="00CB2B60" w:rsidRDefault="004A7D0D">
            <w:pPr>
              <w:spacing w:after="0" w:line="240" w:lineRule="auto"/>
              <w:rPr>
                <w:rFonts w:eastAsia="Times New Roman" w:cstheme="minorHAnsi"/>
                <w:color w:val="000000"/>
                <w:sz w:val="18"/>
                <w:szCs w:val="18"/>
              </w:rPr>
            </w:pPr>
            <w:r w:rsidRPr="00CB2B60">
              <w:rPr>
                <w:rFonts w:eastAsia="Times New Roman" w:cstheme="minorHAnsi"/>
                <w:sz w:val="18"/>
                <w:szCs w:val="18"/>
              </w:rPr>
              <w:t>$100,000-$150,000</w:t>
            </w:r>
          </w:p>
        </w:tc>
        <w:tc>
          <w:tcPr>
            <w:tcW w:w="1352" w:type="dxa"/>
            <w:hideMark/>
          </w:tcPr>
          <w:p w14:paraId="5FE10F72" w14:textId="77777777" w:rsidR="004A7D0D" w:rsidRPr="00CB2B60" w:rsidRDefault="004A7D0D">
            <w:pPr>
              <w:spacing w:after="0" w:line="240" w:lineRule="auto"/>
              <w:jc w:val="center"/>
              <w:rPr>
                <w:rFonts w:eastAsia="Times New Roman" w:cstheme="minorHAnsi"/>
                <w:color w:val="000000"/>
                <w:sz w:val="18"/>
                <w:szCs w:val="18"/>
              </w:rPr>
            </w:pPr>
            <w:r w:rsidRPr="00CB2B60">
              <w:rPr>
                <w:rFonts w:eastAsia="Times New Roman" w:cstheme="minorHAnsi"/>
                <w:sz w:val="18"/>
                <w:szCs w:val="18"/>
              </w:rPr>
              <w:t>6</w:t>
            </w:r>
          </w:p>
        </w:tc>
      </w:tr>
      <w:tr w:rsidR="004A7D0D" w:rsidRPr="00CB2B60" w14:paraId="677580C9" w14:textId="77777777">
        <w:trPr>
          <w:trHeight w:val="255"/>
        </w:trPr>
        <w:tc>
          <w:tcPr>
            <w:tcW w:w="3500" w:type="dxa"/>
            <w:shd w:val="clear" w:color="auto" w:fill="C4CFEF" w:themeFill="background2" w:themeFillTint="33"/>
            <w:hideMark/>
          </w:tcPr>
          <w:p w14:paraId="0BC1750A" w14:textId="77777777" w:rsidR="004A7D0D" w:rsidRPr="00CB2B60" w:rsidRDefault="004A7D0D">
            <w:pPr>
              <w:spacing w:after="0" w:line="240" w:lineRule="auto"/>
              <w:rPr>
                <w:rFonts w:eastAsia="Times New Roman" w:cstheme="minorHAnsi"/>
                <w:color w:val="000000"/>
                <w:sz w:val="18"/>
                <w:szCs w:val="18"/>
              </w:rPr>
            </w:pPr>
            <w:r w:rsidRPr="00CB2B60">
              <w:rPr>
                <w:rFonts w:eastAsia="Times New Roman" w:cstheme="minorHAnsi"/>
                <w:sz w:val="18"/>
                <w:szCs w:val="18"/>
              </w:rPr>
              <w:t>$150,000-$300,000</w:t>
            </w:r>
          </w:p>
        </w:tc>
        <w:tc>
          <w:tcPr>
            <w:tcW w:w="1352" w:type="dxa"/>
            <w:hideMark/>
          </w:tcPr>
          <w:p w14:paraId="17B3CABD" w14:textId="77777777" w:rsidR="004A7D0D" w:rsidRPr="00CB2B60" w:rsidRDefault="004A7D0D">
            <w:pPr>
              <w:spacing w:after="0" w:line="240" w:lineRule="auto"/>
              <w:jc w:val="center"/>
              <w:rPr>
                <w:rFonts w:eastAsia="Times New Roman" w:cstheme="minorHAnsi"/>
                <w:color w:val="000000"/>
                <w:sz w:val="18"/>
                <w:szCs w:val="18"/>
              </w:rPr>
            </w:pPr>
            <w:r w:rsidRPr="00CB2B60">
              <w:rPr>
                <w:rFonts w:eastAsia="Times New Roman" w:cstheme="minorHAnsi"/>
                <w:sz w:val="18"/>
                <w:szCs w:val="18"/>
              </w:rPr>
              <w:t>6</w:t>
            </w:r>
          </w:p>
        </w:tc>
      </w:tr>
      <w:tr w:rsidR="004A7D0D" w:rsidRPr="00CB2B60" w14:paraId="4ABFAEFE" w14:textId="77777777">
        <w:trPr>
          <w:trHeight w:val="255"/>
        </w:trPr>
        <w:tc>
          <w:tcPr>
            <w:tcW w:w="3500" w:type="dxa"/>
            <w:shd w:val="clear" w:color="auto" w:fill="C4CFEF" w:themeFill="background2" w:themeFillTint="33"/>
            <w:hideMark/>
          </w:tcPr>
          <w:p w14:paraId="21DA8DD7" w14:textId="77777777" w:rsidR="004A7D0D" w:rsidRPr="00CB2B60" w:rsidRDefault="004A7D0D">
            <w:pPr>
              <w:spacing w:after="0" w:line="240" w:lineRule="auto"/>
              <w:rPr>
                <w:rFonts w:eastAsia="Times New Roman" w:cstheme="minorHAnsi"/>
                <w:color w:val="000000"/>
                <w:sz w:val="18"/>
                <w:szCs w:val="18"/>
              </w:rPr>
            </w:pPr>
            <w:r w:rsidRPr="00CB2B60">
              <w:rPr>
                <w:rFonts w:eastAsia="Times New Roman" w:cstheme="minorHAnsi"/>
                <w:color w:val="000000"/>
                <w:sz w:val="18"/>
                <w:szCs w:val="18"/>
              </w:rPr>
              <w:t>$300,000-$500,000</w:t>
            </w:r>
          </w:p>
        </w:tc>
        <w:tc>
          <w:tcPr>
            <w:tcW w:w="1352" w:type="dxa"/>
            <w:hideMark/>
          </w:tcPr>
          <w:p w14:paraId="58803D62" w14:textId="77777777" w:rsidR="004A7D0D" w:rsidRPr="00CB2B60" w:rsidRDefault="004A7D0D">
            <w:pPr>
              <w:spacing w:after="0" w:line="240" w:lineRule="auto"/>
              <w:jc w:val="center"/>
              <w:rPr>
                <w:rFonts w:eastAsia="Times New Roman" w:cstheme="minorHAnsi"/>
                <w:color w:val="000000"/>
                <w:sz w:val="18"/>
                <w:szCs w:val="18"/>
              </w:rPr>
            </w:pPr>
            <w:r w:rsidRPr="00CB2B60">
              <w:rPr>
                <w:rFonts w:eastAsia="Times New Roman" w:cstheme="minorHAnsi"/>
                <w:sz w:val="18"/>
                <w:szCs w:val="18"/>
              </w:rPr>
              <w:t>4</w:t>
            </w:r>
          </w:p>
        </w:tc>
      </w:tr>
      <w:tr w:rsidR="004A7D0D" w:rsidRPr="00CB2B60" w14:paraId="56C0967B" w14:textId="77777777">
        <w:trPr>
          <w:trHeight w:val="255"/>
        </w:trPr>
        <w:tc>
          <w:tcPr>
            <w:tcW w:w="3500" w:type="dxa"/>
            <w:shd w:val="clear" w:color="auto" w:fill="C4CFEF" w:themeFill="background2" w:themeFillTint="33"/>
            <w:hideMark/>
          </w:tcPr>
          <w:p w14:paraId="36A930AC" w14:textId="77777777" w:rsidR="004A7D0D" w:rsidRPr="00CB2B60" w:rsidRDefault="004A7D0D">
            <w:pPr>
              <w:spacing w:after="0" w:line="240" w:lineRule="auto"/>
              <w:rPr>
                <w:rFonts w:eastAsia="Times New Roman" w:cstheme="minorHAnsi"/>
                <w:color w:val="000000"/>
                <w:sz w:val="18"/>
                <w:szCs w:val="18"/>
              </w:rPr>
            </w:pPr>
            <w:r w:rsidRPr="00CB2B60">
              <w:rPr>
                <w:rFonts w:eastAsia="Times New Roman" w:cstheme="minorHAnsi"/>
                <w:color w:val="000000"/>
                <w:sz w:val="18"/>
                <w:szCs w:val="18"/>
              </w:rPr>
              <w:t>&gt; $500,000</w:t>
            </w:r>
          </w:p>
        </w:tc>
        <w:tc>
          <w:tcPr>
            <w:tcW w:w="1352" w:type="dxa"/>
            <w:hideMark/>
          </w:tcPr>
          <w:p w14:paraId="13BD0DA1" w14:textId="77777777" w:rsidR="004A7D0D" w:rsidRPr="00CB2B60" w:rsidRDefault="004A7D0D">
            <w:pPr>
              <w:spacing w:after="0" w:line="240" w:lineRule="auto"/>
              <w:jc w:val="center"/>
              <w:rPr>
                <w:rFonts w:eastAsia="Times New Roman" w:cstheme="minorHAnsi"/>
                <w:color w:val="000000"/>
                <w:sz w:val="18"/>
                <w:szCs w:val="18"/>
              </w:rPr>
            </w:pPr>
            <w:r w:rsidRPr="00CB2B60">
              <w:rPr>
                <w:rFonts w:eastAsia="Times New Roman" w:cstheme="minorHAnsi"/>
                <w:sz w:val="18"/>
                <w:szCs w:val="18"/>
              </w:rPr>
              <w:t>1</w:t>
            </w:r>
          </w:p>
        </w:tc>
      </w:tr>
      <w:tr w:rsidR="004A7D0D" w:rsidRPr="00CB2B60" w14:paraId="5C81BE2D" w14:textId="77777777">
        <w:trPr>
          <w:trHeight w:val="315"/>
        </w:trPr>
        <w:tc>
          <w:tcPr>
            <w:tcW w:w="3500" w:type="dxa"/>
            <w:shd w:val="clear" w:color="auto" w:fill="C4CFEF" w:themeFill="background2" w:themeFillTint="33"/>
            <w:hideMark/>
          </w:tcPr>
          <w:p w14:paraId="3559C0FB" w14:textId="77777777" w:rsidR="004A7D0D" w:rsidRPr="00CB2B60" w:rsidRDefault="004A7D0D">
            <w:pPr>
              <w:spacing w:after="0" w:line="240" w:lineRule="auto"/>
              <w:rPr>
                <w:rFonts w:eastAsia="Times New Roman" w:cstheme="minorHAnsi"/>
                <w:color w:val="000000"/>
                <w:sz w:val="18"/>
                <w:szCs w:val="18"/>
              </w:rPr>
            </w:pPr>
            <w:r w:rsidRPr="00CB2B60">
              <w:rPr>
                <w:rFonts w:eastAsia="Times New Roman" w:cstheme="minorHAnsi"/>
                <w:color w:val="000000"/>
                <w:sz w:val="18"/>
                <w:szCs w:val="18"/>
              </w:rPr>
              <w:t>unknown</w:t>
            </w:r>
          </w:p>
        </w:tc>
        <w:tc>
          <w:tcPr>
            <w:tcW w:w="1352" w:type="dxa"/>
            <w:hideMark/>
          </w:tcPr>
          <w:p w14:paraId="4F4D1DEC" w14:textId="77777777" w:rsidR="004A7D0D" w:rsidRPr="00CB2B60" w:rsidRDefault="004A7D0D">
            <w:pPr>
              <w:spacing w:after="0" w:line="240" w:lineRule="auto"/>
              <w:jc w:val="center"/>
              <w:rPr>
                <w:rFonts w:eastAsia="Times New Roman" w:cstheme="minorHAnsi"/>
                <w:color w:val="000000"/>
                <w:sz w:val="18"/>
                <w:szCs w:val="18"/>
              </w:rPr>
            </w:pPr>
            <w:r w:rsidRPr="00CB2B60">
              <w:rPr>
                <w:rFonts w:eastAsia="Times New Roman" w:cstheme="minorHAnsi"/>
                <w:sz w:val="18"/>
                <w:szCs w:val="18"/>
              </w:rPr>
              <w:t>1</w:t>
            </w:r>
          </w:p>
        </w:tc>
      </w:tr>
      <w:tr w:rsidR="004A7D0D" w:rsidRPr="00CB2B60" w14:paraId="36C7D00F" w14:textId="77777777">
        <w:trPr>
          <w:trHeight w:val="315"/>
        </w:trPr>
        <w:tc>
          <w:tcPr>
            <w:tcW w:w="3500" w:type="dxa"/>
            <w:shd w:val="clear" w:color="auto" w:fill="C4CFEF" w:themeFill="background2" w:themeFillTint="33"/>
          </w:tcPr>
          <w:p w14:paraId="78699D36" w14:textId="77777777" w:rsidR="004A7D0D" w:rsidRPr="00CB2B60" w:rsidRDefault="004A7D0D">
            <w:pPr>
              <w:spacing w:after="0" w:line="240" w:lineRule="auto"/>
              <w:rPr>
                <w:rFonts w:eastAsia="Times New Roman" w:cstheme="minorHAnsi"/>
                <w:b/>
                <w:bCs/>
                <w:color w:val="000000"/>
                <w:sz w:val="18"/>
                <w:szCs w:val="18"/>
              </w:rPr>
            </w:pPr>
            <w:r w:rsidRPr="00CB2B60">
              <w:rPr>
                <w:rFonts w:eastAsia="Times New Roman" w:cstheme="minorHAnsi"/>
                <w:b/>
                <w:bCs/>
                <w:sz w:val="18"/>
                <w:szCs w:val="18"/>
              </w:rPr>
              <w:t>Total</w:t>
            </w:r>
          </w:p>
        </w:tc>
        <w:tc>
          <w:tcPr>
            <w:tcW w:w="1352" w:type="dxa"/>
          </w:tcPr>
          <w:p w14:paraId="06C10ACB" w14:textId="77777777" w:rsidR="004A7D0D" w:rsidRPr="00CB2B60" w:rsidRDefault="004A7D0D">
            <w:pPr>
              <w:spacing w:after="0" w:line="240" w:lineRule="auto"/>
              <w:jc w:val="center"/>
              <w:rPr>
                <w:rFonts w:eastAsia="Times New Roman" w:cstheme="minorHAnsi"/>
                <w:b/>
                <w:bCs/>
                <w:color w:val="000000"/>
                <w:sz w:val="18"/>
                <w:szCs w:val="18"/>
              </w:rPr>
            </w:pPr>
            <w:r w:rsidRPr="00CB2B60">
              <w:rPr>
                <w:rFonts w:eastAsia="Times New Roman" w:cstheme="minorHAnsi"/>
                <w:b/>
                <w:bCs/>
                <w:sz w:val="18"/>
                <w:szCs w:val="18"/>
              </w:rPr>
              <w:t>44</w:t>
            </w:r>
          </w:p>
        </w:tc>
      </w:tr>
    </w:tbl>
    <w:p w14:paraId="55CCF053" w14:textId="77777777" w:rsidR="00AB763B" w:rsidRPr="00B37461" w:rsidRDefault="00AB763B" w:rsidP="00B37461"/>
    <w:p w14:paraId="625408D1" w14:textId="77777777" w:rsidR="00A6061C" w:rsidRDefault="00A6061C" w:rsidP="003B058D">
      <w:pPr>
        <w:pStyle w:val="Heading1"/>
        <w:sectPr w:rsidR="00A6061C" w:rsidSect="00070332">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2D92DE51" w14:textId="1526EFCA" w:rsidR="003B058D" w:rsidRPr="003A5075" w:rsidRDefault="00D86335" w:rsidP="003B058D">
      <w:pPr>
        <w:pStyle w:val="Heading1"/>
      </w:pPr>
      <w:bookmarkStart w:id="33" w:name="_Toc131170456"/>
      <w:r>
        <w:t>Annex 4</w:t>
      </w:r>
      <w:r w:rsidR="00D3162A">
        <w:t>:</w:t>
      </w:r>
      <w:r>
        <w:t xml:space="preserve"> </w:t>
      </w:r>
      <w:r w:rsidR="00A443CF">
        <w:t xml:space="preserve">Consultation </w:t>
      </w:r>
      <w:r w:rsidR="00C07AB1">
        <w:t>L</w:t>
      </w:r>
      <w:r w:rsidR="00A443CF">
        <w:t>ist</w:t>
      </w:r>
      <w:r w:rsidR="00D3162A">
        <w:t>s</w:t>
      </w:r>
      <w:bookmarkEnd w:id="33"/>
    </w:p>
    <w:p w14:paraId="4EF4DCFF" w14:textId="78AB79EA" w:rsidR="00DB596B" w:rsidRPr="0002028E" w:rsidRDefault="00D3162A" w:rsidP="00B06166">
      <w:pPr>
        <w:ind w:right="-569"/>
        <w:rPr>
          <w:b/>
          <w:bCs/>
          <w:color w:val="4E72D0" w:themeColor="background2" w:themeTint="99"/>
        </w:rPr>
      </w:pPr>
      <w:r w:rsidRPr="0002028E">
        <w:rPr>
          <w:b/>
          <w:bCs/>
          <w:color w:val="4E72D0" w:themeColor="background2" w:themeTint="99"/>
        </w:rPr>
        <w:t>Table A4.1: Strongim Bisnis Partners</w:t>
      </w:r>
      <w:r w:rsidR="0002028E">
        <w:rPr>
          <w:b/>
          <w:bCs/>
          <w:color w:val="4E72D0" w:themeColor="background2" w:themeTint="99"/>
        </w:rPr>
        <w:t xml:space="preserve"> Consulted</w:t>
      </w:r>
      <w:r w:rsidR="008A0154">
        <w:rPr>
          <w:rStyle w:val="FootnoteReference"/>
          <w:b/>
          <w:bCs/>
          <w:color w:val="4E72D0" w:themeColor="background2" w:themeTint="99"/>
        </w:rPr>
        <w:footnoteReference w:id="27"/>
      </w:r>
    </w:p>
    <w:tbl>
      <w:tblPr>
        <w:tblStyle w:val="DefaultTable"/>
        <w:tblW w:w="5000" w:type="pct"/>
        <w:tblLayout w:type="fixed"/>
        <w:tblCellMar>
          <w:top w:w="57" w:type="dxa"/>
          <w:bottom w:w="57" w:type="dxa"/>
        </w:tblCellMar>
        <w:tblLook w:val="04A0" w:firstRow="1" w:lastRow="0" w:firstColumn="1" w:lastColumn="0" w:noHBand="0" w:noVBand="1"/>
      </w:tblPr>
      <w:tblGrid>
        <w:gridCol w:w="1327"/>
        <w:gridCol w:w="1930"/>
        <w:gridCol w:w="1529"/>
        <w:gridCol w:w="1228"/>
        <w:gridCol w:w="1069"/>
        <w:gridCol w:w="1277"/>
        <w:gridCol w:w="6089"/>
      </w:tblGrid>
      <w:tr w:rsidR="00DD5458" w:rsidRPr="00250C48" w14:paraId="1519F0AA" w14:textId="77777777" w:rsidTr="00CD63CE">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459" w:type="pct"/>
            <w:hideMark/>
          </w:tcPr>
          <w:p w14:paraId="65751FCB" w14:textId="77777777" w:rsidR="009B4C1F" w:rsidRPr="00A6061C" w:rsidRDefault="009B4C1F" w:rsidP="00A6061C">
            <w:pPr>
              <w:spacing w:after="0" w:line="240" w:lineRule="auto"/>
              <w:rPr>
                <w:rFonts w:eastAsia="Times New Roman" w:cstheme="minorHAnsi"/>
                <w:b/>
                <w:bCs/>
                <w:color w:val="FFFFFF" w:themeColor="background1"/>
                <w:sz w:val="18"/>
                <w:szCs w:val="18"/>
              </w:rPr>
            </w:pPr>
            <w:r w:rsidRPr="00A6061C">
              <w:rPr>
                <w:rFonts w:eastAsia="Times New Roman" w:cstheme="minorHAnsi"/>
                <w:b/>
                <w:bCs/>
                <w:color w:val="FFFFFF" w:themeColor="background1"/>
                <w:sz w:val="18"/>
                <w:szCs w:val="18"/>
              </w:rPr>
              <w:t>Sector Value Chain/ Cross-Cutting</w:t>
            </w:r>
          </w:p>
        </w:tc>
        <w:tc>
          <w:tcPr>
            <w:tcW w:w="668" w:type="pct"/>
            <w:hideMark/>
          </w:tcPr>
          <w:p w14:paraId="59518C68" w14:textId="77777777" w:rsidR="009B4C1F" w:rsidRPr="00A6061C" w:rsidRDefault="009B4C1F" w:rsidP="00A606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A6061C">
              <w:rPr>
                <w:rFonts w:eastAsia="Times New Roman" w:cstheme="minorHAnsi"/>
                <w:b/>
                <w:bCs/>
                <w:color w:val="FFFFFF" w:themeColor="background1"/>
                <w:sz w:val="18"/>
                <w:szCs w:val="18"/>
              </w:rPr>
              <w:t>Intervention Name</w:t>
            </w:r>
          </w:p>
        </w:tc>
        <w:tc>
          <w:tcPr>
            <w:tcW w:w="529" w:type="pct"/>
            <w:hideMark/>
          </w:tcPr>
          <w:p w14:paraId="28844D92" w14:textId="77777777" w:rsidR="009B4C1F" w:rsidRPr="00A6061C" w:rsidRDefault="009B4C1F" w:rsidP="00A606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A6061C">
              <w:rPr>
                <w:rFonts w:eastAsia="Times New Roman" w:cstheme="minorHAnsi"/>
                <w:b/>
                <w:bCs/>
                <w:color w:val="FFFFFF" w:themeColor="background1"/>
                <w:sz w:val="18"/>
                <w:szCs w:val="18"/>
              </w:rPr>
              <w:t>Implementing Partner Name</w:t>
            </w:r>
          </w:p>
        </w:tc>
        <w:tc>
          <w:tcPr>
            <w:tcW w:w="425" w:type="pct"/>
            <w:hideMark/>
          </w:tcPr>
          <w:p w14:paraId="76A0A111" w14:textId="77777777" w:rsidR="009B4C1F" w:rsidRPr="00A6061C" w:rsidRDefault="009B4C1F" w:rsidP="00A606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A6061C">
              <w:rPr>
                <w:rFonts w:eastAsia="Times New Roman" w:cstheme="minorHAnsi"/>
                <w:b/>
                <w:bCs/>
                <w:color w:val="FFFFFF" w:themeColor="background1"/>
                <w:sz w:val="18"/>
                <w:szCs w:val="18"/>
              </w:rPr>
              <w:t>Initial Partnership Start Date</w:t>
            </w:r>
          </w:p>
        </w:tc>
        <w:tc>
          <w:tcPr>
            <w:tcW w:w="370" w:type="pct"/>
            <w:hideMark/>
          </w:tcPr>
          <w:p w14:paraId="0B5010E0" w14:textId="77777777" w:rsidR="009B4C1F" w:rsidRPr="00A6061C" w:rsidRDefault="009B4C1F" w:rsidP="00A606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rPr>
            </w:pPr>
            <w:r w:rsidRPr="00A6061C">
              <w:rPr>
                <w:rFonts w:eastAsia="Times New Roman" w:cstheme="minorHAnsi"/>
                <w:color w:val="FFFFFF" w:themeColor="background1"/>
                <w:sz w:val="18"/>
                <w:szCs w:val="18"/>
              </w:rPr>
              <w:t>Partner Location</w:t>
            </w:r>
          </w:p>
        </w:tc>
        <w:tc>
          <w:tcPr>
            <w:tcW w:w="442" w:type="pct"/>
            <w:hideMark/>
          </w:tcPr>
          <w:p w14:paraId="19A4130E" w14:textId="77777777" w:rsidR="009B4C1F" w:rsidRPr="00A6061C" w:rsidRDefault="009B4C1F" w:rsidP="00A606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A6061C">
              <w:rPr>
                <w:rFonts w:eastAsia="Times New Roman" w:cstheme="minorHAnsi"/>
                <w:b/>
                <w:bCs/>
                <w:color w:val="FFFFFF" w:themeColor="background1"/>
                <w:sz w:val="18"/>
                <w:szCs w:val="18"/>
              </w:rPr>
              <w:t>Met with:</w:t>
            </w:r>
          </w:p>
        </w:tc>
        <w:tc>
          <w:tcPr>
            <w:tcW w:w="2107" w:type="pct"/>
            <w:hideMark/>
          </w:tcPr>
          <w:p w14:paraId="467BC3F9" w14:textId="77777777" w:rsidR="009B4C1F" w:rsidRPr="00A6061C" w:rsidRDefault="009B4C1F" w:rsidP="00A606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A6061C">
              <w:rPr>
                <w:rFonts w:eastAsia="Times New Roman" w:cstheme="minorHAnsi"/>
                <w:b/>
                <w:bCs/>
                <w:color w:val="FFFFFF" w:themeColor="background1"/>
                <w:sz w:val="18"/>
                <w:szCs w:val="18"/>
              </w:rPr>
              <w:t>Partnership Overview</w:t>
            </w:r>
          </w:p>
        </w:tc>
      </w:tr>
      <w:tr w:rsidR="00A62101" w:rsidRPr="00250C48" w14:paraId="40209454" w14:textId="77777777" w:rsidTr="00A62101">
        <w:trPr>
          <w:trHeight w:val="1309"/>
        </w:trPr>
        <w:tc>
          <w:tcPr>
            <w:cnfStyle w:val="001000000000" w:firstRow="0" w:lastRow="0" w:firstColumn="1" w:lastColumn="0" w:oddVBand="0" w:evenVBand="0" w:oddHBand="0" w:evenHBand="0" w:firstRowFirstColumn="0" w:firstRowLastColumn="0" w:lastRowFirstColumn="0" w:lastRowLastColumn="0"/>
            <w:tcW w:w="459" w:type="pct"/>
            <w:hideMark/>
          </w:tcPr>
          <w:p w14:paraId="6CD8D9D1"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Cocoa</w:t>
            </w:r>
          </w:p>
        </w:tc>
        <w:tc>
          <w:tcPr>
            <w:tcW w:w="668" w:type="pct"/>
            <w:hideMark/>
          </w:tcPr>
          <w:p w14:paraId="56291512"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Transforming the Cocoa Value Chain</w:t>
            </w:r>
          </w:p>
        </w:tc>
        <w:tc>
          <w:tcPr>
            <w:tcW w:w="529" w:type="pct"/>
            <w:hideMark/>
          </w:tcPr>
          <w:p w14:paraId="011A2DFB"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Cathliro Commodities Development Ltd</w:t>
            </w:r>
          </w:p>
        </w:tc>
        <w:tc>
          <w:tcPr>
            <w:tcW w:w="425" w:type="pct"/>
            <w:hideMark/>
          </w:tcPr>
          <w:p w14:paraId="6462B2E0"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28-Feb-20</w:t>
            </w:r>
          </w:p>
        </w:tc>
        <w:tc>
          <w:tcPr>
            <w:tcW w:w="370" w:type="pct"/>
            <w:hideMark/>
          </w:tcPr>
          <w:p w14:paraId="39751A29" w14:textId="765E1FEE"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5C797394"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Diana Yates- Manager</w:t>
            </w:r>
          </w:p>
        </w:tc>
        <w:tc>
          <w:tcPr>
            <w:tcW w:w="2107" w:type="pct"/>
            <w:hideMark/>
          </w:tcPr>
          <w:p w14:paraId="3A53E90E"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Cathliro is a woman led aggregator, processor and exporter. Leveraging the potential of Cathliro’s current supply chain, increase production and export to the boutique market. Commencing exports of Cathliro’s currently-produced value-added products. Strengthening of Cathliro management capacity.</w:t>
            </w:r>
          </w:p>
        </w:tc>
      </w:tr>
      <w:tr w:rsidR="00862FDD" w:rsidRPr="00250C48" w14:paraId="5CF5E494" w14:textId="77777777" w:rsidTr="00A62101">
        <w:trPr>
          <w:cnfStyle w:val="000000010000" w:firstRow="0" w:lastRow="0" w:firstColumn="0" w:lastColumn="0" w:oddVBand="0" w:evenVBand="0" w:oddHBand="0" w:evenHBand="1"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459" w:type="pct"/>
            <w:hideMark/>
          </w:tcPr>
          <w:p w14:paraId="0D34F435"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Cocoa</w:t>
            </w:r>
          </w:p>
        </w:tc>
        <w:tc>
          <w:tcPr>
            <w:tcW w:w="668" w:type="pct"/>
            <w:hideMark/>
          </w:tcPr>
          <w:p w14:paraId="4389517F"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Increasing domestic production of cocoa value-added products</w:t>
            </w:r>
          </w:p>
        </w:tc>
        <w:tc>
          <w:tcPr>
            <w:tcW w:w="529" w:type="pct"/>
            <w:hideMark/>
          </w:tcPr>
          <w:p w14:paraId="0608507A"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Kokonut Pacific Solomon Islands (KPSI)</w:t>
            </w:r>
          </w:p>
        </w:tc>
        <w:tc>
          <w:tcPr>
            <w:tcW w:w="425" w:type="pct"/>
            <w:hideMark/>
          </w:tcPr>
          <w:p w14:paraId="08041BE9"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23-Nov-22</w:t>
            </w:r>
          </w:p>
        </w:tc>
        <w:tc>
          <w:tcPr>
            <w:tcW w:w="370" w:type="pct"/>
            <w:hideMark/>
          </w:tcPr>
          <w:p w14:paraId="20AF66FA" w14:textId="34C4E09E" w:rsidR="009B4C1F" w:rsidRPr="00A6061C" w:rsidRDefault="008321B6"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680E0D">
              <w:rPr>
                <w:rFonts w:eastAsia="Times New Roman" w:cstheme="minorHAnsi"/>
                <w:color w:val="000000"/>
                <w:sz w:val="18"/>
                <w:szCs w:val="18"/>
              </w:rPr>
              <w:t>East of</w:t>
            </w:r>
            <w:r w:rsidR="009B4C1F" w:rsidRPr="00A6061C">
              <w:rPr>
                <w:rFonts w:eastAsia="Times New Roman" w:cstheme="minorHAnsi"/>
                <w:color w:val="000000"/>
                <w:sz w:val="18"/>
                <w:szCs w:val="18"/>
              </w:rPr>
              <w:t xml:space="preserve"> Honiara</w:t>
            </w:r>
          </w:p>
        </w:tc>
        <w:tc>
          <w:tcPr>
            <w:tcW w:w="442" w:type="pct"/>
            <w:hideMark/>
          </w:tcPr>
          <w:p w14:paraId="040E5A8B"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Bob Pollard -</w:t>
            </w:r>
            <w:r w:rsidRPr="00A6061C">
              <w:rPr>
                <w:rFonts w:eastAsia="Times New Roman" w:cstheme="minorHAnsi"/>
                <w:color w:val="000000"/>
                <w:sz w:val="18"/>
                <w:szCs w:val="18"/>
              </w:rPr>
              <w:br/>
              <w:t>Managing Director</w:t>
            </w:r>
          </w:p>
        </w:tc>
        <w:tc>
          <w:tcPr>
            <w:tcW w:w="2107" w:type="pct"/>
            <w:hideMark/>
          </w:tcPr>
          <w:p w14:paraId="35B4322E"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KPSI is a cocoa beans aggregator, processor and exporter. Increasing local cocoa value-adding through cocoa butter, powder and paste production. Boosting dried cocoa bean supplies by engaging new farmer suppliers and producers /exporters. Increasing local and export cocoa product sales through branding, marketing and packaging.</w:t>
            </w:r>
          </w:p>
        </w:tc>
      </w:tr>
      <w:tr w:rsidR="00A62101" w:rsidRPr="00250C48" w14:paraId="74924453" w14:textId="77777777" w:rsidTr="00A62101">
        <w:trPr>
          <w:trHeight w:val="1830"/>
        </w:trPr>
        <w:tc>
          <w:tcPr>
            <w:cnfStyle w:val="001000000000" w:firstRow="0" w:lastRow="0" w:firstColumn="1" w:lastColumn="0" w:oddVBand="0" w:evenVBand="0" w:oddHBand="0" w:evenHBand="0" w:firstRowFirstColumn="0" w:firstRowLastColumn="0" w:lastRowFirstColumn="0" w:lastRowLastColumn="0"/>
            <w:tcW w:w="459" w:type="pct"/>
            <w:hideMark/>
          </w:tcPr>
          <w:p w14:paraId="4D375060"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Coconuts</w:t>
            </w:r>
          </w:p>
        </w:tc>
        <w:tc>
          <w:tcPr>
            <w:tcW w:w="668" w:type="pct"/>
            <w:hideMark/>
          </w:tcPr>
          <w:p w14:paraId="5E13539B"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Phase 2: Diversifying marketing avenues for value-added products</w:t>
            </w:r>
            <w:r w:rsidRPr="00A6061C">
              <w:rPr>
                <w:rFonts w:eastAsia="Times New Roman" w:cstheme="minorHAnsi"/>
                <w:color w:val="000000"/>
                <w:sz w:val="18"/>
                <w:szCs w:val="18"/>
              </w:rPr>
              <w:br/>
            </w:r>
            <w:r w:rsidRPr="00A6061C">
              <w:rPr>
                <w:rFonts w:eastAsia="Times New Roman" w:cstheme="minorHAnsi"/>
                <w:b/>
                <w:bCs/>
                <w:color w:val="000000"/>
                <w:sz w:val="18"/>
                <w:szCs w:val="18"/>
              </w:rPr>
              <w:t>and</w:t>
            </w:r>
            <w:r w:rsidRPr="00A6061C">
              <w:rPr>
                <w:rFonts w:eastAsia="Times New Roman" w:cstheme="minorHAnsi"/>
                <w:color w:val="000000"/>
                <w:sz w:val="18"/>
                <w:szCs w:val="18"/>
              </w:rPr>
              <w:br/>
              <w:t>Production and Australian market adoption of boutique, VCO-based products</w:t>
            </w:r>
          </w:p>
        </w:tc>
        <w:tc>
          <w:tcPr>
            <w:tcW w:w="529" w:type="pct"/>
            <w:hideMark/>
          </w:tcPr>
          <w:p w14:paraId="267B4E42"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Kokonut Pacific Solomon Islands (KPSI)</w:t>
            </w:r>
          </w:p>
        </w:tc>
        <w:tc>
          <w:tcPr>
            <w:tcW w:w="425" w:type="pct"/>
            <w:hideMark/>
          </w:tcPr>
          <w:p w14:paraId="6375F17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26-Jun-18</w:t>
            </w:r>
          </w:p>
        </w:tc>
        <w:tc>
          <w:tcPr>
            <w:tcW w:w="370" w:type="pct"/>
            <w:hideMark/>
          </w:tcPr>
          <w:p w14:paraId="3EBE85D4" w14:textId="7698CBF4" w:rsidR="009B4C1F" w:rsidRPr="00A6061C" w:rsidRDefault="008321B6"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80E0D">
              <w:rPr>
                <w:rFonts w:eastAsia="Times New Roman" w:cstheme="minorHAnsi"/>
                <w:color w:val="000000"/>
                <w:sz w:val="18"/>
                <w:szCs w:val="18"/>
              </w:rPr>
              <w:t>East of</w:t>
            </w:r>
            <w:r w:rsidRPr="00A6061C">
              <w:rPr>
                <w:rFonts w:eastAsia="Times New Roman" w:cstheme="minorHAnsi"/>
                <w:color w:val="000000"/>
                <w:sz w:val="18"/>
                <w:szCs w:val="18"/>
              </w:rPr>
              <w:t xml:space="preserve"> </w:t>
            </w:r>
            <w:r w:rsidR="009B4C1F" w:rsidRPr="00A6061C">
              <w:rPr>
                <w:rFonts w:eastAsia="Times New Roman" w:cstheme="minorHAnsi"/>
                <w:color w:val="000000"/>
                <w:sz w:val="18"/>
                <w:szCs w:val="18"/>
              </w:rPr>
              <w:t>Honiara</w:t>
            </w:r>
          </w:p>
        </w:tc>
        <w:tc>
          <w:tcPr>
            <w:tcW w:w="442" w:type="pct"/>
            <w:hideMark/>
          </w:tcPr>
          <w:p w14:paraId="2E20F70D"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Bob Pollard -</w:t>
            </w:r>
            <w:r w:rsidRPr="00A6061C">
              <w:rPr>
                <w:rFonts w:eastAsia="Times New Roman" w:cstheme="minorHAnsi"/>
                <w:color w:val="000000"/>
                <w:sz w:val="18"/>
                <w:szCs w:val="18"/>
              </w:rPr>
              <w:br/>
              <w:t>Managing Director</w:t>
            </w:r>
          </w:p>
        </w:tc>
        <w:tc>
          <w:tcPr>
            <w:tcW w:w="2107" w:type="pct"/>
            <w:hideMark/>
          </w:tcPr>
          <w:p w14:paraId="41B269D1" w14:textId="215EF14D"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KPSI is the major VCO market actor in the country sourcing from a network of rural community based DME processors and their related household coconut suppliers. Support has focused on growing alternative markets for VCO- beyond the bulk VCO market- through development of VCO based body care products and Tuna in VCO canned products. These new products were targeted at domestic and international markets with significant support provided towards marketing and promotion as well as packaging and branding of these new products. Physical upgrades to KPSIs production capacity were also needed</w:t>
            </w:r>
          </w:p>
        </w:tc>
      </w:tr>
      <w:tr w:rsidR="00862FDD" w:rsidRPr="00250C48" w14:paraId="677C7D2A" w14:textId="77777777" w:rsidTr="00A62101">
        <w:trPr>
          <w:cnfStyle w:val="000000010000" w:firstRow="0" w:lastRow="0" w:firstColumn="0" w:lastColumn="0" w:oddVBand="0" w:evenVBand="0" w:oddHBand="0" w:evenHBand="1"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459" w:type="pct"/>
            <w:hideMark/>
          </w:tcPr>
          <w:p w14:paraId="76EA00E9"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Coconuts</w:t>
            </w:r>
          </w:p>
        </w:tc>
        <w:tc>
          <w:tcPr>
            <w:tcW w:w="668" w:type="pct"/>
            <w:hideMark/>
          </w:tcPr>
          <w:p w14:paraId="0A31EDC6"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Diversifying marketing avenues for value-added products</w:t>
            </w:r>
            <w:r w:rsidRPr="00A6061C">
              <w:rPr>
                <w:rFonts w:eastAsia="Times New Roman" w:cstheme="minorHAnsi"/>
                <w:color w:val="000000"/>
                <w:sz w:val="18"/>
                <w:szCs w:val="18"/>
              </w:rPr>
              <w:br/>
            </w:r>
            <w:r w:rsidRPr="00A6061C">
              <w:rPr>
                <w:rFonts w:eastAsia="Times New Roman" w:cstheme="minorHAnsi"/>
                <w:b/>
                <w:bCs/>
                <w:color w:val="000000"/>
                <w:sz w:val="18"/>
                <w:szCs w:val="18"/>
              </w:rPr>
              <w:t>and</w:t>
            </w:r>
            <w:r w:rsidRPr="00A6061C">
              <w:rPr>
                <w:rFonts w:eastAsia="Times New Roman" w:cstheme="minorHAnsi"/>
                <w:color w:val="000000"/>
                <w:sz w:val="18"/>
                <w:szCs w:val="18"/>
              </w:rPr>
              <w:br/>
              <w:t>Production of boutique and VCO-based products</w:t>
            </w:r>
          </w:p>
        </w:tc>
        <w:tc>
          <w:tcPr>
            <w:tcW w:w="529" w:type="pct"/>
            <w:hideMark/>
          </w:tcPr>
          <w:p w14:paraId="387B739C"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Chottu Guadalcanal Products</w:t>
            </w:r>
          </w:p>
        </w:tc>
        <w:tc>
          <w:tcPr>
            <w:tcW w:w="425" w:type="pct"/>
            <w:hideMark/>
          </w:tcPr>
          <w:p w14:paraId="730F07BA"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19-Oct-21</w:t>
            </w:r>
          </w:p>
        </w:tc>
        <w:tc>
          <w:tcPr>
            <w:tcW w:w="370" w:type="pct"/>
            <w:hideMark/>
          </w:tcPr>
          <w:p w14:paraId="22A86588" w14:textId="405CAEE4"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Northwest Guadal</w:t>
            </w:r>
            <w:r w:rsidR="00862FDD" w:rsidRPr="00680E0D">
              <w:rPr>
                <w:rFonts w:eastAsia="Times New Roman" w:cstheme="minorHAnsi"/>
                <w:color w:val="000000"/>
                <w:sz w:val="18"/>
                <w:szCs w:val="18"/>
              </w:rPr>
              <w:t>-</w:t>
            </w:r>
            <w:r w:rsidRPr="00A6061C">
              <w:rPr>
                <w:rFonts w:eastAsia="Times New Roman" w:cstheme="minorHAnsi"/>
                <w:color w:val="000000"/>
                <w:sz w:val="18"/>
                <w:szCs w:val="18"/>
              </w:rPr>
              <w:t>canal</w:t>
            </w:r>
          </w:p>
        </w:tc>
        <w:tc>
          <w:tcPr>
            <w:tcW w:w="442" w:type="pct"/>
            <w:hideMark/>
          </w:tcPr>
          <w:p w14:paraId="314BC8BB" w14:textId="62FD356E"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Simon Chottu- General Manager</w:t>
            </w:r>
            <w:r w:rsidR="00FC15AC">
              <w:rPr>
                <w:rFonts w:eastAsia="Times New Roman" w:cstheme="minorHAnsi"/>
                <w:color w:val="000000"/>
                <w:sz w:val="18"/>
                <w:szCs w:val="18"/>
              </w:rPr>
              <w:t>; Jack Chottu</w:t>
            </w:r>
          </w:p>
        </w:tc>
        <w:tc>
          <w:tcPr>
            <w:tcW w:w="2107" w:type="pct"/>
            <w:hideMark/>
          </w:tcPr>
          <w:p w14:paraId="43607BDC" w14:textId="2BA49589"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Supporting CGP to strengthen supply chain management, processing, packaging, marketing and distribution to increase domestic sales of CNO and other added value products (like coconut jam). Facilitate access to international buyers and certification.</w:t>
            </w:r>
          </w:p>
        </w:tc>
      </w:tr>
      <w:tr w:rsidR="00A62101" w:rsidRPr="00250C48" w14:paraId="6EC7A512" w14:textId="77777777" w:rsidTr="00A62101">
        <w:trPr>
          <w:trHeight w:val="1275"/>
        </w:trPr>
        <w:tc>
          <w:tcPr>
            <w:cnfStyle w:val="001000000000" w:firstRow="0" w:lastRow="0" w:firstColumn="1" w:lastColumn="0" w:oddVBand="0" w:evenVBand="0" w:oddHBand="0" w:evenHBand="0" w:firstRowFirstColumn="0" w:firstRowLastColumn="0" w:lastRowFirstColumn="0" w:lastRowLastColumn="0"/>
            <w:tcW w:w="459" w:type="pct"/>
            <w:hideMark/>
          </w:tcPr>
          <w:p w14:paraId="34EEC23A"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Coconuts</w:t>
            </w:r>
          </w:p>
        </w:tc>
        <w:tc>
          <w:tcPr>
            <w:tcW w:w="668" w:type="pct"/>
            <w:hideMark/>
          </w:tcPr>
          <w:p w14:paraId="469E0DAD"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Diversifying marketing avenues for value-added products</w:t>
            </w:r>
            <w:r w:rsidRPr="00A6061C">
              <w:rPr>
                <w:rFonts w:eastAsia="Times New Roman" w:cstheme="minorHAnsi"/>
                <w:color w:val="000000"/>
                <w:sz w:val="18"/>
                <w:szCs w:val="18"/>
              </w:rPr>
              <w:br/>
            </w:r>
            <w:r w:rsidRPr="00A6061C">
              <w:rPr>
                <w:rFonts w:eastAsia="Times New Roman" w:cstheme="minorHAnsi"/>
                <w:b/>
                <w:bCs/>
                <w:color w:val="000000"/>
                <w:sz w:val="18"/>
                <w:szCs w:val="18"/>
              </w:rPr>
              <w:t>and</w:t>
            </w:r>
            <w:r w:rsidRPr="00A6061C">
              <w:rPr>
                <w:rFonts w:eastAsia="Times New Roman" w:cstheme="minorHAnsi"/>
                <w:color w:val="000000"/>
                <w:sz w:val="18"/>
                <w:szCs w:val="18"/>
              </w:rPr>
              <w:br/>
              <w:t>Production and market adoption of boutique, VCO-based products</w:t>
            </w:r>
          </w:p>
        </w:tc>
        <w:tc>
          <w:tcPr>
            <w:tcW w:w="529" w:type="pct"/>
            <w:hideMark/>
          </w:tcPr>
          <w:p w14:paraId="387F8130"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Islands Own Pty Ltd</w:t>
            </w:r>
          </w:p>
        </w:tc>
        <w:tc>
          <w:tcPr>
            <w:tcW w:w="425" w:type="pct"/>
            <w:hideMark/>
          </w:tcPr>
          <w:p w14:paraId="0E8BD207"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04-May-22</w:t>
            </w:r>
          </w:p>
        </w:tc>
        <w:tc>
          <w:tcPr>
            <w:tcW w:w="370" w:type="pct"/>
            <w:hideMark/>
          </w:tcPr>
          <w:p w14:paraId="250503E0" w14:textId="0C6DB284"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Ranadi, </w:t>
            </w:r>
            <w:r w:rsidR="008321B6" w:rsidRPr="00680E0D">
              <w:rPr>
                <w:rFonts w:eastAsia="Times New Roman" w:cstheme="minorHAnsi"/>
                <w:color w:val="000000"/>
                <w:sz w:val="18"/>
                <w:szCs w:val="18"/>
              </w:rPr>
              <w:t xml:space="preserve">nr </w:t>
            </w:r>
            <w:r w:rsidRPr="00A6061C">
              <w:rPr>
                <w:rFonts w:eastAsia="Times New Roman" w:cstheme="minorHAnsi"/>
                <w:color w:val="000000"/>
                <w:sz w:val="18"/>
                <w:szCs w:val="18"/>
              </w:rPr>
              <w:t>Honiara</w:t>
            </w:r>
          </w:p>
        </w:tc>
        <w:tc>
          <w:tcPr>
            <w:tcW w:w="442" w:type="pct"/>
            <w:hideMark/>
          </w:tcPr>
          <w:p w14:paraId="4C727E18"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Ezra Tan-</w:t>
            </w:r>
            <w:r w:rsidRPr="00A6061C">
              <w:rPr>
                <w:rFonts w:eastAsia="Times New Roman" w:cstheme="minorHAnsi"/>
                <w:color w:val="000000"/>
                <w:sz w:val="18"/>
                <w:szCs w:val="18"/>
              </w:rPr>
              <w:br/>
              <w:t>General Manager</w:t>
            </w:r>
          </w:p>
        </w:tc>
        <w:tc>
          <w:tcPr>
            <w:tcW w:w="2107" w:type="pct"/>
            <w:hideMark/>
          </w:tcPr>
          <w:p w14:paraId="5F5C30C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Strongim Bisnis supported new labels and packaging for Islands Own’s new and existing products for a rebranding campaign to increase its product demand and sales domestically and internationally. Strongim Bisnis also supported Islands Own to procure a pasteuriser, cooling tank and filling machine to enable the processing of products with a longer shelf life.</w:t>
            </w:r>
          </w:p>
        </w:tc>
      </w:tr>
      <w:tr w:rsidR="00862FDD" w:rsidRPr="00250C48" w14:paraId="2A567EEE" w14:textId="77777777" w:rsidTr="00A62101">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459" w:type="pct"/>
            <w:hideMark/>
          </w:tcPr>
          <w:p w14:paraId="3A067962"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Financial Services</w:t>
            </w:r>
          </w:p>
        </w:tc>
        <w:tc>
          <w:tcPr>
            <w:tcW w:w="668" w:type="pct"/>
            <w:hideMark/>
          </w:tcPr>
          <w:p w14:paraId="256B6604"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Agency Services Improvement Project (ASIP)</w:t>
            </w:r>
          </w:p>
        </w:tc>
        <w:tc>
          <w:tcPr>
            <w:tcW w:w="529" w:type="pct"/>
            <w:hideMark/>
          </w:tcPr>
          <w:p w14:paraId="243570E3"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Baoro and Associates</w:t>
            </w:r>
          </w:p>
        </w:tc>
        <w:tc>
          <w:tcPr>
            <w:tcW w:w="425" w:type="pct"/>
            <w:hideMark/>
          </w:tcPr>
          <w:p w14:paraId="3138683E"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09-Nov-21</w:t>
            </w:r>
          </w:p>
        </w:tc>
        <w:tc>
          <w:tcPr>
            <w:tcW w:w="370" w:type="pct"/>
            <w:hideMark/>
          </w:tcPr>
          <w:p w14:paraId="5C03D9B4" w14:textId="7C987452"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1AC3BDA9" w14:textId="7690DF9D"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Baoro Laxton Koraua-</w:t>
            </w:r>
            <w:r w:rsidRPr="00A6061C">
              <w:rPr>
                <w:rFonts w:eastAsia="Times New Roman" w:cstheme="minorHAnsi"/>
                <w:color w:val="000000"/>
                <w:sz w:val="18"/>
                <w:szCs w:val="18"/>
              </w:rPr>
              <w:br/>
              <w:t xml:space="preserve">Principal, </w:t>
            </w:r>
            <w:r w:rsidR="00A62101">
              <w:rPr>
                <w:rFonts w:eastAsia="Times New Roman" w:cstheme="minorHAnsi"/>
                <w:color w:val="000000"/>
                <w:sz w:val="18"/>
                <w:szCs w:val="18"/>
              </w:rPr>
              <w:t xml:space="preserve">BASPs for Honiara &amp; Gizo; several beneficiary </w:t>
            </w:r>
            <w:r w:rsidR="00BD5B7C">
              <w:rPr>
                <w:rFonts w:eastAsia="Times New Roman" w:cstheme="minorHAnsi"/>
                <w:color w:val="000000"/>
                <w:sz w:val="18"/>
                <w:szCs w:val="18"/>
              </w:rPr>
              <w:t>micro-enterprises</w:t>
            </w:r>
          </w:p>
        </w:tc>
        <w:tc>
          <w:tcPr>
            <w:tcW w:w="2107" w:type="pct"/>
            <w:hideMark/>
          </w:tcPr>
          <w:p w14:paraId="624FCC1E"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To increase accessibility  of financial and other services in remote areas and to  build capability and availability of business advisory services, supported the ASIP pilot being run in Guadalcanal, Gizo and Noro/Munda to build capacity of business advisory service providers (BASP) to provide advisory services to agents. The ASIP is building the capacity of BASPs who then work with retail SMEs in remote areas to improve their financial and business managements skills. The aim is to build the reliance and sustainability of these businesses so that service providers of financial services, utilities, telecommunications, and other goods and services could then be connected with them in order to provide their services allowing easier access to the people and businesses in the area to those services.  </w:t>
            </w:r>
          </w:p>
        </w:tc>
      </w:tr>
      <w:tr w:rsidR="00A62101" w:rsidRPr="00250C48" w14:paraId="63492D9D" w14:textId="77777777" w:rsidTr="00A62101">
        <w:trPr>
          <w:trHeight w:val="1122"/>
        </w:trPr>
        <w:tc>
          <w:tcPr>
            <w:cnfStyle w:val="001000000000" w:firstRow="0" w:lastRow="0" w:firstColumn="1" w:lastColumn="0" w:oddVBand="0" w:evenVBand="0" w:oddHBand="0" w:evenHBand="0" w:firstRowFirstColumn="0" w:firstRowLastColumn="0" w:lastRowFirstColumn="0" w:lastRowLastColumn="0"/>
            <w:tcW w:w="459" w:type="pct"/>
            <w:hideMark/>
          </w:tcPr>
          <w:p w14:paraId="4750FF66"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Financial Services</w:t>
            </w:r>
          </w:p>
        </w:tc>
        <w:tc>
          <w:tcPr>
            <w:tcW w:w="668" w:type="pct"/>
            <w:hideMark/>
          </w:tcPr>
          <w:p w14:paraId="0962C6D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Improving the quality and reach of business training and advisory services </w:t>
            </w:r>
          </w:p>
        </w:tc>
        <w:tc>
          <w:tcPr>
            <w:tcW w:w="529" w:type="pct"/>
            <w:hideMark/>
          </w:tcPr>
          <w:p w14:paraId="2D74122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SISBEC</w:t>
            </w:r>
          </w:p>
        </w:tc>
        <w:tc>
          <w:tcPr>
            <w:tcW w:w="425" w:type="pct"/>
            <w:hideMark/>
          </w:tcPr>
          <w:p w14:paraId="58EA5F4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13-Sep-22</w:t>
            </w:r>
          </w:p>
        </w:tc>
        <w:tc>
          <w:tcPr>
            <w:tcW w:w="370" w:type="pct"/>
            <w:hideMark/>
          </w:tcPr>
          <w:p w14:paraId="325513B6" w14:textId="162CEA6A"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04E1F175"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Ben Nginabule-</w:t>
            </w:r>
            <w:r w:rsidRPr="00A6061C">
              <w:rPr>
                <w:rFonts w:eastAsia="Times New Roman" w:cstheme="minorHAnsi"/>
                <w:color w:val="000000"/>
                <w:sz w:val="18"/>
                <w:szCs w:val="18"/>
              </w:rPr>
              <w:br/>
              <w:t>General Manager</w:t>
            </w:r>
          </w:p>
        </w:tc>
        <w:tc>
          <w:tcPr>
            <w:tcW w:w="2107" w:type="pct"/>
            <w:hideMark/>
          </w:tcPr>
          <w:p w14:paraId="6AF8BBCA"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To build capability and availability of business advisory services, supporting SISBEC to expand their services, update their training resources, strengthen their business advisory capabilities and move their services online.   </w:t>
            </w:r>
          </w:p>
        </w:tc>
      </w:tr>
      <w:tr w:rsidR="00862FDD" w:rsidRPr="00250C48" w14:paraId="65925F44" w14:textId="77777777" w:rsidTr="00A62101">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59" w:type="pct"/>
            <w:hideMark/>
          </w:tcPr>
          <w:p w14:paraId="707CDC8E"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Guadalcanal Horticulture</w:t>
            </w:r>
          </w:p>
        </w:tc>
        <w:tc>
          <w:tcPr>
            <w:tcW w:w="668" w:type="pct"/>
            <w:hideMark/>
          </w:tcPr>
          <w:p w14:paraId="01262375"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Establishing a prosperous green waste value chain</w:t>
            </w:r>
          </w:p>
        </w:tc>
        <w:tc>
          <w:tcPr>
            <w:tcW w:w="529" w:type="pct"/>
            <w:hideMark/>
          </w:tcPr>
          <w:p w14:paraId="2F2AFA53"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Prosperity Farm Supplies </w:t>
            </w:r>
          </w:p>
        </w:tc>
        <w:tc>
          <w:tcPr>
            <w:tcW w:w="425" w:type="pct"/>
            <w:hideMark/>
          </w:tcPr>
          <w:p w14:paraId="1ED20C2F"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19-Mar-21</w:t>
            </w:r>
          </w:p>
        </w:tc>
        <w:tc>
          <w:tcPr>
            <w:tcW w:w="370" w:type="pct"/>
            <w:hideMark/>
          </w:tcPr>
          <w:p w14:paraId="7B2A37BB" w14:textId="657D6B43"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East Guadal</w:t>
            </w:r>
            <w:r w:rsidR="00862FDD" w:rsidRPr="00680E0D">
              <w:rPr>
                <w:rFonts w:eastAsia="Times New Roman" w:cstheme="minorHAnsi"/>
                <w:color w:val="000000"/>
                <w:sz w:val="18"/>
                <w:szCs w:val="18"/>
              </w:rPr>
              <w:t>-</w:t>
            </w:r>
            <w:r w:rsidRPr="00A6061C">
              <w:rPr>
                <w:rFonts w:eastAsia="Times New Roman" w:cstheme="minorHAnsi"/>
                <w:color w:val="000000"/>
                <w:sz w:val="18"/>
                <w:szCs w:val="18"/>
              </w:rPr>
              <w:t>canal</w:t>
            </w:r>
          </w:p>
        </w:tc>
        <w:tc>
          <w:tcPr>
            <w:tcW w:w="442" w:type="pct"/>
            <w:hideMark/>
          </w:tcPr>
          <w:p w14:paraId="1DA90286"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Dr Maclean Vaqalo-Owner</w:t>
            </w:r>
          </w:p>
        </w:tc>
        <w:tc>
          <w:tcPr>
            <w:tcW w:w="2107" w:type="pct"/>
            <w:hideMark/>
          </w:tcPr>
          <w:p w14:paraId="77D29B07" w14:textId="31929EAD"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The program is partnering with two producers of organic fertilizers with the objective of establishing a prosperous green waste value chain and improve access to fertilizers for farmers in Guadalcanal. The program is supporting the access to equipment and technology for fertilizers production as well as marketing. The NWGDA members are among the main fertilizer buyers.</w:t>
            </w:r>
          </w:p>
        </w:tc>
      </w:tr>
      <w:tr w:rsidR="00A62101" w:rsidRPr="00250C48" w14:paraId="3DE42F15" w14:textId="77777777" w:rsidTr="00A62101">
        <w:trPr>
          <w:trHeight w:val="765"/>
        </w:trPr>
        <w:tc>
          <w:tcPr>
            <w:cnfStyle w:val="001000000000" w:firstRow="0" w:lastRow="0" w:firstColumn="1" w:lastColumn="0" w:oddVBand="0" w:evenVBand="0" w:oddHBand="0" w:evenHBand="0" w:firstRowFirstColumn="0" w:firstRowLastColumn="0" w:lastRowFirstColumn="0" w:lastRowLastColumn="0"/>
            <w:tcW w:w="459" w:type="pct"/>
            <w:hideMark/>
          </w:tcPr>
          <w:p w14:paraId="10EEC972"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Guadalcanal Horticulture</w:t>
            </w:r>
          </w:p>
        </w:tc>
        <w:tc>
          <w:tcPr>
            <w:tcW w:w="668" w:type="pct"/>
            <w:hideMark/>
          </w:tcPr>
          <w:p w14:paraId="33B2CBA5"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Upscaling Bulk Horticulture Sales</w:t>
            </w:r>
          </w:p>
        </w:tc>
        <w:tc>
          <w:tcPr>
            <w:tcW w:w="529" w:type="pct"/>
            <w:hideMark/>
          </w:tcPr>
          <w:p w14:paraId="6D3B396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North West Guadalcanal Development Association (NWGDA)</w:t>
            </w:r>
          </w:p>
        </w:tc>
        <w:tc>
          <w:tcPr>
            <w:tcW w:w="425" w:type="pct"/>
            <w:hideMark/>
          </w:tcPr>
          <w:p w14:paraId="1415202C"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16-Nov-21</w:t>
            </w:r>
          </w:p>
        </w:tc>
        <w:tc>
          <w:tcPr>
            <w:tcW w:w="370" w:type="pct"/>
            <w:hideMark/>
          </w:tcPr>
          <w:p w14:paraId="097FFB0D" w14:textId="5D82BC60"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Northwest Guadal</w:t>
            </w:r>
            <w:r w:rsidR="00862FDD" w:rsidRPr="00680E0D">
              <w:rPr>
                <w:rFonts w:eastAsia="Times New Roman" w:cstheme="minorHAnsi"/>
                <w:color w:val="000000"/>
                <w:sz w:val="18"/>
                <w:szCs w:val="18"/>
              </w:rPr>
              <w:t>-</w:t>
            </w:r>
            <w:r w:rsidRPr="00A6061C">
              <w:rPr>
                <w:rFonts w:eastAsia="Times New Roman" w:cstheme="minorHAnsi"/>
                <w:color w:val="000000"/>
                <w:sz w:val="18"/>
                <w:szCs w:val="18"/>
              </w:rPr>
              <w:t>canal</w:t>
            </w:r>
          </w:p>
        </w:tc>
        <w:tc>
          <w:tcPr>
            <w:tcW w:w="442" w:type="pct"/>
            <w:hideMark/>
          </w:tcPr>
          <w:p w14:paraId="0DCEC4A5"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Simon Chottu- Chair NWGDA</w:t>
            </w:r>
          </w:p>
        </w:tc>
        <w:tc>
          <w:tcPr>
            <w:tcW w:w="2107" w:type="pct"/>
            <w:hideMark/>
          </w:tcPr>
          <w:p w14:paraId="505A93C8"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Supporting NWGDA to increase the Association's sales to wholesale buyers (including Bulk Shop) and connections with members. This includes the construction of NWGDA's wholesale market facility and greenhouse for seedling production, and support for marketing materials and events.</w:t>
            </w:r>
          </w:p>
        </w:tc>
      </w:tr>
      <w:tr w:rsidR="00862FDD" w:rsidRPr="00250C48" w14:paraId="0D9E8CD3" w14:textId="77777777" w:rsidTr="00A62101">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459" w:type="pct"/>
            <w:hideMark/>
          </w:tcPr>
          <w:p w14:paraId="6CFDF5C9"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Guadalcanal Horticulture</w:t>
            </w:r>
          </w:p>
        </w:tc>
        <w:tc>
          <w:tcPr>
            <w:tcW w:w="668" w:type="pct"/>
            <w:hideMark/>
          </w:tcPr>
          <w:p w14:paraId="65CB070B"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Diversifying Value Addition of Horticulture Crops </w:t>
            </w:r>
          </w:p>
        </w:tc>
        <w:tc>
          <w:tcPr>
            <w:tcW w:w="529" w:type="pct"/>
            <w:hideMark/>
          </w:tcPr>
          <w:p w14:paraId="38DA27E8"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SAPE</w:t>
            </w:r>
          </w:p>
        </w:tc>
        <w:tc>
          <w:tcPr>
            <w:tcW w:w="425" w:type="pct"/>
            <w:hideMark/>
          </w:tcPr>
          <w:p w14:paraId="2439D33D"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04-Nov-22</w:t>
            </w:r>
          </w:p>
        </w:tc>
        <w:tc>
          <w:tcPr>
            <w:tcW w:w="370" w:type="pct"/>
            <w:hideMark/>
          </w:tcPr>
          <w:p w14:paraId="59698A79" w14:textId="7A5125EB"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East </w:t>
            </w:r>
            <w:r w:rsidR="008321B6" w:rsidRPr="00680E0D">
              <w:rPr>
                <w:rFonts w:eastAsia="Times New Roman" w:cstheme="minorHAnsi"/>
                <w:color w:val="000000"/>
                <w:sz w:val="18"/>
                <w:szCs w:val="18"/>
              </w:rPr>
              <w:t>Guadal</w:t>
            </w:r>
            <w:r w:rsidR="00862FDD" w:rsidRPr="00680E0D">
              <w:rPr>
                <w:rFonts w:eastAsia="Times New Roman" w:cstheme="minorHAnsi"/>
                <w:color w:val="000000"/>
                <w:sz w:val="18"/>
                <w:szCs w:val="18"/>
              </w:rPr>
              <w:t>-</w:t>
            </w:r>
            <w:r w:rsidR="008321B6" w:rsidRPr="00680E0D">
              <w:rPr>
                <w:rFonts w:eastAsia="Times New Roman" w:cstheme="minorHAnsi"/>
                <w:color w:val="000000"/>
                <w:sz w:val="18"/>
                <w:szCs w:val="18"/>
              </w:rPr>
              <w:t>canal</w:t>
            </w:r>
          </w:p>
        </w:tc>
        <w:tc>
          <w:tcPr>
            <w:tcW w:w="442" w:type="pct"/>
            <w:hideMark/>
          </w:tcPr>
          <w:p w14:paraId="40F23074" w14:textId="4D7D55EA"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Dr. Paul Vosawai Popora- Managing Director</w:t>
            </w:r>
            <w:r w:rsidR="005D158D">
              <w:rPr>
                <w:rFonts w:eastAsia="Times New Roman" w:cstheme="minorHAnsi"/>
                <w:color w:val="000000"/>
                <w:sz w:val="18"/>
                <w:szCs w:val="18"/>
              </w:rPr>
              <w:t xml:space="preserve">; </w:t>
            </w:r>
            <w:r w:rsidR="00E94603">
              <w:rPr>
                <w:rFonts w:eastAsia="Times New Roman" w:cstheme="minorHAnsi"/>
                <w:color w:val="000000"/>
                <w:sz w:val="18"/>
                <w:szCs w:val="18"/>
              </w:rPr>
              <w:t xml:space="preserve">worker &amp; out-grower groups </w:t>
            </w:r>
          </w:p>
        </w:tc>
        <w:tc>
          <w:tcPr>
            <w:tcW w:w="2107" w:type="pct"/>
            <w:hideMark/>
          </w:tcPr>
          <w:p w14:paraId="2639AC95"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SAPE Farm is a cassava farming business in the Ngalimbiu area East of Honiara. Strongim Bisnis supports SAPE Farm to strengthen its engagement with farmer suppliers through a targeted incentives program and increase their production of high-quality tubers all year round, and to process quality products for domestic and export sales. </w:t>
            </w:r>
            <w:r w:rsidRPr="00A6061C">
              <w:rPr>
                <w:rFonts w:eastAsia="Times New Roman" w:cstheme="minorHAnsi"/>
                <w:i/>
                <w:iCs/>
                <w:color w:val="000000"/>
                <w:sz w:val="18"/>
                <w:szCs w:val="18"/>
              </w:rPr>
              <w:t>Although this is the most recently signed PA, activity implementation has progressed significantly with the first export of processed cassava projected for April 2023</w:t>
            </w:r>
          </w:p>
        </w:tc>
      </w:tr>
      <w:tr w:rsidR="00A62101" w:rsidRPr="00250C48" w14:paraId="7DBF97ED" w14:textId="77777777" w:rsidTr="00A62101">
        <w:trPr>
          <w:trHeight w:val="840"/>
        </w:trPr>
        <w:tc>
          <w:tcPr>
            <w:cnfStyle w:val="001000000000" w:firstRow="0" w:lastRow="0" w:firstColumn="1" w:lastColumn="0" w:oddVBand="0" w:evenVBand="0" w:oddHBand="0" w:evenHBand="0" w:firstRowFirstColumn="0" w:firstRowLastColumn="0" w:lastRowFirstColumn="0" w:lastRowLastColumn="0"/>
            <w:tcW w:w="459" w:type="pct"/>
            <w:hideMark/>
          </w:tcPr>
          <w:p w14:paraId="41ED3120"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Guadalcanal Horticulture</w:t>
            </w:r>
          </w:p>
        </w:tc>
        <w:tc>
          <w:tcPr>
            <w:tcW w:w="668" w:type="pct"/>
            <w:hideMark/>
          </w:tcPr>
          <w:p w14:paraId="43826E9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MK Local Haus Food Deliveries</w:t>
            </w:r>
          </w:p>
        </w:tc>
        <w:tc>
          <w:tcPr>
            <w:tcW w:w="529" w:type="pct"/>
            <w:hideMark/>
          </w:tcPr>
          <w:p w14:paraId="7DD897A0"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MK Local Food House</w:t>
            </w:r>
          </w:p>
        </w:tc>
        <w:tc>
          <w:tcPr>
            <w:tcW w:w="425" w:type="pct"/>
            <w:hideMark/>
          </w:tcPr>
          <w:p w14:paraId="793DC4FD"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23-Aug-22</w:t>
            </w:r>
          </w:p>
        </w:tc>
        <w:tc>
          <w:tcPr>
            <w:tcW w:w="370" w:type="pct"/>
            <w:hideMark/>
          </w:tcPr>
          <w:p w14:paraId="51BB2574" w14:textId="4288DB89"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West Honiara</w:t>
            </w:r>
          </w:p>
        </w:tc>
        <w:tc>
          <w:tcPr>
            <w:tcW w:w="442" w:type="pct"/>
            <w:hideMark/>
          </w:tcPr>
          <w:p w14:paraId="1398C39C"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Debbie Lukisi- Managing Director</w:t>
            </w:r>
          </w:p>
        </w:tc>
        <w:tc>
          <w:tcPr>
            <w:tcW w:w="2107" w:type="pct"/>
            <w:hideMark/>
          </w:tcPr>
          <w:p w14:paraId="669503CC"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MK Local Food Haus is a woman-led enterprise acting as a fresh vegetable retailer in Honiara and sourcing from East Guadalcanal. This intervention is supporting MK in the following areas: to diversify the offer of fresh vegetables and other fresh food in Honiara, with home delivery service as an alternative to the HCM; to improve administrative and logistic capacity; to improve suppliers' management; to improve marketing capacity.</w:t>
            </w:r>
          </w:p>
        </w:tc>
      </w:tr>
      <w:tr w:rsidR="00862FDD" w:rsidRPr="00250C48" w14:paraId="0A998C4B" w14:textId="77777777" w:rsidTr="00A62101">
        <w:trPr>
          <w:cnfStyle w:val="000000010000" w:firstRow="0" w:lastRow="0" w:firstColumn="0" w:lastColumn="0" w:oddVBand="0" w:evenVBand="0" w:oddHBand="0" w:evenHBand="1"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459" w:type="pct"/>
            <w:hideMark/>
          </w:tcPr>
          <w:p w14:paraId="04309635"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Guadalcanal Horticulture</w:t>
            </w:r>
          </w:p>
        </w:tc>
        <w:tc>
          <w:tcPr>
            <w:tcW w:w="668" w:type="pct"/>
            <w:hideMark/>
          </w:tcPr>
          <w:p w14:paraId="56FF1ADC"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Improving sales conditions for farmers and increased investments in crop production.</w:t>
            </w:r>
          </w:p>
        </w:tc>
        <w:tc>
          <w:tcPr>
            <w:tcW w:w="529" w:type="pct"/>
            <w:hideMark/>
          </w:tcPr>
          <w:p w14:paraId="13B65F30"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Bulk Shop</w:t>
            </w:r>
          </w:p>
        </w:tc>
        <w:tc>
          <w:tcPr>
            <w:tcW w:w="425" w:type="pct"/>
            <w:hideMark/>
          </w:tcPr>
          <w:p w14:paraId="566E722D"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28-May-21</w:t>
            </w:r>
          </w:p>
        </w:tc>
        <w:tc>
          <w:tcPr>
            <w:tcW w:w="370" w:type="pct"/>
            <w:hideMark/>
          </w:tcPr>
          <w:p w14:paraId="661F1BF6" w14:textId="1A53A82D"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5280909F"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Adam Bartlett- Managing Director</w:t>
            </w:r>
          </w:p>
        </w:tc>
        <w:tc>
          <w:tcPr>
            <w:tcW w:w="2107" w:type="pct"/>
            <w:hideMark/>
          </w:tcPr>
          <w:p w14:paraId="2938FEF3"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Supporting Bulk Shop, the largest supermarket chain in the country, to scale-up their fresh produce marketing. This provides farmers (including NWGDA) a new market into which they may sell. The program is supporting logistics, marketing and suppliers’ management aspects, as well investment in the production of local chips for domestic and export sales resulting in the increased and consistent purchase of root crops and bananas from farming households (and substituting for imports). </w:t>
            </w:r>
          </w:p>
        </w:tc>
      </w:tr>
      <w:tr w:rsidR="00A62101" w:rsidRPr="00250C48" w14:paraId="4C150F63" w14:textId="77777777" w:rsidTr="00A62101">
        <w:trPr>
          <w:trHeight w:val="840"/>
        </w:trPr>
        <w:tc>
          <w:tcPr>
            <w:cnfStyle w:val="001000000000" w:firstRow="0" w:lastRow="0" w:firstColumn="1" w:lastColumn="0" w:oddVBand="0" w:evenVBand="0" w:oddHBand="0" w:evenHBand="0" w:firstRowFirstColumn="0" w:firstRowLastColumn="0" w:lastRowFirstColumn="0" w:lastRowLastColumn="0"/>
            <w:tcW w:w="459" w:type="pct"/>
            <w:hideMark/>
          </w:tcPr>
          <w:p w14:paraId="23B62343"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Timber</w:t>
            </w:r>
          </w:p>
        </w:tc>
        <w:tc>
          <w:tcPr>
            <w:tcW w:w="668" w:type="pct"/>
            <w:hideMark/>
          </w:tcPr>
          <w:p w14:paraId="1D737412"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Expanding the plantation out-grower program</w:t>
            </w:r>
          </w:p>
        </w:tc>
        <w:tc>
          <w:tcPr>
            <w:tcW w:w="529" w:type="pct"/>
            <w:hideMark/>
          </w:tcPr>
          <w:p w14:paraId="713888E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Kolombangara Forest Plantation Limited (KFPL)</w:t>
            </w:r>
          </w:p>
        </w:tc>
        <w:tc>
          <w:tcPr>
            <w:tcW w:w="425" w:type="pct"/>
            <w:hideMark/>
          </w:tcPr>
          <w:p w14:paraId="20E86F1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11-May-21</w:t>
            </w:r>
          </w:p>
        </w:tc>
        <w:tc>
          <w:tcPr>
            <w:tcW w:w="370" w:type="pct"/>
            <w:hideMark/>
          </w:tcPr>
          <w:p w14:paraId="0FF9A9BC" w14:textId="3B782A69"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Kolom</w:t>
            </w:r>
            <w:r w:rsidR="00680E0D" w:rsidRPr="00680E0D">
              <w:rPr>
                <w:rFonts w:eastAsia="Times New Roman" w:cstheme="minorHAnsi"/>
                <w:color w:val="000000"/>
                <w:sz w:val="18"/>
                <w:szCs w:val="18"/>
              </w:rPr>
              <w:t>-</w:t>
            </w:r>
            <w:r w:rsidRPr="00A6061C">
              <w:rPr>
                <w:rFonts w:eastAsia="Times New Roman" w:cstheme="minorHAnsi"/>
                <w:color w:val="000000"/>
                <w:sz w:val="18"/>
                <w:szCs w:val="18"/>
              </w:rPr>
              <w:t xml:space="preserve">bangara </w:t>
            </w:r>
            <w:r w:rsidRPr="00A6061C">
              <w:rPr>
                <w:rFonts w:eastAsia="Times New Roman" w:cstheme="minorHAnsi"/>
                <w:color w:val="000000"/>
                <w:sz w:val="18"/>
                <w:szCs w:val="18"/>
              </w:rPr>
              <w:br/>
              <w:t>Island, Western Province</w:t>
            </w:r>
          </w:p>
        </w:tc>
        <w:tc>
          <w:tcPr>
            <w:tcW w:w="442" w:type="pct"/>
            <w:hideMark/>
          </w:tcPr>
          <w:p w14:paraId="77F13A81" w14:textId="4AD879EC"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Edwin Schramm (General Manager), Tim Bula (PR)</w:t>
            </w:r>
            <w:r w:rsidR="00C4233A">
              <w:rPr>
                <w:rFonts w:eastAsia="Times New Roman" w:cstheme="minorHAnsi"/>
                <w:color w:val="000000"/>
                <w:sz w:val="18"/>
                <w:szCs w:val="18"/>
              </w:rPr>
              <w:t>;</w:t>
            </w:r>
            <w:r w:rsidRPr="00A6061C">
              <w:rPr>
                <w:rFonts w:eastAsia="Times New Roman" w:cstheme="minorHAnsi"/>
                <w:color w:val="000000"/>
                <w:sz w:val="18"/>
                <w:szCs w:val="18"/>
              </w:rPr>
              <w:t xml:space="preserve"> other staff</w:t>
            </w:r>
            <w:r w:rsidR="00C4233A">
              <w:rPr>
                <w:rFonts w:eastAsia="Times New Roman" w:cstheme="minorHAnsi"/>
                <w:color w:val="000000"/>
                <w:sz w:val="18"/>
                <w:szCs w:val="18"/>
              </w:rPr>
              <w:t>;</w:t>
            </w:r>
            <w:r w:rsidRPr="00A6061C">
              <w:rPr>
                <w:rFonts w:eastAsia="Times New Roman" w:cstheme="minorHAnsi"/>
                <w:color w:val="000000"/>
                <w:sz w:val="18"/>
                <w:szCs w:val="18"/>
              </w:rPr>
              <w:t xml:space="preserve"> timber outgrowers in Jack Harbour</w:t>
            </w:r>
          </w:p>
        </w:tc>
        <w:tc>
          <w:tcPr>
            <w:tcW w:w="2107" w:type="pct"/>
            <w:hideMark/>
          </w:tcPr>
          <w:p w14:paraId="7C5E635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To achieve access to premium local and export markets for value-added timber and increase inclusion of small-holder plantation timber, supported KFPL to accurately assess and map the existing smallholder resources to provide an effective planning tool for the out-grower program to improve market access for small-holders and increase awareness on plantation management. Additionally, supported KFPL to introduce a new plantation timber value-added product “Pallets” in the domestic market. The partnership also includes a direct delivery component of financial literacy training for farmers to increase their capacity on managing the high income they receive from the sale of timber. </w:t>
            </w:r>
          </w:p>
        </w:tc>
      </w:tr>
      <w:tr w:rsidR="00862FDD" w:rsidRPr="00250C48" w14:paraId="687A03C6" w14:textId="77777777" w:rsidTr="00A62101">
        <w:trPr>
          <w:cnfStyle w:val="000000010000" w:firstRow="0" w:lastRow="0" w:firstColumn="0" w:lastColumn="0" w:oddVBand="0" w:evenVBand="0" w:oddHBand="0" w:evenHBand="1"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459" w:type="pct"/>
            <w:hideMark/>
          </w:tcPr>
          <w:p w14:paraId="0CEF268F"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Timber</w:t>
            </w:r>
          </w:p>
        </w:tc>
        <w:tc>
          <w:tcPr>
            <w:tcW w:w="668" w:type="pct"/>
            <w:hideMark/>
          </w:tcPr>
          <w:p w14:paraId="4DA6F438"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Establishing a plantation timber aggregation service</w:t>
            </w:r>
          </w:p>
        </w:tc>
        <w:tc>
          <w:tcPr>
            <w:tcW w:w="529" w:type="pct"/>
            <w:hideMark/>
          </w:tcPr>
          <w:p w14:paraId="18F3F1FF"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Value Added Timber Association (VATA)</w:t>
            </w:r>
          </w:p>
        </w:tc>
        <w:tc>
          <w:tcPr>
            <w:tcW w:w="425" w:type="pct"/>
            <w:hideMark/>
          </w:tcPr>
          <w:p w14:paraId="61977B75"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28-Jul-22</w:t>
            </w:r>
          </w:p>
        </w:tc>
        <w:tc>
          <w:tcPr>
            <w:tcW w:w="370" w:type="pct"/>
            <w:hideMark/>
          </w:tcPr>
          <w:p w14:paraId="0B681DB6" w14:textId="2314FD87" w:rsidR="009B4C1F" w:rsidRPr="00A6061C" w:rsidRDefault="005A1440"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680E0D">
              <w:rPr>
                <w:rFonts w:eastAsia="Times New Roman" w:cstheme="minorHAnsi"/>
                <w:color w:val="000000"/>
                <w:sz w:val="18"/>
                <w:szCs w:val="18"/>
              </w:rPr>
              <w:t>East of</w:t>
            </w:r>
            <w:r w:rsidR="009B4C1F" w:rsidRPr="00A6061C">
              <w:rPr>
                <w:rFonts w:eastAsia="Times New Roman" w:cstheme="minorHAnsi"/>
                <w:color w:val="000000"/>
                <w:sz w:val="18"/>
                <w:szCs w:val="18"/>
              </w:rPr>
              <w:t xml:space="preserve"> Honiara</w:t>
            </w:r>
          </w:p>
        </w:tc>
        <w:tc>
          <w:tcPr>
            <w:tcW w:w="442" w:type="pct"/>
            <w:hideMark/>
          </w:tcPr>
          <w:p w14:paraId="3448794E" w14:textId="06167323"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D63CE">
              <w:rPr>
                <w:rFonts w:eastAsia="Times New Roman" w:cstheme="minorHAnsi"/>
                <w:color w:val="000000"/>
                <w:sz w:val="18"/>
                <w:szCs w:val="18"/>
              </w:rPr>
              <w:t>Julius</w:t>
            </w:r>
            <w:r w:rsidR="00634E24">
              <w:rPr>
                <w:rFonts w:eastAsia="Times New Roman" w:cstheme="minorHAnsi"/>
                <w:color w:val="000000"/>
                <w:sz w:val="18"/>
                <w:szCs w:val="18"/>
              </w:rPr>
              <w:t xml:space="preserve"> Houria </w:t>
            </w:r>
          </w:p>
        </w:tc>
        <w:tc>
          <w:tcPr>
            <w:tcW w:w="2107" w:type="pct"/>
            <w:hideMark/>
          </w:tcPr>
          <w:p w14:paraId="5B6262ED"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 achieve access to premium local  markets and increase inclusion of small-holder plantation timber, supported VATA to establish a program of milling logs with plantation small holders’ associations combined with a commercial extensionist program enabling improved relationship with smallholders, establishment of nurseries, forest management trainings and forest replanting activities. The associations improve the collective power of smallholders to negotiate price and improve their efficiency in supplying timber consistently. The partnership also aims to improve VATA’s marketing capabilities to promote plantation Teak and Mahogany species both in the domestic and international market.</w:t>
            </w:r>
          </w:p>
        </w:tc>
      </w:tr>
      <w:tr w:rsidR="00A62101" w:rsidRPr="00250C48" w14:paraId="49E0D7B8" w14:textId="77777777" w:rsidTr="00A62101">
        <w:trPr>
          <w:trHeight w:val="949"/>
        </w:trPr>
        <w:tc>
          <w:tcPr>
            <w:cnfStyle w:val="001000000000" w:firstRow="0" w:lastRow="0" w:firstColumn="1" w:lastColumn="0" w:oddVBand="0" w:evenVBand="0" w:oddHBand="0" w:evenHBand="0" w:firstRowFirstColumn="0" w:firstRowLastColumn="0" w:lastRowFirstColumn="0" w:lastRowLastColumn="0"/>
            <w:tcW w:w="459" w:type="pct"/>
            <w:hideMark/>
          </w:tcPr>
          <w:p w14:paraId="2529C30A"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Timber</w:t>
            </w:r>
          </w:p>
        </w:tc>
        <w:tc>
          <w:tcPr>
            <w:tcW w:w="668" w:type="pct"/>
            <w:hideMark/>
          </w:tcPr>
          <w:p w14:paraId="4E2C135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Plantation timber value addition and marketing</w:t>
            </w:r>
          </w:p>
        </w:tc>
        <w:tc>
          <w:tcPr>
            <w:tcW w:w="529" w:type="pct"/>
            <w:hideMark/>
          </w:tcPr>
          <w:p w14:paraId="0BEE35F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Tropic Group Builders (TGB)</w:t>
            </w:r>
          </w:p>
        </w:tc>
        <w:tc>
          <w:tcPr>
            <w:tcW w:w="425" w:type="pct"/>
            <w:hideMark/>
          </w:tcPr>
          <w:p w14:paraId="4C980969"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15-Jan-21</w:t>
            </w:r>
          </w:p>
        </w:tc>
        <w:tc>
          <w:tcPr>
            <w:tcW w:w="370" w:type="pct"/>
            <w:hideMark/>
          </w:tcPr>
          <w:p w14:paraId="7FADD715" w14:textId="0668A345"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Ranadi </w:t>
            </w:r>
            <w:r w:rsidR="005A1440" w:rsidRPr="00680E0D">
              <w:rPr>
                <w:rFonts w:eastAsia="Times New Roman" w:cstheme="minorHAnsi"/>
                <w:color w:val="000000"/>
                <w:sz w:val="18"/>
                <w:szCs w:val="18"/>
              </w:rPr>
              <w:t>nr</w:t>
            </w:r>
            <w:r w:rsidRPr="00A6061C">
              <w:rPr>
                <w:rFonts w:eastAsia="Times New Roman" w:cstheme="minorHAnsi"/>
                <w:color w:val="000000"/>
                <w:sz w:val="18"/>
                <w:szCs w:val="18"/>
              </w:rPr>
              <w:t xml:space="preserve"> Honiara</w:t>
            </w:r>
          </w:p>
        </w:tc>
        <w:tc>
          <w:tcPr>
            <w:tcW w:w="442" w:type="pct"/>
            <w:hideMark/>
          </w:tcPr>
          <w:p w14:paraId="4B214DF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Ricky Fuo’o- General Manager</w:t>
            </w:r>
          </w:p>
        </w:tc>
        <w:tc>
          <w:tcPr>
            <w:tcW w:w="2107" w:type="pct"/>
            <w:hideMark/>
          </w:tcPr>
          <w:p w14:paraId="57B80691"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 achieve access to premium local  markets for value-added timber, supported the promotion of value-added products from sustainable locally grown timber species through a professional display showroom at TGB facilities and improved digital promotion. The partnership develops TGB’s connections with plantation timber suppliers and works on improving market awareness of plantation timber quality and applications in the construction and building sectors of Solomon Islands. </w:t>
            </w:r>
          </w:p>
        </w:tc>
      </w:tr>
      <w:tr w:rsidR="00862FDD" w:rsidRPr="00250C48" w14:paraId="7B02B9AB" w14:textId="77777777" w:rsidTr="00A62101">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459" w:type="pct"/>
            <w:hideMark/>
          </w:tcPr>
          <w:p w14:paraId="633BC992"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Tourism</w:t>
            </w:r>
          </w:p>
        </w:tc>
        <w:tc>
          <w:tcPr>
            <w:tcW w:w="668" w:type="pct"/>
            <w:hideMark/>
          </w:tcPr>
          <w:p w14:paraId="07B0D191"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Development and promotion of disability-led tourism activities and a dining experience in West Guadalcanal</w:t>
            </w:r>
          </w:p>
        </w:tc>
        <w:tc>
          <w:tcPr>
            <w:tcW w:w="529" w:type="pct"/>
            <w:hideMark/>
          </w:tcPr>
          <w:p w14:paraId="25644DE4"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B-17</w:t>
            </w:r>
          </w:p>
        </w:tc>
        <w:tc>
          <w:tcPr>
            <w:tcW w:w="425" w:type="pct"/>
            <w:hideMark/>
          </w:tcPr>
          <w:p w14:paraId="140CEFBC"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25-May-20</w:t>
            </w:r>
          </w:p>
        </w:tc>
        <w:tc>
          <w:tcPr>
            <w:tcW w:w="370" w:type="pct"/>
            <w:hideMark/>
          </w:tcPr>
          <w:p w14:paraId="4F55B2D9" w14:textId="27A3D8BF" w:rsidR="009B4C1F" w:rsidRPr="00A6061C" w:rsidRDefault="005A1440"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680E0D">
              <w:rPr>
                <w:rFonts w:eastAsia="Times New Roman" w:cstheme="minorHAnsi"/>
                <w:color w:val="000000"/>
                <w:sz w:val="18"/>
                <w:szCs w:val="18"/>
              </w:rPr>
              <w:t>North-</w:t>
            </w:r>
            <w:r w:rsidR="009B4C1F" w:rsidRPr="00A6061C">
              <w:rPr>
                <w:rFonts w:eastAsia="Times New Roman" w:cstheme="minorHAnsi"/>
                <w:color w:val="000000"/>
                <w:sz w:val="18"/>
                <w:szCs w:val="18"/>
              </w:rPr>
              <w:t xml:space="preserve"> West Guadal</w:t>
            </w:r>
            <w:r w:rsidR="00680E0D" w:rsidRPr="00680E0D">
              <w:rPr>
                <w:rFonts w:eastAsia="Times New Roman" w:cstheme="minorHAnsi"/>
                <w:color w:val="000000"/>
                <w:sz w:val="18"/>
                <w:szCs w:val="18"/>
              </w:rPr>
              <w:t>-</w:t>
            </w:r>
            <w:r w:rsidR="009B4C1F" w:rsidRPr="00A6061C">
              <w:rPr>
                <w:rFonts w:eastAsia="Times New Roman" w:cstheme="minorHAnsi"/>
                <w:color w:val="000000"/>
                <w:sz w:val="18"/>
                <w:szCs w:val="18"/>
              </w:rPr>
              <w:t>canal</w:t>
            </w:r>
          </w:p>
        </w:tc>
        <w:tc>
          <w:tcPr>
            <w:tcW w:w="442" w:type="pct"/>
            <w:hideMark/>
          </w:tcPr>
          <w:p w14:paraId="25BB0779"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Edith Chottu- Owner</w:t>
            </w:r>
          </w:p>
        </w:tc>
        <w:tc>
          <w:tcPr>
            <w:tcW w:w="2107" w:type="pct"/>
            <w:hideMark/>
          </w:tcPr>
          <w:p w14:paraId="131A823A"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 develop products around Honiara to cater to domestic market and business visitors, supported B17 to bring improvements to the restaurant, provided financial mentoring, and improvements to the disability accessibility of the property’s amenities.</w:t>
            </w:r>
          </w:p>
        </w:tc>
      </w:tr>
      <w:tr w:rsidR="00A62101" w:rsidRPr="00250C48" w14:paraId="665C0322" w14:textId="77777777" w:rsidTr="00A62101">
        <w:trPr>
          <w:trHeight w:val="1530"/>
        </w:trPr>
        <w:tc>
          <w:tcPr>
            <w:cnfStyle w:val="001000000000" w:firstRow="0" w:lastRow="0" w:firstColumn="1" w:lastColumn="0" w:oddVBand="0" w:evenVBand="0" w:oddHBand="0" w:evenHBand="0" w:firstRowFirstColumn="0" w:firstRowLastColumn="0" w:lastRowFirstColumn="0" w:lastRowLastColumn="0"/>
            <w:tcW w:w="459" w:type="pct"/>
            <w:hideMark/>
          </w:tcPr>
          <w:p w14:paraId="4FF62137"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Tourism</w:t>
            </w:r>
          </w:p>
        </w:tc>
        <w:tc>
          <w:tcPr>
            <w:tcW w:w="668" w:type="pct"/>
            <w:hideMark/>
          </w:tcPr>
          <w:p w14:paraId="30651DBD"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Building the Domestic Market through Package Formation and Marketing </w:t>
            </w:r>
            <w:r w:rsidRPr="00A6061C">
              <w:rPr>
                <w:rFonts w:eastAsia="Times New Roman" w:cstheme="minorHAnsi"/>
                <w:b/>
                <w:bCs/>
                <w:color w:val="000000"/>
                <w:sz w:val="18"/>
                <w:szCs w:val="18"/>
              </w:rPr>
              <w:t xml:space="preserve">and </w:t>
            </w:r>
            <w:r w:rsidRPr="00A6061C">
              <w:rPr>
                <w:rFonts w:eastAsia="Times New Roman" w:cstheme="minorHAnsi"/>
                <w:color w:val="000000"/>
                <w:sz w:val="18"/>
                <w:szCs w:val="18"/>
              </w:rPr>
              <w:t>Build international marketing capability, and structural improvements to ease bookings and payments</w:t>
            </w:r>
          </w:p>
        </w:tc>
        <w:tc>
          <w:tcPr>
            <w:tcW w:w="529" w:type="pct"/>
            <w:hideMark/>
          </w:tcPr>
          <w:p w14:paraId="32329E9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Solomon Airlines</w:t>
            </w:r>
          </w:p>
        </w:tc>
        <w:tc>
          <w:tcPr>
            <w:tcW w:w="425" w:type="pct"/>
            <w:hideMark/>
          </w:tcPr>
          <w:p w14:paraId="5AFA28B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22-Nov-20</w:t>
            </w:r>
          </w:p>
        </w:tc>
        <w:tc>
          <w:tcPr>
            <w:tcW w:w="370" w:type="pct"/>
            <w:hideMark/>
          </w:tcPr>
          <w:p w14:paraId="49F9FBD5" w14:textId="089DF065" w:rsidR="009B4C1F" w:rsidRPr="00A6061C" w:rsidRDefault="005A1440"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680E0D">
              <w:rPr>
                <w:rFonts w:eastAsia="Times New Roman" w:cstheme="minorHAnsi"/>
                <w:color w:val="000000"/>
                <w:sz w:val="18"/>
                <w:szCs w:val="18"/>
              </w:rPr>
              <w:t>East of Honiara</w:t>
            </w:r>
          </w:p>
        </w:tc>
        <w:tc>
          <w:tcPr>
            <w:tcW w:w="442" w:type="pct"/>
            <w:hideMark/>
          </w:tcPr>
          <w:p w14:paraId="163EE90E"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David Green- Marketing Manager</w:t>
            </w:r>
          </w:p>
        </w:tc>
        <w:tc>
          <w:tcPr>
            <w:tcW w:w="2107" w:type="pct"/>
            <w:hideMark/>
          </w:tcPr>
          <w:p w14:paraId="067F8D4A"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To increase domestic tourism and facilitate international tourists, supported investments into operator collateral and digital infrastructure for domestic tourism. Facilitated airline’s digital capability of attracting customers by supporting payment gateway and strengthening company’s online presence. </w:t>
            </w:r>
          </w:p>
        </w:tc>
      </w:tr>
      <w:tr w:rsidR="00862FDD" w:rsidRPr="00250C48" w14:paraId="7B94B37A" w14:textId="77777777" w:rsidTr="00A62101">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59" w:type="pct"/>
            <w:hideMark/>
          </w:tcPr>
          <w:p w14:paraId="255EDE70"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Tourism</w:t>
            </w:r>
          </w:p>
        </w:tc>
        <w:tc>
          <w:tcPr>
            <w:tcW w:w="668" w:type="pct"/>
            <w:hideMark/>
          </w:tcPr>
          <w:p w14:paraId="43883BF0"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Systematization and partial devolution of Accommodation Minimum Standards, plus COVID Extra Care Protocols and preparations for border reopening</w:t>
            </w:r>
          </w:p>
        </w:tc>
        <w:tc>
          <w:tcPr>
            <w:tcW w:w="529" w:type="pct"/>
            <w:hideMark/>
          </w:tcPr>
          <w:p w14:paraId="5C704A71"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Ministry of Culture and Tourism (MCT)</w:t>
            </w:r>
          </w:p>
        </w:tc>
        <w:tc>
          <w:tcPr>
            <w:tcW w:w="425" w:type="pct"/>
            <w:hideMark/>
          </w:tcPr>
          <w:p w14:paraId="5AE4AC3D"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24-Aug-18</w:t>
            </w:r>
          </w:p>
        </w:tc>
        <w:tc>
          <w:tcPr>
            <w:tcW w:w="370" w:type="pct"/>
            <w:hideMark/>
          </w:tcPr>
          <w:p w14:paraId="11B07C2D" w14:textId="18B2BC16"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3A987FEC"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PS Barney</w:t>
            </w:r>
          </w:p>
        </w:tc>
        <w:tc>
          <w:tcPr>
            <w:tcW w:w="2107" w:type="pct"/>
            <w:hideMark/>
          </w:tcPr>
          <w:p w14:paraId="077055B5"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 provide emergency support to the industry in preparation for opening up of the borders, supported the training of tourism operators on COVID -19 safety protocols and provided tourism operators with PPE, sanitisers and masks in preparation for the opening of the Solomon Islands border for Tourism. And supported roll out of minimum standards for accommodation providers</w:t>
            </w:r>
          </w:p>
        </w:tc>
      </w:tr>
      <w:tr w:rsidR="00A62101" w:rsidRPr="00250C48" w14:paraId="08BCE68C" w14:textId="77777777" w:rsidTr="00A62101">
        <w:trPr>
          <w:trHeight w:val="1362"/>
        </w:trPr>
        <w:tc>
          <w:tcPr>
            <w:cnfStyle w:val="001000000000" w:firstRow="0" w:lastRow="0" w:firstColumn="1" w:lastColumn="0" w:oddVBand="0" w:evenVBand="0" w:oddHBand="0" w:evenHBand="0" w:firstRowFirstColumn="0" w:firstRowLastColumn="0" w:lastRowFirstColumn="0" w:lastRowLastColumn="0"/>
            <w:tcW w:w="459" w:type="pct"/>
            <w:hideMark/>
          </w:tcPr>
          <w:p w14:paraId="76EA7B4A"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Tourism</w:t>
            </w:r>
          </w:p>
        </w:tc>
        <w:tc>
          <w:tcPr>
            <w:tcW w:w="668" w:type="pct"/>
            <w:hideMark/>
          </w:tcPr>
          <w:p w14:paraId="1C88B6BA"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Western province eco-tourism development </w:t>
            </w:r>
          </w:p>
        </w:tc>
        <w:tc>
          <w:tcPr>
            <w:tcW w:w="529" w:type="pct"/>
            <w:hideMark/>
          </w:tcPr>
          <w:p w14:paraId="43D6C65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Kolombangara Forest Plantation Limited (KFPL)</w:t>
            </w:r>
          </w:p>
        </w:tc>
        <w:tc>
          <w:tcPr>
            <w:tcW w:w="425" w:type="pct"/>
            <w:hideMark/>
          </w:tcPr>
          <w:p w14:paraId="2183464E"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06-Mar-20</w:t>
            </w:r>
          </w:p>
        </w:tc>
        <w:tc>
          <w:tcPr>
            <w:tcW w:w="370" w:type="pct"/>
            <w:hideMark/>
          </w:tcPr>
          <w:p w14:paraId="442CE43E" w14:textId="396D7431"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Kolom</w:t>
            </w:r>
            <w:r w:rsidR="00680E0D" w:rsidRPr="00680E0D">
              <w:rPr>
                <w:rFonts w:eastAsia="Times New Roman" w:cstheme="minorHAnsi"/>
                <w:color w:val="000000"/>
                <w:sz w:val="18"/>
                <w:szCs w:val="18"/>
              </w:rPr>
              <w:t>-</w:t>
            </w:r>
            <w:r w:rsidRPr="00A6061C">
              <w:rPr>
                <w:rFonts w:eastAsia="Times New Roman" w:cstheme="minorHAnsi"/>
                <w:color w:val="000000"/>
                <w:sz w:val="18"/>
                <w:szCs w:val="18"/>
              </w:rPr>
              <w:t xml:space="preserve">bangara </w:t>
            </w:r>
            <w:r w:rsidRPr="00A6061C">
              <w:rPr>
                <w:rFonts w:eastAsia="Times New Roman" w:cstheme="minorHAnsi"/>
                <w:color w:val="000000"/>
                <w:sz w:val="18"/>
                <w:szCs w:val="18"/>
              </w:rPr>
              <w:br/>
              <w:t>Island, Western Province</w:t>
            </w:r>
          </w:p>
        </w:tc>
        <w:tc>
          <w:tcPr>
            <w:tcW w:w="442" w:type="pct"/>
            <w:hideMark/>
          </w:tcPr>
          <w:p w14:paraId="093D0A6D" w14:textId="363BA984"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Edwin Schramm- General Manager</w:t>
            </w:r>
            <w:r w:rsidR="003C0C93">
              <w:rPr>
                <w:rFonts w:eastAsia="Times New Roman" w:cstheme="minorHAnsi"/>
                <w:color w:val="000000"/>
                <w:sz w:val="18"/>
                <w:szCs w:val="18"/>
              </w:rPr>
              <w:t xml:space="preserve">; </w:t>
            </w:r>
            <w:r w:rsidR="005D158D">
              <w:rPr>
                <w:rFonts w:eastAsia="Times New Roman" w:cstheme="minorHAnsi"/>
                <w:color w:val="000000"/>
                <w:sz w:val="18"/>
                <w:szCs w:val="18"/>
              </w:rPr>
              <w:t>on-site staff</w:t>
            </w:r>
          </w:p>
        </w:tc>
        <w:tc>
          <w:tcPr>
            <w:tcW w:w="2107" w:type="pct"/>
            <w:hideMark/>
          </w:tcPr>
          <w:p w14:paraId="05C59A4B" w14:textId="0E773CB3"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To develop products for eco-tourism segment, supported the upgradation of eco-tourism of lodges at Ringii Cove and Imburano and improving access to the lodge. Additionally, supported marketing efforts to increase visitor numbers. </w:t>
            </w:r>
          </w:p>
        </w:tc>
      </w:tr>
      <w:tr w:rsidR="00862FDD" w:rsidRPr="00250C48" w14:paraId="37739D41" w14:textId="77777777" w:rsidTr="00A62101">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9" w:type="pct"/>
            <w:hideMark/>
          </w:tcPr>
          <w:p w14:paraId="62933D8D"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Tourism</w:t>
            </w:r>
          </w:p>
        </w:tc>
        <w:tc>
          <w:tcPr>
            <w:tcW w:w="668" w:type="pct"/>
            <w:hideMark/>
          </w:tcPr>
          <w:p w14:paraId="45AD2B8E"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Modelling how increased access to reliable tourism information results in bookings, with Jasons Maps </w:t>
            </w:r>
          </w:p>
        </w:tc>
        <w:tc>
          <w:tcPr>
            <w:tcW w:w="529" w:type="pct"/>
            <w:hideMark/>
          </w:tcPr>
          <w:p w14:paraId="1F6CBE8E"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Tourism Solomons</w:t>
            </w:r>
          </w:p>
        </w:tc>
        <w:tc>
          <w:tcPr>
            <w:tcW w:w="425" w:type="pct"/>
            <w:hideMark/>
          </w:tcPr>
          <w:p w14:paraId="29D70A81"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07-Jan-20</w:t>
            </w:r>
          </w:p>
        </w:tc>
        <w:tc>
          <w:tcPr>
            <w:tcW w:w="370" w:type="pct"/>
            <w:hideMark/>
          </w:tcPr>
          <w:p w14:paraId="39BAC431" w14:textId="332C7770"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4D0550A9"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Fiona Teama</w:t>
            </w:r>
          </w:p>
        </w:tc>
        <w:tc>
          <w:tcPr>
            <w:tcW w:w="2107" w:type="pct"/>
            <w:hideMark/>
          </w:tcPr>
          <w:p w14:paraId="5FF43A76"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 increase the visibility of tourism products for domestic and international tourists, supported the development of market intelligence and improving the quality and quantity of travel planning information on Solomon Islands</w:t>
            </w:r>
          </w:p>
        </w:tc>
      </w:tr>
      <w:tr w:rsidR="00A62101" w:rsidRPr="00250C48" w14:paraId="232A3EF6" w14:textId="77777777" w:rsidTr="00A62101">
        <w:trPr>
          <w:trHeight w:val="1275"/>
        </w:trPr>
        <w:tc>
          <w:tcPr>
            <w:cnfStyle w:val="001000000000" w:firstRow="0" w:lastRow="0" w:firstColumn="1" w:lastColumn="0" w:oddVBand="0" w:evenVBand="0" w:oddHBand="0" w:evenHBand="0" w:firstRowFirstColumn="0" w:firstRowLastColumn="0" w:lastRowFirstColumn="0" w:lastRowLastColumn="0"/>
            <w:tcW w:w="459" w:type="pct"/>
            <w:hideMark/>
          </w:tcPr>
          <w:p w14:paraId="5435B645"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Waste Management</w:t>
            </w:r>
          </w:p>
        </w:tc>
        <w:tc>
          <w:tcPr>
            <w:tcW w:w="668" w:type="pct"/>
            <w:hideMark/>
          </w:tcPr>
          <w:p w14:paraId="2B9E5008"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Establishing a plastic waste value chain in Gizo</w:t>
            </w:r>
          </w:p>
        </w:tc>
        <w:tc>
          <w:tcPr>
            <w:tcW w:w="529" w:type="pct"/>
            <w:hideMark/>
          </w:tcPr>
          <w:p w14:paraId="73710A0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6061C">
              <w:rPr>
                <w:rFonts w:eastAsia="Times New Roman" w:cstheme="minorHAnsi"/>
                <w:color w:val="auto"/>
                <w:sz w:val="18"/>
                <w:szCs w:val="18"/>
              </w:rPr>
              <w:t>Plastic Wise Gizo Trust Board</w:t>
            </w:r>
          </w:p>
        </w:tc>
        <w:tc>
          <w:tcPr>
            <w:tcW w:w="425" w:type="pct"/>
            <w:hideMark/>
          </w:tcPr>
          <w:p w14:paraId="5299FD64"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6061C">
              <w:rPr>
                <w:rFonts w:eastAsia="Times New Roman" w:cstheme="minorHAnsi"/>
                <w:color w:val="auto"/>
                <w:sz w:val="18"/>
                <w:szCs w:val="18"/>
              </w:rPr>
              <w:t>10-May-21</w:t>
            </w:r>
          </w:p>
        </w:tc>
        <w:tc>
          <w:tcPr>
            <w:tcW w:w="370" w:type="pct"/>
            <w:hideMark/>
          </w:tcPr>
          <w:p w14:paraId="789AB92B"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6061C">
              <w:rPr>
                <w:rFonts w:eastAsia="Times New Roman" w:cstheme="minorHAnsi"/>
                <w:color w:val="auto"/>
                <w:sz w:val="18"/>
                <w:szCs w:val="18"/>
              </w:rPr>
              <w:t>Gizo, Western Province</w:t>
            </w:r>
          </w:p>
        </w:tc>
        <w:tc>
          <w:tcPr>
            <w:tcW w:w="442" w:type="pct"/>
            <w:hideMark/>
          </w:tcPr>
          <w:p w14:paraId="62BEB0A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6061C">
              <w:rPr>
                <w:rFonts w:eastAsia="Times New Roman" w:cstheme="minorHAnsi"/>
                <w:color w:val="auto"/>
                <w:sz w:val="18"/>
                <w:szCs w:val="18"/>
              </w:rPr>
              <w:t>Rendy Solomon- President</w:t>
            </w:r>
          </w:p>
        </w:tc>
        <w:tc>
          <w:tcPr>
            <w:tcW w:w="2107" w:type="pct"/>
            <w:hideMark/>
          </w:tcPr>
          <w:p w14:paraId="488B4D88"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 explore commercial viability of collection and recycling in outer areas, supporting PlasticWise Gizo to develop a PET Plastic and aluminium collection hub on Gizo Island that will act as a focal point for waste collection throughout the Western Province, Choiseul Province and the Shortland Islands.  Support for PlasticWise includes facility improvements and waste collection capacity, new processing equipment, waste identification training for the waste collectors and linking with international waste brokers.</w:t>
            </w:r>
          </w:p>
        </w:tc>
      </w:tr>
      <w:tr w:rsidR="00862FDD" w:rsidRPr="00250C48" w14:paraId="657E574A" w14:textId="77777777" w:rsidTr="00A62101">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59" w:type="pct"/>
            <w:hideMark/>
          </w:tcPr>
          <w:p w14:paraId="69E03BB4"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Waste Management</w:t>
            </w:r>
          </w:p>
        </w:tc>
        <w:tc>
          <w:tcPr>
            <w:tcW w:w="668" w:type="pct"/>
            <w:hideMark/>
          </w:tcPr>
          <w:p w14:paraId="5A5F45D3"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Review of the metal export tax and ratification of the Basel Convention</w:t>
            </w:r>
          </w:p>
        </w:tc>
        <w:tc>
          <w:tcPr>
            <w:tcW w:w="529" w:type="pct"/>
            <w:hideMark/>
          </w:tcPr>
          <w:p w14:paraId="14069CE7"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Ministry of Environment, Climate Change, Disaster Management and Meteorology</w:t>
            </w:r>
          </w:p>
        </w:tc>
        <w:tc>
          <w:tcPr>
            <w:tcW w:w="425" w:type="pct"/>
            <w:hideMark/>
          </w:tcPr>
          <w:p w14:paraId="5CBDF6F3"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25-Oct-21</w:t>
            </w:r>
          </w:p>
        </w:tc>
        <w:tc>
          <w:tcPr>
            <w:tcW w:w="370" w:type="pct"/>
            <w:hideMark/>
          </w:tcPr>
          <w:p w14:paraId="7EB7A87B" w14:textId="23254F31"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66C77F93"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Dr. Melchior Mataki- </w:t>
            </w:r>
            <w:r w:rsidRPr="00A6061C">
              <w:rPr>
                <w:rFonts w:eastAsia="Times New Roman" w:cstheme="minorHAnsi"/>
                <w:color w:val="000000"/>
                <w:sz w:val="18"/>
                <w:szCs w:val="18"/>
              </w:rPr>
              <w:br/>
              <w:t>Permanent Secretary</w:t>
            </w:r>
          </w:p>
        </w:tc>
        <w:tc>
          <w:tcPr>
            <w:tcW w:w="2107" w:type="pct"/>
            <w:hideMark/>
          </w:tcPr>
          <w:p w14:paraId="0E762537"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To improve viability of exporting more recyclable items, Strongim Bisnis is providing legal and technical assistance for the ratification and implementation of the Basel Convention to enable recyclable hazardous waste access to more markets with facilities to recycled hazardous waste, particularly used lead-acid batteries. </w:t>
            </w:r>
          </w:p>
        </w:tc>
      </w:tr>
      <w:tr w:rsidR="00A62101" w:rsidRPr="00250C48" w14:paraId="0B6F2D40" w14:textId="77777777" w:rsidTr="00A62101">
        <w:trPr>
          <w:trHeight w:val="765"/>
        </w:trPr>
        <w:tc>
          <w:tcPr>
            <w:cnfStyle w:val="001000000000" w:firstRow="0" w:lastRow="0" w:firstColumn="1" w:lastColumn="0" w:oddVBand="0" w:evenVBand="0" w:oddHBand="0" w:evenHBand="0" w:firstRowFirstColumn="0" w:firstRowLastColumn="0" w:lastRowFirstColumn="0" w:lastRowLastColumn="0"/>
            <w:tcW w:w="459" w:type="pct"/>
            <w:hideMark/>
          </w:tcPr>
          <w:p w14:paraId="640F9A07"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Waste Management</w:t>
            </w:r>
          </w:p>
        </w:tc>
        <w:tc>
          <w:tcPr>
            <w:tcW w:w="668" w:type="pct"/>
            <w:hideMark/>
          </w:tcPr>
          <w:p w14:paraId="4594E1AC"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Establishing a Plastic Waste Value Chain in Honiara</w:t>
            </w:r>
          </w:p>
        </w:tc>
        <w:tc>
          <w:tcPr>
            <w:tcW w:w="529" w:type="pct"/>
            <w:hideMark/>
          </w:tcPr>
          <w:p w14:paraId="7BA2693C"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SolPower Scrap Enterprise</w:t>
            </w:r>
          </w:p>
        </w:tc>
        <w:tc>
          <w:tcPr>
            <w:tcW w:w="425" w:type="pct"/>
            <w:hideMark/>
          </w:tcPr>
          <w:p w14:paraId="20AC1643"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02-Aug-22</w:t>
            </w:r>
          </w:p>
        </w:tc>
        <w:tc>
          <w:tcPr>
            <w:tcW w:w="370" w:type="pct"/>
            <w:hideMark/>
          </w:tcPr>
          <w:p w14:paraId="04DEDEBC" w14:textId="1C99CBCE"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6061C">
              <w:rPr>
                <w:rFonts w:eastAsia="Times New Roman" w:cstheme="minorHAnsi"/>
                <w:color w:val="auto"/>
                <w:sz w:val="18"/>
                <w:szCs w:val="18"/>
              </w:rPr>
              <w:t>East of Honiara</w:t>
            </w:r>
          </w:p>
        </w:tc>
        <w:tc>
          <w:tcPr>
            <w:tcW w:w="442" w:type="pct"/>
            <w:hideMark/>
          </w:tcPr>
          <w:p w14:paraId="75139654"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6061C">
              <w:rPr>
                <w:rFonts w:eastAsia="Times New Roman" w:cstheme="minorHAnsi"/>
                <w:color w:val="auto"/>
                <w:sz w:val="18"/>
                <w:szCs w:val="18"/>
              </w:rPr>
              <w:t>Michael Maefiti-</w:t>
            </w:r>
            <w:r w:rsidRPr="00A6061C">
              <w:rPr>
                <w:rFonts w:eastAsia="Times New Roman" w:cstheme="minorHAnsi"/>
                <w:color w:val="auto"/>
                <w:sz w:val="18"/>
                <w:szCs w:val="18"/>
              </w:rPr>
              <w:br/>
              <w:t>Director</w:t>
            </w:r>
          </w:p>
        </w:tc>
        <w:tc>
          <w:tcPr>
            <w:tcW w:w="2107" w:type="pct"/>
            <w:hideMark/>
          </w:tcPr>
          <w:p w14:paraId="0B7B1206"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To explore commercial viability of collection of aluminium and PET plastics in Honiara and Malaita, supported SolPower with the cost of improvements to the recovery, processing, and the export of waste aluminium. The SolPower partnership will also expand PET and used battery recovery collection to Malaita. </w:t>
            </w:r>
          </w:p>
        </w:tc>
      </w:tr>
      <w:tr w:rsidR="00862FDD" w:rsidRPr="00250C48" w14:paraId="5CACBA8F" w14:textId="77777777" w:rsidTr="00A62101">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9" w:type="pct"/>
            <w:hideMark/>
          </w:tcPr>
          <w:p w14:paraId="62F785C8"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4CD447D6"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Supporting Economic Opportunities of People with Disabilities</w:t>
            </w:r>
          </w:p>
        </w:tc>
        <w:tc>
          <w:tcPr>
            <w:tcW w:w="529" w:type="pct"/>
            <w:hideMark/>
          </w:tcPr>
          <w:p w14:paraId="06D4B217"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Pasifiki HR</w:t>
            </w:r>
          </w:p>
        </w:tc>
        <w:tc>
          <w:tcPr>
            <w:tcW w:w="425" w:type="pct"/>
            <w:hideMark/>
          </w:tcPr>
          <w:p w14:paraId="28C0CB90"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03-Sep-21</w:t>
            </w:r>
          </w:p>
        </w:tc>
        <w:tc>
          <w:tcPr>
            <w:tcW w:w="370" w:type="pct"/>
            <w:hideMark/>
          </w:tcPr>
          <w:p w14:paraId="074E176D" w14:textId="3821B7A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59E56858"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Bob Pollard</w:t>
            </w:r>
          </w:p>
        </w:tc>
        <w:tc>
          <w:tcPr>
            <w:tcW w:w="2107" w:type="pct"/>
            <w:hideMark/>
          </w:tcPr>
          <w:p w14:paraId="50E0D734"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Pasifiki HR is a recruitment agency - the only one in the country. The program support focuses on including more PWD in their HR database, including trainings and support to improve their employment profile. Support in the form of trainings and physical infrastructure upgrades also available for businesses interested in hiring more PWD</w:t>
            </w:r>
          </w:p>
        </w:tc>
      </w:tr>
      <w:tr w:rsidR="00A62101" w:rsidRPr="00250C48" w14:paraId="76DE0C6D" w14:textId="77777777" w:rsidTr="00A62101">
        <w:trPr>
          <w:trHeight w:val="765"/>
        </w:trPr>
        <w:tc>
          <w:tcPr>
            <w:cnfStyle w:val="001000000000" w:firstRow="0" w:lastRow="0" w:firstColumn="1" w:lastColumn="0" w:oddVBand="0" w:evenVBand="0" w:oddHBand="0" w:evenHBand="0" w:firstRowFirstColumn="0" w:firstRowLastColumn="0" w:lastRowFirstColumn="0" w:lastRowLastColumn="0"/>
            <w:tcW w:w="459" w:type="pct"/>
            <w:hideMark/>
          </w:tcPr>
          <w:p w14:paraId="1D8E9B3F"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02E67444"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Women’s Village Business Incubators</w:t>
            </w:r>
          </w:p>
        </w:tc>
        <w:tc>
          <w:tcPr>
            <w:tcW w:w="529" w:type="pct"/>
            <w:hideMark/>
          </w:tcPr>
          <w:p w14:paraId="5E0706E7"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Dignity Pasifik</w:t>
            </w:r>
          </w:p>
        </w:tc>
        <w:tc>
          <w:tcPr>
            <w:tcW w:w="425" w:type="pct"/>
            <w:hideMark/>
          </w:tcPr>
          <w:p w14:paraId="4EA0C095"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30-Jul-21</w:t>
            </w:r>
          </w:p>
        </w:tc>
        <w:tc>
          <w:tcPr>
            <w:tcW w:w="370" w:type="pct"/>
            <w:hideMark/>
          </w:tcPr>
          <w:p w14:paraId="0808FDDB" w14:textId="1844EC5F"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5BFF7959"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Ruth Maetala</w:t>
            </w:r>
          </w:p>
        </w:tc>
        <w:tc>
          <w:tcPr>
            <w:tcW w:w="2107" w:type="pct"/>
            <w:hideMark/>
          </w:tcPr>
          <w:p w14:paraId="72DF2D69"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Dignity Pasifik is a woman led research and Business Advisory / training Services Provider focussing on rural women entrepreneurs and women owned businesses. Support has focused on improving  their ability to provide BDS directly to  rural small businesses, as well as individuals/trainers interested in becoming BDS providers in their own communities</w:t>
            </w:r>
          </w:p>
        </w:tc>
      </w:tr>
      <w:tr w:rsidR="00862FDD" w:rsidRPr="00250C48" w14:paraId="61F8A385" w14:textId="77777777" w:rsidTr="00A62101">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59" w:type="pct"/>
            <w:hideMark/>
          </w:tcPr>
          <w:p w14:paraId="07A1CBD8"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6515C614"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Phase 2: WARA Sustainability and WARA Access to Finance</w:t>
            </w:r>
          </w:p>
        </w:tc>
        <w:tc>
          <w:tcPr>
            <w:tcW w:w="529" w:type="pct"/>
            <w:hideMark/>
          </w:tcPr>
          <w:p w14:paraId="0F5CD857"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West 'Are'Are Rokotanikeni Association (WARA)</w:t>
            </w:r>
          </w:p>
        </w:tc>
        <w:tc>
          <w:tcPr>
            <w:tcW w:w="425" w:type="pct"/>
            <w:hideMark/>
          </w:tcPr>
          <w:p w14:paraId="77E44ABB"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10-Dec-18</w:t>
            </w:r>
          </w:p>
        </w:tc>
        <w:tc>
          <w:tcPr>
            <w:tcW w:w="370" w:type="pct"/>
            <w:hideMark/>
          </w:tcPr>
          <w:p w14:paraId="0C13F2EE" w14:textId="4D351E22"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745B45D6"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Dr Alice Pollard</w:t>
            </w:r>
          </w:p>
        </w:tc>
        <w:tc>
          <w:tcPr>
            <w:tcW w:w="2107" w:type="pct"/>
            <w:hideMark/>
          </w:tcPr>
          <w:p w14:paraId="6C93177A"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West 'Are'Are Rokotanikeni Association (WARA) is a network of women’s saving clubs across several provinces and a key WEE advocacy actor. Strengthening their longer term sustainability has been a key focus, along with improving capacity to offer micro-finance services, financial literacy and gender sensitization to women and community  members</w:t>
            </w:r>
          </w:p>
        </w:tc>
      </w:tr>
      <w:tr w:rsidR="00A62101" w:rsidRPr="00250C48" w14:paraId="11900D62" w14:textId="77777777" w:rsidTr="00A62101">
        <w:trPr>
          <w:trHeight w:val="522"/>
        </w:trPr>
        <w:tc>
          <w:tcPr>
            <w:cnfStyle w:val="001000000000" w:firstRow="0" w:lastRow="0" w:firstColumn="1" w:lastColumn="0" w:oddVBand="0" w:evenVBand="0" w:oddHBand="0" w:evenHBand="0" w:firstRowFirstColumn="0" w:firstRowLastColumn="0" w:lastRowFirstColumn="0" w:lastRowLastColumn="0"/>
            <w:tcW w:w="459" w:type="pct"/>
            <w:hideMark/>
          </w:tcPr>
          <w:p w14:paraId="71C3BEF4"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7D81871B"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Phase 2: Dreamcast Sustainability</w:t>
            </w:r>
          </w:p>
        </w:tc>
        <w:tc>
          <w:tcPr>
            <w:tcW w:w="529" w:type="pct"/>
            <w:hideMark/>
          </w:tcPr>
          <w:p w14:paraId="6D29095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Dreamcast Theatre</w:t>
            </w:r>
          </w:p>
        </w:tc>
        <w:tc>
          <w:tcPr>
            <w:tcW w:w="425" w:type="pct"/>
            <w:hideMark/>
          </w:tcPr>
          <w:p w14:paraId="5A59775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23-Aug-19</w:t>
            </w:r>
          </w:p>
        </w:tc>
        <w:tc>
          <w:tcPr>
            <w:tcW w:w="370" w:type="pct"/>
            <w:hideMark/>
          </w:tcPr>
          <w:p w14:paraId="35456D13" w14:textId="5F12B06F"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43764B84"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Neil Nuia</w:t>
            </w:r>
          </w:p>
        </w:tc>
        <w:tc>
          <w:tcPr>
            <w:tcW w:w="2107" w:type="pct"/>
            <w:hideMark/>
          </w:tcPr>
          <w:p w14:paraId="2C3BEA16"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Support for Dreamcast, a hub for young entrepreneurs in the field of arts, has focused on improving their administrative capacity and governance, as well as developing a range of income generating activities towards increased financial sustainability. Dreamcast is also a key actor involved in raising awareness on topics relating to  WEE / Youth / PWD</w:t>
            </w:r>
          </w:p>
        </w:tc>
      </w:tr>
      <w:tr w:rsidR="00862FDD" w:rsidRPr="00250C48" w14:paraId="69FA4BDC" w14:textId="77777777" w:rsidTr="00A62101">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59" w:type="pct"/>
            <w:hideMark/>
          </w:tcPr>
          <w:p w14:paraId="5F3F10B5"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1170D330"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Phase 2: YECSI E-innovation Blo Iumi </w:t>
            </w:r>
          </w:p>
        </w:tc>
        <w:tc>
          <w:tcPr>
            <w:tcW w:w="529" w:type="pct"/>
            <w:hideMark/>
          </w:tcPr>
          <w:p w14:paraId="30628D57"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Young Entrepreneurs Council Solomon Islands (YECSI)</w:t>
            </w:r>
          </w:p>
        </w:tc>
        <w:tc>
          <w:tcPr>
            <w:tcW w:w="425" w:type="pct"/>
            <w:hideMark/>
          </w:tcPr>
          <w:p w14:paraId="4FD4FF39"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25-May-20</w:t>
            </w:r>
          </w:p>
        </w:tc>
        <w:tc>
          <w:tcPr>
            <w:tcW w:w="370" w:type="pct"/>
            <w:hideMark/>
          </w:tcPr>
          <w:p w14:paraId="39500586" w14:textId="2818F69B"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4DF0BB06"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Maverick Peter</w:t>
            </w:r>
          </w:p>
        </w:tc>
        <w:tc>
          <w:tcPr>
            <w:tcW w:w="2107" w:type="pct"/>
            <w:hideMark/>
          </w:tcPr>
          <w:p w14:paraId="2743AAC0"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The Young Entrepreneurs Council of Solomon Islands (YECSI) is a key youth advocacy group and support has focused on improving its capacity to provide services to their members- including those related to incubation and acceleration of member owned business enterprises. Improvements in their services seek to attract more new members and funding channels</w:t>
            </w:r>
          </w:p>
        </w:tc>
      </w:tr>
      <w:tr w:rsidR="00A62101" w:rsidRPr="00250C48" w14:paraId="7BCA3DB8" w14:textId="77777777" w:rsidTr="00A62101">
        <w:trPr>
          <w:trHeight w:val="1129"/>
        </w:trPr>
        <w:tc>
          <w:tcPr>
            <w:cnfStyle w:val="001000000000" w:firstRow="0" w:lastRow="0" w:firstColumn="1" w:lastColumn="0" w:oddVBand="0" w:evenVBand="0" w:oddHBand="0" w:evenHBand="0" w:firstRowFirstColumn="0" w:firstRowLastColumn="0" w:lastRowFirstColumn="0" w:lastRowLastColumn="0"/>
            <w:tcW w:w="459" w:type="pct"/>
            <w:hideMark/>
          </w:tcPr>
          <w:p w14:paraId="3C5CB324"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4B5140B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Strengthening Income Generation Capacity and Sustainability of the Vinakeke Youth Association </w:t>
            </w:r>
          </w:p>
        </w:tc>
        <w:tc>
          <w:tcPr>
            <w:tcW w:w="529" w:type="pct"/>
            <w:hideMark/>
          </w:tcPr>
          <w:p w14:paraId="072DC2F8"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Vinakeke Youth Association</w:t>
            </w:r>
          </w:p>
        </w:tc>
        <w:tc>
          <w:tcPr>
            <w:tcW w:w="425" w:type="pct"/>
            <w:hideMark/>
          </w:tcPr>
          <w:p w14:paraId="019D66EF"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01-Sep-21</w:t>
            </w:r>
          </w:p>
        </w:tc>
        <w:tc>
          <w:tcPr>
            <w:tcW w:w="370" w:type="pct"/>
            <w:hideMark/>
          </w:tcPr>
          <w:p w14:paraId="0E829334" w14:textId="011F262D"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Munda, Western Province</w:t>
            </w:r>
          </w:p>
        </w:tc>
        <w:tc>
          <w:tcPr>
            <w:tcW w:w="442" w:type="pct"/>
            <w:hideMark/>
          </w:tcPr>
          <w:p w14:paraId="4255E418"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Solson Kasa</w:t>
            </w:r>
          </w:p>
        </w:tc>
        <w:tc>
          <w:tcPr>
            <w:tcW w:w="2107" w:type="pct"/>
            <w:hideMark/>
          </w:tcPr>
          <w:p w14:paraId="741C4684"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Vinakeke Youth Association is a key youth advocacy group in Munda. Support has focused on improving the association's administrative capacity and governance, as well as developing a fish retailing activity to improve the group's financial sustainability-  as well as serve as a practical business skills learning opportunity for members involved</w:t>
            </w:r>
          </w:p>
        </w:tc>
      </w:tr>
      <w:tr w:rsidR="00862FDD" w:rsidRPr="00250C48" w14:paraId="606C0CDE" w14:textId="77777777" w:rsidTr="00A62101">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59" w:type="pct"/>
            <w:hideMark/>
          </w:tcPr>
          <w:p w14:paraId="03346151"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0B860EBC"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Driving School for Women’s Empowerment</w:t>
            </w:r>
          </w:p>
        </w:tc>
        <w:tc>
          <w:tcPr>
            <w:tcW w:w="529" w:type="pct"/>
            <w:hideMark/>
          </w:tcPr>
          <w:p w14:paraId="30EFFF84"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Solomon Islands Professional Driving Training Services (SIPDTS)</w:t>
            </w:r>
          </w:p>
        </w:tc>
        <w:tc>
          <w:tcPr>
            <w:tcW w:w="425" w:type="pct"/>
            <w:hideMark/>
          </w:tcPr>
          <w:p w14:paraId="022A44C9"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22-Jun-22</w:t>
            </w:r>
          </w:p>
        </w:tc>
        <w:tc>
          <w:tcPr>
            <w:tcW w:w="370" w:type="pct"/>
            <w:hideMark/>
          </w:tcPr>
          <w:p w14:paraId="2A9D9572" w14:textId="6999E880"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7A7AFE02"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Joyce Indu Lelau</w:t>
            </w:r>
          </w:p>
        </w:tc>
        <w:tc>
          <w:tcPr>
            <w:tcW w:w="2107" w:type="pct"/>
            <w:hideMark/>
          </w:tcPr>
          <w:p w14:paraId="5B6F85C7"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Access to a driving licence is more challenging for women than for men in Solomon Islands. Support to the only driving School in the Solomon Islands has sought to increase women’s access to a life skill that improves their employability -as well as agency for those who are women entrepreneurs</w:t>
            </w:r>
          </w:p>
        </w:tc>
      </w:tr>
      <w:tr w:rsidR="00A62101" w:rsidRPr="00250C48" w14:paraId="1ADB526A" w14:textId="77777777" w:rsidTr="00A62101">
        <w:trPr>
          <w:trHeight w:val="510"/>
        </w:trPr>
        <w:tc>
          <w:tcPr>
            <w:cnfStyle w:val="001000000000" w:firstRow="0" w:lastRow="0" w:firstColumn="1" w:lastColumn="0" w:oddVBand="0" w:evenVBand="0" w:oddHBand="0" w:evenHBand="0" w:firstRowFirstColumn="0" w:firstRowLastColumn="0" w:lastRowFirstColumn="0" w:lastRowLastColumn="0"/>
            <w:tcW w:w="459" w:type="pct"/>
            <w:hideMark/>
          </w:tcPr>
          <w:p w14:paraId="40A1439C"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05AB87D9"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Kaleko Steifree for Rural and Urban Women</w:t>
            </w:r>
          </w:p>
        </w:tc>
        <w:tc>
          <w:tcPr>
            <w:tcW w:w="529" w:type="pct"/>
            <w:hideMark/>
          </w:tcPr>
          <w:p w14:paraId="208750F2"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Kaleko Steifree</w:t>
            </w:r>
          </w:p>
        </w:tc>
        <w:tc>
          <w:tcPr>
            <w:tcW w:w="425" w:type="pct"/>
            <w:hideMark/>
          </w:tcPr>
          <w:p w14:paraId="023927D6"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30-May-19</w:t>
            </w:r>
          </w:p>
        </w:tc>
        <w:tc>
          <w:tcPr>
            <w:tcW w:w="370" w:type="pct"/>
            <w:hideMark/>
          </w:tcPr>
          <w:p w14:paraId="65BA0100" w14:textId="2C4475A3"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Honiara</w:t>
            </w:r>
          </w:p>
        </w:tc>
        <w:tc>
          <w:tcPr>
            <w:tcW w:w="442" w:type="pct"/>
            <w:hideMark/>
          </w:tcPr>
          <w:p w14:paraId="2BC5490D"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Mary Elizabeth Ramosaea</w:t>
            </w:r>
          </w:p>
        </w:tc>
        <w:tc>
          <w:tcPr>
            <w:tcW w:w="2107" w:type="pct"/>
            <w:hideMark/>
          </w:tcPr>
          <w:p w14:paraId="4A903F5B" w14:textId="77777777" w:rsidR="009B4C1F" w:rsidRPr="00A6061C" w:rsidRDefault="009B4C1F" w:rsidP="00A606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Strongim Bisnis supported Keleko Steifree to improve their capacity to produce and distribute re-washable sanitary pads for rural and urban women, thus improving access to quality menstrual hygiene</w:t>
            </w:r>
          </w:p>
        </w:tc>
      </w:tr>
      <w:tr w:rsidR="00862FDD" w:rsidRPr="00250C48" w14:paraId="6EA48657" w14:textId="77777777" w:rsidTr="00A62101">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9" w:type="pct"/>
            <w:hideMark/>
          </w:tcPr>
          <w:p w14:paraId="62F73223" w14:textId="77777777" w:rsidR="009B4C1F" w:rsidRPr="00A6061C" w:rsidRDefault="009B4C1F" w:rsidP="00A6061C">
            <w:pPr>
              <w:spacing w:after="0" w:line="240" w:lineRule="auto"/>
              <w:rPr>
                <w:rFonts w:eastAsia="Times New Roman" w:cstheme="minorHAnsi"/>
                <w:b/>
                <w:bCs/>
                <w:color w:val="000000"/>
                <w:sz w:val="18"/>
                <w:szCs w:val="18"/>
              </w:rPr>
            </w:pPr>
            <w:r w:rsidRPr="00A6061C">
              <w:rPr>
                <w:rFonts w:eastAsia="Times New Roman" w:cstheme="minorHAnsi"/>
                <w:b/>
                <w:bCs/>
                <w:color w:val="000000"/>
                <w:sz w:val="18"/>
                <w:szCs w:val="18"/>
              </w:rPr>
              <w:t>WEE / SI</w:t>
            </w:r>
          </w:p>
        </w:tc>
        <w:tc>
          <w:tcPr>
            <w:tcW w:w="668" w:type="pct"/>
            <w:hideMark/>
          </w:tcPr>
          <w:p w14:paraId="404B66AB"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 xml:space="preserve">SolTuna Childcare Facility Pilot </w:t>
            </w:r>
          </w:p>
        </w:tc>
        <w:tc>
          <w:tcPr>
            <w:tcW w:w="529" w:type="pct"/>
            <w:hideMark/>
          </w:tcPr>
          <w:p w14:paraId="27AE94ED"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SolTuna</w:t>
            </w:r>
          </w:p>
        </w:tc>
        <w:tc>
          <w:tcPr>
            <w:tcW w:w="425" w:type="pct"/>
            <w:hideMark/>
          </w:tcPr>
          <w:p w14:paraId="6F9403AA"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14-May-21</w:t>
            </w:r>
          </w:p>
        </w:tc>
        <w:tc>
          <w:tcPr>
            <w:tcW w:w="370" w:type="pct"/>
            <w:hideMark/>
          </w:tcPr>
          <w:p w14:paraId="1C5D7A1C"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Noro, Western Province</w:t>
            </w:r>
          </w:p>
        </w:tc>
        <w:tc>
          <w:tcPr>
            <w:tcW w:w="442" w:type="pct"/>
            <w:hideMark/>
          </w:tcPr>
          <w:p w14:paraId="492246A2" w14:textId="44A62160" w:rsidR="009B4C1F" w:rsidRPr="00A6061C" w:rsidRDefault="001773B7"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Soltuna and creche staff, and workers using the creche</w:t>
            </w:r>
            <w:r w:rsidR="009B4C1F" w:rsidRPr="00A6061C">
              <w:rPr>
                <w:rFonts w:eastAsia="Times New Roman" w:cstheme="minorHAnsi"/>
                <w:color w:val="000000"/>
                <w:sz w:val="18"/>
                <w:szCs w:val="18"/>
              </w:rPr>
              <w:t> </w:t>
            </w:r>
          </w:p>
        </w:tc>
        <w:tc>
          <w:tcPr>
            <w:tcW w:w="2107" w:type="pct"/>
            <w:hideMark/>
          </w:tcPr>
          <w:p w14:paraId="42FC931D" w14:textId="77777777" w:rsidR="009B4C1F" w:rsidRPr="00A6061C" w:rsidRDefault="009B4C1F" w:rsidP="00A6061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A6061C">
              <w:rPr>
                <w:rFonts w:eastAsia="Times New Roman" w:cstheme="minorHAnsi"/>
                <w:color w:val="000000"/>
                <w:sz w:val="18"/>
                <w:szCs w:val="18"/>
              </w:rPr>
              <w:t>SolTuna is a major employer in Solomon Islands, with a significant number falling in the youth age category, and women making up 2,000 of their employees.  Support has focused on developing childcare services for its employees, in order to potentially reduce their child-care burden and related levels of staff absenteeism and turnover.</w:t>
            </w:r>
          </w:p>
        </w:tc>
      </w:tr>
    </w:tbl>
    <w:p w14:paraId="2A1AC892" w14:textId="77777777" w:rsidR="00DB596B" w:rsidRDefault="00DB596B" w:rsidP="003B058D"/>
    <w:p w14:paraId="0D0542B4" w14:textId="30D93F0A" w:rsidR="002B7537" w:rsidRPr="00820CF4" w:rsidRDefault="002B7537" w:rsidP="002B7537">
      <w:pPr>
        <w:rPr>
          <w:b/>
          <w:bCs/>
          <w:color w:val="4E72D0" w:themeColor="background2" w:themeTint="99"/>
        </w:rPr>
      </w:pPr>
      <w:r w:rsidRPr="00820CF4">
        <w:rPr>
          <w:b/>
          <w:bCs/>
          <w:color w:val="4E72D0" w:themeColor="background2" w:themeTint="99"/>
        </w:rPr>
        <w:t>Table A4.2: Other Stakeholders Consulted</w:t>
      </w:r>
    </w:p>
    <w:tbl>
      <w:tblPr>
        <w:tblStyle w:val="DefaultTable"/>
        <w:tblW w:w="14454" w:type="dxa"/>
        <w:tblCellMar>
          <w:top w:w="57" w:type="dxa"/>
          <w:bottom w:w="57" w:type="dxa"/>
        </w:tblCellMar>
        <w:tblLook w:val="04A0" w:firstRow="1" w:lastRow="0" w:firstColumn="1" w:lastColumn="0" w:noHBand="0" w:noVBand="1"/>
      </w:tblPr>
      <w:tblGrid>
        <w:gridCol w:w="4531"/>
        <w:gridCol w:w="1985"/>
        <w:gridCol w:w="7938"/>
      </w:tblGrid>
      <w:tr w:rsidR="00C70FC7" w:rsidRPr="00C70FC7" w14:paraId="0C256D05" w14:textId="77777777" w:rsidTr="00DA2A3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531" w:type="dxa"/>
          </w:tcPr>
          <w:p w14:paraId="4FA63861" w14:textId="4E336E7C" w:rsidR="00AE0136" w:rsidRPr="00C70FC7" w:rsidRDefault="00AE0136" w:rsidP="00820CF4">
            <w:pPr>
              <w:spacing w:after="0" w:line="240" w:lineRule="auto"/>
              <w:rPr>
                <w:rFonts w:eastAsia="Times New Roman" w:cstheme="minorHAnsi"/>
                <w:b/>
                <w:bCs/>
                <w:color w:val="FFFFFF" w:themeColor="background1"/>
                <w:sz w:val="18"/>
                <w:szCs w:val="18"/>
              </w:rPr>
            </w:pPr>
            <w:r w:rsidRPr="00C70FC7">
              <w:rPr>
                <w:rFonts w:eastAsia="Times New Roman" w:cstheme="minorHAnsi"/>
                <w:b/>
                <w:bCs/>
                <w:color w:val="FFFFFF" w:themeColor="background1"/>
                <w:sz w:val="18"/>
                <w:szCs w:val="18"/>
              </w:rPr>
              <w:t>Category</w:t>
            </w:r>
          </w:p>
        </w:tc>
        <w:tc>
          <w:tcPr>
            <w:tcW w:w="1985" w:type="dxa"/>
            <w:noWrap/>
          </w:tcPr>
          <w:p w14:paraId="521EB891" w14:textId="374AE7AA" w:rsidR="00AE0136" w:rsidRPr="00C70FC7" w:rsidRDefault="00AE0136" w:rsidP="00820CF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C70FC7">
              <w:rPr>
                <w:rFonts w:eastAsia="Times New Roman" w:cstheme="minorHAnsi"/>
                <w:b/>
                <w:bCs/>
                <w:color w:val="FFFFFF" w:themeColor="background1"/>
                <w:sz w:val="18"/>
                <w:szCs w:val="18"/>
              </w:rPr>
              <w:t>Organisation</w:t>
            </w:r>
          </w:p>
        </w:tc>
        <w:tc>
          <w:tcPr>
            <w:tcW w:w="7938" w:type="dxa"/>
          </w:tcPr>
          <w:p w14:paraId="7F9B840A" w14:textId="1148788E" w:rsidR="00AE0136" w:rsidRPr="00C70FC7" w:rsidRDefault="00AE0136" w:rsidP="00820CF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18"/>
                <w:szCs w:val="18"/>
              </w:rPr>
            </w:pPr>
            <w:r w:rsidRPr="00C70FC7">
              <w:rPr>
                <w:rFonts w:eastAsia="Times New Roman" w:cstheme="minorHAnsi"/>
                <w:b/>
                <w:bCs/>
                <w:color w:val="FFFFFF" w:themeColor="background1"/>
                <w:sz w:val="18"/>
                <w:szCs w:val="18"/>
              </w:rPr>
              <w:t>Individuals</w:t>
            </w:r>
          </w:p>
        </w:tc>
      </w:tr>
      <w:tr w:rsidR="00AE0136" w:rsidRPr="00C70FC7" w14:paraId="2180557B" w14:textId="77777777" w:rsidTr="006940AA">
        <w:trPr>
          <w:trHeight w:val="20"/>
        </w:trPr>
        <w:tc>
          <w:tcPr>
            <w:cnfStyle w:val="001000000000" w:firstRow="0" w:lastRow="0" w:firstColumn="1" w:lastColumn="0" w:oddVBand="0" w:evenVBand="0" w:oddHBand="0" w:evenHBand="0" w:firstRowFirstColumn="0" w:firstRowLastColumn="0" w:lastRowFirstColumn="0" w:lastRowLastColumn="0"/>
            <w:tcW w:w="4531" w:type="dxa"/>
          </w:tcPr>
          <w:p w14:paraId="5BB724FB" w14:textId="64853F55" w:rsidR="00AE0136" w:rsidRPr="00C70FC7" w:rsidRDefault="00AE0136"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SIG/Steering Committee</w:t>
            </w:r>
          </w:p>
        </w:tc>
        <w:tc>
          <w:tcPr>
            <w:tcW w:w="1985" w:type="dxa"/>
            <w:noWrap/>
            <w:hideMark/>
          </w:tcPr>
          <w:p w14:paraId="733266F1" w14:textId="77B0FBC1"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MAL</w:t>
            </w:r>
          </w:p>
        </w:tc>
        <w:tc>
          <w:tcPr>
            <w:tcW w:w="7938" w:type="dxa"/>
            <w:hideMark/>
          </w:tcPr>
          <w:p w14:paraId="7ABC3669" w14:textId="0C43F222"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 xml:space="preserve">PS Lottie </w:t>
            </w:r>
            <w:r w:rsidR="001D6A2B" w:rsidRPr="00C75B95">
              <w:rPr>
                <w:rFonts w:eastAsia="Times New Roman" w:cstheme="minorHAnsi"/>
                <w:color w:val="000000"/>
                <w:sz w:val="18"/>
                <w:szCs w:val="18"/>
              </w:rPr>
              <w:t>Vai</w:t>
            </w:r>
            <w:r w:rsidR="001D6A2B">
              <w:rPr>
                <w:rFonts w:eastAsia="Times New Roman" w:cstheme="minorHAnsi"/>
                <w:color w:val="000000"/>
                <w:sz w:val="18"/>
                <w:szCs w:val="18"/>
              </w:rPr>
              <w:t>s</w:t>
            </w:r>
            <w:r w:rsidR="001D6A2B" w:rsidRPr="00C75B95">
              <w:rPr>
                <w:rFonts w:eastAsia="Times New Roman" w:cstheme="minorHAnsi"/>
                <w:color w:val="000000"/>
                <w:sz w:val="18"/>
                <w:szCs w:val="18"/>
              </w:rPr>
              <w:t>ekavea</w:t>
            </w:r>
          </w:p>
        </w:tc>
      </w:tr>
      <w:tr w:rsidR="00AE0136" w:rsidRPr="00C70FC7" w14:paraId="5051A738" w14:textId="77777777" w:rsidTr="006940A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tcPr>
          <w:p w14:paraId="2E7BB96E" w14:textId="3C80960C" w:rsidR="00AE0136" w:rsidRPr="00C70FC7" w:rsidRDefault="00AE0136"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SIG/Steering Committee</w:t>
            </w:r>
          </w:p>
        </w:tc>
        <w:tc>
          <w:tcPr>
            <w:tcW w:w="1985" w:type="dxa"/>
            <w:noWrap/>
            <w:hideMark/>
          </w:tcPr>
          <w:p w14:paraId="535C028F" w14:textId="274F7657"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MCILI</w:t>
            </w:r>
          </w:p>
        </w:tc>
        <w:tc>
          <w:tcPr>
            <w:tcW w:w="7938" w:type="dxa"/>
            <w:hideMark/>
          </w:tcPr>
          <w:p w14:paraId="45D9D1C7" w14:textId="3794935B"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PS Riley</w:t>
            </w:r>
            <w:r w:rsidR="00B629A7">
              <w:rPr>
                <w:rFonts w:eastAsia="Times New Roman" w:cstheme="minorHAnsi"/>
                <w:color w:val="000000"/>
                <w:sz w:val="18"/>
                <w:szCs w:val="18"/>
              </w:rPr>
              <w:t xml:space="preserve"> Mesepitu</w:t>
            </w:r>
          </w:p>
        </w:tc>
      </w:tr>
      <w:tr w:rsidR="00AE0136" w:rsidRPr="00C70FC7" w14:paraId="1DB3C067" w14:textId="77777777" w:rsidTr="006940AA">
        <w:trPr>
          <w:trHeight w:val="20"/>
        </w:trPr>
        <w:tc>
          <w:tcPr>
            <w:cnfStyle w:val="001000000000" w:firstRow="0" w:lastRow="0" w:firstColumn="1" w:lastColumn="0" w:oddVBand="0" w:evenVBand="0" w:oddHBand="0" w:evenHBand="0" w:firstRowFirstColumn="0" w:firstRowLastColumn="0" w:lastRowFirstColumn="0" w:lastRowLastColumn="0"/>
            <w:tcW w:w="4531" w:type="dxa"/>
          </w:tcPr>
          <w:p w14:paraId="30381649" w14:textId="5A6BBEE2" w:rsidR="00AE0136" w:rsidRPr="00C70FC7" w:rsidRDefault="00AE0136"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SIG/Steering Committee</w:t>
            </w:r>
          </w:p>
        </w:tc>
        <w:tc>
          <w:tcPr>
            <w:tcW w:w="1985" w:type="dxa"/>
            <w:noWrap/>
          </w:tcPr>
          <w:p w14:paraId="433627C5" w14:textId="55C98D21" w:rsidR="00AE0136" w:rsidRPr="00C70FC7"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0FC7">
              <w:rPr>
                <w:rFonts w:eastAsia="Times New Roman" w:cstheme="minorHAnsi"/>
                <w:color w:val="000000"/>
                <w:sz w:val="18"/>
                <w:szCs w:val="18"/>
              </w:rPr>
              <w:t>MWYCFA</w:t>
            </w:r>
          </w:p>
        </w:tc>
        <w:tc>
          <w:tcPr>
            <w:tcW w:w="7938" w:type="dxa"/>
          </w:tcPr>
          <w:p w14:paraId="0FA08FA7" w14:textId="78E732CF" w:rsidR="00AE0136" w:rsidRPr="00C70FC7" w:rsidRDefault="000153BD"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Deputy PS Aaron Pitaqae</w:t>
            </w:r>
          </w:p>
        </w:tc>
      </w:tr>
      <w:tr w:rsidR="00B629A7" w:rsidRPr="00C70FC7" w14:paraId="665D67C6" w14:textId="77777777" w:rsidTr="006940A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tcPr>
          <w:p w14:paraId="310BC72F" w14:textId="6B96BC85" w:rsidR="00B629A7" w:rsidRPr="00C70FC7" w:rsidRDefault="00B629A7" w:rsidP="00820CF4">
            <w:pPr>
              <w:spacing w:after="0" w:line="240" w:lineRule="auto"/>
              <w:rPr>
                <w:rFonts w:eastAsia="Times New Roman" w:cstheme="minorHAnsi"/>
                <w:color w:val="000000"/>
                <w:sz w:val="18"/>
                <w:szCs w:val="18"/>
              </w:rPr>
            </w:pPr>
            <w:r>
              <w:rPr>
                <w:rFonts w:eastAsia="Times New Roman" w:cstheme="minorHAnsi"/>
                <w:color w:val="000000"/>
                <w:sz w:val="18"/>
                <w:szCs w:val="18"/>
              </w:rPr>
              <w:t>SIG/Steering Committee</w:t>
            </w:r>
          </w:p>
        </w:tc>
        <w:tc>
          <w:tcPr>
            <w:tcW w:w="1985" w:type="dxa"/>
            <w:noWrap/>
          </w:tcPr>
          <w:p w14:paraId="2BE5328A" w14:textId="64643435" w:rsidR="00B629A7" w:rsidRPr="00C75B95" w:rsidRDefault="00B629A7"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MCT</w:t>
            </w:r>
          </w:p>
        </w:tc>
        <w:tc>
          <w:tcPr>
            <w:tcW w:w="7938" w:type="dxa"/>
          </w:tcPr>
          <w:p w14:paraId="12D09128" w14:textId="55798461" w:rsidR="00B629A7" w:rsidRPr="00C70FC7" w:rsidRDefault="00B629A7"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PS Bunyan Sivoro</w:t>
            </w:r>
          </w:p>
        </w:tc>
      </w:tr>
      <w:tr w:rsidR="00AE0136" w:rsidRPr="00C70FC7" w14:paraId="0790D3E5" w14:textId="77777777" w:rsidTr="006940AA">
        <w:trPr>
          <w:trHeight w:val="20"/>
        </w:trPr>
        <w:tc>
          <w:tcPr>
            <w:cnfStyle w:val="001000000000" w:firstRow="0" w:lastRow="0" w:firstColumn="1" w:lastColumn="0" w:oddVBand="0" w:evenVBand="0" w:oddHBand="0" w:evenHBand="0" w:firstRowFirstColumn="0" w:firstRowLastColumn="0" w:lastRowFirstColumn="0" w:lastRowLastColumn="0"/>
            <w:tcW w:w="4531" w:type="dxa"/>
          </w:tcPr>
          <w:p w14:paraId="74EB507E" w14:textId="0386C4B1" w:rsidR="00AE0136" w:rsidRPr="00C70FC7" w:rsidRDefault="00AE0136"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Steering Committee</w:t>
            </w:r>
            <w:r w:rsidR="00387CAD">
              <w:rPr>
                <w:rFonts w:eastAsia="Times New Roman" w:cstheme="minorHAnsi"/>
                <w:color w:val="000000"/>
                <w:sz w:val="18"/>
                <w:szCs w:val="18"/>
              </w:rPr>
              <w:t>/</w:t>
            </w:r>
            <w:r w:rsidR="00575B6C">
              <w:rPr>
                <w:rFonts w:eastAsia="Times New Roman" w:cstheme="minorHAnsi"/>
                <w:color w:val="000000"/>
                <w:sz w:val="18"/>
                <w:szCs w:val="18"/>
              </w:rPr>
              <w:t>business organisation</w:t>
            </w:r>
          </w:p>
        </w:tc>
        <w:tc>
          <w:tcPr>
            <w:tcW w:w="1985" w:type="dxa"/>
            <w:noWrap/>
            <w:hideMark/>
          </w:tcPr>
          <w:p w14:paraId="6788E6B5" w14:textId="763BF322"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SICCI</w:t>
            </w:r>
          </w:p>
        </w:tc>
        <w:tc>
          <w:tcPr>
            <w:tcW w:w="7938" w:type="dxa"/>
            <w:hideMark/>
          </w:tcPr>
          <w:p w14:paraId="4AED2AD4" w14:textId="68B4BB2E"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0FC7">
              <w:rPr>
                <w:rFonts w:eastAsia="Times New Roman" w:cstheme="minorHAnsi"/>
                <w:color w:val="000000"/>
                <w:sz w:val="18"/>
                <w:szCs w:val="18"/>
              </w:rPr>
              <w:t>Natalina Hong</w:t>
            </w:r>
            <w:r w:rsidRPr="00C75B95">
              <w:rPr>
                <w:rFonts w:eastAsia="Times New Roman" w:cstheme="minorHAnsi"/>
                <w:color w:val="000000"/>
                <w:sz w:val="18"/>
                <w:szCs w:val="18"/>
              </w:rPr>
              <w:t>, CEO</w:t>
            </w:r>
            <w:r w:rsidRPr="00C70FC7">
              <w:rPr>
                <w:rFonts w:eastAsia="Times New Roman" w:cstheme="minorHAnsi"/>
                <w:color w:val="000000"/>
                <w:sz w:val="18"/>
                <w:szCs w:val="18"/>
              </w:rPr>
              <w:t>; Ricky F</w:t>
            </w:r>
            <w:r w:rsidR="009958B7">
              <w:rPr>
                <w:rFonts w:eastAsia="Times New Roman" w:cstheme="minorHAnsi"/>
                <w:color w:val="000000"/>
                <w:sz w:val="18"/>
                <w:szCs w:val="18"/>
              </w:rPr>
              <w:t>uo</w:t>
            </w:r>
            <w:r w:rsidRPr="00C70FC7">
              <w:rPr>
                <w:rFonts w:eastAsia="Times New Roman" w:cstheme="minorHAnsi"/>
                <w:color w:val="000000"/>
                <w:sz w:val="18"/>
                <w:szCs w:val="18"/>
              </w:rPr>
              <w:t>’o, Chairman</w:t>
            </w:r>
          </w:p>
        </w:tc>
      </w:tr>
      <w:tr w:rsidR="00AE0136" w:rsidRPr="00C70FC7" w14:paraId="465BBCF0" w14:textId="77777777" w:rsidTr="006940A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tcPr>
          <w:p w14:paraId="11457BC3" w14:textId="114CF67B" w:rsidR="00AE0136" w:rsidRPr="00C70FC7" w:rsidRDefault="00AC478E"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Development partner</w:t>
            </w:r>
          </w:p>
        </w:tc>
        <w:tc>
          <w:tcPr>
            <w:tcW w:w="1985" w:type="dxa"/>
            <w:hideMark/>
          </w:tcPr>
          <w:p w14:paraId="5A1DB99A" w14:textId="311BC446"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NZ</w:t>
            </w:r>
            <w:r w:rsidRPr="00C70FC7">
              <w:rPr>
                <w:rFonts w:eastAsia="Times New Roman" w:cstheme="minorHAnsi"/>
                <w:color w:val="000000"/>
                <w:sz w:val="18"/>
                <w:szCs w:val="18"/>
              </w:rPr>
              <w:t xml:space="preserve"> </w:t>
            </w:r>
            <w:r w:rsidRPr="00C75B95">
              <w:rPr>
                <w:rFonts w:eastAsia="Times New Roman" w:cstheme="minorHAnsi"/>
                <w:color w:val="000000"/>
                <w:sz w:val="18"/>
                <w:szCs w:val="18"/>
              </w:rPr>
              <w:t>MFAT</w:t>
            </w:r>
          </w:p>
        </w:tc>
        <w:tc>
          <w:tcPr>
            <w:tcW w:w="7938" w:type="dxa"/>
            <w:hideMark/>
          </w:tcPr>
          <w:p w14:paraId="2E4273A8" w14:textId="77777777"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Joe McCarter</w:t>
            </w:r>
          </w:p>
        </w:tc>
      </w:tr>
      <w:tr w:rsidR="00AE0136" w:rsidRPr="00C70FC7" w14:paraId="0A222238" w14:textId="77777777" w:rsidTr="006940AA">
        <w:trPr>
          <w:trHeight w:val="20"/>
        </w:trPr>
        <w:tc>
          <w:tcPr>
            <w:cnfStyle w:val="001000000000" w:firstRow="0" w:lastRow="0" w:firstColumn="1" w:lastColumn="0" w:oddVBand="0" w:evenVBand="0" w:oddHBand="0" w:evenHBand="0" w:firstRowFirstColumn="0" w:firstRowLastColumn="0" w:lastRowFirstColumn="0" w:lastRowLastColumn="0"/>
            <w:tcW w:w="4531" w:type="dxa"/>
          </w:tcPr>
          <w:p w14:paraId="5C359FA5" w14:textId="15C3AC41" w:rsidR="00AE0136" w:rsidRPr="00C70FC7" w:rsidRDefault="00AC478E"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Development partner</w:t>
            </w:r>
            <w:r w:rsidR="008F1F94" w:rsidRPr="00C70FC7">
              <w:rPr>
                <w:rFonts w:eastAsia="Times New Roman" w:cstheme="minorHAnsi"/>
                <w:color w:val="000000"/>
                <w:sz w:val="18"/>
                <w:szCs w:val="18"/>
              </w:rPr>
              <w:t xml:space="preserve">; </w:t>
            </w:r>
            <w:r w:rsidR="009038FB">
              <w:rPr>
                <w:rFonts w:eastAsia="Times New Roman" w:cstheme="minorHAnsi"/>
                <w:color w:val="000000"/>
                <w:sz w:val="18"/>
                <w:szCs w:val="18"/>
              </w:rPr>
              <w:t xml:space="preserve">deliver </w:t>
            </w:r>
            <w:r w:rsidR="008F1F94" w:rsidRPr="00C70FC7">
              <w:rPr>
                <w:rFonts w:eastAsia="Times New Roman" w:cstheme="minorHAnsi"/>
                <w:color w:val="000000"/>
                <w:sz w:val="18"/>
                <w:szCs w:val="18"/>
              </w:rPr>
              <w:t>Aust</w:t>
            </w:r>
            <w:r w:rsidR="009038FB">
              <w:rPr>
                <w:rFonts w:eastAsia="Times New Roman" w:cstheme="minorHAnsi"/>
                <w:color w:val="000000"/>
                <w:sz w:val="18"/>
                <w:szCs w:val="18"/>
              </w:rPr>
              <w:t>ralia</w:t>
            </w:r>
            <w:r w:rsidR="006940AA">
              <w:rPr>
                <w:rFonts w:eastAsia="Times New Roman" w:cstheme="minorHAnsi"/>
                <w:color w:val="000000"/>
                <w:sz w:val="18"/>
                <w:szCs w:val="18"/>
              </w:rPr>
              <w:t>-funded</w:t>
            </w:r>
            <w:r w:rsidR="008F1F94" w:rsidRPr="00C70FC7">
              <w:rPr>
                <w:rFonts w:eastAsia="Times New Roman" w:cstheme="minorHAnsi"/>
                <w:color w:val="000000"/>
                <w:sz w:val="18"/>
                <w:szCs w:val="18"/>
              </w:rPr>
              <w:t xml:space="preserve"> regional program</w:t>
            </w:r>
            <w:r w:rsidR="009038FB">
              <w:rPr>
                <w:rFonts w:eastAsia="Times New Roman" w:cstheme="minorHAnsi"/>
                <w:color w:val="000000"/>
                <w:sz w:val="18"/>
                <w:szCs w:val="18"/>
              </w:rPr>
              <w:t xml:space="preserve"> (PSDI)</w:t>
            </w:r>
          </w:p>
        </w:tc>
        <w:tc>
          <w:tcPr>
            <w:tcW w:w="1985" w:type="dxa"/>
          </w:tcPr>
          <w:p w14:paraId="6F91265C" w14:textId="5C8101F9" w:rsidR="00AE0136" w:rsidRPr="00C70FC7"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ADB</w:t>
            </w:r>
          </w:p>
        </w:tc>
        <w:tc>
          <w:tcPr>
            <w:tcW w:w="7938" w:type="dxa"/>
          </w:tcPr>
          <w:p w14:paraId="2E799A53" w14:textId="26DA508A" w:rsidR="00AE0136" w:rsidRPr="00C70FC7"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0FC7">
              <w:rPr>
                <w:rFonts w:eastAsia="Times New Roman" w:cstheme="minorHAnsi"/>
                <w:color w:val="000000"/>
                <w:sz w:val="18"/>
                <w:szCs w:val="18"/>
              </w:rPr>
              <w:t>Jeremy Cleaver, Terry Reid, Jarrod Harrington (</w:t>
            </w:r>
            <w:r w:rsidRPr="00C75B95">
              <w:rPr>
                <w:rFonts w:eastAsia="Times New Roman" w:cstheme="minorHAnsi"/>
                <w:color w:val="000000"/>
                <w:sz w:val="18"/>
                <w:szCs w:val="18"/>
              </w:rPr>
              <w:t>PSDI</w:t>
            </w:r>
            <w:r w:rsidRPr="00C70FC7">
              <w:rPr>
                <w:rFonts w:eastAsia="Times New Roman" w:cstheme="minorHAnsi"/>
                <w:color w:val="000000"/>
                <w:sz w:val="18"/>
                <w:szCs w:val="18"/>
              </w:rPr>
              <w:t>)</w:t>
            </w:r>
          </w:p>
        </w:tc>
      </w:tr>
      <w:tr w:rsidR="00AE0136" w:rsidRPr="00C70FC7" w14:paraId="0DD9FF58" w14:textId="77777777" w:rsidTr="006940A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tcPr>
          <w:p w14:paraId="0B28C2AC" w14:textId="38A586A0" w:rsidR="00AE0136" w:rsidRPr="00C70FC7" w:rsidRDefault="00AC478E"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Development partner</w:t>
            </w:r>
            <w:r w:rsidR="008F1F94" w:rsidRPr="00C70FC7">
              <w:rPr>
                <w:rFonts w:eastAsia="Times New Roman" w:cstheme="minorHAnsi"/>
                <w:color w:val="000000"/>
                <w:sz w:val="18"/>
                <w:szCs w:val="18"/>
              </w:rPr>
              <w:t xml:space="preserve">; </w:t>
            </w:r>
            <w:r w:rsidR="006940AA">
              <w:rPr>
                <w:rFonts w:eastAsia="Times New Roman" w:cstheme="minorHAnsi"/>
                <w:color w:val="000000"/>
                <w:sz w:val="18"/>
                <w:szCs w:val="18"/>
              </w:rPr>
              <w:t>deliver Aust</w:t>
            </w:r>
            <w:r w:rsidR="009038FB">
              <w:rPr>
                <w:rFonts w:eastAsia="Times New Roman" w:cstheme="minorHAnsi"/>
                <w:color w:val="000000"/>
                <w:sz w:val="18"/>
                <w:szCs w:val="18"/>
              </w:rPr>
              <w:t>ralia</w:t>
            </w:r>
            <w:r w:rsidR="006940AA">
              <w:rPr>
                <w:rFonts w:eastAsia="Times New Roman" w:cstheme="minorHAnsi"/>
                <w:color w:val="000000"/>
                <w:sz w:val="18"/>
                <w:szCs w:val="18"/>
              </w:rPr>
              <w:t xml:space="preserve">-funded </w:t>
            </w:r>
            <w:r w:rsidR="009038FB">
              <w:rPr>
                <w:rFonts w:eastAsia="Times New Roman" w:cstheme="minorHAnsi"/>
                <w:color w:val="000000"/>
                <w:sz w:val="18"/>
                <w:szCs w:val="18"/>
              </w:rPr>
              <w:t>regional program (</w:t>
            </w:r>
            <w:r w:rsidR="006940AA">
              <w:rPr>
                <w:rFonts w:eastAsia="Times New Roman" w:cstheme="minorHAnsi"/>
                <w:color w:val="000000"/>
                <w:sz w:val="18"/>
                <w:szCs w:val="18"/>
              </w:rPr>
              <w:t>PDEP</w:t>
            </w:r>
            <w:r w:rsidR="009038FB">
              <w:rPr>
                <w:rFonts w:eastAsia="Times New Roman" w:cstheme="minorHAnsi"/>
                <w:color w:val="000000"/>
                <w:sz w:val="18"/>
                <w:szCs w:val="18"/>
              </w:rPr>
              <w:t>)</w:t>
            </w:r>
          </w:p>
        </w:tc>
        <w:tc>
          <w:tcPr>
            <w:tcW w:w="1985" w:type="dxa"/>
            <w:hideMark/>
          </w:tcPr>
          <w:p w14:paraId="486C12E9" w14:textId="387211FC"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UNCDF</w:t>
            </w:r>
          </w:p>
        </w:tc>
        <w:tc>
          <w:tcPr>
            <w:tcW w:w="7938" w:type="dxa"/>
            <w:hideMark/>
          </w:tcPr>
          <w:p w14:paraId="3A7DF984" w14:textId="6D7D02B1"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 xml:space="preserve">Zoe </w:t>
            </w:r>
            <w:r w:rsidRPr="00C70FC7">
              <w:rPr>
                <w:rFonts w:eastAsia="Times New Roman" w:cstheme="minorHAnsi"/>
                <w:color w:val="000000"/>
                <w:sz w:val="18"/>
                <w:szCs w:val="18"/>
              </w:rPr>
              <w:t xml:space="preserve">Victoria Tate, </w:t>
            </w:r>
            <w:r w:rsidRPr="00C75B95">
              <w:rPr>
                <w:rFonts w:eastAsia="Times New Roman" w:cstheme="minorHAnsi"/>
                <w:color w:val="000000"/>
                <w:sz w:val="18"/>
                <w:szCs w:val="18"/>
              </w:rPr>
              <w:t>Sam</w:t>
            </w:r>
            <w:r w:rsidRPr="00C70FC7">
              <w:rPr>
                <w:rFonts w:eastAsia="Times New Roman" w:cstheme="minorHAnsi"/>
                <w:color w:val="000000"/>
                <w:sz w:val="18"/>
                <w:szCs w:val="18"/>
              </w:rPr>
              <w:t xml:space="preserve"> Mulawa</w:t>
            </w:r>
            <w:r w:rsidR="00AC478E" w:rsidRPr="00C70FC7">
              <w:rPr>
                <w:rFonts w:eastAsia="Times New Roman" w:cstheme="minorHAnsi"/>
                <w:color w:val="000000"/>
                <w:sz w:val="18"/>
                <w:szCs w:val="18"/>
              </w:rPr>
              <w:t xml:space="preserve"> (</w:t>
            </w:r>
            <w:r w:rsidR="00AE3E98" w:rsidRPr="00C70FC7">
              <w:rPr>
                <w:rFonts w:eastAsia="Times New Roman" w:cstheme="minorHAnsi"/>
                <w:color w:val="000000"/>
                <w:sz w:val="18"/>
                <w:szCs w:val="18"/>
              </w:rPr>
              <w:t>PDEP)</w:t>
            </w:r>
          </w:p>
        </w:tc>
      </w:tr>
      <w:tr w:rsidR="00AE0136" w:rsidRPr="00C70FC7" w14:paraId="5CF25539" w14:textId="77777777" w:rsidTr="006940AA">
        <w:trPr>
          <w:trHeight w:val="20"/>
        </w:trPr>
        <w:tc>
          <w:tcPr>
            <w:cnfStyle w:val="001000000000" w:firstRow="0" w:lastRow="0" w:firstColumn="1" w:lastColumn="0" w:oddVBand="0" w:evenVBand="0" w:oddHBand="0" w:evenHBand="0" w:firstRowFirstColumn="0" w:firstRowLastColumn="0" w:lastRowFirstColumn="0" w:lastRowLastColumn="0"/>
            <w:tcW w:w="4531" w:type="dxa"/>
          </w:tcPr>
          <w:p w14:paraId="4138B784" w14:textId="49127CF4" w:rsidR="00AE0136" w:rsidRPr="00C70FC7" w:rsidRDefault="008F1F94"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Aust</w:t>
            </w:r>
            <w:r w:rsidR="00FE4D6D">
              <w:rPr>
                <w:rFonts w:eastAsia="Times New Roman" w:cstheme="minorHAnsi"/>
                <w:color w:val="000000"/>
                <w:sz w:val="18"/>
                <w:szCs w:val="18"/>
              </w:rPr>
              <w:t>ralia-New Zealand funded</w:t>
            </w:r>
            <w:r w:rsidRPr="00C70FC7">
              <w:rPr>
                <w:rFonts w:eastAsia="Times New Roman" w:cstheme="minorHAnsi"/>
                <w:color w:val="000000"/>
                <w:sz w:val="18"/>
                <w:szCs w:val="18"/>
              </w:rPr>
              <w:t xml:space="preserve"> regional program</w:t>
            </w:r>
          </w:p>
        </w:tc>
        <w:tc>
          <w:tcPr>
            <w:tcW w:w="1985" w:type="dxa"/>
            <w:noWrap/>
            <w:hideMark/>
          </w:tcPr>
          <w:p w14:paraId="7F2583E5" w14:textId="0BFB42A7"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PHAMA Plus</w:t>
            </w:r>
          </w:p>
        </w:tc>
        <w:tc>
          <w:tcPr>
            <w:tcW w:w="7938" w:type="dxa"/>
            <w:hideMark/>
          </w:tcPr>
          <w:p w14:paraId="5AC544EE" w14:textId="639EF4D4"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Ethel Frances, interim team leader</w:t>
            </w:r>
            <w:r w:rsidRPr="00C70FC7">
              <w:rPr>
                <w:rFonts w:eastAsia="Times New Roman" w:cstheme="minorHAnsi"/>
                <w:color w:val="000000"/>
                <w:sz w:val="18"/>
                <w:szCs w:val="18"/>
              </w:rPr>
              <w:t>, and staff</w:t>
            </w:r>
          </w:p>
        </w:tc>
      </w:tr>
      <w:tr w:rsidR="00AE0136" w:rsidRPr="00C70FC7" w14:paraId="467F41EB" w14:textId="77777777" w:rsidTr="006940A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tcPr>
          <w:p w14:paraId="69801F95" w14:textId="0A77FE89" w:rsidR="00AE0136" w:rsidRPr="00C70FC7" w:rsidRDefault="008F1F94"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Aust</w:t>
            </w:r>
            <w:r w:rsidR="009038FB">
              <w:rPr>
                <w:rFonts w:eastAsia="Times New Roman" w:cstheme="minorHAnsi"/>
                <w:color w:val="000000"/>
                <w:sz w:val="18"/>
                <w:szCs w:val="18"/>
              </w:rPr>
              <w:t>ralian</w:t>
            </w:r>
            <w:r w:rsidRPr="00C70FC7">
              <w:rPr>
                <w:rFonts w:eastAsia="Times New Roman" w:cstheme="minorHAnsi"/>
                <w:color w:val="000000"/>
                <w:sz w:val="18"/>
                <w:szCs w:val="18"/>
              </w:rPr>
              <w:t xml:space="preserve"> Gov</w:t>
            </w:r>
            <w:r w:rsidR="009B68BB">
              <w:rPr>
                <w:rFonts w:eastAsia="Times New Roman" w:cstheme="minorHAnsi"/>
                <w:color w:val="000000"/>
                <w:sz w:val="18"/>
                <w:szCs w:val="18"/>
              </w:rPr>
              <w:t>ernmen</w:t>
            </w:r>
            <w:r w:rsidRPr="00C70FC7">
              <w:rPr>
                <w:rFonts w:eastAsia="Times New Roman" w:cstheme="minorHAnsi"/>
                <w:color w:val="000000"/>
                <w:sz w:val="18"/>
                <w:szCs w:val="18"/>
              </w:rPr>
              <w:t>t</w:t>
            </w:r>
          </w:p>
        </w:tc>
        <w:tc>
          <w:tcPr>
            <w:tcW w:w="1985" w:type="dxa"/>
            <w:hideMark/>
          </w:tcPr>
          <w:p w14:paraId="57BC41B9" w14:textId="33EEC173"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DFAT</w:t>
            </w:r>
            <w:r w:rsidRPr="00C70FC7">
              <w:rPr>
                <w:rFonts w:eastAsia="Times New Roman" w:cstheme="minorHAnsi"/>
                <w:color w:val="000000"/>
                <w:sz w:val="18"/>
                <w:szCs w:val="18"/>
              </w:rPr>
              <w:t xml:space="preserve"> (AHC Honiara)</w:t>
            </w:r>
          </w:p>
        </w:tc>
        <w:tc>
          <w:tcPr>
            <w:tcW w:w="7938" w:type="dxa"/>
            <w:hideMark/>
          </w:tcPr>
          <w:p w14:paraId="5D5FFD24" w14:textId="77777777" w:rsidR="00AE0136" w:rsidRPr="00C75B95" w:rsidRDefault="00AE0136" w:rsidP="00820CF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Louisa Macdonald Hall, Rosslyn Ramoifuila, Bridget Sitai, Sally-Anne Vincent, Alison Purnell</w:t>
            </w:r>
          </w:p>
        </w:tc>
      </w:tr>
      <w:tr w:rsidR="00AE0136" w:rsidRPr="00C70FC7" w14:paraId="71BB2E3F" w14:textId="77777777" w:rsidTr="006940AA">
        <w:trPr>
          <w:trHeight w:val="20"/>
        </w:trPr>
        <w:tc>
          <w:tcPr>
            <w:cnfStyle w:val="001000000000" w:firstRow="0" w:lastRow="0" w:firstColumn="1" w:lastColumn="0" w:oddVBand="0" w:evenVBand="0" w:oddHBand="0" w:evenHBand="0" w:firstRowFirstColumn="0" w:firstRowLastColumn="0" w:lastRowFirstColumn="0" w:lastRowLastColumn="0"/>
            <w:tcW w:w="4531" w:type="dxa"/>
          </w:tcPr>
          <w:p w14:paraId="358863D6" w14:textId="566A20E1" w:rsidR="00AE0136" w:rsidRPr="00C70FC7" w:rsidRDefault="008F1F94" w:rsidP="00820CF4">
            <w:pPr>
              <w:spacing w:after="0" w:line="240" w:lineRule="auto"/>
              <w:rPr>
                <w:rFonts w:eastAsia="Times New Roman" w:cstheme="minorHAnsi"/>
                <w:color w:val="000000"/>
                <w:sz w:val="18"/>
                <w:szCs w:val="18"/>
              </w:rPr>
            </w:pPr>
            <w:r w:rsidRPr="00C70FC7">
              <w:rPr>
                <w:rFonts w:eastAsia="Times New Roman" w:cstheme="minorHAnsi"/>
                <w:color w:val="000000"/>
                <w:sz w:val="18"/>
                <w:szCs w:val="18"/>
              </w:rPr>
              <w:t>Managing contractor and implementing team</w:t>
            </w:r>
          </w:p>
        </w:tc>
        <w:tc>
          <w:tcPr>
            <w:tcW w:w="1985" w:type="dxa"/>
            <w:hideMark/>
          </w:tcPr>
          <w:p w14:paraId="1B10A72B" w14:textId="67BC1542"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Strongim Bisnis team</w:t>
            </w:r>
          </w:p>
        </w:tc>
        <w:tc>
          <w:tcPr>
            <w:tcW w:w="7938" w:type="dxa"/>
            <w:hideMark/>
          </w:tcPr>
          <w:p w14:paraId="4E175F98" w14:textId="6D389E27" w:rsidR="00AE0136" w:rsidRPr="00C75B95" w:rsidRDefault="00AE0136" w:rsidP="00820CF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75B95">
              <w:rPr>
                <w:rFonts w:eastAsia="Times New Roman" w:cstheme="minorHAnsi"/>
                <w:color w:val="000000"/>
                <w:sz w:val="18"/>
                <w:szCs w:val="18"/>
              </w:rPr>
              <w:t xml:space="preserve">Phil Montgomery, Paul Valemei, Gianluca Nardi, Jawad Khan, </w:t>
            </w:r>
            <w:r w:rsidRPr="00C70FC7">
              <w:rPr>
                <w:rFonts w:eastAsia="Times New Roman" w:cstheme="minorHAnsi"/>
                <w:color w:val="000000"/>
                <w:sz w:val="18"/>
                <w:szCs w:val="18"/>
              </w:rPr>
              <w:t xml:space="preserve">Erin </w:t>
            </w:r>
            <w:r w:rsidR="000913D0" w:rsidRPr="00C70FC7">
              <w:rPr>
                <w:rFonts w:eastAsia="Times New Roman" w:cstheme="minorHAnsi"/>
                <w:color w:val="000000"/>
                <w:sz w:val="18"/>
                <w:szCs w:val="18"/>
              </w:rPr>
              <w:t>Tu</w:t>
            </w:r>
            <w:r w:rsidR="000913D0">
              <w:rPr>
                <w:rFonts w:eastAsia="Times New Roman" w:cstheme="minorHAnsi"/>
                <w:color w:val="000000"/>
                <w:sz w:val="18"/>
                <w:szCs w:val="18"/>
              </w:rPr>
              <w:t>h</w:t>
            </w:r>
            <w:r w:rsidR="000913D0" w:rsidRPr="00C70FC7">
              <w:rPr>
                <w:rFonts w:eastAsia="Times New Roman" w:cstheme="minorHAnsi"/>
                <w:color w:val="000000"/>
                <w:sz w:val="18"/>
                <w:szCs w:val="18"/>
              </w:rPr>
              <w:t>anuku</w:t>
            </w:r>
            <w:r w:rsidRPr="00C70FC7">
              <w:rPr>
                <w:rFonts w:eastAsia="Times New Roman" w:cstheme="minorHAnsi"/>
                <w:color w:val="000000"/>
                <w:sz w:val="18"/>
                <w:szCs w:val="18"/>
              </w:rPr>
              <w:t xml:space="preserve">, </w:t>
            </w:r>
            <w:r w:rsidR="00627A2F">
              <w:rPr>
                <w:rFonts w:eastAsia="Times New Roman" w:cstheme="minorHAnsi"/>
                <w:color w:val="000000"/>
                <w:sz w:val="18"/>
                <w:szCs w:val="18"/>
              </w:rPr>
              <w:t xml:space="preserve">Annah Macharia, Grace Hilly, Alice Eric, </w:t>
            </w:r>
            <w:r w:rsidR="00E16EE4">
              <w:rPr>
                <w:rFonts w:eastAsia="Times New Roman" w:cstheme="minorHAnsi"/>
                <w:color w:val="000000"/>
                <w:sz w:val="18"/>
                <w:szCs w:val="18"/>
              </w:rPr>
              <w:t xml:space="preserve">Luke Britton, </w:t>
            </w:r>
            <w:r w:rsidR="00627A2F">
              <w:rPr>
                <w:rFonts w:eastAsia="Times New Roman" w:cstheme="minorHAnsi"/>
                <w:color w:val="000000"/>
                <w:sz w:val="18"/>
                <w:szCs w:val="18"/>
              </w:rPr>
              <w:t>Alice Fakarii, Tracey Elo, Zefi Ker</w:t>
            </w:r>
            <w:r w:rsidR="000913D0">
              <w:rPr>
                <w:rFonts w:eastAsia="Times New Roman" w:cstheme="minorHAnsi"/>
                <w:color w:val="000000"/>
                <w:sz w:val="18"/>
                <w:szCs w:val="18"/>
              </w:rPr>
              <w:t>it</w:t>
            </w:r>
            <w:r w:rsidR="00627A2F">
              <w:rPr>
                <w:rFonts w:eastAsia="Times New Roman" w:cstheme="minorHAnsi"/>
                <w:color w:val="000000"/>
                <w:sz w:val="18"/>
                <w:szCs w:val="18"/>
              </w:rPr>
              <w:t>ina, Tina Puilingi</w:t>
            </w:r>
            <w:r w:rsidRPr="00C75B95">
              <w:rPr>
                <w:rFonts w:eastAsia="Times New Roman" w:cstheme="minorHAnsi"/>
                <w:color w:val="000000"/>
                <w:sz w:val="18"/>
                <w:szCs w:val="18"/>
              </w:rPr>
              <w:t>; Jennifer Syed (ASI)</w:t>
            </w:r>
          </w:p>
        </w:tc>
      </w:tr>
    </w:tbl>
    <w:p w14:paraId="24E26123" w14:textId="77777777" w:rsidR="002B7537" w:rsidRDefault="002B7537" w:rsidP="002B7537"/>
    <w:p w14:paraId="591F33AC" w14:textId="60EDFBD1" w:rsidR="002B7537" w:rsidRPr="002B7537" w:rsidRDefault="002B7537" w:rsidP="002B7537">
      <w:pPr>
        <w:sectPr w:rsidR="002B7537" w:rsidRPr="002B7537" w:rsidSect="00B06166">
          <w:pgSz w:w="16838" w:h="11906" w:orient="landscape" w:code="9"/>
          <w:pgMar w:top="1134" w:right="1245"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1423A995" w14:textId="3E9A79FD" w:rsidR="003B058D" w:rsidRDefault="00D86335" w:rsidP="003B058D">
      <w:pPr>
        <w:pStyle w:val="Heading1"/>
      </w:pPr>
      <w:bookmarkStart w:id="34" w:name="_Toc131170457"/>
      <w:r>
        <w:t>Annex 5</w:t>
      </w:r>
      <w:r w:rsidR="00D35397">
        <w:t>:</w:t>
      </w:r>
      <w:r>
        <w:t xml:space="preserve"> </w:t>
      </w:r>
      <w:r w:rsidR="007B4CFF">
        <w:t xml:space="preserve">Program-Level </w:t>
      </w:r>
      <w:r w:rsidR="00DA070E">
        <w:t>Results</w:t>
      </w:r>
      <w:r w:rsidR="00F9066E">
        <w:rPr>
          <w:rStyle w:val="FootnoteReference"/>
        </w:rPr>
        <w:footnoteReference w:id="28"/>
      </w:r>
      <w:bookmarkEnd w:id="34"/>
    </w:p>
    <w:p w14:paraId="740F2323" w14:textId="7FA3F268" w:rsidR="00E752BC" w:rsidRPr="00BD1301" w:rsidRDefault="00E752BC" w:rsidP="00E752BC">
      <w:pPr>
        <w:rPr>
          <w:b/>
          <w:bCs/>
        </w:rPr>
      </w:pPr>
      <w:r w:rsidRPr="00BD1301">
        <w:rPr>
          <w:b/>
          <w:bCs/>
        </w:rPr>
        <w:t xml:space="preserve">Table A5.1: Overall </w:t>
      </w:r>
      <w:r w:rsidR="007146AC" w:rsidRPr="00BD1301">
        <w:rPr>
          <w:b/>
          <w:bCs/>
        </w:rPr>
        <w:t>Results, Ph</w:t>
      </w:r>
      <w:r w:rsidR="00BD1301" w:rsidRPr="00BD1301">
        <w:rPr>
          <w:b/>
          <w:bCs/>
        </w:rPr>
        <w:t>ases 1 and 2</w:t>
      </w:r>
    </w:p>
    <w:tbl>
      <w:tblPr>
        <w:tblW w:w="5032" w:type="pct"/>
        <w:tblLook w:val="04A0" w:firstRow="1" w:lastRow="0" w:firstColumn="1" w:lastColumn="0" w:noHBand="0" w:noVBand="1"/>
      </w:tblPr>
      <w:tblGrid>
        <w:gridCol w:w="432"/>
        <w:gridCol w:w="432"/>
        <w:gridCol w:w="2149"/>
        <w:gridCol w:w="726"/>
        <w:gridCol w:w="1355"/>
        <w:gridCol w:w="1045"/>
        <w:gridCol w:w="895"/>
        <w:gridCol w:w="895"/>
        <w:gridCol w:w="1045"/>
        <w:gridCol w:w="1071"/>
      </w:tblGrid>
      <w:tr w:rsidR="004D3927" w:rsidRPr="00EE0D6F" w14:paraId="36D719D1" w14:textId="77777777" w:rsidTr="08123348">
        <w:trPr>
          <w:trHeight w:val="762"/>
          <w:tblHeader/>
        </w:trPr>
        <w:tc>
          <w:tcPr>
            <w:tcW w:w="218" w:type="pct"/>
            <w:vMerge w:val="restart"/>
            <w:tcBorders>
              <w:top w:val="single" w:sz="4" w:space="0" w:color="auto"/>
              <w:left w:val="single" w:sz="4" w:space="0" w:color="auto"/>
              <w:bottom w:val="single" w:sz="4" w:space="0" w:color="auto"/>
              <w:right w:val="single" w:sz="4" w:space="0" w:color="auto"/>
            </w:tcBorders>
            <w:shd w:val="clear" w:color="auto" w:fill="1D336D" w:themeFill="background2"/>
            <w:textDirection w:val="btLr"/>
            <w:vAlign w:val="center"/>
            <w:hideMark/>
          </w:tcPr>
          <w:p w14:paraId="7533C1D8" w14:textId="77777777" w:rsidR="001F0025" w:rsidRPr="00DA070E" w:rsidRDefault="001F0025" w:rsidP="00B823CF">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Level of Change</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1D336D" w:themeFill="background2"/>
            <w:textDirection w:val="btLr"/>
            <w:vAlign w:val="center"/>
            <w:hideMark/>
          </w:tcPr>
          <w:p w14:paraId="5DA07E4B" w14:textId="77777777" w:rsidR="001F0025" w:rsidRPr="00DA070E" w:rsidRDefault="001F0025" w:rsidP="00B823CF">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Indicator #</w:t>
            </w:r>
          </w:p>
        </w:tc>
        <w:tc>
          <w:tcPr>
            <w:tcW w:w="1083" w:type="pct"/>
            <w:vMerge w:val="restart"/>
            <w:tcBorders>
              <w:top w:val="single" w:sz="4" w:space="0" w:color="auto"/>
              <w:left w:val="single" w:sz="4" w:space="0" w:color="auto"/>
              <w:bottom w:val="single" w:sz="4" w:space="0" w:color="auto"/>
              <w:right w:val="single" w:sz="4" w:space="0" w:color="auto"/>
            </w:tcBorders>
            <w:shd w:val="clear" w:color="auto" w:fill="1D336D" w:themeFill="background2"/>
            <w:noWrap/>
            <w:vAlign w:val="center"/>
            <w:hideMark/>
          </w:tcPr>
          <w:p w14:paraId="7119E2C7" w14:textId="52350C9F" w:rsidR="001F0025" w:rsidRPr="00DA070E" w:rsidRDefault="001F0025" w:rsidP="00B823CF">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Common Indicators</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1D336D" w:themeFill="background2"/>
            <w:vAlign w:val="center"/>
            <w:hideMark/>
          </w:tcPr>
          <w:p w14:paraId="091DDCD7" w14:textId="41C1D101" w:rsidR="001F0025" w:rsidRPr="00DA070E" w:rsidRDefault="001F0025" w:rsidP="00906F7A">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EOPO</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1D336D" w:themeFill="background2"/>
            <w:vAlign w:val="center"/>
            <w:hideMark/>
          </w:tcPr>
          <w:p w14:paraId="59ADD0FC" w14:textId="28C33BC3" w:rsidR="001F0025" w:rsidRPr="00DA070E" w:rsidRDefault="57264097" w:rsidP="00B823CF">
            <w:pPr>
              <w:spacing w:after="0" w:line="240" w:lineRule="auto"/>
              <w:jc w:val="center"/>
              <w:rPr>
                <w:rFonts w:ascii="Franklin Gothic Book" w:eastAsia="Times New Roman" w:hAnsi="Franklin Gothic Book"/>
                <w:b/>
                <w:bCs/>
                <w:color w:val="FFFFFF" w:themeColor="background1"/>
                <w:sz w:val="18"/>
                <w:szCs w:val="18"/>
              </w:rPr>
            </w:pPr>
            <w:r w:rsidRPr="08123348">
              <w:rPr>
                <w:rFonts w:ascii="Franklin Gothic Book" w:eastAsia="Times New Roman" w:hAnsi="Franklin Gothic Book"/>
                <w:b/>
                <w:bCs/>
                <w:color w:val="FFFFFF" w:themeColor="background1"/>
                <w:sz w:val="18"/>
                <w:szCs w:val="18"/>
              </w:rPr>
              <w:t>Disaggregation</w:t>
            </w:r>
          </w:p>
        </w:tc>
        <w:tc>
          <w:tcPr>
            <w:tcW w:w="527" w:type="pct"/>
            <w:tcBorders>
              <w:top w:val="single" w:sz="4" w:space="0" w:color="auto"/>
              <w:left w:val="nil"/>
              <w:bottom w:val="single" w:sz="4" w:space="0" w:color="auto"/>
              <w:right w:val="single" w:sz="4" w:space="0" w:color="auto"/>
            </w:tcBorders>
            <w:shd w:val="clear" w:color="auto" w:fill="1D336D" w:themeFill="background2"/>
            <w:vAlign w:val="center"/>
            <w:hideMark/>
          </w:tcPr>
          <w:p w14:paraId="7C374C2E" w14:textId="77777777" w:rsidR="001F0025" w:rsidRPr="00DA070E" w:rsidRDefault="001F0025" w:rsidP="00B823CF">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Phase 1 &amp; Design Refresh- Actuals Achieved</w:t>
            </w:r>
          </w:p>
        </w:tc>
        <w:tc>
          <w:tcPr>
            <w:tcW w:w="1400" w:type="pct"/>
            <w:gridSpan w:val="3"/>
            <w:tcBorders>
              <w:top w:val="single" w:sz="4" w:space="0" w:color="auto"/>
              <w:left w:val="single" w:sz="4" w:space="0" w:color="auto"/>
              <w:bottom w:val="single" w:sz="4" w:space="0" w:color="auto"/>
              <w:right w:val="single" w:sz="4" w:space="0" w:color="auto"/>
            </w:tcBorders>
            <w:shd w:val="clear" w:color="auto" w:fill="1D336D" w:themeFill="background2"/>
            <w:vAlign w:val="center"/>
            <w:hideMark/>
          </w:tcPr>
          <w:p w14:paraId="6CF69241" w14:textId="64BA85D8" w:rsidR="001F0025" w:rsidRPr="00DA070E" w:rsidRDefault="001F0025" w:rsidP="00B823CF">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Phase 2 Actuals Achieved to Date</w:t>
            </w:r>
          </w:p>
        </w:tc>
        <w:tc>
          <w:tcPr>
            <w:tcW w:w="573" w:type="pct"/>
            <w:vMerge w:val="restart"/>
            <w:tcBorders>
              <w:top w:val="single" w:sz="4" w:space="0" w:color="auto"/>
              <w:left w:val="single" w:sz="4" w:space="0" w:color="auto"/>
              <w:right w:val="single" w:sz="4" w:space="0" w:color="auto"/>
            </w:tcBorders>
            <w:shd w:val="clear" w:color="auto" w:fill="1D336D" w:themeFill="background2"/>
            <w:vAlign w:val="center"/>
            <w:hideMark/>
          </w:tcPr>
          <w:p w14:paraId="709247BD" w14:textId="31FF40AA" w:rsidR="001F0025" w:rsidRPr="00DA070E" w:rsidRDefault="001F0025" w:rsidP="00B823CF">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Ph 1 &amp; 2 Cumulative Actuals Achieved to-date (LOP)</w:t>
            </w:r>
          </w:p>
        </w:tc>
      </w:tr>
      <w:tr w:rsidR="004D3927" w:rsidRPr="00DA070E" w14:paraId="76D98EA8" w14:textId="77777777" w:rsidTr="08123348">
        <w:trPr>
          <w:trHeight w:val="765"/>
          <w:tblHeader/>
        </w:trPr>
        <w:tc>
          <w:tcPr>
            <w:tcW w:w="218" w:type="pct"/>
            <w:vMerge/>
            <w:vAlign w:val="center"/>
            <w:hideMark/>
          </w:tcPr>
          <w:p w14:paraId="75064003"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0BD2B22C"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1083" w:type="pct"/>
            <w:vMerge/>
            <w:vAlign w:val="center"/>
            <w:hideMark/>
          </w:tcPr>
          <w:p w14:paraId="2D09F7DC"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384" w:type="pct"/>
            <w:vMerge/>
            <w:vAlign w:val="center"/>
            <w:hideMark/>
          </w:tcPr>
          <w:p w14:paraId="72767D66"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597" w:type="pct"/>
            <w:vMerge/>
            <w:vAlign w:val="center"/>
            <w:hideMark/>
          </w:tcPr>
          <w:p w14:paraId="46B5A106"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527" w:type="pct"/>
            <w:tcBorders>
              <w:top w:val="nil"/>
              <w:left w:val="nil"/>
              <w:bottom w:val="single" w:sz="4" w:space="0" w:color="auto"/>
              <w:right w:val="single" w:sz="4" w:space="0" w:color="auto"/>
            </w:tcBorders>
            <w:shd w:val="clear" w:color="auto" w:fill="1D336D" w:themeFill="background2"/>
            <w:hideMark/>
          </w:tcPr>
          <w:p w14:paraId="40EF3D78" w14:textId="03CED74D" w:rsidR="00B45FEC" w:rsidRPr="00DA070E" w:rsidRDefault="00B45FEC" w:rsidP="00B45FEC">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 xml:space="preserve">Jul 2017-Dec 2020 </w:t>
            </w:r>
          </w:p>
        </w:tc>
        <w:tc>
          <w:tcPr>
            <w:tcW w:w="458" w:type="pct"/>
            <w:tcBorders>
              <w:top w:val="single" w:sz="4" w:space="0" w:color="auto"/>
              <w:left w:val="nil"/>
              <w:bottom w:val="single" w:sz="4" w:space="0" w:color="auto"/>
              <w:right w:val="single" w:sz="4" w:space="0" w:color="auto"/>
            </w:tcBorders>
            <w:shd w:val="clear" w:color="auto" w:fill="1D336D" w:themeFill="background2"/>
            <w:hideMark/>
          </w:tcPr>
          <w:p w14:paraId="3515F9B7" w14:textId="6E305434" w:rsidR="00B45FEC" w:rsidRPr="00DA070E" w:rsidRDefault="00B45FEC" w:rsidP="00B45FEC">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 xml:space="preserve">2021 </w:t>
            </w:r>
          </w:p>
        </w:tc>
        <w:tc>
          <w:tcPr>
            <w:tcW w:w="460" w:type="pct"/>
            <w:tcBorders>
              <w:top w:val="single" w:sz="4" w:space="0" w:color="auto"/>
              <w:left w:val="nil"/>
              <w:bottom w:val="single" w:sz="4" w:space="0" w:color="auto"/>
              <w:right w:val="single" w:sz="4" w:space="0" w:color="auto"/>
            </w:tcBorders>
            <w:shd w:val="clear" w:color="auto" w:fill="1D336D" w:themeFill="background2"/>
            <w:hideMark/>
          </w:tcPr>
          <w:p w14:paraId="28172EFF" w14:textId="36FC9731" w:rsidR="00B45FEC" w:rsidRPr="00DA070E" w:rsidRDefault="00B45FEC" w:rsidP="00B45FEC">
            <w:pPr>
              <w:spacing w:after="0" w:line="240" w:lineRule="auto"/>
              <w:jc w:val="center"/>
              <w:rPr>
                <w:rFonts w:ascii="Franklin Gothic Book" w:eastAsia="Times New Roman" w:hAnsi="Franklin Gothic Book"/>
                <w:b/>
                <w:bCs/>
                <w:color w:val="FFFFFF" w:themeColor="background1"/>
                <w:sz w:val="18"/>
                <w:szCs w:val="18"/>
              </w:rPr>
            </w:pPr>
            <w:r w:rsidRPr="00DA070E">
              <w:rPr>
                <w:rFonts w:ascii="Franklin Gothic Book" w:eastAsia="Times New Roman" w:hAnsi="Franklin Gothic Book"/>
                <w:b/>
                <w:bCs/>
                <w:color w:val="FFFFFF" w:themeColor="background1"/>
                <w:sz w:val="18"/>
                <w:szCs w:val="18"/>
              </w:rPr>
              <w:t xml:space="preserve">2022 </w:t>
            </w:r>
          </w:p>
        </w:tc>
        <w:tc>
          <w:tcPr>
            <w:tcW w:w="482" w:type="pct"/>
            <w:tcBorders>
              <w:left w:val="single" w:sz="4" w:space="0" w:color="auto"/>
              <w:bottom w:val="single" w:sz="4" w:space="0" w:color="auto"/>
              <w:right w:val="single" w:sz="4" w:space="0" w:color="auto"/>
            </w:tcBorders>
            <w:shd w:val="clear" w:color="auto" w:fill="1D336D" w:themeFill="background2"/>
          </w:tcPr>
          <w:p w14:paraId="5AA52F43" w14:textId="6E34DC37" w:rsidR="00B45FEC" w:rsidRPr="001F0025" w:rsidRDefault="00B45FEC" w:rsidP="001F0025">
            <w:pPr>
              <w:spacing w:after="0" w:line="240" w:lineRule="auto"/>
              <w:jc w:val="center"/>
              <w:rPr>
                <w:rFonts w:ascii="Franklin Gothic Book" w:eastAsia="Times New Roman" w:hAnsi="Franklin Gothic Book"/>
                <w:b/>
                <w:bCs/>
                <w:color w:val="FFFFFF" w:themeColor="background1"/>
                <w:sz w:val="18"/>
                <w:szCs w:val="18"/>
              </w:rPr>
            </w:pPr>
            <w:r w:rsidRPr="001F0025">
              <w:rPr>
                <w:rFonts w:ascii="Franklin Gothic Book" w:eastAsia="Times New Roman" w:hAnsi="Franklin Gothic Book"/>
                <w:b/>
                <w:bCs/>
                <w:color w:val="FFFFFF" w:themeColor="background1"/>
                <w:sz w:val="18"/>
                <w:szCs w:val="18"/>
              </w:rPr>
              <w:t xml:space="preserve">Total </w:t>
            </w:r>
            <w:r w:rsidR="001F0025" w:rsidRPr="001F0025">
              <w:rPr>
                <w:rFonts w:ascii="Franklin Gothic Book" w:eastAsia="Times New Roman" w:hAnsi="Franklin Gothic Book"/>
                <w:b/>
                <w:bCs/>
                <w:color w:val="FFFFFF" w:themeColor="background1"/>
                <w:sz w:val="18"/>
                <w:szCs w:val="18"/>
              </w:rPr>
              <w:t>Phase 2</w:t>
            </w:r>
          </w:p>
        </w:tc>
        <w:tc>
          <w:tcPr>
            <w:tcW w:w="573" w:type="pct"/>
            <w:vMerge/>
            <w:vAlign w:val="center"/>
            <w:hideMark/>
          </w:tcPr>
          <w:p w14:paraId="1C72B013" w14:textId="6F0980F5" w:rsidR="00B45FEC" w:rsidRPr="00DA070E" w:rsidRDefault="00B45FEC" w:rsidP="00B45FEC">
            <w:pPr>
              <w:spacing w:after="0" w:line="240" w:lineRule="auto"/>
              <w:rPr>
                <w:rFonts w:ascii="Franklin Gothic Book" w:eastAsia="Times New Roman" w:hAnsi="Franklin Gothic Book"/>
                <w:b/>
                <w:bCs/>
                <w:color w:val="212121"/>
                <w:sz w:val="18"/>
                <w:szCs w:val="18"/>
              </w:rPr>
            </w:pPr>
          </w:p>
        </w:tc>
      </w:tr>
      <w:tr w:rsidR="004D3927" w:rsidRPr="00DA070E" w14:paraId="7A23A97B" w14:textId="77777777" w:rsidTr="08123348">
        <w:trPr>
          <w:trHeight w:val="510"/>
        </w:trPr>
        <w:tc>
          <w:tcPr>
            <w:tcW w:w="21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342C75C" w14:textId="77777777" w:rsidR="00B45FEC" w:rsidRPr="00DA070E" w:rsidRDefault="00B45FEC" w:rsidP="00B45FEC">
            <w:pPr>
              <w:spacing w:after="0" w:line="240" w:lineRule="auto"/>
              <w:jc w:val="center"/>
              <w:rPr>
                <w:rFonts w:ascii="Franklin Gothic Book" w:eastAsia="Times New Roman" w:hAnsi="Franklin Gothic Book"/>
                <w:b/>
                <w:bCs/>
                <w:color w:val="212121"/>
                <w:sz w:val="18"/>
                <w:szCs w:val="18"/>
              </w:rPr>
            </w:pPr>
            <w:r w:rsidRPr="00DA070E">
              <w:rPr>
                <w:rFonts w:ascii="Franklin Gothic Book" w:eastAsia="Times New Roman" w:hAnsi="Franklin Gothic Book"/>
                <w:b/>
                <w:bCs/>
                <w:color w:val="212121"/>
                <w:sz w:val="18"/>
                <w:szCs w:val="18"/>
              </w:rPr>
              <w:t>Poverty Reduction</w:t>
            </w:r>
          </w:p>
        </w:tc>
        <w:tc>
          <w:tcPr>
            <w:tcW w:w="218" w:type="pct"/>
            <w:tcBorders>
              <w:top w:val="nil"/>
              <w:left w:val="nil"/>
              <w:bottom w:val="single" w:sz="4" w:space="0" w:color="auto"/>
              <w:right w:val="single" w:sz="4" w:space="0" w:color="auto"/>
            </w:tcBorders>
            <w:shd w:val="clear" w:color="auto" w:fill="auto"/>
            <w:hideMark/>
          </w:tcPr>
          <w:p w14:paraId="03E6BF82"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w:t>
            </w:r>
          </w:p>
        </w:tc>
        <w:tc>
          <w:tcPr>
            <w:tcW w:w="1083" w:type="pct"/>
            <w:tcBorders>
              <w:top w:val="nil"/>
              <w:left w:val="nil"/>
              <w:bottom w:val="single" w:sz="4" w:space="0" w:color="auto"/>
              <w:right w:val="single" w:sz="4" w:space="0" w:color="auto"/>
            </w:tcBorders>
            <w:shd w:val="clear" w:color="auto" w:fill="auto"/>
            <w:hideMark/>
          </w:tcPr>
          <w:p w14:paraId="464DA2B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households and small enterprises benefitting from additional income increase</w:t>
            </w:r>
          </w:p>
        </w:tc>
        <w:tc>
          <w:tcPr>
            <w:tcW w:w="384" w:type="pct"/>
            <w:tcBorders>
              <w:top w:val="nil"/>
              <w:left w:val="nil"/>
              <w:bottom w:val="single" w:sz="4" w:space="0" w:color="auto"/>
              <w:right w:val="single" w:sz="4" w:space="0" w:color="auto"/>
            </w:tcBorders>
            <w:shd w:val="clear" w:color="auto" w:fill="auto"/>
            <w:hideMark/>
          </w:tcPr>
          <w:p w14:paraId="2B67FAB5"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4F09BC62"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438CD225"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598</w:t>
            </w:r>
          </w:p>
        </w:tc>
        <w:tc>
          <w:tcPr>
            <w:tcW w:w="458" w:type="pct"/>
            <w:tcBorders>
              <w:top w:val="nil"/>
              <w:left w:val="nil"/>
              <w:bottom w:val="single" w:sz="4" w:space="0" w:color="auto"/>
              <w:right w:val="single" w:sz="4" w:space="0" w:color="auto"/>
            </w:tcBorders>
            <w:shd w:val="clear" w:color="auto" w:fill="auto"/>
            <w:vAlign w:val="center"/>
            <w:hideMark/>
          </w:tcPr>
          <w:p w14:paraId="0C66A76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142</w:t>
            </w:r>
          </w:p>
        </w:tc>
        <w:tc>
          <w:tcPr>
            <w:tcW w:w="460" w:type="pct"/>
            <w:tcBorders>
              <w:top w:val="nil"/>
              <w:left w:val="nil"/>
              <w:bottom w:val="single" w:sz="4" w:space="0" w:color="auto"/>
              <w:right w:val="single" w:sz="4" w:space="0" w:color="auto"/>
            </w:tcBorders>
            <w:shd w:val="clear" w:color="auto" w:fill="auto"/>
            <w:vAlign w:val="center"/>
            <w:hideMark/>
          </w:tcPr>
          <w:p w14:paraId="4B2A02B7" w14:textId="77777777" w:rsidR="00B45FEC" w:rsidRPr="00DA070E" w:rsidRDefault="00B45FEC" w:rsidP="00B45FEC">
            <w:pPr>
              <w:spacing w:after="0" w:line="240" w:lineRule="auto"/>
              <w:jc w:val="right"/>
              <w:rPr>
                <w:rFonts w:ascii="Franklin Gothic Book" w:eastAsia="Times New Roman" w:hAnsi="Franklin Gothic Book"/>
                <w:color w:val="000000"/>
                <w:sz w:val="18"/>
                <w:szCs w:val="18"/>
              </w:rPr>
            </w:pPr>
            <w:r w:rsidRPr="00DA070E">
              <w:rPr>
                <w:rFonts w:ascii="Franklin Gothic Book" w:eastAsia="Times New Roman" w:hAnsi="Franklin Gothic Book"/>
                <w:color w:val="000000"/>
                <w:sz w:val="18"/>
                <w:szCs w:val="18"/>
              </w:rPr>
              <w:t>354</w:t>
            </w:r>
          </w:p>
        </w:tc>
        <w:tc>
          <w:tcPr>
            <w:tcW w:w="482" w:type="pct"/>
            <w:tcBorders>
              <w:top w:val="nil"/>
              <w:left w:val="nil"/>
              <w:bottom w:val="single" w:sz="4" w:space="0" w:color="auto"/>
              <w:right w:val="nil"/>
            </w:tcBorders>
            <w:vAlign w:val="center"/>
          </w:tcPr>
          <w:p w14:paraId="6248910E" w14:textId="1B9B143C" w:rsidR="00B45FEC" w:rsidRPr="00DA070E" w:rsidRDefault="00B45FEC" w:rsidP="00D42AE4">
            <w:pPr>
              <w:spacing w:after="0" w:line="240" w:lineRule="auto"/>
              <w:jc w:val="right"/>
              <w:rPr>
                <w:rFonts w:ascii="Franklin Gothic Book" w:eastAsia="Times New Roman" w:hAnsi="Franklin Gothic Book"/>
                <w:color w:val="000000"/>
                <w:sz w:val="18"/>
                <w:szCs w:val="18"/>
              </w:rPr>
            </w:pPr>
            <w:r>
              <w:rPr>
                <w:rFonts w:ascii="Franklin Gothic Book" w:hAnsi="Franklin Gothic Book"/>
                <w:color w:val="000000"/>
                <w:sz w:val="18"/>
                <w:szCs w:val="18"/>
              </w:rPr>
              <w:t>497</w:t>
            </w:r>
          </w:p>
        </w:tc>
        <w:tc>
          <w:tcPr>
            <w:tcW w:w="573" w:type="pct"/>
            <w:tcBorders>
              <w:top w:val="nil"/>
              <w:left w:val="nil"/>
              <w:bottom w:val="single" w:sz="4" w:space="0" w:color="auto"/>
              <w:right w:val="single" w:sz="4" w:space="0" w:color="auto"/>
            </w:tcBorders>
            <w:shd w:val="clear" w:color="auto" w:fill="auto"/>
            <w:vAlign w:val="center"/>
            <w:hideMark/>
          </w:tcPr>
          <w:p w14:paraId="25B70ABD" w14:textId="4EDF2984" w:rsidR="00B45FEC" w:rsidRPr="00DA070E" w:rsidRDefault="00B45FEC" w:rsidP="00B45FEC">
            <w:pPr>
              <w:spacing w:after="0" w:line="240" w:lineRule="auto"/>
              <w:jc w:val="right"/>
              <w:rPr>
                <w:rFonts w:ascii="Franklin Gothic Book" w:eastAsia="Times New Roman" w:hAnsi="Franklin Gothic Book"/>
                <w:color w:val="000000"/>
                <w:sz w:val="18"/>
                <w:szCs w:val="18"/>
              </w:rPr>
            </w:pPr>
            <w:r w:rsidRPr="00DA070E">
              <w:rPr>
                <w:rFonts w:ascii="Franklin Gothic Book" w:eastAsia="Times New Roman" w:hAnsi="Franklin Gothic Book"/>
                <w:color w:val="000000"/>
                <w:sz w:val="18"/>
                <w:szCs w:val="18"/>
              </w:rPr>
              <w:t>1095</w:t>
            </w:r>
          </w:p>
        </w:tc>
      </w:tr>
      <w:tr w:rsidR="004D3927" w:rsidRPr="00DA070E" w14:paraId="77AB5DF4" w14:textId="77777777" w:rsidTr="08123348">
        <w:trPr>
          <w:trHeight w:val="510"/>
        </w:trPr>
        <w:tc>
          <w:tcPr>
            <w:tcW w:w="218" w:type="pct"/>
            <w:vMerge/>
            <w:vAlign w:val="center"/>
            <w:hideMark/>
          </w:tcPr>
          <w:p w14:paraId="4529D60F"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7105D962"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w:t>
            </w:r>
          </w:p>
        </w:tc>
        <w:tc>
          <w:tcPr>
            <w:tcW w:w="1083" w:type="pct"/>
            <w:tcBorders>
              <w:top w:val="nil"/>
              <w:left w:val="nil"/>
              <w:bottom w:val="single" w:sz="4" w:space="0" w:color="auto"/>
              <w:right w:val="single" w:sz="4" w:space="0" w:color="auto"/>
            </w:tcBorders>
            <w:shd w:val="clear" w:color="auto" w:fill="auto"/>
            <w:hideMark/>
          </w:tcPr>
          <w:p w14:paraId="08717FF0" w14:textId="5A4456CF" w:rsidR="00B45FEC" w:rsidRPr="00DA070E" w:rsidRDefault="0CF14D5C" w:rsidP="00B45FEC">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Net additional income </w:t>
            </w:r>
            <w:r w:rsidR="04FD3D99" w:rsidRPr="08123348">
              <w:rPr>
                <w:rFonts w:ascii="Franklin Gothic Book" w:eastAsia="Times New Roman" w:hAnsi="Franklin Gothic Book"/>
                <w:color w:val="212121"/>
                <w:sz w:val="18"/>
                <w:szCs w:val="18"/>
              </w:rPr>
              <w:t>increases</w:t>
            </w:r>
            <w:r w:rsidRPr="08123348">
              <w:rPr>
                <w:rFonts w:ascii="Franklin Gothic Book" w:eastAsia="Times New Roman" w:hAnsi="Franklin Gothic Book"/>
                <w:color w:val="212121"/>
                <w:sz w:val="18"/>
                <w:szCs w:val="18"/>
              </w:rPr>
              <w:t xml:space="preserve"> of household and small enterprise beneficiaries (AUD)</w:t>
            </w:r>
          </w:p>
        </w:tc>
        <w:tc>
          <w:tcPr>
            <w:tcW w:w="384" w:type="pct"/>
            <w:tcBorders>
              <w:top w:val="nil"/>
              <w:left w:val="nil"/>
              <w:bottom w:val="single" w:sz="4" w:space="0" w:color="auto"/>
              <w:right w:val="single" w:sz="4" w:space="0" w:color="auto"/>
            </w:tcBorders>
            <w:shd w:val="clear" w:color="auto" w:fill="auto"/>
            <w:hideMark/>
          </w:tcPr>
          <w:p w14:paraId="0545CD11"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61D8C57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541C3A39"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334,161</w:t>
            </w:r>
          </w:p>
        </w:tc>
        <w:tc>
          <w:tcPr>
            <w:tcW w:w="458" w:type="pct"/>
            <w:tcBorders>
              <w:top w:val="nil"/>
              <w:left w:val="nil"/>
              <w:bottom w:val="single" w:sz="4" w:space="0" w:color="auto"/>
              <w:right w:val="single" w:sz="4" w:space="0" w:color="auto"/>
            </w:tcBorders>
            <w:shd w:val="clear" w:color="auto" w:fill="auto"/>
            <w:vAlign w:val="center"/>
            <w:hideMark/>
          </w:tcPr>
          <w:p w14:paraId="59F28E4C"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185,413</w:t>
            </w:r>
          </w:p>
        </w:tc>
        <w:tc>
          <w:tcPr>
            <w:tcW w:w="460" w:type="pct"/>
            <w:tcBorders>
              <w:top w:val="nil"/>
              <w:left w:val="nil"/>
              <w:bottom w:val="single" w:sz="4" w:space="0" w:color="auto"/>
              <w:right w:val="single" w:sz="4" w:space="0" w:color="auto"/>
            </w:tcBorders>
            <w:shd w:val="clear" w:color="auto" w:fill="auto"/>
            <w:vAlign w:val="center"/>
            <w:hideMark/>
          </w:tcPr>
          <w:p w14:paraId="5F6A3C9C" w14:textId="3BB4AEDB"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250,026</w:t>
            </w:r>
          </w:p>
        </w:tc>
        <w:tc>
          <w:tcPr>
            <w:tcW w:w="482" w:type="pct"/>
            <w:tcBorders>
              <w:top w:val="nil"/>
              <w:left w:val="nil"/>
              <w:bottom w:val="single" w:sz="4" w:space="0" w:color="auto"/>
              <w:right w:val="nil"/>
            </w:tcBorders>
            <w:vAlign w:val="center"/>
          </w:tcPr>
          <w:p w14:paraId="5EB948FB" w14:textId="7E16A23C"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212121"/>
                <w:sz w:val="18"/>
                <w:szCs w:val="18"/>
              </w:rPr>
              <w:t>435,439</w:t>
            </w:r>
          </w:p>
        </w:tc>
        <w:tc>
          <w:tcPr>
            <w:tcW w:w="573" w:type="pct"/>
            <w:tcBorders>
              <w:top w:val="nil"/>
              <w:left w:val="nil"/>
              <w:bottom w:val="single" w:sz="4" w:space="0" w:color="auto"/>
              <w:right w:val="single" w:sz="4" w:space="0" w:color="auto"/>
            </w:tcBorders>
            <w:shd w:val="clear" w:color="auto" w:fill="auto"/>
            <w:vAlign w:val="center"/>
            <w:hideMark/>
          </w:tcPr>
          <w:p w14:paraId="09A41AF8" w14:textId="4C0E6158"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769,600</w:t>
            </w:r>
          </w:p>
        </w:tc>
      </w:tr>
      <w:tr w:rsidR="004D3927" w:rsidRPr="00DA070E" w14:paraId="489B5831" w14:textId="77777777" w:rsidTr="08123348">
        <w:trPr>
          <w:trHeight w:val="300"/>
        </w:trPr>
        <w:tc>
          <w:tcPr>
            <w:tcW w:w="218" w:type="pct"/>
            <w:vMerge/>
            <w:vAlign w:val="center"/>
            <w:hideMark/>
          </w:tcPr>
          <w:p w14:paraId="04404CE2"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restart"/>
            <w:tcBorders>
              <w:top w:val="nil"/>
              <w:left w:val="single" w:sz="4" w:space="0" w:color="auto"/>
              <w:bottom w:val="single" w:sz="4" w:space="0" w:color="auto"/>
              <w:right w:val="single" w:sz="4" w:space="0" w:color="auto"/>
            </w:tcBorders>
            <w:shd w:val="clear" w:color="auto" w:fill="auto"/>
            <w:hideMark/>
          </w:tcPr>
          <w:p w14:paraId="31D23BAA"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w:t>
            </w:r>
          </w:p>
        </w:tc>
        <w:tc>
          <w:tcPr>
            <w:tcW w:w="1083" w:type="pct"/>
            <w:vMerge w:val="restart"/>
            <w:tcBorders>
              <w:top w:val="nil"/>
              <w:left w:val="single" w:sz="4" w:space="0" w:color="auto"/>
              <w:bottom w:val="single" w:sz="4" w:space="0" w:color="auto"/>
              <w:right w:val="single" w:sz="4" w:space="0" w:color="auto"/>
            </w:tcBorders>
            <w:shd w:val="clear" w:color="auto" w:fill="auto"/>
            <w:hideMark/>
          </w:tcPr>
          <w:p w14:paraId="6947C01F"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new jobs (FTE) created or maintained/saved attributable to Strongim Bisnis interventions</w:t>
            </w:r>
          </w:p>
        </w:tc>
        <w:tc>
          <w:tcPr>
            <w:tcW w:w="384" w:type="pct"/>
            <w:vMerge w:val="restart"/>
            <w:tcBorders>
              <w:top w:val="nil"/>
              <w:left w:val="single" w:sz="4" w:space="0" w:color="auto"/>
              <w:bottom w:val="single" w:sz="4" w:space="0" w:color="000000" w:themeColor="text1"/>
              <w:right w:val="single" w:sz="4" w:space="0" w:color="auto"/>
            </w:tcBorders>
            <w:shd w:val="clear" w:color="auto" w:fill="auto"/>
            <w:hideMark/>
          </w:tcPr>
          <w:p w14:paraId="00A25D87"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 &amp; 3</w:t>
            </w:r>
          </w:p>
        </w:tc>
        <w:tc>
          <w:tcPr>
            <w:tcW w:w="597" w:type="pct"/>
            <w:tcBorders>
              <w:top w:val="nil"/>
              <w:left w:val="nil"/>
              <w:bottom w:val="single" w:sz="4" w:space="0" w:color="auto"/>
              <w:right w:val="single" w:sz="4" w:space="0" w:color="auto"/>
            </w:tcBorders>
            <w:shd w:val="clear" w:color="auto" w:fill="auto"/>
            <w:hideMark/>
          </w:tcPr>
          <w:p w14:paraId="6FEAA59C"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17E039E7"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86</w:t>
            </w:r>
          </w:p>
        </w:tc>
        <w:tc>
          <w:tcPr>
            <w:tcW w:w="458" w:type="pct"/>
            <w:tcBorders>
              <w:top w:val="nil"/>
              <w:left w:val="nil"/>
              <w:bottom w:val="single" w:sz="4" w:space="0" w:color="auto"/>
              <w:right w:val="single" w:sz="4" w:space="0" w:color="auto"/>
            </w:tcBorders>
            <w:shd w:val="clear" w:color="auto" w:fill="auto"/>
            <w:vAlign w:val="center"/>
            <w:hideMark/>
          </w:tcPr>
          <w:p w14:paraId="101A050C"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57</w:t>
            </w:r>
          </w:p>
        </w:tc>
        <w:tc>
          <w:tcPr>
            <w:tcW w:w="460" w:type="pct"/>
            <w:tcBorders>
              <w:top w:val="nil"/>
              <w:left w:val="nil"/>
              <w:bottom w:val="single" w:sz="4" w:space="0" w:color="auto"/>
              <w:right w:val="single" w:sz="4" w:space="0" w:color="auto"/>
            </w:tcBorders>
            <w:shd w:val="clear" w:color="auto" w:fill="auto"/>
            <w:vAlign w:val="center"/>
            <w:hideMark/>
          </w:tcPr>
          <w:p w14:paraId="418F9FEC"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60.8</w:t>
            </w:r>
          </w:p>
        </w:tc>
        <w:tc>
          <w:tcPr>
            <w:tcW w:w="482" w:type="pct"/>
            <w:tcBorders>
              <w:top w:val="nil"/>
              <w:left w:val="nil"/>
              <w:bottom w:val="single" w:sz="4" w:space="0" w:color="auto"/>
              <w:right w:val="nil"/>
            </w:tcBorders>
            <w:vAlign w:val="center"/>
          </w:tcPr>
          <w:p w14:paraId="6AACCC64" w14:textId="44998400"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117</w:t>
            </w:r>
          </w:p>
        </w:tc>
        <w:tc>
          <w:tcPr>
            <w:tcW w:w="573" w:type="pct"/>
            <w:tcBorders>
              <w:top w:val="nil"/>
              <w:left w:val="nil"/>
              <w:bottom w:val="single" w:sz="4" w:space="0" w:color="auto"/>
              <w:right w:val="single" w:sz="4" w:space="0" w:color="auto"/>
            </w:tcBorders>
            <w:shd w:val="clear" w:color="auto" w:fill="auto"/>
            <w:vAlign w:val="center"/>
            <w:hideMark/>
          </w:tcPr>
          <w:p w14:paraId="3DF70583" w14:textId="5F5F6B86"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203.4</w:t>
            </w:r>
          </w:p>
        </w:tc>
      </w:tr>
      <w:tr w:rsidR="004D3927" w:rsidRPr="00DA070E" w14:paraId="11929B50" w14:textId="77777777" w:rsidTr="08123348">
        <w:trPr>
          <w:trHeight w:val="300"/>
        </w:trPr>
        <w:tc>
          <w:tcPr>
            <w:tcW w:w="218" w:type="pct"/>
            <w:vMerge/>
            <w:vAlign w:val="center"/>
            <w:hideMark/>
          </w:tcPr>
          <w:p w14:paraId="0A933555"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4C71B613"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4162D995"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08420B70"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68BD872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Women</w:t>
            </w:r>
          </w:p>
        </w:tc>
        <w:tc>
          <w:tcPr>
            <w:tcW w:w="527" w:type="pct"/>
            <w:tcBorders>
              <w:top w:val="nil"/>
              <w:left w:val="nil"/>
              <w:bottom w:val="single" w:sz="4" w:space="0" w:color="auto"/>
              <w:right w:val="single" w:sz="4" w:space="0" w:color="auto"/>
            </w:tcBorders>
            <w:shd w:val="clear" w:color="auto" w:fill="auto"/>
            <w:vAlign w:val="center"/>
            <w:hideMark/>
          </w:tcPr>
          <w:p w14:paraId="49F6B73D"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49</w:t>
            </w:r>
          </w:p>
        </w:tc>
        <w:tc>
          <w:tcPr>
            <w:tcW w:w="458" w:type="pct"/>
            <w:tcBorders>
              <w:top w:val="nil"/>
              <w:left w:val="nil"/>
              <w:bottom w:val="single" w:sz="4" w:space="0" w:color="auto"/>
              <w:right w:val="single" w:sz="4" w:space="0" w:color="auto"/>
            </w:tcBorders>
            <w:shd w:val="clear" w:color="auto" w:fill="auto"/>
            <w:vAlign w:val="center"/>
            <w:hideMark/>
          </w:tcPr>
          <w:p w14:paraId="18E0715C"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21</w:t>
            </w:r>
          </w:p>
        </w:tc>
        <w:tc>
          <w:tcPr>
            <w:tcW w:w="460" w:type="pct"/>
            <w:tcBorders>
              <w:top w:val="nil"/>
              <w:left w:val="nil"/>
              <w:bottom w:val="single" w:sz="4" w:space="0" w:color="auto"/>
              <w:right w:val="single" w:sz="4" w:space="0" w:color="auto"/>
            </w:tcBorders>
            <w:shd w:val="clear" w:color="auto" w:fill="auto"/>
            <w:vAlign w:val="center"/>
            <w:hideMark/>
          </w:tcPr>
          <w:p w14:paraId="1BAFA3F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27.1</w:t>
            </w:r>
          </w:p>
        </w:tc>
        <w:tc>
          <w:tcPr>
            <w:tcW w:w="482" w:type="pct"/>
            <w:tcBorders>
              <w:top w:val="nil"/>
              <w:left w:val="nil"/>
              <w:bottom w:val="single" w:sz="4" w:space="0" w:color="auto"/>
              <w:right w:val="nil"/>
            </w:tcBorders>
            <w:vAlign w:val="center"/>
          </w:tcPr>
          <w:p w14:paraId="45CC13BF" w14:textId="5069DB8D"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48</w:t>
            </w:r>
          </w:p>
        </w:tc>
        <w:tc>
          <w:tcPr>
            <w:tcW w:w="573" w:type="pct"/>
            <w:tcBorders>
              <w:top w:val="nil"/>
              <w:left w:val="nil"/>
              <w:bottom w:val="single" w:sz="4" w:space="0" w:color="auto"/>
              <w:right w:val="single" w:sz="4" w:space="0" w:color="auto"/>
            </w:tcBorders>
            <w:shd w:val="clear" w:color="auto" w:fill="auto"/>
            <w:vAlign w:val="center"/>
            <w:hideMark/>
          </w:tcPr>
          <w:p w14:paraId="3C332802" w14:textId="5B437428"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97.1</w:t>
            </w:r>
          </w:p>
        </w:tc>
      </w:tr>
      <w:tr w:rsidR="004D3927" w:rsidRPr="00DA070E" w14:paraId="249B076E" w14:textId="77777777" w:rsidTr="08123348">
        <w:trPr>
          <w:trHeight w:val="300"/>
        </w:trPr>
        <w:tc>
          <w:tcPr>
            <w:tcW w:w="218" w:type="pct"/>
            <w:vMerge/>
            <w:vAlign w:val="center"/>
            <w:hideMark/>
          </w:tcPr>
          <w:p w14:paraId="405D0396"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4B5F5BD2"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24526853"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0878F440"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233EE24A"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Youth</w:t>
            </w:r>
          </w:p>
        </w:tc>
        <w:tc>
          <w:tcPr>
            <w:tcW w:w="527" w:type="pct"/>
            <w:tcBorders>
              <w:top w:val="nil"/>
              <w:left w:val="nil"/>
              <w:bottom w:val="single" w:sz="4" w:space="0" w:color="auto"/>
              <w:right w:val="single" w:sz="4" w:space="0" w:color="auto"/>
            </w:tcBorders>
            <w:shd w:val="clear" w:color="auto" w:fill="auto"/>
            <w:vAlign w:val="center"/>
            <w:hideMark/>
          </w:tcPr>
          <w:p w14:paraId="3E7BFCB6"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w:t>
            </w:r>
          </w:p>
        </w:tc>
        <w:tc>
          <w:tcPr>
            <w:tcW w:w="458" w:type="pct"/>
            <w:tcBorders>
              <w:top w:val="nil"/>
              <w:left w:val="nil"/>
              <w:bottom w:val="single" w:sz="4" w:space="0" w:color="auto"/>
              <w:right w:val="single" w:sz="4" w:space="0" w:color="auto"/>
            </w:tcBorders>
            <w:shd w:val="clear" w:color="auto" w:fill="auto"/>
            <w:vAlign w:val="center"/>
            <w:hideMark/>
          </w:tcPr>
          <w:p w14:paraId="359AA510"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30</w:t>
            </w:r>
          </w:p>
        </w:tc>
        <w:tc>
          <w:tcPr>
            <w:tcW w:w="460" w:type="pct"/>
            <w:tcBorders>
              <w:top w:val="nil"/>
              <w:left w:val="nil"/>
              <w:bottom w:val="single" w:sz="4" w:space="0" w:color="auto"/>
              <w:right w:val="single" w:sz="4" w:space="0" w:color="auto"/>
            </w:tcBorders>
            <w:shd w:val="clear" w:color="auto" w:fill="auto"/>
            <w:vAlign w:val="center"/>
            <w:hideMark/>
          </w:tcPr>
          <w:p w14:paraId="400C2CB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44.2</w:t>
            </w:r>
          </w:p>
        </w:tc>
        <w:tc>
          <w:tcPr>
            <w:tcW w:w="482" w:type="pct"/>
            <w:tcBorders>
              <w:top w:val="nil"/>
              <w:left w:val="nil"/>
              <w:bottom w:val="single" w:sz="4" w:space="0" w:color="auto"/>
              <w:right w:val="nil"/>
            </w:tcBorders>
            <w:vAlign w:val="center"/>
          </w:tcPr>
          <w:p w14:paraId="65CE0C62" w14:textId="08188B1D"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75</w:t>
            </w:r>
          </w:p>
        </w:tc>
        <w:tc>
          <w:tcPr>
            <w:tcW w:w="573" w:type="pct"/>
            <w:tcBorders>
              <w:top w:val="nil"/>
              <w:left w:val="nil"/>
              <w:bottom w:val="single" w:sz="4" w:space="0" w:color="auto"/>
              <w:right w:val="single" w:sz="4" w:space="0" w:color="auto"/>
            </w:tcBorders>
            <w:shd w:val="clear" w:color="auto" w:fill="auto"/>
            <w:vAlign w:val="center"/>
            <w:hideMark/>
          </w:tcPr>
          <w:p w14:paraId="2E1CDEC5" w14:textId="0BA220B9"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77.7</w:t>
            </w:r>
          </w:p>
        </w:tc>
      </w:tr>
      <w:tr w:rsidR="004D3927" w:rsidRPr="00DA070E" w14:paraId="7FF8A841" w14:textId="77777777" w:rsidTr="08123348">
        <w:trPr>
          <w:trHeight w:val="300"/>
        </w:trPr>
        <w:tc>
          <w:tcPr>
            <w:tcW w:w="218" w:type="pct"/>
            <w:vMerge/>
            <w:vAlign w:val="center"/>
            <w:hideMark/>
          </w:tcPr>
          <w:p w14:paraId="6A78D4F6"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388EBE94"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57320C1B"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36074791"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505164C2" w14:textId="3A428AE6" w:rsidR="00B45FEC" w:rsidRPr="00DA070E" w:rsidRDefault="549BDFEF" w:rsidP="00B45FEC">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PWD</w:t>
            </w:r>
          </w:p>
        </w:tc>
        <w:tc>
          <w:tcPr>
            <w:tcW w:w="527" w:type="pct"/>
            <w:tcBorders>
              <w:top w:val="nil"/>
              <w:left w:val="nil"/>
              <w:bottom w:val="single" w:sz="4" w:space="0" w:color="auto"/>
              <w:right w:val="single" w:sz="4" w:space="0" w:color="auto"/>
            </w:tcBorders>
            <w:shd w:val="clear" w:color="auto" w:fill="auto"/>
            <w:vAlign w:val="center"/>
            <w:hideMark/>
          </w:tcPr>
          <w:p w14:paraId="5D935392"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w:t>
            </w:r>
          </w:p>
        </w:tc>
        <w:tc>
          <w:tcPr>
            <w:tcW w:w="458" w:type="pct"/>
            <w:tcBorders>
              <w:top w:val="nil"/>
              <w:left w:val="nil"/>
              <w:bottom w:val="single" w:sz="4" w:space="0" w:color="auto"/>
              <w:right w:val="single" w:sz="4" w:space="0" w:color="auto"/>
            </w:tcBorders>
            <w:shd w:val="clear" w:color="auto" w:fill="auto"/>
            <w:vAlign w:val="center"/>
            <w:hideMark/>
          </w:tcPr>
          <w:p w14:paraId="77F9F3DC"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w:t>
            </w:r>
          </w:p>
        </w:tc>
        <w:tc>
          <w:tcPr>
            <w:tcW w:w="460" w:type="pct"/>
            <w:tcBorders>
              <w:top w:val="nil"/>
              <w:left w:val="nil"/>
              <w:bottom w:val="single" w:sz="4" w:space="0" w:color="auto"/>
              <w:right w:val="single" w:sz="4" w:space="0" w:color="auto"/>
            </w:tcBorders>
            <w:shd w:val="clear" w:color="auto" w:fill="auto"/>
            <w:vAlign w:val="center"/>
            <w:hideMark/>
          </w:tcPr>
          <w:p w14:paraId="368A5D67"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0.0</w:t>
            </w:r>
          </w:p>
        </w:tc>
        <w:tc>
          <w:tcPr>
            <w:tcW w:w="482" w:type="pct"/>
            <w:tcBorders>
              <w:top w:val="nil"/>
              <w:left w:val="nil"/>
              <w:bottom w:val="single" w:sz="4" w:space="0" w:color="auto"/>
              <w:right w:val="nil"/>
            </w:tcBorders>
            <w:vAlign w:val="center"/>
          </w:tcPr>
          <w:p w14:paraId="5F83B517" w14:textId="309D97AD"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0</w:t>
            </w:r>
          </w:p>
        </w:tc>
        <w:tc>
          <w:tcPr>
            <w:tcW w:w="573" w:type="pct"/>
            <w:tcBorders>
              <w:top w:val="nil"/>
              <w:left w:val="nil"/>
              <w:bottom w:val="single" w:sz="4" w:space="0" w:color="auto"/>
              <w:right w:val="single" w:sz="4" w:space="0" w:color="auto"/>
            </w:tcBorders>
            <w:shd w:val="clear" w:color="auto" w:fill="auto"/>
            <w:vAlign w:val="center"/>
            <w:hideMark/>
          </w:tcPr>
          <w:p w14:paraId="752DFABA" w14:textId="6827F234"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0.0</w:t>
            </w:r>
          </w:p>
        </w:tc>
      </w:tr>
      <w:tr w:rsidR="004D3927" w:rsidRPr="00DA070E" w14:paraId="0B8D901A" w14:textId="77777777" w:rsidTr="08123348">
        <w:trPr>
          <w:trHeight w:val="765"/>
        </w:trPr>
        <w:tc>
          <w:tcPr>
            <w:tcW w:w="218" w:type="pct"/>
            <w:vMerge/>
            <w:vAlign w:val="center"/>
            <w:hideMark/>
          </w:tcPr>
          <w:p w14:paraId="015BBB08"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3722C74C"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4C447A96"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7A1FB8D6"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2E02DC9C"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Jobs Saved**</w:t>
            </w:r>
          </w:p>
        </w:tc>
        <w:tc>
          <w:tcPr>
            <w:tcW w:w="527" w:type="pct"/>
            <w:tcBorders>
              <w:top w:val="nil"/>
              <w:left w:val="nil"/>
              <w:bottom w:val="single" w:sz="4" w:space="0" w:color="auto"/>
              <w:right w:val="single" w:sz="4" w:space="0" w:color="auto"/>
            </w:tcBorders>
            <w:shd w:val="clear" w:color="auto" w:fill="auto"/>
            <w:vAlign w:val="center"/>
            <w:hideMark/>
          </w:tcPr>
          <w:p w14:paraId="3ED611A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35712537"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29</w:t>
            </w:r>
          </w:p>
        </w:tc>
        <w:tc>
          <w:tcPr>
            <w:tcW w:w="460" w:type="pct"/>
            <w:tcBorders>
              <w:top w:val="nil"/>
              <w:left w:val="nil"/>
              <w:bottom w:val="single" w:sz="4" w:space="0" w:color="auto"/>
              <w:right w:val="single" w:sz="4" w:space="0" w:color="auto"/>
            </w:tcBorders>
            <w:shd w:val="clear" w:color="auto" w:fill="auto"/>
            <w:vAlign w:val="center"/>
            <w:hideMark/>
          </w:tcPr>
          <w:p w14:paraId="3DDE9411"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w:t>
            </w:r>
          </w:p>
        </w:tc>
        <w:tc>
          <w:tcPr>
            <w:tcW w:w="482" w:type="pct"/>
            <w:tcBorders>
              <w:top w:val="nil"/>
              <w:left w:val="nil"/>
              <w:bottom w:val="single" w:sz="4" w:space="0" w:color="auto"/>
              <w:right w:val="nil"/>
            </w:tcBorders>
            <w:vAlign w:val="center"/>
          </w:tcPr>
          <w:p w14:paraId="07B7CF4C" w14:textId="28D08DE8"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29</w:t>
            </w:r>
          </w:p>
        </w:tc>
        <w:tc>
          <w:tcPr>
            <w:tcW w:w="573" w:type="pct"/>
            <w:tcBorders>
              <w:top w:val="nil"/>
              <w:left w:val="nil"/>
              <w:bottom w:val="single" w:sz="4" w:space="0" w:color="auto"/>
              <w:right w:val="single" w:sz="4" w:space="0" w:color="auto"/>
            </w:tcBorders>
            <w:shd w:val="clear" w:color="auto" w:fill="auto"/>
            <w:vAlign w:val="center"/>
            <w:hideMark/>
          </w:tcPr>
          <w:p w14:paraId="1EE3284B" w14:textId="7C028511"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29.2</w:t>
            </w:r>
          </w:p>
        </w:tc>
      </w:tr>
      <w:tr w:rsidR="004D3927" w:rsidRPr="00DA070E" w14:paraId="0816B6F7" w14:textId="77777777" w:rsidTr="08123348">
        <w:trPr>
          <w:trHeight w:val="300"/>
        </w:trPr>
        <w:tc>
          <w:tcPr>
            <w:tcW w:w="21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0DDFA87" w14:textId="77777777" w:rsidR="00B45FEC" w:rsidRPr="00DA070E" w:rsidRDefault="00B45FEC" w:rsidP="00B45FEC">
            <w:pPr>
              <w:spacing w:after="0" w:line="240" w:lineRule="auto"/>
              <w:jc w:val="center"/>
              <w:rPr>
                <w:rFonts w:ascii="Franklin Gothic Book" w:eastAsia="Times New Roman" w:hAnsi="Franklin Gothic Book"/>
                <w:b/>
                <w:bCs/>
                <w:color w:val="212121"/>
                <w:sz w:val="18"/>
                <w:szCs w:val="18"/>
              </w:rPr>
            </w:pPr>
            <w:r w:rsidRPr="00DA070E">
              <w:rPr>
                <w:rFonts w:ascii="Franklin Gothic Book" w:eastAsia="Times New Roman" w:hAnsi="Franklin Gothic Book"/>
                <w:b/>
                <w:bCs/>
                <w:color w:val="212121"/>
                <w:sz w:val="18"/>
                <w:szCs w:val="18"/>
              </w:rPr>
              <w:t>Enterprise Performance</w:t>
            </w:r>
          </w:p>
        </w:tc>
        <w:tc>
          <w:tcPr>
            <w:tcW w:w="218" w:type="pct"/>
            <w:vMerge w:val="restart"/>
            <w:tcBorders>
              <w:top w:val="nil"/>
              <w:left w:val="single" w:sz="4" w:space="0" w:color="auto"/>
              <w:bottom w:val="single" w:sz="4" w:space="0" w:color="auto"/>
              <w:right w:val="single" w:sz="4" w:space="0" w:color="auto"/>
            </w:tcBorders>
            <w:shd w:val="clear" w:color="auto" w:fill="auto"/>
            <w:hideMark/>
          </w:tcPr>
          <w:p w14:paraId="6EE0F90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w:t>
            </w:r>
          </w:p>
        </w:tc>
        <w:tc>
          <w:tcPr>
            <w:tcW w:w="1083" w:type="pct"/>
            <w:vMerge w:val="restart"/>
            <w:tcBorders>
              <w:top w:val="nil"/>
              <w:left w:val="single" w:sz="4" w:space="0" w:color="auto"/>
              <w:bottom w:val="single" w:sz="4" w:space="0" w:color="auto"/>
              <w:right w:val="single" w:sz="4" w:space="0" w:color="auto"/>
            </w:tcBorders>
            <w:shd w:val="clear" w:color="auto" w:fill="auto"/>
            <w:hideMark/>
          </w:tcPr>
          <w:p w14:paraId="47BDDE7A" w14:textId="18DC2778" w:rsidR="00B45FEC" w:rsidRPr="00DA070E" w:rsidRDefault="0CF14D5C" w:rsidP="00B45FEC">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Number of women, youth or </w:t>
            </w:r>
            <w:r w:rsidR="549BDFEF" w:rsidRPr="08123348">
              <w:rPr>
                <w:rFonts w:ascii="Franklin Gothic Book" w:eastAsia="Times New Roman" w:hAnsi="Franklin Gothic Book"/>
                <w:color w:val="212121"/>
                <w:sz w:val="18"/>
                <w:szCs w:val="18"/>
              </w:rPr>
              <w:t>PWD</w:t>
            </w:r>
            <w:r w:rsidRPr="08123348">
              <w:rPr>
                <w:rFonts w:ascii="Franklin Gothic Book" w:eastAsia="Times New Roman" w:hAnsi="Franklin Gothic Book"/>
                <w:color w:val="212121"/>
                <w:sz w:val="18"/>
                <w:szCs w:val="18"/>
              </w:rPr>
              <w:t>s owned or led businesses with improved access to higher economic opportunities</w:t>
            </w:r>
          </w:p>
        </w:tc>
        <w:tc>
          <w:tcPr>
            <w:tcW w:w="384" w:type="pct"/>
            <w:vMerge w:val="restart"/>
            <w:tcBorders>
              <w:top w:val="nil"/>
              <w:left w:val="single" w:sz="4" w:space="0" w:color="auto"/>
              <w:bottom w:val="single" w:sz="4" w:space="0" w:color="000000" w:themeColor="text1"/>
              <w:right w:val="single" w:sz="4" w:space="0" w:color="auto"/>
            </w:tcBorders>
            <w:shd w:val="clear" w:color="auto" w:fill="auto"/>
            <w:hideMark/>
          </w:tcPr>
          <w:p w14:paraId="5A0CC7DC"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EOPO-3</w:t>
            </w:r>
          </w:p>
        </w:tc>
        <w:tc>
          <w:tcPr>
            <w:tcW w:w="597" w:type="pct"/>
            <w:tcBorders>
              <w:top w:val="nil"/>
              <w:left w:val="nil"/>
              <w:bottom w:val="single" w:sz="4" w:space="0" w:color="auto"/>
              <w:right w:val="single" w:sz="4" w:space="0" w:color="auto"/>
            </w:tcBorders>
            <w:shd w:val="clear" w:color="auto" w:fill="auto"/>
            <w:hideMark/>
          </w:tcPr>
          <w:p w14:paraId="375C1F1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64215280"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146</w:t>
            </w:r>
          </w:p>
        </w:tc>
        <w:tc>
          <w:tcPr>
            <w:tcW w:w="458" w:type="pct"/>
            <w:tcBorders>
              <w:top w:val="nil"/>
              <w:left w:val="nil"/>
              <w:bottom w:val="single" w:sz="4" w:space="0" w:color="auto"/>
              <w:right w:val="single" w:sz="4" w:space="0" w:color="auto"/>
            </w:tcBorders>
            <w:shd w:val="clear" w:color="auto" w:fill="auto"/>
            <w:vAlign w:val="center"/>
            <w:hideMark/>
          </w:tcPr>
          <w:p w14:paraId="6D66EB96"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60</w:t>
            </w:r>
          </w:p>
        </w:tc>
        <w:tc>
          <w:tcPr>
            <w:tcW w:w="460" w:type="pct"/>
            <w:tcBorders>
              <w:top w:val="nil"/>
              <w:left w:val="nil"/>
              <w:bottom w:val="single" w:sz="4" w:space="0" w:color="auto"/>
              <w:right w:val="single" w:sz="4" w:space="0" w:color="auto"/>
            </w:tcBorders>
            <w:shd w:val="clear" w:color="auto" w:fill="auto"/>
            <w:vAlign w:val="center"/>
            <w:hideMark/>
          </w:tcPr>
          <w:p w14:paraId="16B0C381"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548</w:t>
            </w:r>
          </w:p>
        </w:tc>
        <w:tc>
          <w:tcPr>
            <w:tcW w:w="482" w:type="pct"/>
            <w:tcBorders>
              <w:top w:val="nil"/>
              <w:left w:val="nil"/>
              <w:bottom w:val="single" w:sz="4" w:space="0" w:color="auto"/>
              <w:right w:val="nil"/>
            </w:tcBorders>
            <w:vAlign w:val="center"/>
          </w:tcPr>
          <w:p w14:paraId="015038BA" w14:textId="63E0D0C0"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609</w:t>
            </w:r>
          </w:p>
        </w:tc>
        <w:tc>
          <w:tcPr>
            <w:tcW w:w="573" w:type="pct"/>
            <w:tcBorders>
              <w:top w:val="nil"/>
              <w:left w:val="nil"/>
              <w:bottom w:val="single" w:sz="4" w:space="0" w:color="auto"/>
              <w:right w:val="single" w:sz="4" w:space="0" w:color="auto"/>
            </w:tcBorders>
            <w:shd w:val="clear" w:color="auto" w:fill="auto"/>
            <w:vAlign w:val="center"/>
            <w:hideMark/>
          </w:tcPr>
          <w:p w14:paraId="1648F61F" w14:textId="26E6DA44"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755</w:t>
            </w:r>
          </w:p>
        </w:tc>
      </w:tr>
      <w:tr w:rsidR="004D3927" w:rsidRPr="00DA070E" w14:paraId="4BFEC2F2" w14:textId="77777777" w:rsidTr="08123348">
        <w:trPr>
          <w:trHeight w:val="300"/>
        </w:trPr>
        <w:tc>
          <w:tcPr>
            <w:tcW w:w="218" w:type="pct"/>
            <w:vMerge/>
            <w:vAlign w:val="center"/>
            <w:hideMark/>
          </w:tcPr>
          <w:p w14:paraId="6A75E1F1"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4769CDF1"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410E65E6"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6068101B"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133EB6B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Women</w:t>
            </w:r>
          </w:p>
        </w:tc>
        <w:tc>
          <w:tcPr>
            <w:tcW w:w="527" w:type="pct"/>
            <w:tcBorders>
              <w:top w:val="nil"/>
              <w:left w:val="nil"/>
              <w:bottom w:val="single" w:sz="4" w:space="0" w:color="auto"/>
              <w:right w:val="single" w:sz="4" w:space="0" w:color="auto"/>
            </w:tcBorders>
            <w:shd w:val="clear" w:color="auto" w:fill="auto"/>
            <w:vAlign w:val="center"/>
            <w:hideMark/>
          </w:tcPr>
          <w:p w14:paraId="67F3B12A"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146</w:t>
            </w:r>
          </w:p>
        </w:tc>
        <w:tc>
          <w:tcPr>
            <w:tcW w:w="458" w:type="pct"/>
            <w:tcBorders>
              <w:top w:val="nil"/>
              <w:left w:val="nil"/>
              <w:bottom w:val="single" w:sz="4" w:space="0" w:color="auto"/>
              <w:right w:val="single" w:sz="4" w:space="0" w:color="auto"/>
            </w:tcBorders>
            <w:shd w:val="clear" w:color="auto" w:fill="auto"/>
            <w:vAlign w:val="center"/>
            <w:hideMark/>
          </w:tcPr>
          <w:p w14:paraId="0AE084A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42</w:t>
            </w:r>
          </w:p>
        </w:tc>
        <w:tc>
          <w:tcPr>
            <w:tcW w:w="460" w:type="pct"/>
            <w:tcBorders>
              <w:top w:val="nil"/>
              <w:left w:val="nil"/>
              <w:bottom w:val="single" w:sz="4" w:space="0" w:color="auto"/>
              <w:right w:val="single" w:sz="4" w:space="0" w:color="auto"/>
            </w:tcBorders>
            <w:shd w:val="clear" w:color="auto" w:fill="auto"/>
            <w:vAlign w:val="center"/>
            <w:hideMark/>
          </w:tcPr>
          <w:p w14:paraId="4E3BB060"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476</w:t>
            </w:r>
          </w:p>
        </w:tc>
        <w:tc>
          <w:tcPr>
            <w:tcW w:w="482" w:type="pct"/>
            <w:tcBorders>
              <w:top w:val="nil"/>
              <w:left w:val="nil"/>
              <w:bottom w:val="single" w:sz="4" w:space="0" w:color="auto"/>
              <w:right w:val="nil"/>
            </w:tcBorders>
            <w:vAlign w:val="center"/>
          </w:tcPr>
          <w:p w14:paraId="09C16D72" w14:textId="42B53CED"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518</w:t>
            </w:r>
          </w:p>
        </w:tc>
        <w:tc>
          <w:tcPr>
            <w:tcW w:w="573" w:type="pct"/>
            <w:tcBorders>
              <w:top w:val="nil"/>
              <w:left w:val="nil"/>
              <w:bottom w:val="single" w:sz="4" w:space="0" w:color="auto"/>
              <w:right w:val="single" w:sz="4" w:space="0" w:color="auto"/>
            </w:tcBorders>
            <w:shd w:val="clear" w:color="auto" w:fill="auto"/>
            <w:vAlign w:val="center"/>
            <w:hideMark/>
          </w:tcPr>
          <w:p w14:paraId="62EA279E" w14:textId="4E681383"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664</w:t>
            </w:r>
          </w:p>
        </w:tc>
      </w:tr>
      <w:tr w:rsidR="004D3927" w:rsidRPr="00DA070E" w14:paraId="34B6E1DD" w14:textId="77777777" w:rsidTr="08123348">
        <w:trPr>
          <w:trHeight w:val="300"/>
        </w:trPr>
        <w:tc>
          <w:tcPr>
            <w:tcW w:w="218" w:type="pct"/>
            <w:vMerge/>
            <w:vAlign w:val="center"/>
            <w:hideMark/>
          </w:tcPr>
          <w:p w14:paraId="0789A2FF"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463EC563"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71273C01"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0935F8CA"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76960BC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Youth**</w:t>
            </w:r>
          </w:p>
        </w:tc>
        <w:tc>
          <w:tcPr>
            <w:tcW w:w="527" w:type="pct"/>
            <w:tcBorders>
              <w:top w:val="nil"/>
              <w:left w:val="nil"/>
              <w:bottom w:val="single" w:sz="4" w:space="0" w:color="auto"/>
              <w:right w:val="single" w:sz="4" w:space="0" w:color="auto"/>
            </w:tcBorders>
            <w:shd w:val="clear" w:color="auto" w:fill="auto"/>
            <w:vAlign w:val="center"/>
            <w:hideMark/>
          </w:tcPr>
          <w:p w14:paraId="754E2263"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w:t>
            </w:r>
          </w:p>
        </w:tc>
        <w:tc>
          <w:tcPr>
            <w:tcW w:w="458" w:type="pct"/>
            <w:tcBorders>
              <w:top w:val="nil"/>
              <w:left w:val="nil"/>
              <w:bottom w:val="single" w:sz="4" w:space="0" w:color="auto"/>
              <w:right w:val="single" w:sz="4" w:space="0" w:color="auto"/>
            </w:tcBorders>
            <w:shd w:val="clear" w:color="auto" w:fill="auto"/>
            <w:vAlign w:val="center"/>
            <w:hideMark/>
          </w:tcPr>
          <w:p w14:paraId="518A1531"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51</w:t>
            </w:r>
          </w:p>
        </w:tc>
        <w:tc>
          <w:tcPr>
            <w:tcW w:w="460" w:type="pct"/>
            <w:tcBorders>
              <w:top w:val="nil"/>
              <w:left w:val="nil"/>
              <w:bottom w:val="single" w:sz="4" w:space="0" w:color="auto"/>
              <w:right w:val="single" w:sz="4" w:space="0" w:color="auto"/>
            </w:tcBorders>
            <w:shd w:val="clear" w:color="auto" w:fill="auto"/>
            <w:vAlign w:val="center"/>
            <w:hideMark/>
          </w:tcPr>
          <w:p w14:paraId="65E86555"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230</w:t>
            </w:r>
          </w:p>
        </w:tc>
        <w:tc>
          <w:tcPr>
            <w:tcW w:w="482" w:type="pct"/>
            <w:tcBorders>
              <w:top w:val="nil"/>
              <w:left w:val="nil"/>
              <w:bottom w:val="single" w:sz="4" w:space="0" w:color="auto"/>
              <w:right w:val="nil"/>
            </w:tcBorders>
            <w:vAlign w:val="center"/>
          </w:tcPr>
          <w:p w14:paraId="08EB97C0" w14:textId="3DEF2E82"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281</w:t>
            </w:r>
          </w:p>
        </w:tc>
        <w:tc>
          <w:tcPr>
            <w:tcW w:w="573" w:type="pct"/>
            <w:tcBorders>
              <w:top w:val="nil"/>
              <w:left w:val="nil"/>
              <w:bottom w:val="single" w:sz="4" w:space="0" w:color="auto"/>
              <w:right w:val="single" w:sz="4" w:space="0" w:color="auto"/>
            </w:tcBorders>
            <w:shd w:val="clear" w:color="auto" w:fill="auto"/>
            <w:vAlign w:val="center"/>
            <w:hideMark/>
          </w:tcPr>
          <w:p w14:paraId="1F84622B" w14:textId="4956258E"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281</w:t>
            </w:r>
          </w:p>
        </w:tc>
      </w:tr>
      <w:tr w:rsidR="004D3927" w:rsidRPr="00DA070E" w14:paraId="46D7BF64" w14:textId="77777777" w:rsidTr="08123348">
        <w:trPr>
          <w:trHeight w:val="300"/>
        </w:trPr>
        <w:tc>
          <w:tcPr>
            <w:tcW w:w="218" w:type="pct"/>
            <w:vMerge/>
            <w:vAlign w:val="center"/>
            <w:hideMark/>
          </w:tcPr>
          <w:p w14:paraId="6703B7BF"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14ACF9C6"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4AF6DD2C"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7B8FBC52"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54387FBD" w14:textId="1E97A278" w:rsidR="00B45FEC" w:rsidRPr="00DA070E" w:rsidRDefault="549BDFEF" w:rsidP="00B45FEC">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PWD</w:t>
            </w:r>
            <w:r w:rsidR="0CF14D5C" w:rsidRPr="08123348">
              <w:rPr>
                <w:rFonts w:ascii="Franklin Gothic Book" w:eastAsia="Times New Roman" w:hAnsi="Franklin Gothic Book"/>
                <w:color w:val="212121"/>
                <w:sz w:val="18"/>
                <w:szCs w:val="18"/>
              </w:rPr>
              <w:t>**</w:t>
            </w:r>
          </w:p>
        </w:tc>
        <w:tc>
          <w:tcPr>
            <w:tcW w:w="527" w:type="pct"/>
            <w:tcBorders>
              <w:top w:val="nil"/>
              <w:left w:val="nil"/>
              <w:bottom w:val="single" w:sz="4" w:space="0" w:color="auto"/>
              <w:right w:val="single" w:sz="4" w:space="0" w:color="auto"/>
            </w:tcBorders>
            <w:shd w:val="clear" w:color="auto" w:fill="auto"/>
            <w:vAlign w:val="center"/>
            <w:hideMark/>
          </w:tcPr>
          <w:p w14:paraId="16894982"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w:t>
            </w:r>
          </w:p>
        </w:tc>
        <w:tc>
          <w:tcPr>
            <w:tcW w:w="458" w:type="pct"/>
            <w:tcBorders>
              <w:top w:val="nil"/>
              <w:left w:val="nil"/>
              <w:bottom w:val="single" w:sz="4" w:space="0" w:color="auto"/>
              <w:right w:val="single" w:sz="4" w:space="0" w:color="auto"/>
            </w:tcBorders>
            <w:shd w:val="clear" w:color="auto" w:fill="auto"/>
            <w:vAlign w:val="center"/>
            <w:hideMark/>
          </w:tcPr>
          <w:p w14:paraId="2BD5BD85"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w:t>
            </w:r>
          </w:p>
        </w:tc>
        <w:tc>
          <w:tcPr>
            <w:tcW w:w="460" w:type="pct"/>
            <w:tcBorders>
              <w:top w:val="nil"/>
              <w:left w:val="nil"/>
              <w:bottom w:val="single" w:sz="4" w:space="0" w:color="auto"/>
              <w:right w:val="single" w:sz="4" w:space="0" w:color="auto"/>
            </w:tcBorders>
            <w:shd w:val="clear" w:color="auto" w:fill="auto"/>
            <w:vAlign w:val="center"/>
            <w:hideMark/>
          </w:tcPr>
          <w:p w14:paraId="632768AD"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w:t>
            </w:r>
          </w:p>
        </w:tc>
        <w:tc>
          <w:tcPr>
            <w:tcW w:w="482" w:type="pct"/>
            <w:tcBorders>
              <w:top w:val="nil"/>
              <w:left w:val="nil"/>
              <w:bottom w:val="single" w:sz="4" w:space="0" w:color="auto"/>
              <w:right w:val="nil"/>
            </w:tcBorders>
            <w:vAlign w:val="center"/>
          </w:tcPr>
          <w:p w14:paraId="434C6FE3" w14:textId="1BD805F9"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8</w:t>
            </w:r>
          </w:p>
        </w:tc>
        <w:tc>
          <w:tcPr>
            <w:tcW w:w="573" w:type="pct"/>
            <w:tcBorders>
              <w:top w:val="nil"/>
              <w:left w:val="nil"/>
              <w:bottom w:val="single" w:sz="4" w:space="0" w:color="auto"/>
              <w:right w:val="single" w:sz="4" w:space="0" w:color="auto"/>
            </w:tcBorders>
            <w:shd w:val="clear" w:color="auto" w:fill="auto"/>
            <w:vAlign w:val="center"/>
            <w:hideMark/>
          </w:tcPr>
          <w:p w14:paraId="79E7A5FC" w14:textId="432D7E20"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8</w:t>
            </w:r>
          </w:p>
        </w:tc>
      </w:tr>
      <w:tr w:rsidR="004D3927" w:rsidRPr="00DA070E" w14:paraId="247E1A49" w14:textId="77777777" w:rsidTr="08123348">
        <w:trPr>
          <w:trHeight w:val="765"/>
        </w:trPr>
        <w:tc>
          <w:tcPr>
            <w:tcW w:w="218" w:type="pct"/>
            <w:vMerge/>
            <w:vAlign w:val="center"/>
            <w:hideMark/>
          </w:tcPr>
          <w:p w14:paraId="5DD62922"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7BF4D3F7"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w:t>
            </w:r>
          </w:p>
        </w:tc>
        <w:tc>
          <w:tcPr>
            <w:tcW w:w="1083" w:type="pct"/>
            <w:tcBorders>
              <w:top w:val="nil"/>
              <w:left w:val="nil"/>
              <w:bottom w:val="single" w:sz="4" w:space="0" w:color="auto"/>
              <w:right w:val="single" w:sz="4" w:space="0" w:color="auto"/>
            </w:tcBorders>
            <w:shd w:val="clear" w:color="auto" w:fill="auto"/>
            <w:hideMark/>
          </w:tcPr>
          <w:p w14:paraId="7A74AA08"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women reporting improvement in their access and control over productive resources in the household and community</w:t>
            </w:r>
          </w:p>
        </w:tc>
        <w:tc>
          <w:tcPr>
            <w:tcW w:w="384" w:type="pct"/>
            <w:tcBorders>
              <w:top w:val="nil"/>
              <w:left w:val="nil"/>
              <w:bottom w:val="single" w:sz="4" w:space="0" w:color="auto"/>
              <w:right w:val="single" w:sz="4" w:space="0" w:color="auto"/>
            </w:tcBorders>
            <w:shd w:val="clear" w:color="auto" w:fill="auto"/>
            <w:hideMark/>
          </w:tcPr>
          <w:p w14:paraId="68ABE61F"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EOPO-3</w:t>
            </w:r>
          </w:p>
        </w:tc>
        <w:tc>
          <w:tcPr>
            <w:tcW w:w="597" w:type="pct"/>
            <w:tcBorders>
              <w:top w:val="nil"/>
              <w:left w:val="nil"/>
              <w:bottom w:val="single" w:sz="4" w:space="0" w:color="auto"/>
              <w:right w:val="single" w:sz="4" w:space="0" w:color="auto"/>
            </w:tcBorders>
            <w:shd w:val="clear" w:color="auto" w:fill="auto"/>
            <w:hideMark/>
          </w:tcPr>
          <w:p w14:paraId="25A81EC9"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3DB1D199"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146</w:t>
            </w:r>
          </w:p>
        </w:tc>
        <w:tc>
          <w:tcPr>
            <w:tcW w:w="458" w:type="pct"/>
            <w:tcBorders>
              <w:top w:val="nil"/>
              <w:left w:val="nil"/>
              <w:bottom w:val="single" w:sz="4" w:space="0" w:color="auto"/>
              <w:right w:val="single" w:sz="4" w:space="0" w:color="auto"/>
            </w:tcBorders>
            <w:shd w:val="clear" w:color="auto" w:fill="auto"/>
            <w:vAlign w:val="center"/>
            <w:hideMark/>
          </w:tcPr>
          <w:p w14:paraId="69C2A67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13</w:t>
            </w:r>
          </w:p>
        </w:tc>
        <w:tc>
          <w:tcPr>
            <w:tcW w:w="460" w:type="pct"/>
            <w:tcBorders>
              <w:top w:val="nil"/>
              <w:left w:val="nil"/>
              <w:bottom w:val="single" w:sz="4" w:space="0" w:color="auto"/>
              <w:right w:val="single" w:sz="4" w:space="0" w:color="auto"/>
            </w:tcBorders>
            <w:shd w:val="clear" w:color="auto" w:fill="auto"/>
            <w:vAlign w:val="center"/>
            <w:hideMark/>
          </w:tcPr>
          <w:p w14:paraId="6380DC11"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62</w:t>
            </w:r>
          </w:p>
        </w:tc>
        <w:tc>
          <w:tcPr>
            <w:tcW w:w="482" w:type="pct"/>
            <w:tcBorders>
              <w:top w:val="nil"/>
              <w:left w:val="nil"/>
              <w:bottom w:val="single" w:sz="4" w:space="0" w:color="auto"/>
              <w:right w:val="nil"/>
            </w:tcBorders>
            <w:vAlign w:val="center"/>
          </w:tcPr>
          <w:p w14:paraId="2A668EA0" w14:textId="4969E5A4"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75</w:t>
            </w:r>
          </w:p>
        </w:tc>
        <w:tc>
          <w:tcPr>
            <w:tcW w:w="573" w:type="pct"/>
            <w:tcBorders>
              <w:top w:val="nil"/>
              <w:left w:val="nil"/>
              <w:bottom w:val="single" w:sz="4" w:space="0" w:color="auto"/>
              <w:right w:val="single" w:sz="4" w:space="0" w:color="auto"/>
            </w:tcBorders>
            <w:shd w:val="clear" w:color="auto" w:fill="auto"/>
            <w:vAlign w:val="center"/>
            <w:hideMark/>
          </w:tcPr>
          <w:p w14:paraId="6187741B" w14:textId="444BC8E3"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221</w:t>
            </w:r>
          </w:p>
        </w:tc>
      </w:tr>
      <w:tr w:rsidR="004D3927" w:rsidRPr="00DA070E" w14:paraId="5B92594A" w14:textId="77777777" w:rsidTr="08123348">
        <w:trPr>
          <w:trHeight w:val="765"/>
        </w:trPr>
        <w:tc>
          <w:tcPr>
            <w:tcW w:w="218" w:type="pct"/>
            <w:vMerge/>
            <w:vAlign w:val="center"/>
            <w:hideMark/>
          </w:tcPr>
          <w:p w14:paraId="14C31A45"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1BD381F1"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w:t>
            </w:r>
          </w:p>
        </w:tc>
        <w:tc>
          <w:tcPr>
            <w:tcW w:w="1083" w:type="pct"/>
            <w:tcBorders>
              <w:top w:val="nil"/>
              <w:left w:val="nil"/>
              <w:bottom w:val="single" w:sz="4" w:space="0" w:color="auto"/>
              <w:right w:val="single" w:sz="4" w:space="0" w:color="auto"/>
            </w:tcBorders>
            <w:shd w:val="clear" w:color="auto" w:fill="auto"/>
            <w:hideMark/>
          </w:tcPr>
          <w:p w14:paraId="1C2CA8DC"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household and small enterprise beneficiaries adopting improved business practice</w:t>
            </w:r>
          </w:p>
        </w:tc>
        <w:tc>
          <w:tcPr>
            <w:tcW w:w="384" w:type="pct"/>
            <w:tcBorders>
              <w:top w:val="nil"/>
              <w:left w:val="nil"/>
              <w:bottom w:val="single" w:sz="4" w:space="0" w:color="auto"/>
              <w:right w:val="single" w:sz="4" w:space="0" w:color="auto"/>
            </w:tcBorders>
            <w:shd w:val="clear" w:color="auto" w:fill="auto"/>
            <w:hideMark/>
          </w:tcPr>
          <w:p w14:paraId="7856BD2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 &amp; 3</w:t>
            </w:r>
          </w:p>
        </w:tc>
        <w:tc>
          <w:tcPr>
            <w:tcW w:w="597" w:type="pct"/>
            <w:tcBorders>
              <w:top w:val="nil"/>
              <w:left w:val="nil"/>
              <w:bottom w:val="single" w:sz="4" w:space="0" w:color="auto"/>
              <w:right w:val="single" w:sz="4" w:space="0" w:color="auto"/>
            </w:tcBorders>
            <w:shd w:val="clear" w:color="auto" w:fill="auto"/>
            <w:hideMark/>
          </w:tcPr>
          <w:p w14:paraId="32A2D0EA"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2B357BB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1428</w:t>
            </w:r>
          </w:p>
        </w:tc>
        <w:tc>
          <w:tcPr>
            <w:tcW w:w="458" w:type="pct"/>
            <w:tcBorders>
              <w:top w:val="nil"/>
              <w:left w:val="nil"/>
              <w:bottom w:val="single" w:sz="4" w:space="0" w:color="auto"/>
              <w:right w:val="single" w:sz="4" w:space="0" w:color="auto"/>
            </w:tcBorders>
            <w:shd w:val="clear" w:color="auto" w:fill="auto"/>
            <w:vAlign w:val="center"/>
            <w:hideMark/>
          </w:tcPr>
          <w:p w14:paraId="3DD926F4"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54</w:t>
            </w:r>
          </w:p>
        </w:tc>
        <w:tc>
          <w:tcPr>
            <w:tcW w:w="460" w:type="pct"/>
            <w:tcBorders>
              <w:top w:val="nil"/>
              <w:left w:val="nil"/>
              <w:bottom w:val="single" w:sz="4" w:space="0" w:color="auto"/>
              <w:right w:val="single" w:sz="4" w:space="0" w:color="auto"/>
            </w:tcBorders>
            <w:shd w:val="clear" w:color="auto" w:fill="auto"/>
            <w:vAlign w:val="center"/>
            <w:hideMark/>
          </w:tcPr>
          <w:p w14:paraId="5A950149"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185</w:t>
            </w:r>
          </w:p>
        </w:tc>
        <w:tc>
          <w:tcPr>
            <w:tcW w:w="482" w:type="pct"/>
            <w:tcBorders>
              <w:top w:val="nil"/>
              <w:left w:val="nil"/>
              <w:bottom w:val="single" w:sz="4" w:space="0" w:color="auto"/>
              <w:right w:val="nil"/>
            </w:tcBorders>
            <w:vAlign w:val="center"/>
          </w:tcPr>
          <w:p w14:paraId="1312E697" w14:textId="7E9BA9A7"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238</w:t>
            </w:r>
          </w:p>
        </w:tc>
        <w:tc>
          <w:tcPr>
            <w:tcW w:w="573" w:type="pct"/>
            <w:tcBorders>
              <w:top w:val="nil"/>
              <w:left w:val="nil"/>
              <w:bottom w:val="single" w:sz="4" w:space="0" w:color="auto"/>
              <w:right w:val="single" w:sz="4" w:space="0" w:color="auto"/>
            </w:tcBorders>
            <w:shd w:val="clear" w:color="auto" w:fill="auto"/>
            <w:vAlign w:val="center"/>
            <w:hideMark/>
          </w:tcPr>
          <w:p w14:paraId="215F2EC7" w14:textId="49EC8E10"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1,666</w:t>
            </w:r>
          </w:p>
        </w:tc>
      </w:tr>
      <w:tr w:rsidR="004D3927" w:rsidRPr="00DA070E" w14:paraId="16077D71" w14:textId="77777777" w:rsidTr="08123348">
        <w:trPr>
          <w:trHeight w:val="765"/>
        </w:trPr>
        <w:tc>
          <w:tcPr>
            <w:tcW w:w="21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8785349" w14:textId="77777777" w:rsidR="00B45FEC" w:rsidRPr="00DA070E" w:rsidRDefault="00B45FEC" w:rsidP="008D2210">
            <w:pPr>
              <w:spacing w:after="0" w:line="240" w:lineRule="auto"/>
              <w:rPr>
                <w:rFonts w:ascii="Franklin Gothic Book" w:eastAsia="Times New Roman" w:hAnsi="Franklin Gothic Book"/>
                <w:b/>
                <w:bCs/>
                <w:color w:val="212121"/>
                <w:sz w:val="18"/>
                <w:szCs w:val="18"/>
              </w:rPr>
            </w:pPr>
            <w:r w:rsidRPr="00DA070E">
              <w:rPr>
                <w:rFonts w:ascii="Franklin Gothic Book" w:eastAsia="Times New Roman" w:hAnsi="Franklin Gothic Book"/>
                <w:b/>
                <w:bCs/>
                <w:color w:val="212121"/>
                <w:sz w:val="18"/>
                <w:szCs w:val="18"/>
              </w:rPr>
              <w:t>Market System Change</w:t>
            </w:r>
          </w:p>
        </w:tc>
        <w:tc>
          <w:tcPr>
            <w:tcW w:w="218" w:type="pct"/>
            <w:tcBorders>
              <w:top w:val="nil"/>
              <w:left w:val="nil"/>
              <w:bottom w:val="single" w:sz="4" w:space="0" w:color="auto"/>
              <w:right w:val="single" w:sz="4" w:space="0" w:color="auto"/>
            </w:tcBorders>
            <w:shd w:val="clear" w:color="auto" w:fill="auto"/>
            <w:hideMark/>
          </w:tcPr>
          <w:p w14:paraId="5B1FE478"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w:t>
            </w:r>
          </w:p>
        </w:tc>
        <w:tc>
          <w:tcPr>
            <w:tcW w:w="1083" w:type="pct"/>
            <w:tcBorders>
              <w:top w:val="nil"/>
              <w:left w:val="nil"/>
              <w:bottom w:val="single" w:sz="4" w:space="0" w:color="auto"/>
              <w:right w:val="single" w:sz="4" w:space="0" w:color="auto"/>
            </w:tcBorders>
            <w:shd w:val="clear" w:color="auto" w:fill="auto"/>
            <w:hideMark/>
          </w:tcPr>
          <w:p w14:paraId="718CBE5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household and small enterprise beneficiaries with improved access to markets or information or products/services</w:t>
            </w:r>
          </w:p>
        </w:tc>
        <w:tc>
          <w:tcPr>
            <w:tcW w:w="384" w:type="pct"/>
            <w:tcBorders>
              <w:top w:val="nil"/>
              <w:left w:val="nil"/>
              <w:bottom w:val="single" w:sz="4" w:space="0" w:color="auto"/>
              <w:right w:val="single" w:sz="4" w:space="0" w:color="auto"/>
            </w:tcBorders>
            <w:shd w:val="clear" w:color="auto" w:fill="auto"/>
            <w:hideMark/>
          </w:tcPr>
          <w:p w14:paraId="3F6ED4EA"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19EAEF99"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64F68B35" w14:textId="4BD39594"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15</w:t>
            </w:r>
            <w:r w:rsidR="00434271">
              <w:rPr>
                <w:rFonts w:ascii="Franklin Gothic Book" w:eastAsia="Times New Roman" w:hAnsi="Franklin Gothic Book"/>
                <w:color w:val="212121"/>
                <w:sz w:val="18"/>
                <w:szCs w:val="18"/>
              </w:rPr>
              <w:t>,</w:t>
            </w:r>
            <w:r w:rsidRPr="00DA070E">
              <w:rPr>
                <w:rFonts w:ascii="Franklin Gothic Book" w:eastAsia="Times New Roman" w:hAnsi="Franklin Gothic Book"/>
                <w:color w:val="212121"/>
                <w:sz w:val="18"/>
                <w:szCs w:val="18"/>
              </w:rPr>
              <w:t>049</w:t>
            </w:r>
          </w:p>
        </w:tc>
        <w:tc>
          <w:tcPr>
            <w:tcW w:w="458" w:type="pct"/>
            <w:tcBorders>
              <w:top w:val="nil"/>
              <w:left w:val="nil"/>
              <w:bottom w:val="single" w:sz="4" w:space="0" w:color="auto"/>
              <w:right w:val="single" w:sz="4" w:space="0" w:color="auto"/>
            </w:tcBorders>
            <w:shd w:val="clear" w:color="auto" w:fill="auto"/>
            <w:vAlign w:val="center"/>
            <w:hideMark/>
          </w:tcPr>
          <w:p w14:paraId="61476D28"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62</w:t>
            </w:r>
          </w:p>
        </w:tc>
        <w:tc>
          <w:tcPr>
            <w:tcW w:w="460" w:type="pct"/>
            <w:tcBorders>
              <w:top w:val="nil"/>
              <w:left w:val="nil"/>
              <w:bottom w:val="single" w:sz="4" w:space="0" w:color="auto"/>
              <w:right w:val="single" w:sz="4" w:space="0" w:color="auto"/>
            </w:tcBorders>
            <w:shd w:val="clear" w:color="auto" w:fill="auto"/>
            <w:vAlign w:val="center"/>
            <w:hideMark/>
          </w:tcPr>
          <w:p w14:paraId="27BF0CF7"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1,225</w:t>
            </w:r>
          </w:p>
        </w:tc>
        <w:tc>
          <w:tcPr>
            <w:tcW w:w="482" w:type="pct"/>
            <w:tcBorders>
              <w:top w:val="nil"/>
              <w:left w:val="nil"/>
              <w:bottom w:val="single" w:sz="4" w:space="0" w:color="auto"/>
              <w:right w:val="nil"/>
            </w:tcBorders>
            <w:vAlign w:val="center"/>
          </w:tcPr>
          <w:p w14:paraId="51090E6E" w14:textId="34C86D25"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1287</w:t>
            </w:r>
          </w:p>
        </w:tc>
        <w:tc>
          <w:tcPr>
            <w:tcW w:w="573" w:type="pct"/>
            <w:tcBorders>
              <w:top w:val="nil"/>
              <w:left w:val="nil"/>
              <w:bottom w:val="single" w:sz="4" w:space="0" w:color="auto"/>
              <w:right w:val="single" w:sz="4" w:space="0" w:color="auto"/>
            </w:tcBorders>
            <w:shd w:val="clear" w:color="auto" w:fill="auto"/>
            <w:vAlign w:val="center"/>
            <w:hideMark/>
          </w:tcPr>
          <w:p w14:paraId="67612CFB" w14:textId="4279ADB0"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16,336</w:t>
            </w:r>
          </w:p>
        </w:tc>
      </w:tr>
      <w:tr w:rsidR="004D3927" w:rsidRPr="00DA070E" w14:paraId="0AF1DD4C" w14:textId="77777777" w:rsidTr="08123348">
        <w:trPr>
          <w:trHeight w:val="1080"/>
        </w:trPr>
        <w:tc>
          <w:tcPr>
            <w:tcW w:w="218" w:type="pct"/>
            <w:vMerge/>
            <w:vAlign w:val="center"/>
            <w:hideMark/>
          </w:tcPr>
          <w:p w14:paraId="38640CE0"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714EC962"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8</w:t>
            </w:r>
          </w:p>
        </w:tc>
        <w:tc>
          <w:tcPr>
            <w:tcW w:w="1083" w:type="pct"/>
            <w:tcBorders>
              <w:top w:val="nil"/>
              <w:left w:val="nil"/>
              <w:bottom w:val="single" w:sz="4" w:space="0" w:color="auto"/>
              <w:right w:val="single" w:sz="4" w:space="0" w:color="auto"/>
            </w:tcBorders>
            <w:shd w:val="clear" w:color="auto" w:fill="auto"/>
            <w:hideMark/>
          </w:tcPr>
          <w:p w14:paraId="7690B6E6" w14:textId="77777777" w:rsidR="00B45FEC" w:rsidRPr="00DA070E" w:rsidRDefault="00B45FEC" w:rsidP="00184DEC">
            <w:pPr>
              <w:keepNext/>
              <w:keepLines/>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women accessing new products or services that potentially improve their access and control over household and/or community productive resources*</w:t>
            </w:r>
          </w:p>
        </w:tc>
        <w:tc>
          <w:tcPr>
            <w:tcW w:w="384" w:type="pct"/>
            <w:tcBorders>
              <w:top w:val="nil"/>
              <w:left w:val="nil"/>
              <w:bottom w:val="single" w:sz="4" w:space="0" w:color="auto"/>
              <w:right w:val="single" w:sz="4" w:space="0" w:color="auto"/>
            </w:tcBorders>
            <w:shd w:val="clear" w:color="auto" w:fill="auto"/>
            <w:hideMark/>
          </w:tcPr>
          <w:p w14:paraId="28C590F7"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EOPO-3</w:t>
            </w:r>
          </w:p>
        </w:tc>
        <w:tc>
          <w:tcPr>
            <w:tcW w:w="597" w:type="pct"/>
            <w:tcBorders>
              <w:top w:val="nil"/>
              <w:left w:val="nil"/>
              <w:bottom w:val="single" w:sz="4" w:space="0" w:color="auto"/>
              <w:right w:val="single" w:sz="4" w:space="0" w:color="auto"/>
            </w:tcBorders>
            <w:shd w:val="clear" w:color="auto" w:fill="auto"/>
            <w:hideMark/>
          </w:tcPr>
          <w:p w14:paraId="3E570D80"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2CADC310"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2121154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28</w:t>
            </w:r>
          </w:p>
        </w:tc>
        <w:tc>
          <w:tcPr>
            <w:tcW w:w="460" w:type="pct"/>
            <w:tcBorders>
              <w:top w:val="nil"/>
              <w:left w:val="nil"/>
              <w:bottom w:val="single" w:sz="4" w:space="0" w:color="auto"/>
              <w:right w:val="single" w:sz="4" w:space="0" w:color="auto"/>
            </w:tcBorders>
            <w:shd w:val="clear" w:color="auto" w:fill="auto"/>
            <w:vAlign w:val="center"/>
            <w:hideMark/>
          </w:tcPr>
          <w:p w14:paraId="19CC8137"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369</w:t>
            </w:r>
          </w:p>
        </w:tc>
        <w:tc>
          <w:tcPr>
            <w:tcW w:w="482" w:type="pct"/>
            <w:tcBorders>
              <w:top w:val="nil"/>
              <w:left w:val="nil"/>
              <w:bottom w:val="single" w:sz="4" w:space="0" w:color="auto"/>
              <w:right w:val="nil"/>
            </w:tcBorders>
            <w:vAlign w:val="center"/>
          </w:tcPr>
          <w:p w14:paraId="5339E8C3" w14:textId="080FF97D"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397</w:t>
            </w:r>
          </w:p>
        </w:tc>
        <w:tc>
          <w:tcPr>
            <w:tcW w:w="573" w:type="pct"/>
            <w:tcBorders>
              <w:top w:val="nil"/>
              <w:left w:val="nil"/>
              <w:bottom w:val="single" w:sz="4" w:space="0" w:color="auto"/>
              <w:right w:val="single" w:sz="4" w:space="0" w:color="auto"/>
            </w:tcBorders>
            <w:shd w:val="clear" w:color="auto" w:fill="auto"/>
            <w:vAlign w:val="center"/>
            <w:hideMark/>
          </w:tcPr>
          <w:p w14:paraId="5585D965" w14:textId="10C0E5BB"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397</w:t>
            </w:r>
          </w:p>
        </w:tc>
      </w:tr>
      <w:tr w:rsidR="004D3927" w:rsidRPr="00DA070E" w14:paraId="44BDC45E" w14:textId="77777777" w:rsidTr="08123348">
        <w:trPr>
          <w:trHeight w:val="510"/>
        </w:trPr>
        <w:tc>
          <w:tcPr>
            <w:tcW w:w="218" w:type="pct"/>
            <w:vMerge/>
            <w:vAlign w:val="center"/>
            <w:hideMark/>
          </w:tcPr>
          <w:p w14:paraId="7BC36BC5"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130A697E"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9</w:t>
            </w:r>
          </w:p>
        </w:tc>
        <w:tc>
          <w:tcPr>
            <w:tcW w:w="1083" w:type="pct"/>
            <w:tcBorders>
              <w:top w:val="nil"/>
              <w:left w:val="nil"/>
              <w:bottom w:val="single" w:sz="4" w:space="0" w:color="auto"/>
              <w:right w:val="single" w:sz="4" w:space="0" w:color="auto"/>
            </w:tcBorders>
            <w:shd w:val="clear" w:color="auto" w:fill="auto"/>
            <w:hideMark/>
          </w:tcPr>
          <w:p w14:paraId="117DC33E" w14:textId="77777777" w:rsidR="00B45FEC" w:rsidRPr="00DA070E" w:rsidRDefault="00B45FEC" w:rsidP="00B45FEC">
            <w:pPr>
              <w:keepNext/>
              <w:keepLines/>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market actors providing new/improved product/services</w:t>
            </w:r>
          </w:p>
        </w:tc>
        <w:tc>
          <w:tcPr>
            <w:tcW w:w="384" w:type="pct"/>
            <w:tcBorders>
              <w:top w:val="nil"/>
              <w:left w:val="nil"/>
              <w:bottom w:val="single" w:sz="4" w:space="0" w:color="auto"/>
              <w:right w:val="single" w:sz="4" w:space="0" w:color="auto"/>
            </w:tcBorders>
            <w:shd w:val="clear" w:color="auto" w:fill="auto"/>
            <w:hideMark/>
          </w:tcPr>
          <w:p w14:paraId="20B7EB68"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4ACEAC01"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75A9772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38</w:t>
            </w:r>
          </w:p>
        </w:tc>
        <w:tc>
          <w:tcPr>
            <w:tcW w:w="458" w:type="pct"/>
            <w:tcBorders>
              <w:top w:val="nil"/>
              <w:left w:val="nil"/>
              <w:bottom w:val="single" w:sz="4" w:space="0" w:color="auto"/>
              <w:right w:val="single" w:sz="4" w:space="0" w:color="auto"/>
            </w:tcBorders>
            <w:shd w:val="clear" w:color="auto" w:fill="auto"/>
            <w:vAlign w:val="center"/>
            <w:hideMark/>
          </w:tcPr>
          <w:p w14:paraId="014E113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10</w:t>
            </w:r>
          </w:p>
        </w:tc>
        <w:tc>
          <w:tcPr>
            <w:tcW w:w="460" w:type="pct"/>
            <w:tcBorders>
              <w:top w:val="nil"/>
              <w:left w:val="nil"/>
              <w:bottom w:val="single" w:sz="4" w:space="0" w:color="auto"/>
              <w:right w:val="single" w:sz="4" w:space="0" w:color="auto"/>
            </w:tcBorders>
            <w:shd w:val="clear" w:color="auto" w:fill="auto"/>
            <w:vAlign w:val="center"/>
            <w:hideMark/>
          </w:tcPr>
          <w:p w14:paraId="1359B8D3"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29</w:t>
            </w:r>
          </w:p>
        </w:tc>
        <w:tc>
          <w:tcPr>
            <w:tcW w:w="482" w:type="pct"/>
            <w:tcBorders>
              <w:top w:val="nil"/>
              <w:left w:val="nil"/>
              <w:bottom w:val="single" w:sz="4" w:space="0" w:color="auto"/>
              <w:right w:val="nil"/>
            </w:tcBorders>
            <w:vAlign w:val="center"/>
          </w:tcPr>
          <w:p w14:paraId="27BD4B2D" w14:textId="67E2EA1A"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39</w:t>
            </w:r>
          </w:p>
        </w:tc>
        <w:tc>
          <w:tcPr>
            <w:tcW w:w="573" w:type="pct"/>
            <w:tcBorders>
              <w:top w:val="nil"/>
              <w:left w:val="nil"/>
              <w:bottom w:val="single" w:sz="4" w:space="0" w:color="auto"/>
              <w:right w:val="single" w:sz="4" w:space="0" w:color="auto"/>
            </w:tcBorders>
            <w:shd w:val="clear" w:color="auto" w:fill="auto"/>
            <w:vAlign w:val="center"/>
            <w:hideMark/>
          </w:tcPr>
          <w:p w14:paraId="74142AE0" w14:textId="0D6CF345"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77</w:t>
            </w:r>
          </w:p>
        </w:tc>
      </w:tr>
      <w:tr w:rsidR="004D3927" w:rsidRPr="00DA070E" w14:paraId="61E4C41C" w14:textId="77777777" w:rsidTr="08123348">
        <w:trPr>
          <w:trHeight w:val="300"/>
        </w:trPr>
        <w:tc>
          <w:tcPr>
            <w:tcW w:w="218" w:type="pct"/>
            <w:vMerge/>
            <w:vAlign w:val="center"/>
            <w:hideMark/>
          </w:tcPr>
          <w:p w14:paraId="3F2320B1"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41A9F84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10</w:t>
            </w:r>
          </w:p>
        </w:tc>
        <w:tc>
          <w:tcPr>
            <w:tcW w:w="1083" w:type="pct"/>
            <w:tcBorders>
              <w:top w:val="nil"/>
              <w:left w:val="nil"/>
              <w:bottom w:val="single" w:sz="4" w:space="0" w:color="auto"/>
              <w:right w:val="single" w:sz="4" w:space="0" w:color="auto"/>
            </w:tcBorders>
            <w:shd w:val="clear" w:color="auto" w:fill="auto"/>
            <w:hideMark/>
          </w:tcPr>
          <w:p w14:paraId="30A66455" w14:textId="39E9491C" w:rsidR="00B45FEC" w:rsidRPr="00DA070E" w:rsidRDefault="0CF14D5C" w:rsidP="00B45FEC">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Value of sales of </w:t>
            </w:r>
            <w:r w:rsidR="0D4FD255" w:rsidRPr="08123348">
              <w:rPr>
                <w:rFonts w:ascii="Franklin Gothic Book" w:eastAsia="Times New Roman" w:hAnsi="Franklin Gothic Book"/>
                <w:color w:val="212121"/>
                <w:sz w:val="18"/>
                <w:szCs w:val="18"/>
              </w:rPr>
              <w:t>value-added</w:t>
            </w:r>
            <w:r w:rsidRPr="08123348">
              <w:rPr>
                <w:rFonts w:ascii="Franklin Gothic Book" w:eastAsia="Times New Roman" w:hAnsi="Franklin Gothic Book"/>
                <w:color w:val="212121"/>
                <w:sz w:val="18"/>
                <w:szCs w:val="18"/>
              </w:rPr>
              <w:t xml:space="preserve"> products (AUD)</w:t>
            </w:r>
          </w:p>
        </w:tc>
        <w:tc>
          <w:tcPr>
            <w:tcW w:w="384" w:type="pct"/>
            <w:tcBorders>
              <w:top w:val="nil"/>
              <w:left w:val="nil"/>
              <w:bottom w:val="single" w:sz="4" w:space="0" w:color="auto"/>
              <w:right w:val="single" w:sz="4" w:space="0" w:color="auto"/>
            </w:tcBorders>
            <w:shd w:val="clear" w:color="auto" w:fill="auto"/>
            <w:hideMark/>
          </w:tcPr>
          <w:p w14:paraId="7A63CE9E"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61FA770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60B4926B" w14:textId="203268CA"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223</w:t>
            </w:r>
            <w:r>
              <w:rPr>
                <w:rFonts w:ascii="Franklin Gothic Book" w:eastAsia="Times New Roman" w:hAnsi="Franklin Gothic Book"/>
                <w:color w:val="212121"/>
                <w:sz w:val="18"/>
                <w:szCs w:val="18"/>
              </w:rPr>
              <w:t>,</w:t>
            </w:r>
            <w:r w:rsidRPr="00DA070E">
              <w:rPr>
                <w:rFonts w:ascii="Franklin Gothic Book" w:eastAsia="Times New Roman" w:hAnsi="Franklin Gothic Book"/>
                <w:color w:val="212121"/>
                <w:sz w:val="18"/>
                <w:szCs w:val="18"/>
              </w:rPr>
              <w:t>162</w:t>
            </w:r>
          </w:p>
        </w:tc>
        <w:tc>
          <w:tcPr>
            <w:tcW w:w="458" w:type="pct"/>
            <w:tcBorders>
              <w:top w:val="nil"/>
              <w:left w:val="nil"/>
              <w:bottom w:val="single" w:sz="4" w:space="0" w:color="auto"/>
              <w:right w:val="single" w:sz="4" w:space="0" w:color="auto"/>
            </w:tcBorders>
            <w:shd w:val="clear" w:color="auto" w:fill="auto"/>
            <w:vAlign w:val="center"/>
            <w:hideMark/>
          </w:tcPr>
          <w:p w14:paraId="0A61F508" w14:textId="50831B3B"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465</w:t>
            </w:r>
            <w:r>
              <w:rPr>
                <w:rFonts w:ascii="Franklin Gothic Book" w:eastAsia="Times New Roman" w:hAnsi="Franklin Gothic Book"/>
                <w:color w:val="212121"/>
                <w:sz w:val="18"/>
                <w:szCs w:val="18"/>
              </w:rPr>
              <w:t>,</w:t>
            </w:r>
            <w:r w:rsidRPr="00DA070E">
              <w:rPr>
                <w:rFonts w:ascii="Franklin Gothic Book" w:eastAsia="Times New Roman" w:hAnsi="Franklin Gothic Book"/>
                <w:color w:val="212121"/>
                <w:sz w:val="18"/>
                <w:szCs w:val="18"/>
              </w:rPr>
              <w:t>416</w:t>
            </w:r>
          </w:p>
        </w:tc>
        <w:tc>
          <w:tcPr>
            <w:tcW w:w="460" w:type="pct"/>
            <w:tcBorders>
              <w:top w:val="nil"/>
              <w:left w:val="nil"/>
              <w:bottom w:val="single" w:sz="4" w:space="0" w:color="auto"/>
              <w:right w:val="single" w:sz="4" w:space="0" w:color="auto"/>
            </w:tcBorders>
            <w:shd w:val="clear" w:color="auto" w:fill="auto"/>
            <w:vAlign w:val="center"/>
            <w:hideMark/>
          </w:tcPr>
          <w:p w14:paraId="1B1DD1AA" w14:textId="6E118823"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533,688</w:t>
            </w:r>
          </w:p>
        </w:tc>
        <w:tc>
          <w:tcPr>
            <w:tcW w:w="482" w:type="pct"/>
            <w:tcBorders>
              <w:top w:val="nil"/>
              <w:left w:val="nil"/>
              <w:bottom w:val="single" w:sz="4" w:space="0" w:color="auto"/>
              <w:right w:val="nil"/>
            </w:tcBorders>
            <w:vAlign w:val="center"/>
          </w:tcPr>
          <w:p w14:paraId="092B4BD1" w14:textId="38BD6C9F"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999</w:t>
            </w:r>
            <w:r w:rsidR="00CA273E">
              <w:rPr>
                <w:rFonts w:ascii="Franklin Gothic Book" w:hAnsi="Franklin Gothic Book"/>
                <w:color w:val="000000"/>
                <w:sz w:val="18"/>
                <w:szCs w:val="18"/>
              </w:rPr>
              <w:t>,</w:t>
            </w:r>
            <w:r>
              <w:rPr>
                <w:rFonts w:ascii="Franklin Gothic Book" w:hAnsi="Franklin Gothic Book"/>
                <w:color w:val="000000"/>
                <w:sz w:val="18"/>
                <w:szCs w:val="18"/>
              </w:rPr>
              <w:t>105</w:t>
            </w:r>
          </w:p>
        </w:tc>
        <w:tc>
          <w:tcPr>
            <w:tcW w:w="573" w:type="pct"/>
            <w:tcBorders>
              <w:top w:val="nil"/>
              <w:left w:val="nil"/>
              <w:bottom w:val="single" w:sz="4" w:space="0" w:color="auto"/>
              <w:right w:val="single" w:sz="4" w:space="0" w:color="auto"/>
            </w:tcBorders>
            <w:shd w:val="clear" w:color="auto" w:fill="auto"/>
            <w:vAlign w:val="center"/>
            <w:hideMark/>
          </w:tcPr>
          <w:p w14:paraId="62012B3E" w14:textId="25CECA15"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1,222,267</w:t>
            </w:r>
          </w:p>
        </w:tc>
      </w:tr>
      <w:tr w:rsidR="004D3927" w:rsidRPr="00DA070E" w14:paraId="3D6DBC15" w14:textId="77777777" w:rsidTr="08123348">
        <w:trPr>
          <w:trHeight w:val="300"/>
        </w:trPr>
        <w:tc>
          <w:tcPr>
            <w:tcW w:w="218" w:type="pct"/>
            <w:vMerge/>
            <w:vAlign w:val="center"/>
            <w:hideMark/>
          </w:tcPr>
          <w:p w14:paraId="2044572A"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78D0BCCC"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11</w:t>
            </w:r>
          </w:p>
        </w:tc>
        <w:tc>
          <w:tcPr>
            <w:tcW w:w="1083" w:type="pct"/>
            <w:tcBorders>
              <w:top w:val="nil"/>
              <w:left w:val="nil"/>
              <w:bottom w:val="single" w:sz="4" w:space="0" w:color="auto"/>
              <w:right w:val="single" w:sz="4" w:space="0" w:color="auto"/>
            </w:tcBorders>
            <w:shd w:val="clear" w:color="auto" w:fill="auto"/>
            <w:hideMark/>
          </w:tcPr>
          <w:p w14:paraId="7AE7D671"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market actors expanding business</w:t>
            </w:r>
          </w:p>
        </w:tc>
        <w:tc>
          <w:tcPr>
            <w:tcW w:w="384" w:type="pct"/>
            <w:tcBorders>
              <w:top w:val="nil"/>
              <w:left w:val="nil"/>
              <w:bottom w:val="single" w:sz="4" w:space="0" w:color="auto"/>
              <w:right w:val="single" w:sz="4" w:space="0" w:color="auto"/>
            </w:tcBorders>
            <w:shd w:val="clear" w:color="auto" w:fill="auto"/>
            <w:hideMark/>
          </w:tcPr>
          <w:p w14:paraId="2B1AA277"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37D77AFC"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6095E186"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38</w:t>
            </w:r>
          </w:p>
        </w:tc>
        <w:tc>
          <w:tcPr>
            <w:tcW w:w="458" w:type="pct"/>
            <w:tcBorders>
              <w:top w:val="nil"/>
              <w:left w:val="nil"/>
              <w:bottom w:val="single" w:sz="4" w:space="0" w:color="auto"/>
              <w:right w:val="single" w:sz="4" w:space="0" w:color="auto"/>
            </w:tcBorders>
            <w:shd w:val="clear" w:color="auto" w:fill="auto"/>
            <w:vAlign w:val="center"/>
            <w:hideMark/>
          </w:tcPr>
          <w:p w14:paraId="70F9B28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13</w:t>
            </w:r>
          </w:p>
        </w:tc>
        <w:tc>
          <w:tcPr>
            <w:tcW w:w="460" w:type="pct"/>
            <w:tcBorders>
              <w:top w:val="nil"/>
              <w:left w:val="nil"/>
              <w:bottom w:val="single" w:sz="4" w:space="0" w:color="auto"/>
              <w:right w:val="single" w:sz="4" w:space="0" w:color="auto"/>
            </w:tcBorders>
            <w:shd w:val="clear" w:color="auto" w:fill="auto"/>
            <w:vAlign w:val="center"/>
            <w:hideMark/>
          </w:tcPr>
          <w:p w14:paraId="69B1F041"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25</w:t>
            </w:r>
          </w:p>
        </w:tc>
        <w:tc>
          <w:tcPr>
            <w:tcW w:w="482" w:type="pct"/>
            <w:tcBorders>
              <w:top w:val="nil"/>
              <w:left w:val="nil"/>
              <w:bottom w:val="single" w:sz="4" w:space="0" w:color="auto"/>
              <w:right w:val="nil"/>
            </w:tcBorders>
            <w:vAlign w:val="center"/>
          </w:tcPr>
          <w:p w14:paraId="40630807" w14:textId="1F696608"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38</w:t>
            </w:r>
          </w:p>
        </w:tc>
        <w:tc>
          <w:tcPr>
            <w:tcW w:w="573" w:type="pct"/>
            <w:tcBorders>
              <w:top w:val="nil"/>
              <w:left w:val="nil"/>
              <w:bottom w:val="single" w:sz="4" w:space="0" w:color="auto"/>
              <w:right w:val="single" w:sz="4" w:space="0" w:color="auto"/>
            </w:tcBorders>
            <w:shd w:val="clear" w:color="auto" w:fill="auto"/>
            <w:vAlign w:val="center"/>
            <w:hideMark/>
          </w:tcPr>
          <w:p w14:paraId="6A5AEE1D" w14:textId="24ED5859"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76</w:t>
            </w:r>
          </w:p>
        </w:tc>
      </w:tr>
      <w:tr w:rsidR="004D3927" w:rsidRPr="00DA070E" w14:paraId="58879CCB" w14:textId="77777777" w:rsidTr="08123348">
        <w:trPr>
          <w:trHeight w:val="300"/>
        </w:trPr>
        <w:tc>
          <w:tcPr>
            <w:tcW w:w="218" w:type="pct"/>
            <w:vMerge/>
            <w:vAlign w:val="center"/>
            <w:hideMark/>
          </w:tcPr>
          <w:p w14:paraId="35D53A89"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5033697E"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12</w:t>
            </w:r>
          </w:p>
        </w:tc>
        <w:tc>
          <w:tcPr>
            <w:tcW w:w="1083" w:type="pct"/>
            <w:tcBorders>
              <w:top w:val="nil"/>
              <w:left w:val="nil"/>
              <w:bottom w:val="single" w:sz="4" w:space="0" w:color="auto"/>
              <w:right w:val="single" w:sz="4" w:space="0" w:color="auto"/>
            </w:tcBorders>
            <w:shd w:val="clear" w:color="auto" w:fill="auto"/>
            <w:hideMark/>
          </w:tcPr>
          <w:p w14:paraId="5F62EACD"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Value of exports facilitated (AUD)</w:t>
            </w:r>
          </w:p>
        </w:tc>
        <w:tc>
          <w:tcPr>
            <w:tcW w:w="384" w:type="pct"/>
            <w:tcBorders>
              <w:top w:val="nil"/>
              <w:left w:val="nil"/>
              <w:bottom w:val="single" w:sz="4" w:space="0" w:color="auto"/>
              <w:right w:val="single" w:sz="4" w:space="0" w:color="auto"/>
            </w:tcBorders>
            <w:shd w:val="clear" w:color="auto" w:fill="auto"/>
            <w:hideMark/>
          </w:tcPr>
          <w:p w14:paraId="70D6A71E"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75D61245"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3087E252" w14:textId="3F38DFF3"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663</w:t>
            </w:r>
            <w:r>
              <w:rPr>
                <w:rFonts w:ascii="Franklin Gothic Book" w:eastAsia="Times New Roman" w:hAnsi="Franklin Gothic Book"/>
                <w:color w:val="212121"/>
                <w:sz w:val="18"/>
                <w:szCs w:val="18"/>
              </w:rPr>
              <w:t>,</w:t>
            </w:r>
            <w:r w:rsidRPr="00DA070E">
              <w:rPr>
                <w:rFonts w:ascii="Franklin Gothic Book" w:eastAsia="Times New Roman" w:hAnsi="Franklin Gothic Book"/>
                <w:color w:val="212121"/>
                <w:sz w:val="18"/>
                <w:szCs w:val="18"/>
              </w:rPr>
              <w:t>877</w:t>
            </w:r>
          </w:p>
        </w:tc>
        <w:tc>
          <w:tcPr>
            <w:tcW w:w="458" w:type="pct"/>
            <w:tcBorders>
              <w:top w:val="nil"/>
              <w:left w:val="nil"/>
              <w:bottom w:val="single" w:sz="4" w:space="0" w:color="auto"/>
              <w:right w:val="single" w:sz="4" w:space="0" w:color="auto"/>
            </w:tcBorders>
            <w:shd w:val="clear" w:color="auto" w:fill="auto"/>
            <w:vAlign w:val="center"/>
            <w:hideMark/>
          </w:tcPr>
          <w:p w14:paraId="68022400" w14:textId="2C75DA56"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201</w:t>
            </w:r>
            <w:r>
              <w:rPr>
                <w:rFonts w:ascii="Franklin Gothic Book" w:eastAsia="Times New Roman" w:hAnsi="Franklin Gothic Book"/>
                <w:color w:val="212121"/>
                <w:sz w:val="18"/>
                <w:szCs w:val="18"/>
              </w:rPr>
              <w:t>,</w:t>
            </w:r>
            <w:r w:rsidRPr="00DA070E">
              <w:rPr>
                <w:rFonts w:ascii="Franklin Gothic Book" w:eastAsia="Times New Roman" w:hAnsi="Franklin Gothic Book"/>
                <w:color w:val="212121"/>
                <w:sz w:val="18"/>
                <w:szCs w:val="18"/>
              </w:rPr>
              <w:t>990</w:t>
            </w:r>
          </w:p>
        </w:tc>
        <w:tc>
          <w:tcPr>
            <w:tcW w:w="460" w:type="pct"/>
            <w:tcBorders>
              <w:top w:val="nil"/>
              <w:left w:val="nil"/>
              <w:bottom w:val="single" w:sz="4" w:space="0" w:color="auto"/>
              <w:right w:val="single" w:sz="4" w:space="0" w:color="auto"/>
            </w:tcBorders>
            <w:shd w:val="clear" w:color="auto" w:fill="auto"/>
            <w:vAlign w:val="center"/>
            <w:hideMark/>
          </w:tcPr>
          <w:p w14:paraId="0E1E1267" w14:textId="4DBF956A"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139,067</w:t>
            </w:r>
          </w:p>
        </w:tc>
        <w:tc>
          <w:tcPr>
            <w:tcW w:w="482" w:type="pct"/>
            <w:tcBorders>
              <w:top w:val="nil"/>
              <w:left w:val="nil"/>
              <w:bottom w:val="single" w:sz="4" w:space="0" w:color="auto"/>
              <w:right w:val="nil"/>
            </w:tcBorders>
            <w:vAlign w:val="center"/>
          </w:tcPr>
          <w:p w14:paraId="3668E552" w14:textId="58EB5F79"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341</w:t>
            </w:r>
            <w:r w:rsidR="00CA273E">
              <w:rPr>
                <w:rFonts w:ascii="Franklin Gothic Book" w:hAnsi="Franklin Gothic Book"/>
                <w:color w:val="000000"/>
                <w:sz w:val="18"/>
                <w:szCs w:val="18"/>
              </w:rPr>
              <w:t>,</w:t>
            </w:r>
            <w:r>
              <w:rPr>
                <w:rFonts w:ascii="Franklin Gothic Book" w:hAnsi="Franklin Gothic Book"/>
                <w:color w:val="000000"/>
                <w:sz w:val="18"/>
                <w:szCs w:val="18"/>
              </w:rPr>
              <w:t>057</w:t>
            </w:r>
          </w:p>
        </w:tc>
        <w:tc>
          <w:tcPr>
            <w:tcW w:w="573" w:type="pct"/>
            <w:tcBorders>
              <w:top w:val="nil"/>
              <w:left w:val="nil"/>
              <w:bottom w:val="single" w:sz="4" w:space="0" w:color="auto"/>
              <w:right w:val="single" w:sz="4" w:space="0" w:color="auto"/>
            </w:tcBorders>
            <w:shd w:val="clear" w:color="auto" w:fill="auto"/>
            <w:vAlign w:val="center"/>
            <w:hideMark/>
          </w:tcPr>
          <w:p w14:paraId="32B4AE18" w14:textId="34E0FD79"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1,004,934</w:t>
            </w:r>
          </w:p>
        </w:tc>
      </w:tr>
      <w:tr w:rsidR="004D3927" w:rsidRPr="00DA070E" w14:paraId="16242CC5" w14:textId="77777777" w:rsidTr="08123348">
        <w:trPr>
          <w:trHeight w:val="510"/>
        </w:trPr>
        <w:tc>
          <w:tcPr>
            <w:tcW w:w="218" w:type="pct"/>
            <w:vMerge/>
            <w:vAlign w:val="center"/>
            <w:hideMark/>
          </w:tcPr>
          <w:p w14:paraId="6596FBEC"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6C4B8751"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13</w:t>
            </w:r>
          </w:p>
        </w:tc>
        <w:tc>
          <w:tcPr>
            <w:tcW w:w="1083" w:type="pct"/>
            <w:tcBorders>
              <w:top w:val="nil"/>
              <w:left w:val="nil"/>
              <w:bottom w:val="single" w:sz="4" w:space="0" w:color="auto"/>
              <w:right w:val="single" w:sz="4" w:space="0" w:color="auto"/>
            </w:tcBorders>
            <w:shd w:val="clear" w:color="auto" w:fill="auto"/>
            <w:hideMark/>
          </w:tcPr>
          <w:p w14:paraId="28930E8F"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new foreign/domestic investments in the tourism sector</w:t>
            </w:r>
          </w:p>
        </w:tc>
        <w:tc>
          <w:tcPr>
            <w:tcW w:w="384" w:type="pct"/>
            <w:tcBorders>
              <w:top w:val="nil"/>
              <w:left w:val="nil"/>
              <w:bottom w:val="single" w:sz="4" w:space="0" w:color="auto"/>
              <w:right w:val="single" w:sz="4" w:space="0" w:color="auto"/>
            </w:tcBorders>
            <w:shd w:val="clear" w:color="auto" w:fill="auto"/>
            <w:hideMark/>
          </w:tcPr>
          <w:p w14:paraId="2CA25F97"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6C39DCF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02DE3FD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12</w:t>
            </w:r>
          </w:p>
        </w:tc>
        <w:tc>
          <w:tcPr>
            <w:tcW w:w="458" w:type="pct"/>
            <w:tcBorders>
              <w:top w:val="nil"/>
              <w:left w:val="nil"/>
              <w:bottom w:val="single" w:sz="4" w:space="0" w:color="auto"/>
              <w:right w:val="single" w:sz="4" w:space="0" w:color="auto"/>
            </w:tcBorders>
            <w:shd w:val="clear" w:color="auto" w:fill="auto"/>
            <w:vAlign w:val="center"/>
            <w:hideMark/>
          </w:tcPr>
          <w:p w14:paraId="2344657D"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w:t>
            </w:r>
          </w:p>
        </w:tc>
        <w:tc>
          <w:tcPr>
            <w:tcW w:w="460" w:type="pct"/>
            <w:tcBorders>
              <w:top w:val="nil"/>
              <w:left w:val="nil"/>
              <w:bottom w:val="single" w:sz="4" w:space="0" w:color="auto"/>
              <w:right w:val="single" w:sz="4" w:space="0" w:color="auto"/>
            </w:tcBorders>
            <w:shd w:val="clear" w:color="auto" w:fill="auto"/>
            <w:vAlign w:val="center"/>
            <w:hideMark/>
          </w:tcPr>
          <w:p w14:paraId="36851D2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w:t>
            </w:r>
          </w:p>
        </w:tc>
        <w:tc>
          <w:tcPr>
            <w:tcW w:w="482" w:type="pct"/>
            <w:tcBorders>
              <w:top w:val="nil"/>
              <w:left w:val="nil"/>
              <w:bottom w:val="single" w:sz="4" w:space="0" w:color="auto"/>
              <w:right w:val="nil"/>
            </w:tcBorders>
            <w:vAlign w:val="center"/>
          </w:tcPr>
          <w:p w14:paraId="0DEB10D5" w14:textId="164683A7"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5</w:t>
            </w:r>
          </w:p>
        </w:tc>
        <w:tc>
          <w:tcPr>
            <w:tcW w:w="573" w:type="pct"/>
            <w:tcBorders>
              <w:top w:val="nil"/>
              <w:left w:val="nil"/>
              <w:bottom w:val="single" w:sz="4" w:space="0" w:color="auto"/>
              <w:right w:val="single" w:sz="4" w:space="0" w:color="auto"/>
            </w:tcBorders>
            <w:shd w:val="clear" w:color="auto" w:fill="auto"/>
            <w:vAlign w:val="center"/>
            <w:hideMark/>
          </w:tcPr>
          <w:p w14:paraId="2BBD3EEF" w14:textId="14334502"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17</w:t>
            </w:r>
          </w:p>
        </w:tc>
      </w:tr>
      <w:tr w:rsidR="004D3927" w:rsidRPr="00DA070E" w14:paraId="3335D380" w14:textId="77777777" w:rsidTr="08123348">
        <w:trPr>
          <w:trHeight w:val="289"/>
        </w:trPr>
        <w:tc>
          <w:tcPr>
            <w:tcW w:w="218" w:type="pct"/>
            <w:vMerge/>
            <w:vAlign w:val="center"/>
            <w:hideMark/>
          </w:tcPr>
          <w:p w14:paraId="04D64229"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restart"/>
            <w:tcBorders>
              <w:top w:val="nil"/>
              <w:left w:val="single" w:sz="4" w:space="0" w:color="auto"/>
              <w:bottom w:val="single" w:sz="4" w:space="0" w:color="auto"/>
              <w:right w:val="single" w:sz="4" w:space="0" w:color="auto"/>
            </w:tcBorders>
            <w:shd w:val="clear" w:color="auto" w:fill="auto"/>
            <w:hideMark/>
          </w:tcPr>
          <w:p w14:paraId="2AB4C20A"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w:t>
            </w:r>
          </w:p>
        </w:tc>
        <w:tc>
          <w:tcPr>
            <w:tcW w:w="1083" w:type="pct"/>
            <w:vMerge w:val="restart"/>
            <w:tcBorders>
              <w:top w:val="nil"/>
              <w:left w:val="single" w:sz="4" w:space="0" w:color="auto"/>
              <w:bottom w:val="single" w:sz="4" w:space="0" w:color="auto"/>
              <w:right w:val="single" w:sz="4" w:space="0" w:color="auto"/>
            </w:tcBorders>
            <w:shd w:val="clear" w:color="auto" w:fill="auto"/>
            <w:hideMark/>
          </w:tcPr>
          <w:p w14:paraId="7384B460"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 xml:space="preserve">Number of additional visitors to Solomon Island tourism operator sites as a result of Strongim Bisnis interventions </w:t>
            </w:r>
          </w:p>
        </w:tc>
        <w:tc>
          <w:tcPr>
            <w:tcW w:w="384" w:type="pct"/>
            <w:vMerge w:val="restart"/>
            <w:tcBorders>
              <w:top w:val="nil"/>
              <w:left w:val="single" w:sz="4" w:space="0" w:color="auto"/>
              <w:bottom w:val="single" w:sz="4" w:space="0" w:color="000000" w:themeColor="text1"/>
              <w:right w:val="single" w:sz="4" w:space="0" w:color="auto"/>
            </w:tcBorders>
            <w:shd w:val="clear" w:color="auto" w:fill="auto"/>
            <w:hideMark/>
          </w:tcPr>
          <w:p w14:paraId="4508B04D"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7960435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7D03C0A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41</w:t>
            </w:r>
          </w:p>
        </w:tc>
        <w:tc>
          <w:tcPr>
            <w:tcW w:w="458" w:type="pct"/>
            <w:tcBorders>
              <w:top w:val="nil"/>
              <w:left w:val="nil"/>
              <w:bottom w:val="single" w:sz="4" w:space="0" w:color="auto"/>
              <w:right w:val="single" w:sz="4" w:space="0" w:color="auto"/>
            </w:tcBorders>
            <w:shd w:val="clear" w:color="auto" w:fill="auto"/>
            <w:vAlign w:val="center"/>
            <w:hideMark/>
          </w:tcPr>
          <w:p w14:paraId="1403EB65"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325</w:t>
            </w:r>
          </w:p>
        </w:tc>
        <w:tc>
          <w:tcPr>
            <w:tcW w:w="460" w:type="pct"/>
            <w:tcBorders>
              <w:top w:val="nil"/>
              <w:left w:val="nil"/>
              <w:bottom w:val="single" w:sz="4" w:space="0" w:color="auto"/>
              <w:right w:val="single" w:sz="4" w:space="0" w:color="auto"/>
            </w:tcBorders>
            <w:shd w:val="clear" w:color="auto" w:fill="auto"/>
            <w:vAlign w:val="center"/>
            <w:hideMark/>
          </w:tcPr>
          <w:p w14:paraId="7D73D798"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794</w:t>
            </w:r>
          </w:p>
        </w:tc>
        <w:tc>
          <w:tcPr>
            <w:tcW w:w="482" w:type="pct"/>
            <w:tcBorders>
              <w:top w:val="nil"/>
              <w:left w:val="nil"/>
              <w:bottom w:val="single" w:sz="4" w:space="0" w:color="auto"/>
              <w:right w:val="nil"/>
            </w:tcBorders>
            <w:vAlign w:val="center"/>
          </w:tcPr>
          <w:p w14:paraId="1085114F" w14:textId="2A355365"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1119</w:t>
            </w:r>
          </w:p>
        </w:tc>
        <w:tc>
          <w:tcPr>
            <w:tcW w:w="573" w:type="pct"/>
            <w:tcBorders>
              <w:top w:val="nil"/>
              <w:left w:val="nil"/>
              <w:bottom w:val="single" w:sz="4" w:space="0" w:color="auto"/>
              <w:right w:val="single" w:sz="4" w:space="0" w:color="auto"/>
            </w:tcBorders>
            <w:shd w:val="clear" w:color="auto" w:fill="auto"/>
            <w:vAlign w:val="center"/>
            <w:hideMark/>
          </w:tcPr>
          <w:p w14:paraId="6022D442" w14:textId="4E93A09A"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1160</w:t>
            </w:r>
          </w:p>
        </w:tc>
      </w:tr>
      <w:tr w:rsidR="004D3927" w:rsidRPr="00DA070E" w14:paraId="07D963B2" w14:textId="77777777" w:rsidTr="08123348">
        <w:trPr>
          <w:trHeight w:val="300"/>
        </w:trPr>
        <w:tc>
          <w:tcPr>
            <w:tcW w:w="218" w:type="pct"/>
            <w:vMerge/>
            <w:vAlign w:val="center"/>
            <w:hideMark/>
          </w:tcPr>
          <w:p w14:paraId="32FFA214"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13F9A52C"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6B423C88"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67192C68"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4BC98D7D"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International</w:t>
            </w:r>
          </w:p>
        </w:tc>
        <w:tc>
          <w:tcPr>
            <w:tcW w:w="527" w:type="pct"/>
            <w:tcBorders>
              <w:top w:val="nil"/>
              <w:left w:val="nil"/>
              <w:bottom w:val="single" w:sz="4" w:space="0" w:color="auto"/>
              <w:right w:val="single" w:sz="4" w:space="0" w:color="auto"/>
            </w:tcBorders>
            <w:shd w:val="clear" w:color="auto" w:fill="auto"/>
            <w:vAlign w:val="center"/>
            <w:hideMark/>
          </w:tcPr>
          <w:p w14:paraId="0E45C9F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41</w:t>
            </w:r>
          </w:p>
        </w:tc>
        <w:tc>
          <w:tcPr>
            <w:tcW w:w="458" w:type="pct"/>
            <w:tcBorders>
              <w:top w:val="nil"/>
              <w:left w:val="nil"/>
              <w:bottom w:val="single" w:sz="4" w:space="0" w:color="auto"/>
              <w:right w:val="single" w:sz="4" w:space="0" w:color="auto"/>
            </w:tcBorders>
            <w:shd w:val="clear" w:color="auto" w:fill="auto"/>
            <w:vAlign w:val="center"/>
            <w:hideMark/>
          </w:tcPr>
          <w:p w14:paraId="2662664C"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w:t>
            </w:r>
          </w:p>
        </w:tc>
        <w:tc>
          <w:tcPr>
            <w:tcW w:w="460" w:type="pct"/>
            <w:tcBorders>
              <w:top w:val="nil"/>
              <w:left w:val="nil"/>
              <w:bottom w:val="single" w:sz="4" w:space="0" w:color="auto"/>
              <w:right w:val="single" w:sz="4" w:space="0" w:color="auto"/>
            </w:tcBorders>
            <w:shd w:val="clear" w:color="auto" w:fill="auto"/>
            <w:vAlign w:val="center"/>
            <w:hideMark/>
          </w:tcPr>
          <w:p w14:paraId="4B7D7CEA"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140</w:t>
            </w:r>
          </w:p>
        </w:tc>
        <w:tc>
          <w:tcPr>
            <w:tcW w:w="482" w:type="pct"/>
            <w:tcBorders>
              <w:top w:val="nil"/>
              <w:left w:val="nil"/>
              <w:bottom w:val="single" w:sz="4" w:space="0" w:color="auto"/>
              <w:right w:val="nil"/>
            </w:tcBorders>
            <w:vAlign w:val="center"/>
          </w:tcPr>
          <w:p w14:paraId="4B43E82A" w14:textId="5ACD063B"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140</w:t>
            </w:r>
          </w:p>
        </w:tc>
        <w:tc>
          <w:tcPr>
            <w:tcW w:w="573" w:type="pct"/>
            <w:tcBorders>
              <w:top w:val="nil"/>
              <w:left w:val="nil"/>
              <w:bottom w:val="single" w:sz="4" w:space="0" w:color="auto"/>
              <w:right w:val="single" w:sz="4" w:space="0" w:color="auto"/>
            </w:tcBorders>
            <w:shd w:val="clear" w:color="auto" w:fill="auto"/>
            <w:vAlign w:val="center"/>
            <w:hideMark/>
          </w:tcPr>
          <w:p w14:paraId="282E0097" w14:textId="674E8B53"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181</w:t>
            </w:r>
          </w:p>
        </w:tc>
      </w:tr>
      <w:tr w:rsidR="004D3927" w:rsidRPr="00DA070E" w14:paraId="19B2B7B9" w14:textId="77777777" w:rsidTr="08123348">
        <w:trPr>
          <w:trHeight w:val="765"/>
        </w:trPr>
        <w:tc>
          <w:tcPr>
            <w:tcW w:w="218" w:type="pct"/>
            <w:vMerge/>
            <w:vAlign w:val="center"/>
            <w:hideMark/>
          </w:tcPr>
          <w:p w14:paraId="39D2580A"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55885032"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697982D3"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759CD1BC"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1C270785"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Local**</w:t>
            </w:r>
          </w:p>
        </w:tc>
        <w:tc>
          <w:tcPr>
            <w:tcW w:w="527" w:type="pct"/>
            <w:tcBorders>
              <w:top w:val="nil"/>
              <w:left w:val="nil"/>
              <w:bottom w:val="single" w:sz="4" w:space="0" w:color="auto"/>
              <w:right w:val="single" w:sz="4" w:space="0" w:color="auto"/>
            </w:tcBorders>
            <w:shd w:val="clear" w:color="auto" w:fill="auto"/>
            <w:vAlign w:val="center"/>
            <w:hideMark/>
          </w:tcPr>
          <w:p w14:paraId="2058344A"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72DAAC7C"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325</w:t>
            </w:r>
          </w:p>
        </w:tc>
        <w:tc>
          <w:tcPr>
            <w:tcW w:w="460" w:type="pct"/>
            <w:tcBorders>
              <w:top w:val="nil"/>
              <w:left w:val="nil"/>
              <w:bottom w:val="single" w:sz="4" w:space="0" w:color="auto"/>
              <w:right w:val="single" w:sz="4" w:space="0" w:color="auto"/>
            </w:tcBorders>
            <w:shd w:val="clear" w:color="auto" w:fill="auto"/>
            <w:vAlign w:val="center"/>
            <w:hideMark/>
          </w:tcPr>
          <w:p w14:paraId="200D8E33"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654</w:t>
            </w:r>
          </w:p>
        </w:tc>
        <w:tc>
          <w:tcPr>
            <w:tcW w:w="482" w:type="pct"/>
            <w:tcBorders>
              <w:top w:val="nil"/>
              <w:left w:val="nil"/>
              <w:bottom w:val="single" w:sz="4" w:space="0" w:color="auto"/>
              <w:right w:val="nil"/>
            </w:tcBorders>
            <w:vAlign w:val="center"/>
          </w:tcPr>
          <w:p w14:paraId="64E89678" w14:textId="0674FCA6"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979</w:t>
            </w:r>
          </w:p>
        </w:tc>
        <w:tc>
          <w:tcPr>
            <w:tcW w:w="573" w:type="pct"/>
            <w:tcBorders>
              <w:top w:val="nil"/>
              <w:left w:val="nil"/>
              <w:bottom w:val="single" w:sz="4" w:space="0" w:color="auto"/>
              <w:right w:val="single" w:sz="4" w:space="0" w:color="auto"/>
            </w:tcBorders>
            <w:shd w:val="clear" w:color="auto" w:fill="auto"/>
            <w:vAlign w:val="center"/>
            <w:hideMark/>
          </w:tcPr>
          <w:p w14:paraId="43150D79" w14:textId="16F23504"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979</w:t>
            </w:r>
          </w:p>
        </w:tc>
      </w:tr>
      <w:tr w:rsidR="004D3927" w:rsidRPr="00DA070E" w14:paraId="7DD7E5B3" w14:textId="77777777" w:rsidTr="08123348">
        <w:trPr>
          <w:trHeight w:val="300"/>
        </w:trPr>
        <w:tc>
          <w:tcPr>
            <w:tcW w:w="218" w:type="pct"/>
            <w:vMerge/>
            <w:vAlign w:val="center"/>
            <w:hideMark/>
          </w:tcPr>
          <w:p w14:paraId="783EE2BC"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1F8D3EC9"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15</w:t>
            </w:r>
          </w:p>
        </w:tc>
        <w:tc>
          <w:tcPr>
            <w:tcW w:w="1083" w:type="pct"/>
            <w:tcBorders>
              <w:top w:val="nil"/>
              <w:left w:val="nil"/>
              <w:bottom w:val="single" w:sz="4" w:space="0" w:color="auto"/>
              <w:right w:val="single" w:sz="4" w:space="0" w:color="auto"/>
            </w:tcBorders>
            <w:shd w:val="clear" w:color="auto" w:fill="auto"/>
            <w:hideMark/>
          </w:tcPr>
          <w:p w14:paraId="08AE5B7F"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Value of credit disbursed to beneficiaries (AUD)</w:t>
            </w:r>
          </w:p>
        </w:tc>
        <w:tc>
          <w:tcPr>
            <w:tcW w:w="384" w:type="pct"/>
            <w:tcBorders>
              <w:top w:val="nil"/>
              <w:left w:val="nil"/>
              <w:bottom w:val="single" w:sz="4" w:space="0" w:color="auto"/>
              <w:right w:val="single" w:sz="4" w:space="0" w:color="auto"/>
            </w:tcBorders>
            <w:shd w:val="clear" w:color="auto" w:fill="auto"/>
            <w:hideMark/>
          </w:tcPr>
          <w:p w14:paraId="23F8CCA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EOPO-3</w:t>
            </w:r>
          </w:p>
        </w:tc>
        <w:tc>
          <w:tcPr>
            <w:tcW w:w="597" w:type="pct"/>
            <w:tcBorders>
              <w:top w:val="nil"/>
              <w:left w:val="nil"/>
              <w:bottom w:val="single" w:sz="4" w:space="0" w:color="auto"/>
              <w:right w:val="single" w:sz="4" w:space="0" w:color="auto"/>
            </w:tcBorders>
            <w:shd w:val="clear" w:color="auto" w:fill="auto"/>
            <w:hideMark/>
          </w:tcPr>
          <w:p w14:paraId="1ACF5738"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1F51B632"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756,808</w:t>
            </w:r>
          </w:p>
        </w:tc>
        <w:tc>
          <w:tcPr>
            <w:tcW w:w="458" w:type="pct"/>
            <w:tcBorders>
              <w:top w:val="nil"/>
              <w:left w:val="nil"/>
              <w:bottom w:val="single" w:sz="4" w:space="0" w:color="auto"/>
              <w:right w:val="single" w:sz="4" w:space="0" w:color="auto"/>
            </w:tcBorders>
            <w:shd w:val="clear" w:color="auto" w:fill="auto"/>
            <w:vAlign w:val="center"/>
            <w:hideMark/>
          </w:tcPr>
          <w:p w14:paraId="1CC74E25"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20,765</w:t>
            </w:r>
          </w:p>
        </w:tc>
        <w:tc>
          <w:tcPr>
            <w:tcW w:w="460" w:type="pct"/>
            <w:tcBorders>
              <w:top w:val="nil"/>
              <w:left w:val="nil"/>
              <w:bottom w:val="single" w:sz="4" w:space="0" w:color="auto"/>
              <w:right w:val="single" w:sz="4" w:space="0" w:color="auto"/>
            </w:tcBorders>
            <w:shd w:val="clear" w:color="auto" w:fill="auto"/>
            <w:vAlign w:val="center"/>
            <w:hideMark/>
          </w:tcPr>
          <w:p w14:paraId="2E7FA5C0" w14:textId="1C699C4C"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0</w:t>
            </w:r>
          </w:p>
        </w:tc>
        <w:tc>
          <w:tcPr>
            <w:tcW w:w="482" w:type="pct"/>
            <w:tcBorders>
              <w:top w:val="nil"/>
              <w:left w:val="nil"/>
              <w:bottom w:val="single" w:sz="4" w:space="0" w:color="auto"/>
              <w:right w:val="nil"/>
            </w:tcBorders>
            <w:vAlign w:val="center"/>
          </w:tcPr>
          <w:p w14:paraId="0BAAD812" w14:textId="15783D26"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20</w:t>
            </w:r>
            <w:r w:rsidR="00CA273E">
              <w:rPr>
                <w:rFonts w:ascii="Franklin Gothic Book" w:hAnsi="Franklin Gothic Book"/>
                <w:color w:val="000000"/>
                <w:sz w:val="18"/>
                <w:szCs w:val="18"/>
              </w:rPr>
              <w:t>,</w:t>
            </w:r>
            <w:r>
              <w:rPr>
                <w:rFonts w:ascii="Franklin Gothic Book" w:hAnsi="Franklin Gothic Book"/>
                <w:color w:val="000000"/>
                <w:sz w:val="18"/>
                <w:szCs w:val="18"/>
              </w:rPr>
              <w:t>765</w:t>
            </w:r>
          </w:p>
        </w:tc>
        <w:tc>
          <w:tcPr>
            <w:tcW w:w="573" w:type="pct"/>
            <w:tcBorders>
              <w:top w:val="nil"/>
              <w:left w:val="nil"/>
              <w:bottom w:val="single" w:sz="4" w:space="0" w:color="auto"/>
              <w:right w:val="single" w:sz="4" w:space="0" w:color="auto"/>
            </w:tcBorders>
            <w:shd w:val="clear" w:color="auto" w:fill="auto"/>
            <w:vAlign w:val="center"/>
            <w:hideMark/>
          </w:tcPr>
          <w:p w14:paraId="72067C35" w14:textId="18BFA85E"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777,572</w:t>
            </w:r>
          </w:p>
        </w:tc>
      </w:tr>
      <w:tr w:rsidR="004D3927" w:rsidRPr="00DA070E" w14:paraId="5F5893BE" w14:textId="77777777" w:rsidTr="08123348">
        <w:trPr>
          <w:trHeight w:val="300"/>
        </w:trPr>
        <w:tc>
          <w:tcPr>
            <w:tcW w:w="218" w:type="pct"/>
            <w:vMerge/>
            <w:vAlign w:val="center"/>
            <w:hideMark/>
          </w:tcPr>
          <w:p w14:paraId="5E940C52"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restart"/>
            <w:tcBorders>
              <w:top w:val="nil"/>
              <w:left w:val="single" w:sz="4" w:space="0" w:color="auto"/>
              <w:bottom w:val="single" w:sz="4" w:space="0" w:color="auto"/>
              <w:right w:val="single" w:sz="4" w:space="0" w:color="auto"/>
            </w:tcBorders>
            <w:shd w:val="clear" w:color="auto" w:fill="auto"/>
            <w:hideMark/>
          </w:tcPr>
          <w:p w14:paraId="70A98F3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16</w:t>
            </w:r>
          </w:p>
        </w:tc>
        <w:tc>
          <w:tcPr>
            <w:tcW w:w="1083" w:type="pct"/>
            <w:vMerge w:val="restart"/>
            <w:tcBorders>
              <w:top w:val="nil"/>
              <w:left w:val="single" w:sz="4" w:space="0" w:color="auto"/>
              <w:bottom w:val="single" w:sz="4" w:space="0" w:color="auto"/>
              <w:right w:val="single" w:sz="4" w:space="0" w:color="auto"/>
            </w:tcBorders>
            <w:shd w:val="clear" w:color="auto" w:fill="auto"/>
            <w:hideMark/>
          </w:tcPr>
          <w:p w14:paraId="33E7FA4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 xml:space="preserve">Number of recipients of capacity building support </w:t>
            </w:r>
          </w:p>
        </w:tc>
        <w:tc>
          <w:tcPr>
            <w:tcW w:w="384" w:type="pct"/>
            <w:vMerge w:val="restart"/>
            <w:tcBorders>
              <w:top w:val="nil"/>
              <w:left w:val="single" w:sz="4" w:space="0" w:color="auto"/>
              <w:bottom w:val="single" w:sz="4" w:space="0" w:color="000000" w:themeColor="text1"/>
              <w:right w:val="single" w:sz="4" w:space="0" w:color="auto"/>
            </w:tcBorders>
            <w:shd w:val="clear" w:color="auto" w:fill="auto"/>
            <w:hideMark/>
          </w:tcPr>
          <w:p w14:paraId="6578A8B1"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 &amp; 3</w:t>
            </w:r>
          </w:p>
        </w:tc>
        <w:tc>
          <w:tcPr>
            <w:tcW w:w="597" w:type="pct"/>
            <w:tcBorders>
              <w:top w:val="nil"/>
              <w:left w:val="nil"/>
              <w:bottom w:val="single" w:sz="4" w:space="0" w:color="auto"/>
              <w:right w:val="single" w:sz="4" w:space="0" w:color="auto"/>
            </w:tcBorders>
            <w:shd w:val="clear" w:color="auto" w:fill="auto"/>
            <w:hideMark/>
          </w:tcPr>
          <w:p w14:paraId="60EC6BA9"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68EB18A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1,434</w:t>
            </w:r>
          </w:p>
        </w:tc>
        <w:tc>
          <w:tcPr>
            <w:tcW w:w="458" w:type="pct"/>
            <w:tcBorders>
              <w:top w:val="nil"/>
              <w:left w:val="nil"/>
              <w:bottom w:val="single" w:sz="4" w:space="0" w:color="auto"/>
              <w:right w:val="single" w:sz="4" w:space="0" w:color="auto"/>
            </w:tcBorders>
            <w:shd w:val="clear" w:color="auto" w:fill="auto"/>
            <w:vAlign w:val="center"/>
            <w:hideMark/>
          </w:tcPr>
          <w:p w14:paraId="1E1E5601"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967</w:t>
            </w:r>
          </w:p>
        </w:tc>
        <w:tc>
          <w:tcPr>
            <w:tcW w:w="460" w:type="pct"/>
            <w:tcBorders>
              <w:top w:val="nil"/>
              <w:left w:val="nil"/>
              <w:bottom w:val="single" w:sz="4" w:space="0" w:color="auto"/>
              <w:right w:val="single" w:sz="4" w:space="0" w:color="auto"/>
            </w:tcBorders>
            <w:shd w:val="clear" w:color="auto" w:fill="auto"/>
            <w:vAlign w:val="center"/>
            <w:hideMark/>
          </w:tcPr>
          <w:p w14:paraId="6BF116E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1,243</w:t>
            </w:r>
          </w:p>
        </w:tc>
        <w:tc>
          <w:tcPr>
            <w:tcW w:w="482" w:type="pct"/>
            <w:tcBorders>
              <w:top w:val="nil"/>
              <w:left w:val="nil"/>
              <w:bottom w:val="single" w:sz="4" w:space="0" w:color="auto"/>
              <w:right w:val="nil"/>
            </w:tcBorders>
            <w:vAlign w:val="center"/>
          </w:tcPr>
          <w:p w14:paraId="1F292C0F" w14:textId="7F7AADF9"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2210</w:t>
            </w:r>
          </w:p>
        </w:tc>
        <w:tc>
          <w:tcPr>
            <w:tcW w:w="573" w:type="pct"/>
            <w:tcBorders>
              <w:top w:val="nil"/>
              <w:left w:val="nil"/>
              <w:bottom w:val="single" w:sz="4" w:space="0" w:color="auto"/>
              <w:right w:val="single" w:sz="4" w:space="0" w:color="auto"/>
            </w:tcBorders>
            <w:shd w:val="clear" w:color="auto" w:fill="auto"/>
            <w:vAlign w:val="center"/>
            <w:hideMark/>
          </w:tcPr>
          <w:p w14:paraId="1B09BB06" w14:textId="66CB4529"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3,644</w:t>
            </w:r>
          </w:p>
        </w:tc>
      </w:tr>
      <w:tr w:rsidR="004D3927" w:rsidRPr="00DA070E" w14:paraId="2A12FB1E" w14:textId="77777777" w:rsidTr="08123348">
        <w:trPr>
          <w:trHeight w:val="300"/>
        </w:trPr>
        <w:tc>
          <w:tcPr>
            <w:tcW w:w="218" w:type="pct"/>
            <w:vMerge/>
            <w:vAlign w:val="center"/>
            <w:hideMark/>
          </w:tcPr>
          <w:p w14:paraId="6428D390"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0D49189A"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484184E4"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1493FA78"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0BFC86B1"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Women**</w:t>
            </w:r>
          </w:p>
        </w:tc>
        <w:tc>
          <w:tcPr>
            <w:tcW w:w="527" w:type="pct"/>
            <w:tcBorders>
              <w:top w:val="nil"/>
              <w:left w:val="nil"/>
              <w:bottom w:val="single" w:sz="4" w:space="0" w:color="auto"/>
              <w:right w:val="single" w:sz="4" w:space="0" w:color="auto"/>
            </w:tcBorders>
            <w:shd w:val="clear" w:color="auto" w:fill="auto"/>
            <w:vAlign w:val="center"/>
            <w:hideMark/>
          </w:tcPr>
          <w:p w14:paraId="71C7F782"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763</w:t>
            </w:r>
          </w:p>
        </w:tc>
        <w:tc>
          <w:tcPr>
            <w:tcW w:w="458" w:type="pct"/>
            <w:tcBorders>
              <w:top w:val="nil"/>
              <w:left w:val="nil"/>
              <w:bottom w:val="single" w:sz="4" w:space="0" w:color="auto"/>
              <w:right w:val="single" w:sz="4" w:space="0" w:color="auto"/>
            </w:tcBorders>
            <w:shd w:val="clear" w:color="auto" w:fill="auto"/>
            <w:vAlign w:val="center"/>
            <w:hideMark/>
          </w:tcPr>
          <w:p w14:paraId="1F6F33C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259</w:t>
            </w:r>
          </w:p>
        </w:tc>
        <w:tc>
          <w:tcPr>
            <w:tcW w:w="460" w:type="pct"/>
            <w:tcBorders>
              <w:top w:val="nil"/>
              <w:left w:val="nil"/>
              <w:bottom w:val="single" w:sz="4" w:space="0" w:color="auto"/>
              <w:right w:val="single" w:sz="4" w:space="0" w:color="auto"/>
            </w:tcBorders>
            <w:shd w:val="clear" w:color="auto" w:fill="auto"/>
            <w:vAlign w:val="center"/>
            <w:hideMark/>
          </w:tcPr>
          <w:p w14:paraId="671A44A6"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622</w:t>
            </w:r>
          </w:p>
        </w:tc>
        <w:tc>
          <w:tcPr>
            <w:tcW w:w="482" w:type="pct"/>
            <w:tcBorders>
              <w:top w:val="nil"/>
              <w:left w:val="nil"/>
              <w:bottom w:val="single" w:sz="4" w:space="0" w:color="auto"/>
              <w:right w:val="nil"/>
            </w:tcBorders>
            <w:vAlign w:val="center"/>
          </w:tcPr>
          <w:p w14:paraId="552CCCA9" w14:textId="20711774"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881</w:t>
            </w:r>
          </w:p>
        </w:tc>
        <w:tc>
          <w:tcPr>
            <w:tcW w:w="573" w:type="pct"/>
            <w:tcBorders>
              <w:top w:val="nil"/>
              <w:left w:val="nil"/>
              <w:bottom w:val="single" w:sz="4" w:space="0" w:color="auto"/>
              <w:right w:val="single" w:sz="4" w:space="0" w:color="auto"/>
            </w:tcBorders>
            <w:shd w:val="clear" w:color="auto" w:fill="auto"/>
            <w:vAlign w:val="center"/>
            <w:hideMark/>
          </w:tcPr>
          <w:p w14:paraId="75C88E96" w14:textId="2CE7D6EB"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1,644</w:t>
            </w:r>
          </w:p>
        </w:tc>
      </w:tr>
      <w:tr w:rsidR="004D3927" w:rsidRPr="00DA070E" w14:paraId="62800D86" w14:textId="77777777" w:rsidTr="08123348">
        <w:trPr>
          <w:trHeight w:val="300"/>
        </w:trPr>
        <w:tc>
          <w:tcPr>
            <w:tcW w:w="218" w:type="pct"/>
            <w:vMerge/>
            <w:vAlign w:val="center"/>
            <w:hideMark/>
          </w:tcPr>
          <w:p w14:paraId="353873A8"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51B9D1FE"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60B9CE92"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533693F3"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6FD6B41B"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Youth**</w:t>
            </w:r>
          </w:p>
        </w:tc>
        <w:tc>
          <w:tcPr>
            <w:tcW w:w="527" w:type="pct"/>
            <w:tcBorders>
              <w:top w:val="nil"/>
              <w:left w:val="nil"/>
              <w:bottom w:val="single" w:sz="4" w:space="0" w:color="auto"/>
              <w:right w:val="single" w:sz="4" w:space="0" w:color="auto"/>
            </w:tcBorders>
            <w:shd w:val="clear" w:color="auto" w:fill="auto"/>
            <w:vAlign w:val="center"/>
            <w:hideMark/>
          </w:tcPr>
          <w:p w14:paraId="1AC8600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222</w:t>
            </w:r>
          </w:p>
        </w:tc>
        <w:tc>
          <w:tcPr>
            <w:tcW w:w="458" w:type="pct"/>
            <w:tcBorders>
              <w:top w:val="nil"/>
              <w:left w:val="nil"/>
              <w:bottom w:val="single" w:sz="4" w:space="0" w:color="auto"/>
              <w:right w:val="single" w:sz="4" w:space="0" w:color="auto"/>
            </w:tcBorders>
            <w:shd w:val="clear" w:color="auto" w:fill="auto"/>
            <w:vAlign w:val="center"/>
            <w:hideMark/>
          </w:tcPr>
          <w:p w14:paraId="1419B076"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83</w:t>
            </w:r>
          </w:p>
        </w:tc>
        <w:tc>
          <w:tcPr>
            <w:tcW w:w="460" w:type="pct"/>
            <w:tcBorders>
              <w:top w:val="nil"/>
              <w:left w:val="nil"/>
              <w:bottom w:val="single" w:sz="4" w:space="0" w:color="auto"/>
              <w:right w:val="single" w:sz="4" w:space="0" w:color="auto"/>
            </w:tcBorders>
            <w:shd w:val="clear" w:color="auto" w:fill="auto"/>
            <w:vAlign w:val="center"/>
            <w:hideMark/>
          </w:tcPr>
          <w:p w14:paraId="6FAE64F4"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238</w:t>
            </w:r>
          </w:p>
        </w:tc>
        <w:tc>
          <w:tcPr>
            <w:tcW w:w="482" w:type="pct"/>
            <w:tcBorders>
              <w:top w:val="nil"/>
              <w:left w:val="nil"/>
              <w:bottom w:val="single" w:sz="4" w:space="0" w:color="auto"/>
              <w:right w:val="nil"/>
            </w:tcBorders>
            <w:vAlign w:val="center"/>
          </w:tcPr>
          <w:p w14:paraId="61AB993C" w14:textId="2D9D897E"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321</w:t>
            </w:r>
          </w:p>
        </w:tc>
        <w:tc>
          <w:tcPr>
            <w:tcW w:w="573" w:type="pct"/>
            <w:tcBorders>
              <w:top w:val="nil"/>
              <w:left w:val="nil"/>
              <w:bottom w:val="single" w:sz="4" w:space="0" w:color="auto"/>
              <w:right w:val="single" w:sz="4" w:space="0" w:color="auto"/>
            </w:tcBorders>
            <w:shd w:val="clear" w:color="auto" w:fill="auto"/>
            <w:vAlign w:val="center"/>
            <w:hideMark/>
          </w:tcPr>
          <w:p w14:paraId="1063DF74" w14:textId="634ED0C2"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543</w:t>
            </w:r>
          </w:p>
        </w:tc>
      </w:tr>
      <w:tr w:rsidR="004D3927" w:rsidRPr="00DA070E" w14:paraId="4C25EAC7" w14:textId="77777777" w:rsidTr="08123348">
        <w:trPr>
          <w:trHeight w:val="300"/>
        </w:trPr>
        <w:tc>
          <w:tcPr>
            <w:tcW w:w="218" w:type="pct"/>
            <w:vMerge/>
            <w:vAlign w:val="center"/>
            <w:hideMark/>
          </w:tcPr>
          <w:p w14:paraId="6593CA35"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vMerge/>
            <w:vAlign w:val="center"/>
            <w:hideMark/>
          </w:tcPr>
          <w:p w14:paraId="71C14F1C"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1083" w:type="pct"/>
            <w:vMerge/>
            <w:vAlign w:val="center"/>
            <w:hideMark/>
          </w:tcPr>
          <w:p w14:paraId="2004C8AE"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384" w:type="pct"/>
            <w:vMerge/>
            <w:vAlign w:val="center"/>
            <w:hideMark/>
          </w:tcPr>
          <w:p w14:paraId="72937713" w14:textId="77777777" w:rsidR="00B45FEC" w:rsidRPr="00DA070E" w:rsidRDefault="00B45FEC" w:rsidP="00B45FEC">
            <w:pPr>
              <w:spacing w:after="0" w:line="240" w:lineRule="auto"/>
              <w:rPr>
                <w:rFonts w:ascii="Franklin Gothic Book" w:eastAsia="Times New Roman" w:hAnsi="Franklin Gothic Book"/>
                <w:color w:val="212121"/>
                <w:sz w:val="18"/>
                <w:szCs w:val="18"/>
              </w:rPr>
            </w:pPr>
          </w:p>
        </w:tc>
        <w:tc>
          <w:tcPr>
            <w:tcW w:w="597" w:type="pct"/>
            <w:tcBorders>
              <w:top w:val="nil"/>
              <w:left w:val="nil"/>
              <w:bottom w:val="single" w:sz="4" w:space="0" w:color="auto"/>
              <w:right w:val="single" w:sz="4" w:space="0" w:color="auto"/>
            </w:tcBorders>
            <w:shd w:val="clear" w:color="auto" w:fill="auto"/>
            <w:hideMark/>
          </w:tcPr>
          <w:p w14:paraId="1E4C1921" w14:textId="5A5521B8" w:rsidR="00B45FEC" w:rsidRPr="00DA070E" w:rsidRDefault="549BDFEF" w:rsidP="00B45FEC">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PWD</w:t>
            </w:r>
            <w:r w:rsidR="0CF14D5C" w:rsidRPr="08123348">
              <w:rPr>
                <w:rFonts w:ascii="Franklin Gothic Book" w:eastAsia="Times New Roman" w:hAnsi="Franklin Gothic Book"/>
                <w:color w:val="212121"/>
                <w:sz w:val="18"/>
                <w:szCs w:val="18"/>
              </w:rPr>
              <w:t>**</w:t>
            </w:r>
          </w:p>
        </w:tc>
        <w:tc>
          <w:tcPr>
            <w:tcW w:w="527" w:type="pct"/>
            <w:tcBorders>
              <w:top w:val="nil"/>
              <w:left w:val="nil"/>
              <w:bottom w:val="single" w:sz="4" w:space="0" w:color="auto"/>
              <w:right w:val="single" w:sz="4" w:space="0" w:color="auto"/>
            </w:tcBorders>
            <w:shd w:val="clear" w:color="auto" w:fill="auto"/>
            <w:vAlign w:val="center"/>
            <w:hideMark/>
          </w:tcPr>
          <w:p w14:paraId="686CB8F7"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64</w:t>
            </w:r>
          </w:p>
        </w:tc>
        <w:tc>
          <w:tcPr>
            <w:tcW w:w="458" w:type="pct"/>
            <w:tcBorders>
              <w:top w:val="nil"/>
              <w:left w:val="nil"/>
              <w:bottom w:val="single" w:sz="4" w:space="0" w:color="auto"/>
              <w:right w:val="single" w:sz="4" w:space="0" w:color="auto"/>
            </w:tcBorders>
            <w:shd w:val="clear" w:color="auto" w:fill="auto"/>
            <w:vAlign w:val="center"/>
            <w:hideMark/>
          </w:tcPr>
          <w:p w14:paraId="2E00BB7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8</w:t>
            </w:r>
          </w:p>
        </w:tc>
        <w:tc>
          <w:tcPr>
            <w:tcW w:w="460" w:type="pct"/>
            <w:tcBorders>
              <w:top w:val="nil"/>
              <w:left w:val="nil"/>
              <w:bottom w:val="single" w:sz="4" w:space="0" w:color="auto"/>
              <w:right w:val="single" w:sz="4" w:space="0" w:color="auto"/>
            </w:tcBorders>
            <w:shd w:val="clear" w:color="auto" w:fill="auto"/>
            <w:vAlign w:val="center"/>
            <w:hideMark/>
          </w:tcPr>
          <w:p w14:paraId="4DED9778"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w:t>
            </w:r>
          </w:p>
        </w:tc>
        <w:tc>
          <w:tcPr>
            <w:tcW w:w="482" w:type="pct"/>
            <w:tcBorders>
              <w:top w:val="nil"/>
              <w:left w:val="nil"/>
              <w:bottom w:val="single" w:sz="4" w:space="0" w:color="auto"/>
              <w:right w:val="nil"/>
            </w:tcBorders>
            <w:vAlign w:val="center"/>
          </w:tcPr>
          <w:p w14:paraId="257E2043" w14:textId="0FB08423"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13</w:t>
            </w:r>
          </w:p>
        </w:tc>
        <w:tc>
          <w:tcPr>
            <w:tcW w:w="573" w:type="pct"/>
            <w:tcBorders>
              <w:top w:val="nil"/>
              <w:left w:val="nil"/>
              <w:bottom w:val="single" w:sz="4" w:space="0" w:color="auto"/>
              <w:right w:val="single" w:sz="4" w:space="0" w:color="auto"/>
            </w:tcBorders>
            <w:shd w:val="clear" w:color="auto" w:fill="auto"/>
            <w:vAlign w:val="center"/>
            <w:hideMark/>
          </w:tcPr>
          <w:p w14:paraId="2ED8BF0C" w14:textId="7379DF72"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77</w:t>
            </w:r>
          </w:p>
        </w:tc>
      </w:tr>
      <w:tr w:rsidR="004D3927" w:rsidRPr="00DA070E" w14:paraId="754B5013" w14:textId="77777777" w:rsidTr="08123348">
        <w:trPr>
          <w:trHeight w:val="765"/>
        </w:trPr>
        <w:tc>
          <w:tcPr>
            <w:tcW w:w="218" w:type="pct"/>
            <w:vMerge/>
            <w:vAlign w:val="center"/>
            <w:hideMark/>
          </w:tcPr>
          <w:p w14:paraId="65ACAFB4"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2CDD7D4F"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17</w:t>
            </w:r>
          </w:p>
        </w:tc>
        <w:tc>
          <w:tcPr>
            <w:tcW w:w="1083" w:type="pct"/>
            <w:tcBorders>
              <w:top w:val="nil"/>
              <w:left w:val="nil"/>
              <w:bottom w:val="single" w:sz="4" w:space="0" w:color="auto"/>
              <w:right w:val="single" w:sz="4" w:space="0" w:color="auto"/>
            </w:tcBorders>
            <w:shd w:val="clear" w:color="auto" w:fill="auto"/>
            <w:hideMark/>
          </w:tcPr>
          <w:p w14:paraId="481D0F4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new or reformed laws, regulations, policies, and/or procedures intending to enable private sector investment initiated*</w:t>
            </w:r>
          </w:p>
        </w:tc>
        <w:tc>
          <w:tcPr>
            <w:tcW w:w="384" w:type="pct"/>
            <w:tcBorders>
              <w:top w:val="nil"/>
              <w:left w:val="nil"/>
              <w:bottom w:val="single" w:sz="4" w:space="0" w:color="auto"/>
              <w:right w:val="single" w:sz="4" w:space="0" w:color="auto"/>
            </w:tcBorders>
            <w:shd w:val="clear" w:color="auto" w:fill="auto"/>
            <w:hideMark/>
          </w:tcPr>
          <w:p w14:paraId="1DDFC68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EOPO-2</w:t>
            </w:r>
          </w:p>
        </w:tc>
        <w:tc>
          <w:tcPr>
            <w:tcW w:w="597" w:type="pct"/>
            <w:tcBorders>
              <w:top w:val="nil"/>
              <w:left w:val="nil"/>
              <w:bottom w:val="single" w:sz="4" w:space="0" w:color="auto"/>
              <w:right w:val="single" w:sz="4" w:space="0" w:color="auto"/>
            </w:tcBorders>
            <w:shd w:val="clear" w:color="auto" w:fill="auto"/>
            <w:hideMark/>
          </w:tcPr>
          <w:p w14:paraId="2CCFD135"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3B999F84"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0F896CD0"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w:t>
            </w:r>
          </w:p>
        </w:tc>
        <w:tc>
          <w:tcPr>
            <w:tcW w:w="460" w:type="pct"/>
            <w:tcBorders>
              <w:top w:val="nil"/>
              <w:left w:val="nil"/>
              <w:bottom w:val="single" w:sz="4" w:space="0" w:color="auto"/>
              <w:right w:val="single" w:sz="4" w:space="0" w:color="auto"/>
            </w:tcBorders>
            <w:shd w:val="clear" w:color="auto" w:fill="auto"/>
            <w:vAlign w:val="center"/>
            <w:hideMark/>
          </w:tcPr>
          <w:p w14:paraId="72D15142"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w:t>
            </w:r>
          </w:p>
        </w:tc>
        <w:tc>
          <w:tcPr>
            <w:tcW w:w="482" w:type="pct"/>
            <w:tcBorders>
              <w:top w:val="nil"/>
              <w:left w:val="nil"/>
              <w:bottom w:val="single" w:sz="4" w:space="0" w:color="auto"/>
              <w:right w:val="nil"/>
            </w:tcBorders>
            <w:vAlign w:val="center"/>
          </w:tcPr>
          <w:p w14:paraId="52501988" w14:textId="01C9F2A2"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w:t>
            </w:r>
          </w:p>
        </w:tc>
        <w:tc>
          <w:tcPr>
            <w:tcW w:w="573" w:type="pct"/>
            <w:tcBorders>
              <w:top w:val="nil"/>
              <w:left w:val="nil"/>
              <w:bottom w:val="single" w:sz="4" w:space="0" w:color="auto"/>
              <w:right w:val="single" w:sz="4" w:space="0" w:color="auto"/>
            </w:tcBorders>
            <w:shd w:val="clear" w:color="auto" w:fill="auto"/>
            <w:vAlign w:val="center"/>
            <w:hideMark/>
          </w:tcPr>
          <w:p w14:paraId="632749E9" w14:textId="05C78543"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w:t>
            </w:r>
          </w:p>
        </w:tc>
      </w:tr>
      <w:tr w:rsidR="004D3927" w:rsidRPr="00DA070E" w14:paraId="0627CA12" w14:textId="77777777" w:rsidTr="08123348">
        <w:trPr>
          <w:trHeight w:val="765"/>
        </w:trPr>
        <w:tc>
          <w:tcPr>
            <w:tcW w:w="218" w:type="pct"/>
            <w:vMerge/>
            <w:vAlign w:val="center"/>
            <w:hideMark/>
          </w:tcPr>
          <w:p w14:paraId="654BE056"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2AEA31C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18</w:t>
            </w:r>
          </w:p>
        </w:tc>
        <w:tc>
          <w:tcPr>
            <w:tcW w:w="1083" w:type="pct"/>
            <w:tcBorders>
              <w:top w:val="nil"/>
              <w:left w:val="nil"/>
              <w:bottom w:val="single" w:sz="4" w:space="0" w:color="auto"/>
              <w:right w:val="single" w:sz="4" w:space="0" w:color="auto"/>
            </w:tcBorders>
            <w:shd w:val="clear" w:color="auto" w:fill="auto"/>
            <w:hideMark/>
          </w:tcPr>
          <w:p w14:paraId="7583DC9B"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collaborations facilitated between public and private sector actors*</w:t>
            </w:r>
          </w:p>
        </w:tc>
        <w:tc>
          <w:tcPr>
            <w:tcW w:w="384" w:type="pct"/>
            <w:tcBorders>
              <w:top w:val="nil"/>
              <w:left w:val="nil"/>
              <w:bottom w:val="single" w:sz="4" w:space="0" w:color="auto"/>
              <w:right w:val="single" w:sz="4" w:space="0" w:color="auto"/>
            </w:tcBorders>
            <w:shd w:val="clear" w:color="auto" w:fill="auto"/>
            <w:hideMark/>
          </w:tcPr>
          <w:p w14:paraId="5EB30D2F"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EOPO-2</w:t>
            </w:r>
          </w:p>
        </w:tc>
        <w:tc>
          <w:tcPr>
            <w:tcW w:w="597" w:type="pct"/>
            <w:tcBorders>
              <w:top w:val="nil"/>
              <w:left w:val="nil"/>
              <w:bottom w:val="single" w:sz="4" w:space="0" w:color="auto"/>
              <w:right w:val="single" w:sz="4" w:space="0" w:color="auto"/>
            </w:tcBorders>
            <w:shd w:val="clear" w:color="auto" w:fill="auto"/>
            <w:hideMark/>
          </w:tcPr>
          <w:p w14:paraId="160DAD0D"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25B4918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1B40D984"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5</w:t>
            </w:r>
          </w:p>
        </w:tc>
        <w:tc>
          <w:tcPr>
            <w:tcW w:w="460" w:type="pct"/>
            <w:tcBorders>
              <w:top w:val="nil"/>
              <w:left w:val="nil"/>
              <w:bottom w:val="single" w:sz="4" w:space="0" w:color="auto"/>
              <w:right w:val="single" w:sz="4" w:space="0" w:color="auto"/>
            </w:tcBorders>
            <w:shd w:val="clear" w:color="auto" w:fill="auto"/>
            <w:vAlign w:val="center"/>
            <w:hideMark/>
          </w:tcPr>
          <w:p w14:paraId="27ABC9B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w:t>
            </w:r>
          </w:p>
        </w:tc>
        <w:tc>
          <w:tcPr>
            <w:tcW w:w="482" w:type="pct"/>
            <w:tcBorders>
              <w:top w:val="nil"/>
              <w:left w:val="nil"/>
              <w:bottom w:val="single" w:sz="4" w:space="0" w:color="auto"/>
              <w:right w:val="nil"/>
            </w:tcBorders>
            <w:vAlign w:val="center"/>
          </w:tcPr>
          <w:p w14:paraId="181ECC19" w14:textId="3B6DE201"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12</w:t>
            </w:r>
          </w:p>
        </w:tc>
        <w:tc>
          <w:tcPr>
            <w:tcW w:w="573" w:type="pct"/>
            <w:tcBorders>
              <w:top w:val="nil"/>
              <w:left w:val="nil"/>
              <w:bottom w:val="single" w:sz="4" w:space="0" w:color="auto"/>
              <w:right w:val="single" w:sz="4" w:space="0" w:color="auto"/>
            </w:tcBorders>
            <w:shd w:val="clear" w:color="auto" w:fill="auto"/>
            <w:vAlign w:val="center"/>
            <w:hideMark/>
          </w:tcPr>
          <w:p w14:paraId="0467334D" w14:textId="57349AAD"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12</w:t>
            </w:r>
          </w:p>
        </w:tc>
      </w:tr>
      <w:tr w:rsidR="004D3927" w:rsidRPr="00DA070E" w14:paraId="04D3FCA2" w14:textId="77777777" w:rsidTr="08123348">
        <w:trPr>
          <w:trHeight w:val="510"/>
        </w:trPr>
        <w:tc>
          <w:tcPr>
            <w:tcW w:w="21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F7FD7C0" w14:textId="77777777" w:rsidR="00B45FEC" w:rsidRPr="00DA070E" w:rsidRDefault="00B45FEC" w:rsidP="004D717D">
            <w:pPr>
              <w:spacing w:after="0" w:line="240" w:lineRule="auto"/>
              <w:jc w:val="both"/>
              <w:rPr>
                <w:rFonts w:ascii="Franklin Gothic Book" w:eastAsia="Times New Roman" w:hAnsi="Franklin Gothic Book"/>
                <w:b/>
                <w:bCs/>
                <w:color w:val="212121"/>
                <w:sz w:val="18"/>
                <w:szCs w:val="18"/>
              </w:rPr>
            </w:pPr>
            <w:r w:rsidRPr="00DA070E">
              <w:rPr>
                <w:rFonts w:ascii="Franklin Gothic Book" w:eastAsia="Times New Roman" w:hAnsi="Franklin Gothic Book"/>
                <w:b/>
                <w:bCs/>
                <w:color w:val="212121"/>
                <w:sz w:val="18"/>
                <w:szCs w:val="18"/>
              </w:rPr>
              <w:t>Activities</w:t>
            </w:r>
          </w:p>
        </w:tc>
        <w:tc>
          <w:tcPr>
            <w:tcW w:w="218" w:type="pct"/>
            <w:tcBorders>
              <w:top w:val="nil"/>
              <w:left w:val="nil"/>
              <w:bottom w:val="single" w:sz="4" w:space="0" w:color="auto"/>
              <w:right w:val="single" w:sz="4" w:space="0" w:color="auto"/>
            </w:tcBorders>
            <w:shd w:val="clear" w:color="auto" w:fill="auto"/>
            <w:hideMark/>
          </w:tcPr>
          <w:p w14:paraId="2684B7F8"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19</w:t>
            </w:r>
          </w:p>
        </w:tc>
        <w:tc>
          <w:tcPr>
            <w:tcW w:w="1083" w:type="pct"/>
            <w:tcBorders>
              <w:top w:val="nil"/>
              <w:left w:val="nil"/>
              <w:bottom w:val="single" w:sz="4" w:space="0" w:color="auto"/>
              <w:right w:val="single" w:sz="4" w:space="0" w:color="auto"/>
            </w:tcBorders>
            <w:shd w:val="clear" w:color="auto" w:fill="auto"/>
            <w:hideMark/>
          </w:tcPr>
          <w:p w14:paraId="4C92690E"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market actors supported by Strongim Bisnis</w:t>
            </w:r>
          </w:p>
        </w:tc>
        <w:tc>
          <w:tcPr>
            <w:tcW w:w="384" w:type="pct"/>
            <w:tcBorders>
              <w:top w:val="nil"/>
              <w:left w:val="nil"/>
              <w:bottom w:val="single" w:sz="4" w:space="0" w:color="auto"/>
              <w:right w:val="single" w:sz="4" w:space="0" w:color="auto"/>
            </w:tcBorders>
            <w:shd w:val="clear" w:color="auto" w:fill="auto"/>
            <w:hideMark/>
          </w:tcPr>
          <w:p w14:paraId="27D50E4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3390E174"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5825F30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45</w:t>
            </w:r>
          </w:p>
        </w:tc>
        <w:tc>
          <w:tcPr>
            <w:tcW w:w="458" w:type="pct"/>
            <w:tcBorders>
              <w:top w:val="nil"/>
              <w:left w:val="nil"/>
              <w:bottom w:val="single" w:sz="4" w:space="0" w:color="auto"/>
              <w:right w:val="single" w:sz="4" w:space="0" w:color="auto"/>
            </w:tcBorders>
            <w:shd w:val="clear" w:color="auto" w:fill="auto"/>
            <w:vAlign w:val="center"/>
            <w:hideMark/>
          </w:tcPr>
          <w:p w14:paraId="42EA7113"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19</w:t>
            </w:r>
          </w:p>
        </w:tc>
        <w:tc>
          <w:tcPr>
            <w:tcW w:w="460" w:type="pct"/>
            <w:tcBorders>
              <w:top w:val="nil"/>
              <w:left w:val="nil"/>
              <w:bottom w:val="single" w:sz="4" w:space="0" w:color="auto"/>
              <w:right w:val="single" w:sz="4" w:space="0" w:color="auto"/>
            </w:tcBorders>
            <w:shd w:val="clear" w:color="auto" w:fill="auto"/>
            <w:vAlign w:val="center"/>
            <w:hideMark/>
          </w:tcPr>
          <w:p w14:paraId="77BF1A76"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w:t>
            </w:r>
          </w:p>
        </w:tc>
        <w:tc>
          <w:tcPr>
            <w:tcW w:w="482" w:type="pct"/>
            <w:tcBorders>
              <w:top w:val="nil"/>
              <w:left w:val="nil"/>
              <w:bottom w:val="single" w:sz="4" w:space="0" w:color="auto"/>
              <w:right w:val="nil"/>
            </w:tcBorders>
            <w:vAlign w:val="center"/>
          </w:tcPr>
          <w:p w14:paraId="5071CAF4" w14:textId="01842034"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33</w:t>
            </w:r>
          </w:p>
        </w:tc>
        <w:tc>
          <w:tcPr>
            <w:tcW w:w="573" w:type="pct"/>
            <w:tcBorders>
              <w:top w:val="nil"/>
              <w:left w:val="nil"/>
              <w:bottom w:val="single" w:sz="4" w:space="0" w:color="auto"/>
              <w:right w:val="single" w:sz="4" w:space="0" w:color="auto"/>
            </w:tcBorders>
            <w:shd w:val="clear" w:color="auto" w:fill="auto"/>
            <w:vAlign w:val="center"/>
            <w:hideMark/>
          </w:tcPr>
          <w:p w14:paraId="796723C4" w14:textId="1E557B8E"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78</w:t>
            </w:r>
          </w:p>
        </w:tc>
      </w:tr>
      <w:tr w:rsidR="004D3927" w:rsidRPr="00DA070E" w14:paraId="48054CCC" w14:textId="77777777" w:rsidTr="08123348">
        <w:trPr>
          <w:trHeight w:val="510"/>
        </w:trPr>
        <w:tc>
          <w:tcPr>
            <w:tcW w:w="218" w:type="pct"/>
            <w:vMerge/>
            <w:vAlign w:val="center"/>
            <w:hideMark/>
          </w:tcPr>
          <w:p w14:paraId="538F9204"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45E1820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20</w:t>
            </w:r>
          </w:p>
        </w:tc>
        <w:tc>
          <w:tcPr>
            <w:tcW w:w="1083" w:type="pct"/>
            <w:tcBorders>
              <w:top w:val="nil"/>
              <w:left w:val="nil"/>
              <w:bottom w:val="single" w:sz="4" w:space="0" w:color="auto"/>
              <w:right w:val="single" w:sz="4" w:space="0" w:color="auto"/>
            </w:tcBorders>
            <w:shd w:val="clear" w:color="auto" w:fill="auto"/>
            <w:hideMark/>
          </w:tcPr>
          <w:p w14:paraId="77458FC4"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Contributions (financial and non-financial) by market actors (AUD)</w:t>
            </w:r>
          </w:p>
        </w:tc>
        <w:tc>
          <w:tcPr>
            <w:tcW w:w="384" w:type="pct"/>
            <w:tcBorders>
              <w:top w:val="nil"/>
              <w:left w:val="nil"/>
              <w:bottom w:val="single" w:sz="4" w:space="0" w:color="auto"/>
              <w:right w:val="single" w:sz="4" w:space="0" w:color="auto"/>
            </w:tcBorders>
            <w:shd w:val="clear" w:color="auto" w:fill="auto"/>
            <w:hideMark/>
          </w:tcPr>
          <w:p w14:paraId="42A95ADF"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EOPO-1</w:t>
            </w:r>
          </w:p>
        </w:tc>
        <w:tc>
          <w:tcPr>
            <w:tcW w:w="597" w:type="pct"/>
            <w:tcBorders>
              <w:top w:val="nil"/>
              <w:left w:val="nil"/>
              <w:bottom w:val="single" w:sz="4" w:space="0" w:color="auto"/>
              <w:right w:val="single" w:sz="4" w:space="0" w:color="auto"/>
            </w:tcBorders>
            <w:shd w:val="clear" w:color="auto" w:fill="auto"/>
            <w:hideMark/>
          </w:tcPr>
          <w:p w14:paraId="761002D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5F49C62C" w14:textId="7F15120B"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1,766,103</w:t>
            </w:r>
          </w:p>
        </w:tc>
        <w:tc>
          <w:tcPr>
            <w:tcW w:w="458" w:type="pct"/>
            <w:tcBorders>
              <w:top w:val="nil"/>
              <w:left w:val="nil"/>
              <w:bottom w:val="single" w:sz="4" w:space="0" w:color="auto"/>
              <w:right w:val="single" w:sz="4" w:space="0" w:color="auto"/>
            </w:tcBorders>
            <w:shd w:val="clear" w:color="auto" w:fill="auto"/>
            <w:vAlign w:val="center"/>
            <w:hideMark/>
          </w:tcPr>
          <w:p w14:paraId="2C447EB2" w14:textId="082BD9FE"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482,115</w:t>
            </w:r>
          </w:p>
        </w:tc>
        <w:tc>
          <w:tcPr>
            <w:tcW w:w="460" w:type="pct"/>
            <w:tcBorders>
              <w:top w:val="nil"/>
              <w:left w:val="nil"/>
              <w:bottom w:val="single" w:sz="4" w:space="0" w:color="auto"/>
              <w:right w:val="single" w:sz="4" w:space="0" w:color="auto"/>
            </w:tcBorders>
            <w:shd w:val="clear" w:color="auto" w:fill="auto"/>
            <w:vAlign w:val="center"/>
            <w:hideMark/>
          </w:tcPr>
          <w:p w14:paraId="4C1A0643" w14:textId="07F3E940"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638,460</w:t>
            </w:r>
          </w:p>
        </w:tc>
        <w:tc>
          <w:tcPr>
            <w:tcW w:w="482" w:type="pct"/>
            <w:tcBorders>
              <w:top w:val="nil"/>
              <w:left w:val="nil"/>
              <w:bottom w:val="single" w:sz="4" w:space="0" w:color="auto"/>
              <w:right w:val="nil"/>
            </w:tcBorders>
            <w:vAlign w:val="center"/>
          </w:tcPr>
          <w:p w14:paraId="305DE8C0" w14:textId="7F0A5985"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1</w:t>
            </w:r>
            <w:r w:rsidR="00CA273E">
              <w:rPr>
                <w:rFonts w:ascii="Franklin Gothic Book" w:hAnsi="Franklin Gothic Book"/>
                <w:color w:val="000000"/>
                <w:sz w:val="18"/>
                <w:szCs w:val="18"/>
              </w:rPr>
              <w:t>,</w:t>
            </w:r>
            <w:r>
              <w:rPr>
                <w:rFonts w:ascii="Franklin Gothic Book" w:hAnsi="Franklin Gothic Book"/>
                <w:color w:val="000000"/>
                <w:sz w:val="18"/>
                <w:szCs w:val="18"/>
              </w:rPr>
              <w:t>120</w:t>
            </w:r>
            <w:r w:rsidR="00CA273E">
              <w:rPr>
                <w:rFonts w:ascii="Franklin Gothic Book" w:hAnsi="Franklin Gothic Book"/>
                <w:color w:val="000000"/>
                <w:sz w:val="18"/>
                <w:szCs w:val="18"/>
              </w:rPr>
              <w:t>,</w:t>
            </w:r>
            <w:r>
              <w:rPr>
                <w:rFonts w:ascii="Franklin Gothic Book" w:hAnsi="Franklin Gothic Book"/>
                <w:color w:val="000000"/>
                <w:sz w:val="18"/>
                <w:szCs w:val="18"/>
              </w:rPr>
              <w:t>575</w:t>
            </w:r>
          </w:p>
        </w:tc>
        <w:tc>
          <w:tcPr>
            <w:tcW w:w="573" w:type="pct"/>
            <w:tcBorders>
              <w:top w:val="nil"/>
              <w:left w:val="nil"/>
              <w:bottom w:val="single" w:sz="4" w:space="0" w:color="auto"/>
              <w:right w:val="single" w:sz="4" w:space="0" w:color="auto"/>
            </w:tcBorders>
            <w:shd w:val="clear" w:color="auto" w:fill="auto"/>
            <w:vAlign w:val="center"/>
            <w:hideMark/>
          </w:tcPr>
          <w:p w14:paraId="1D6F0AFD" w14:textId="484F96ED"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2,886,678</w:t>
            </w:r>
          </w:p>
        </w:tc>
      </w:tr>
      <w:tr w:rsidR="004D3927" w:rsidRPr="00DA070E" w14:paraId="69B33D54" w14:textId="77777777" w:rsidTr="08123348">
        <w:trPr>
          <w:trHeight w:val="765"/>
        </w:trPr>
        <w:tc>
          <w:tcPr>
            <w:tcW w:w="218" w:type="pct"/>
            <w:vMerge/>
            <w:vAlign w:val="center"/>
            <w:hideMark/>
          </w:tcPr>
          <w:p w14:paraId="0E60137E"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16D87309"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21</w:t>
            </w:r>
          </w:p>
        </w:tc>
        <w:tc>
          <w:tcPr>
            <w:tcW w:w="1083" w:type="pct"/>
            <w:tcBorders>
              <w:top w:val="nil"/>
              <w:left w:val="nil"/>
              <w:bottom w:val="single" w:sz="4" w:space="0" w:color="auto"/>
              <w:right w:val="single" w:sz="4" w:space="0" w:color="auto"/>
            </w:tcBorders>
            <w:shd w:val="clear" w:color="auto" w:fill="auto"/>
            <w:hideMark/>
          </w:tcPr>
          <w:p w14:paraId="08C1E4D5"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events supported for encouraging market actor participation/innovation*</w:t>
            </w:r>
          </w:p>
        </w:tc>
        <w:tc>
          <w:tcPr>
            <w:tcW w:w="384" w:type="pct"/>
            <w:tcBorders>
              <w:top w:val="nil"/>
              <w:left w:val="nil"/>
              <w:bottom w:val="single" w:sz="4" w:space="0" w:color="auto"/>
              <w:right w:val="single" w:sz="4" w:space="0" w:color="auto"/>
            </w:tcBorders>
            <w:shd w:val="clear" w:color="auto" w:fill="auto"/>
            <w:hideMark/>
          </w:tcPr>
          <w:p w14:paraId="11747A9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All EOPOs</w:t>
            </w:r>
          </w:p>
        </w:tc>
        <w:tc>
          <w:tcPr>
            <w:tcW w:w="597" w:type="pct"/>
            <w:tcBorders>
              <w:top w:val="nil"/>
              <w:left w:val="nil"/>
              <w:bottom w:val="single" w:sz="4" w:space="0" w:color="auto"/>
              <w:right w:val="single" w:sz="4" w:space="0" w:color="auto"/>
            </w:tcBorders>
            <w:shd w:val="clear" w:color="auto" w:fill="auto"/>
            <w:hideMark/>
          </w:tcPr>
          <w:p w14:paraId="3C8F1FE9"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59C8048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6963D6C3"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12</w:t>
            </w:r>
          </w:p>
        </w:tc>
        <w:tc>
          <w:tcPr>
            <w:tcW w:w="460" w:type="pct"/>
            <w:tcBorders>
              <w:top w:val="nil"/>
              <w:left w:val="nil"/>
              <w:bottom w:val="single" w:sz="4" w:space="0" w:color="auto"/>
              <w:right w:val="single" w:sz="4" w:space="0" w:color="auto"/>
            </w:tcBorders>
            <w:shd w:val="clear" w:color="auto" w:fill="auto"/>
            <w:vAlign w:val="center"/>
            <w:hideMark/>
          </w:tcPr>
          <w:p w14:paraId="32A47F8B"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9</w:t>
            </w:r>
          </w:p>
        </w:tc>
        <w:tc>
          <w:tcPr>
            <w:tcW w:w="482" w:type="pct"/>
            <w:tcBorders>
              <w:top w:val="nil"/>
              <w:left w:val="nil"/>
              <w:bottom w:val="single" w:sz="4" w:space="0" w:color="auto"/>
              <w:right w:val="nil"/>
            </w:tcBorders>
            <w:vAlign w:val="center"/>
          </w:tcPr>
          <w:p w14:paraId="43E249BC" w14:textId="18251342"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21</w:t>
            </w:r>
          </w:p>
        </w:tc>
        <w:tc>
          <w:tcPr>
            <w:tcW w:w="573" w:type="pct"/>
            <w:tcBorders>
              <w:top w:val="nil"/>
              <w:left w:val="nil"/>
              <w:bottom w:val="single" w:sz="4" w:space="0" w:color="auto"/>
              <w:right w:val="single" w:sz="4" w:space="0" w:color="auto"/>
            </w:tcBorders>
            <w:shd w:val="clear" w:color="auto" w:fill="auto"/>
            <w:vAlign w:val="center"/>
            <w:hideMark/>
          </w:tcPr>
          <w:p w14:paraId="6BBDC173" w14:textId="569F99F6"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21</w:t>
            </w:r>
          </w:p>
        </w:tc>
      </w:tr>
      <w:tr w:rsidR="004D3927" w:rsidRPr="00DA070E" w14:paraId="79BD92F2" w14:textId="77777777" w:rsidTr="08123348">
        <w:trPr>
          <w:trHeight w:val="1275"/>
        </w:trPr>
        <w:tc>
          <w:tcPr>
            <w:tcW w:w="218" w:type="pct"/>
            <w:vMerge/>
            <w:vAlign w:val="center"/>
            <w:hideMark/>
          </w:tcPr>
          <w:p w14:paraId="1C44B6BB"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1322D70A"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22</w:t>
            </w:r>
          </w:p>
        </w:tc>
        <w:tc>
          <w:tcPr>
            <w:tcW w:w="1083" w:type="pct"/>
            <w:tcBorders>
              <w:top w:val="nil"/>
              <w:left w:val="nil"/>
              <w:bottom w:val="single" w:sz="4" w:space="0" w:color="auto"/>
              <w:right w:val="single" w:sz="4" w:space="0" w:color="auto"/>
            </w:tcBorders>
            <w:shd w:val="clear" w:color="auto" w:fill="auto"/>
            <w:hideMark/>
          </w:tcPr>
          <w:p w14:paraId="3AA04977" w14:textId="77777777" w:rsidR="00B45FEC" w:rsidRPr="00DA070E" w:rsidRDefault="00B45FEC" w:rsidP="00502F75">
            <w:pPr>
              <w:keepNext/>
              <w:keepLines/>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contributions to the consultations of development partners and Solomon Island government agencies to influence complementarity and evidence-based decisions making that empowers the private sector*</w:t>
            </w:r>
          </w:p>
        </w:tc>
        <w:tc>
          <w:tcPr>
            <w:tcW w:w="384" w:type="pct"/>
            <w:tcBorders>
              <w:top w:val="nil"/>
              <w:left w:val="nil"/>
              <w:bottom w:val="single" w:sz="4" w:space="0" w:color="auto"/>
              <w:right w:val="single" w:sz="4" w:space="0" w:color="auto"/>
            </w:tcBorders>
            <w:shd w:val="clear" w:color="auto" w:fill="auto"/>
            <w:hideMark/>
          </w:tcPr>
          <w:p w14:paraId="322F21DD"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All EOPOs</w:t>
            </w:r>
          </w:p>
        </w:tc>
        <w:tc>
          <w:tcPr>
            <w:tcW w:w="597" w:type="pct"/>
            <w:tcBorders>
              <w:top w:val="nil"/>
              <w:left w:val="nil"/>
              <w:bottom w:val="single" w:sz="4" w:space="0" w:color="auto"/>
              <w:right w:val="single" w:sz="4" w:space="0" w:color="auto"/>
            </w:tcBorders>
            <w:shd w:val="clear" w:color="auto" w:fill="auto"/>
            <w:hideMark/>
          </w:tcPr>
          <w:p w14:paraId="5532E7A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1CED3594"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532D2EAE"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16</w:t>
            </w:r>
          </w:p>
        </w:tc>
        <w:tc>
          <w:tcPr>
            <w:tcW w:w="460" w:type="pct"/>
            <w:tcBorders>
              <w:top w:val="nil"/>
              <w:left w:val="nil"/>
              <w:bottom w:val="single" w:sz="4" w:space="0" w:color="auto"/>
              <w:right w:val="single" w:sz="4" w:space="0" w:color="auto"/>
            </w:tcBorders>
            <w:shd w:val="clear" w:color="auto" w:fill="auto"/>
            <w:vAlign w:val="center"/>
            <w:hideMark/>
          </w:tcPr>
          <w:p w14:paraId="7D655878"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14</w:t>
            </w:r>
          </w:p>
        </w:tc>
        <w:tc>
          <w:tcPr>
            <w:tcW w:w="482" w:type="pct"/>
            <w:tcBorders>
              <w:top w:val="nil"/>
              <w:left w:val="nil"/>
              <w:bottom w:val="single" w:sz="4" w:space="0" w:color="auto"/>
              <w:right w:val="nil"/>
            </w:tcBorders>
            <w:vAlign w:val="center"/>
          </w:tcPr>
          <w:p w14:paraId="572215CA" w14:textId="616076BC"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30</w:t>
            </w:r>
          </w:p>
        </w:tc>
        <w:tc>
          <w:tcPr>
            <w:tcW w:w="573" w:type="pct"/>
            <w:tcBorders>
              <w:top w:val="nil"/>
              <w:left w:val="nil"/>
              <w:bottom w:val="single" w:sz="4" w:space="0" w:color="auto"/>
              <w:right w:val="single" w:sz="4" w:space="0" w:color="auto"/>
            </w:tcBorders>
            <w:shd w:val="clear" w:color="auto" w:fill="auto"/>
            <w:vAlign w:val="center"/>
            <w:hideMark/>
          </w:tcPr>
          <w:p w14:paraId="33FFDC92" w14:textId="53FAC9F1"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30</w:t>
            </w:r>
          </w:p>
        </w:tc>
      </w:tr>
      <w:tr w:rsidR="004D3927" w:rsidRPr="00DA070E" w14:paraId="3EA26F2F" w14:textId="77777777" w:rsidTr="08123348">
        <w:trPr>
          <w:trHeight w:val="739"/>
        </w:trPr>
        <w:tc>
          <w:tcPr>
            <w:tcW w:w="218" w:type="pct"/>
            <w:vMerge/>
            <w:vAlign w:val="center"/>
            <w:hideMark/>
          </w:tcPr>
          <w:p w14:paraId="78BB39CF" w14:textId="77777777" w:rsidR="00B45FEC" w:rsidRPr="00DA070E" w:rsidRDefault="00B45FEC" w:rsidP="00B45FEC">
            <w:pPr>
              <w:spacing w:after="0" w:line="240" w:lineRule="auto"/>
              <w:rPr>
                <w:rFonts w:ascii="Franklin Gothic Book" w:eastAsia="Times New Roman" w:hAnsi="Franklin Gothic Book"/>
                <w:b/>
                <w:bCs/>
                <w:color w:val="212121"/>
                <w:sz w:val="18"/>
                <w:szCs w:val="18"/>
              </w:rPr>
            </w:pPr>
          </w:p>
        </w:tc>
        <w:tc>
          <w:tcPr>
            <w:tcW w:w="218" w:type="pct"/>
            <w:tcBorders>
              <w:top w:val="nil"/>
              <w:left w:val="nil"/>
              <w:bottom w:val="single" w:sz="4" w:space="0" w:color="auto"/>
              <w:right w:val="single" w:sz="4" w:space="0" w:color="auto"/>
            </w:tcBorders>
            <w:shd w:val="clear" w:color="auto" w:fill="auto"/>
            <w:hideMark/>
          </w:tcPr>
          <w:p w14:paraId="41A5A99E"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23</w:t>
            </w:r>
          </w:p>
        </w:tc>
        <w:tc>
          <w:tcPr>
            <w:tcW w:w="1083" w:type="pct"/>
            <w:tcBorders>
              <w:top w:val="nil"/>
              <w:left w:val="nil"/>
              <w:bottom w:val="single" w:sz="4" w:space="0" w:color="auto"/>
              <w:right w:val="single" w:sz="4" w:space="0" w:color="auto"/>
            </w:tcBorders>
            <w:shd w:val="clear" w:color="auto" w:fill="auto"/>
            <w:hideMark/>
          </w:tcPr>
          <w:p w14:paraId="0B68F023"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Number of public communiques for encouraging market actor participation and innovation*</w:t>
            </w:r>
          </w:p>
        </w:tc>
        <w:tc>
          <w:tcPr>
            <w:tcW w:w="384" w:type="pct"/>
            <w:tcBorders>
              <w:top w:val="nil"/>
              <w:left w:val="nil"/>
              <w:bottom w:val="single" w:sz="4" w:space="0" w:color="auto"/>
              <w:right w:val="single" w:sz="4" w:space="0" w:color="auto"/>
            </w:tcBorders>
            <w:shd w:val="clear" w:color="auto" w:fill="auto"/>
            <w:hideMark/>
          </w:tcPr>
          <w:p w14:paraId="53D12B1B"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All EOPOs</w:t>
            </w:r>
          </w:p>
        </w:tc>
        <w:tc>
          <w:tcPr>
            <w:tcW w:w="597" w:type="pct"/>
            <w:tcBorders>
              <w:top w:val="nil"/>
              <w:left w:val="nil"/>
              <w:bottom w:val="single" w:sz="4" w:space="0" w:color="auto"/>
              <w:right w:val="single" w:sz="4" w:space="0" w:color="auto"/>
            </w:tcBorders>
            <w:shd w:val="clear" w:color="auto" w:fill="auto"/>
            <w:hideMark/>
          </w:tcPr>
          <w:p w14:paraId="1A6F9416" w14:textId="77777777" w:rsidR="00B45FEC" w:rsidRPr="00DA070E" w:rsidRDefault="00B45FEC" w:rsidP="00B45FEC">
            <w:pPr>
              <w:spacing w:after="0" w:line="240" w:lineRule="auto"/>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Aggregate</w:t>
            </w:r>
          </w:p>
        </w:tc>
        <w:tc>
          <w:tcPr>
            <w:tcW w:w="527" w:type="pct"/>
            <w:tcBorders>
              <w:top w:val="nil"/>
              <w:left w:val="nil"/>
              <w:bottom w:val="single" w:sz="4" w:space="0" w:color="auto"/>
              <w:right w:val="single" w:sz="4" w:space="0" w:color="auto"/>
            </w:tcBorders>
            <w:shd w:val="clear" w:color="auto" w:fill="auto"/>
            <w:vAlign w:val="center"/>
            <w:hideMark/>
          </w:tcPr>
          <w:p w14:paraId="4590CB56"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Results reported from Phase 2 onwards</w:t>
            </w:r>
          </w:p>
        </w:tc>
        <w:tc>
          <w:tcPr>
            <w:tcW w:w="458" w:type="pct"/>
            <w:tcBorders>
              <w:top w:val="nil"/>
              <w:left w:val="nil"/>
              <w:bottom w:val="single" w:sz="4" w:space="0" w:color="auto"/>
              <w:right w:val="single" w:sz="4" w:space="0" w:color="auto"/>
            </w:tcBorders>
            <w:shd w:val="clear" w:color="auto" w:fill="auto"/>
            <w:vAlign w:val="center"/>
            <w:hideMark/>
          </w:tcPr>
          <w:p w14:paraId="5ED576AF"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16</w:t>
            </w:r>
          </w:p>
        </w:tc>
        <w:tc>
          <w:tcPr>
            <w:tcW w:w="460" w:type="pct"/>
            <w:tcBorders>
              <w:top w:val="nil"/>
              <w:left w:val="nil"/>
              <w:bottom w:val="single" w:sz="4" w:space="0" w:color="auto"/>
              <w:right w:val="single" w:sz="4" w:space="0" w:color="auto"/>
            </w:tcBorders>
            <w:shd w:val="clear" w:color="auto" w:fill="auto"/>
            <w:vAlign w:val="center"/>
            <w:hideMark/>
          </w:tcPr>
          <w:p w14:paraId="4D218169" w14:textId="77777777"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16</w:t>
            </w:r>
          </w:p>
        </w:tc>
        <w:tc>
          <w:tcPr>
            <w:tcW w:w="482" w:type="pct"/>
            <w:tcBorders>
              <w:top w:val="nil"/>
              <w:left w:val="nil"/>
              <w:bottom w:val="single" w:sz="4" w:space="0" w:color="auto"/>
              <w:right w:val="nil"/>
            </w:tcBorders>
            <w:vAlign w:val="center"/>
          </w:tcPr>
          <w:p w14:paraId="551CCA6D" w14:textId="4CB7E722" w:rsidR="00B45FEC" w:rsidRPr="00DA070E" w:rsidRDefault="00B45FEC" w:rsidP="00D42AE4">
            <w:pPr>
              <w:spacing w:after="0" w:line="240" w:lineRule="auto"/>
              <w:jc w:val="right"/>
              <w:rPr>
                <w:rFonts w:ascii="Franklin Gothic Book" w:eastAsia="Times New Roman" w:hAnsi="Franklin Gothic Book"/>
                <w:color w:val="212121"/>
                <w:sz w:val="18"/>
                <w:szCs w:val="18"/>
              </w:rPr>
            </w:pPr>
            <w:r>
              <w:rPr>
                <w:rFonts w:ascii="Franklin Gothic Book" w:hAnsi="Franklin Gothic Book"/>
                <w:color w:val="000000"/>
                <w:sz w:val="18"/>
                <w:szCs w:val="18"/>
              </w:rPr>
              <w:t>32</w:t>
            </w:r>
          </w:p>
        </w:tc>
        <w:tc>
          <w:tcPr>
            <w:tcW w:w="573" w:type="pct"/>
            <w:tcBorders>
              <w:top w:val="nil"/>
              <w:left w:val="nil"/>
              <w:bottom w:val="single" w:sz="4" w:space="0" w:color="auto"/>
              <w:right w:val="single" w:sz="4" w:space="0" w:color="auto"/>
            </w:tcBorders>
            <w:shd w:val="clear" w:color="auto" w:fill="auto"/>
            <w:vAlign w:val="center"/>
            <w:hideMark/>
          </w:tcPr>
          <w:p w14:paraId="196E7C47" w14:textId="2B7F7E4B" w:rsidR="00B45FEC" w:rsidRPr="00DA070E" w:rsidRDefault="00B45FEC" w:rsidP="00B45FEC">
            <w:pPr>
              <w:spacing w:after="0" w:line="240" w:lineRule="auto"/>
              <w:jc w:val="right"/>
              <w:rPr>
                <w:rFonts w:ascii="Franklin Gothic Book" w:eastAsia="Times New Roman" w:hAnsi="Franklin Gothic Book"/>
                <w:color w:val="212121"/>
                <w:sz w:val="18"/>
                <w:szCs w:val="18"/>
              </w:rPr>
            </w:pPr>
            <w:r w:rsidRPr="00DA070E">
              <w:rPr>
                <w:rFonts w:ascii="Franklin Gothic Book" w:eastAsia="Times New Roman" w:hAnsi="Franklin Gothic Book"/>
                <w:color w:val="212121"/>
                <w:sz w:val="18"/>
                <w:szCs w:val="18"/>
              </w:rPr>
              <w:t>32</w:t>
            </w:r>
          </w:p>
        </w:tc>
      </w:tr>
      <w:tr w:rsidR="00502F75" w:rsidRPr="00DA070E" w14:paraId="682103D6" w14:textId="77777777" w:rsidTr="08123348">
        <w:trPr>
          <w:trHeight w:val="300"/>
        </w:trPr>
        <w:tc>
          <w:tcPr>
            <w:tcW w:w="5000" w:type="pct"/>
            <w:gridSpan w:val="10"/>
            <w:tcBorders>
              <w:top w:val="nil"/>
              <w:left w:val="nil"/>
              <w:bottom w:val="nil"/>
              <w:right w:val="nil"/>
            </w:tcBorders>
          </w:tcPr>
          <w:p w14:paraId="3B13228B" w14:textId="185EBA8B" w:rsidR="00502F75" w:rsidRPr="00DA070E" w:rsidRDefault="00502F75" w:rsidP="00DA070E">
            <w:pPr>
              <w:spacing w:after="0" w:line="240" w:lineRule="auto"/>
              <w:rPr>
                <w:rFonts w:ascii="Times New Roman" w:eastAsia="Times New Roman" w:hAnsi="Times New Roman" w:cs="Times New Roman"/>
                <w:color w:val="auto"/>
                <w:szCs w:val="20"/>
              </w:rPr>
            </w:pPr>
            <w:r w:rsidRPr="00DA070E">
              <w:rPr>
                <w:rFonts w:ascii="Franklin Gothic Book" w:eastAsia="Times New Roman" w:hAnsi="Franklin Gothic Book"/>
                <w:i/>
                <w:iCs/>
                <w:color w:val="212121"/>
                <w:szCs w:val="20"/>
              </w:rPr>
              <w:t>* New common indicators added in Phase 2, of which results will not be retroactively constructed for Phase 1.</w:t>
            </w:r>
          </w:p>
        </w:tc>
      </w:tr>
      <w:tr w:rsidR="00502F75" w:rsidRPr="00DA070E" w14:paraId="63F9B6A3" w14:textId="77777777" w:rsidTr="08123348">
        <w:trPr>
          <w:trHeight w:val="300"/>
        </w:trPr>
        <w:tc>
          <w:tcPr>
            <w:tcW w:w="5000" w:type="pct"/>
            <w:gridSpan w:val="10"/>
            <w:tcBorders>
              <w:top w:val="nil"/>
              <w:left w:val="nil"/>
              <w:bottom w:val="nil"/>
              <w:right w:val="nil"/>
            </w:tcBorders>
          </w:tcPr>
          <w:p w14:paraId="6F8BDF12" w14:textId="5C88158E" w:rsidR="00502F75" w:rsidRPr="00DA070E" w:rsidRDefault="6939E40D" w:rsidP="08123348">
            <w:pPr>
              <w:spacing w:after="0" w:line="240" w:lineRule="auto"/>
              <w:rPr>
                <w:rFonts w:ascii="Times New Roman" w:eastAsia="Times New Roman" w:hAnsi="Times New Roman" w:cs="Times New Roman"/>
                <w:color w:val="auto"/>
              </w:rPr>
            </w:pPr>
            <w:r w:rsidRPr="08123348">
              <w:rPr>
                <w:rFonts w:ascii="Franklin Gothic Book" w:eastAsia="Times New Roman" w:hAnsi="Franklin Gothic Book"/>
                <w:i/>
                <w:iCs/>
                <w:color w:val="212121"/>
              </w:rPr>
              <w:t xml:space="preserve">** New </w:t>
            </w:r>
            <w:r w:rsidR="6A9BC935" w:rsidRPr="08123348">
              <w:rPr>
                <w:rFonts w:ascii="Franklin Gothic Book" w:eastAsia="Times New Roman" w:hAnsi="Franklin Gothic Book"/>
                <w:i/>
                <w:iCs/>
                <w:color w:val="212121"/>
              </w:rPr>
              <w:t>disaggregation's</w:t>
            </w:r>
            <w:r w:rsidRPr="08123348">
              <w:rPr>
                <w:rFonts w:ascii="Franklin Gothic Book" w:eastAsia="Times New Roman" w:hAnsi="Franklin Gothic Book"/>
                <w:i/>
                <w:iCs/>
                <w:color w:val="212121"/>
              </w:rPr>
              <w:t xml:space="preserve"> added to common indicators carried forward from Phase 1.</w:t>
            </w:r>
          </w:p>
        </w:tc>
      </w:tr>
    </w:tbl>
    <w:p w14:paraId="45C95C58" w14:textId="77777777" w:rsidR="00DA070E" w:rsidRDefault="00DA070E" w:rsidP="003B058D"/>
    <w:p w14:paraId="06FED3EB" w14:textId="78908E38" w:rsidR="00543114" w:rsidRPr="00BD1301" w:rsidRDefault="00BD1301" w:rsidP="003B058D">
      <w:pPr>
        <w:rPr>
          <w:b/>
          <w:bCs/>
        </w:rPr>
      </w:pPr>
      <w:r w:rsidRPr="00BD1301">
        <w:rPr>
          <w:b/>
          <w:bCs/>
        </w:rPr>
        <w:t xml:space="preserve">Table A5.2: </w:t>
      </w:r>
      <w:r w:rsidR="00D143E5" w:rsidRPr="00BD1301">
        <w:rPr>
          <w:b/>
          <w:bCs/>
        </w:rPr>
        <w:t>Actual</w:t>
      </w:r>
      <w:r w:rsidRPr="00BD1301">
        <w:rPr>
          <w:b/>
          <w:bCs/>
        </w:rPr>
        <w:t xml:space="preserve"> Results</w:t>
      </w:r>
      <w:r w:rsidR="00D143E5" w:rsidRPr="00BD1301">
        <w:rPr>
          <w:b/>
          <w:bCs/>
        </w:rPr>
        <w:t xml:space="preserve"> against Annual Plan Targets</w:t>
      </w:r>
    </w:p>
    <w:tbl>
      <w:tblPr>
        <w:tblW w:w="5000" w:type="pct"/>
        <w:tblCellMar>
          <w:bottom w:w="28" w:type="dxa"/>
        </w:tblCellMar>
        <w:tblLook w:val="04A0" w:firstRow="1" w:lastRow="0" w:firstColumn="1" w:lastColumn="0" w:noHBand="0" w:noVBand="1"/>
      </w:tblPr>
      <w:tblGrid>
        <w:gridCol w:w="696"/>
        <w:gridCol w:w="2838"/>
        <w:gridCol w:w="737"/>
        <w:gridCol w:w="895"/>
        <w:gridCol w:w="901"/>
        <w:gridCol w:w="940"/>
        <w:gridCol w:w="1045"/>
        <w:gridCol w:w="901"/>
        <w:gridCol w:w="901"/>
      </w:tblGrid>
      <w:tr w:rsidR="000A64EE" w:rsidRPr="000A64EE" w14:paraId="5F615CD5" w14:textId="77777777" w:rsidTr="08123348">
        <w:trPr>
          <w:trHeight w:val="822"/>
          <w:tblHeader/>
        </w:trPr>
        <w:tc>
          <w:tcPr>
            <w:tcW w:w="301" w:type="pct"/>
            <w:tcBorders>
              <w:top w:val="single" w:sz="4" w:space="0" w:color="auto"/>
              <w:left w:val="single" w:sz="4" w:space="0" w:color="auto"/>
              <w:bottom w:val="single" w:sz="4" w:space="0" w:color="auto"/>
              <w:right w:val="single" w:sz="4" w:space="0" w:color="auto"/>
            </w:tcBorders>
            <w:shd w:val="clear" w:color="auto" w:fill="1D336D" w:themeFill="background2"/>
            <w:hideMark/>
          </w:tcPr>
          <w:p w14:paraId="76DD5632"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Target #</w:t>
            </w:r>
          </w:p>
        </w:tc>
        <w:tc>
          <w:tcPr>
            <w:tcW w:w="1475" w:type="pct"/>
            <w:tcBorders>
              <w:top w:val="single" w:sz="4" w:space="0" w:color="auto"/>
              <w:left w:val="nil"/>
              <w:bottom w:val="single" w:sz="4" w:space="0" w:color="auto"/>
              <w:right w:val="single" w:sz="4" w:space="0" w:color="auto"/>
            </w:tcBorders>
            <w:shd w:val="clear" w:color="auto" w:fill="1D336D" w:themeFill="background2"/>
            <w:hideMark/>
          </w:tcPr>
          <w:p w14:paraId="2440B241"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 xml:space="preserve">Target Common Indicators </w:t>
            </w:r>
          </w:p>
        </w:tc>
        <w:tc>
          <w:tcPr>
            <w:tcW w:w="409" w:type="pct"/>
            <w:tcBorders>
              <w:top w:val="single" w:sz="4" w:space="0" w:color="auto"/>
              <w:left w:val="nil"/>
              <w:bottom w:val="single" w:sz="4" w:space="0" w:color="auto"/>
              <w:right w:val="single" w:sz="4" w:space="0" w:color="auto"/>
            </w:tcBorders>
            <w:shd w:val="clear" w:color="auto" w:fill="1D336D" w:themeFill="background2"/>
            <w:hideMark/>
          </w:tcPr>
          <w:p w14:paraId="61032547" w14:textId="4432DE02"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 xml:space="preserve">EOPO </w:t>
            </w:r>
          </w:p>
        </w:tc>
        <w:tc>
          <w:tcPr>
            <w:tcW w:w="431" w:type="pct"/>
            <w:tcBorders>
              <w:top w:val="single" w:sz="4" w:space="0" w:color="auto"/>
              <w:left w:val="nil"/>
              <w:bottom w:val="single" w:sz="4" w:space="0" w:color="auto"/>
              <w:right w:val="single" w:sz="4" w:space="0" w:color="auto"/>
            </w:tcBorders>
            <w:shd w:val="clear" w:color="auto" w:fill="1D336D" w:themeFill="background2"/>
            <w:hideMark/>
          </w:tcPr>
          <w:p w14:paraId="50BA0170"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Annual Plan 2021 Year Target</w:t>
            </w:r>
          </w:p>
        </w:tc>
        <w:tc>
          <w:tcPr>
            <w:tcW w:w="469" w:type="pct"/>
            <w:tcBorders>
              <w:top w:val="single" w:sz="4" w:space="0" w:color="auto"/>
              <w:left w:val="nil"/>
              <w:bottom w:val="single" w:sz="4" w:space="0" w:color="auto"/>
              <w:right w:val="single" w:sz="4" w:space="0" w:color="auto"/>
            </w:tcBorders>
            <w:shd w:val="clear" w:color="auto" w:fill="1D336D" w:themeFill="background2"/>
            <w:hideMark/>
          </w:tcPr>
          <w:p w14:paraId="0AD60E11"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Total 2021 Year Actuals Achieved</w:t>
            </w:r>
          </w:p>
        </w:tc>
        <w:tc>
          <w:tcPr>
            <w:tcW w:w="526" w:type="pct"/>
            <w:tcBorders>
              <w:top w:val="single" w:sz="4" w:space="0" w:color="auto"/>
              <w:left w:val="nil"/>
              <w:bottom w:val="single" w:sz="4" w:space="0" w:color="auto"/>
              <w:right w:val="single" w:sz="4" w:space="0" w:color="auto"/>
            </w:tcBorders>
            <w:shd w:val="clear" w:color="auto" w:fill="1D336D" w:themeFill="background2"/>
            <w:hideMark/>
          </w:tcPr>
          <w:p w14:paraId="50E656A0"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 of Annual Plan 2021 Year Target Achieved</w:t>
            </w:r>
          </w:p>
        </w:tc>
        <w:tc>
          <w:tcPr>
            <w:tcW w:w="446" w:type="pct"/>
            <w:tcBorders>
              <w:top w:val="single" w:sz="4" w:space="0" w:color="auto"/>
              <w:left w:val="nil"/>
              <w:bottom w:val="single" w:sz="4" w:space="0" w:color="auto"/>
              <w:right w:val="single" w:sz="4" w:space="0" w:color="auto"/>
            </w:tcBorders>
            <w:shd w:val="clear" w:color="auto" w:fill="1D336D" w:themeFill="background2"/>
            <w:hideMark/>
          </w:tcPr>
          <w:p w14:paraId="2F9617A9"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Annual Plan 2022 Year Target</w:t>
            </w:r>
          </w:p>
        </w:tc>
        <w:tc>
          <w:tcPr>
            <w:tcW w:w="469" w:type="pct"/>
            <w:tcBorders>
              <w:top w:val="single" w:sz="4" w:space="0" w:color="auto"/>
              <w:left w:val="nil"/>
              <w:bottom w:val="single" w:sz="4" w:space="0" w:color="auto"/>
              <w:right w:val="single" w:sz="4" w:space="0" w:color="auto"/>
            </w:tcBorders>
            <w:shd w:val="clear" w:color="auto" w:fill="1D336D" w:themeFill="background2"/>
            <w:hideMark/>
          </w:tcPr>
          <w:p w14:paraId="2C167893"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Total 2022 Year Actuals Achieved</w:t>
            </w:r>
          </w:p>
        </w:tc>
        <w:tc>
          <w:tcPr>
            <w:tcW w:w="475" w:type="pct"/>
            <w:tcBorders>
              <w:top w:val="single" w:sz="4" w:space="0" w:color="auto"/>
              <w:left w:val="nil"/>
              <w:bottom w:val="single" w:sz="4" w:space="0" w:color="auto"/>
              <w:right w:val="single" w:sz="4" w:space="0" w:color="auto"/>
            </w:tcBorders>
            <w:shd w:val="clear" w:color="auto" w:fill="1D336D" w:themeFill="background2"/>
            <w:hideMark/>
          </w:tcPr>
          <w:p w14:paraId="751C727F" w14:textId="77777777" w:rsidR="000A64EE" w:rsidRPr="000A64EE" w:rsidRDefault="000A64EE" w:rsidP="000A64EE">
            <w:pPr>
              <w:spacing w:after="0" w:line="240" w:lineRule="auto"/>
              <w:rPr>
                <w:rFonts w:ascii="Franklin Gothic Book" w:eastAsia="Times New Roman" w:hAnsi="Franklin Gothic Book"/>
                <w:b/>
                <w:bCs/>
                <w:color w:val="FFFFFF" w:themeColor="background1"/>
                <w:sz w:val="18"/>
                <w:szCs w:val="18"/>
              </w:rPr>
            </w:pPr>
            <w:r w:rsidRPr="000A64EE">
              <w:rPr>
                <w:rFonts w:ascii="Franklin Gothic Book" w:eastAsia="Times New Roman" w:hAnsi="Franklin Gothic Book"/>
                <w:b/>
                <w:bCs/>
                <w:color w:val="FFFFFF" w:themeColor="background1"/>
                <w:sz w:val="18"/>
                <w:szCs w:val="18"/>
              </w:rPr>
              <w:t>% of Annual Plan 2022 Year Target Achieved</w:t>
            </w:r>
          </w:p>
        </w:tc>
      </w:tr>
      <w:tr w:rsidR="000A64EE" w:rsidRPr="000A64EE" w14:paraId="1D3AFCC3"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35334A65"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w:t>
            </w:r>
          </w:p>
        </w:tc>
        <w:tc>
          <w:tcPr>
            <w:tcW w:w="1475" w:type="pct"/>
            <w:tcBorders>
              <w:top w:val="nil"/>
              <w:left w:val="nil"/>
              <w:bottom w:val="single" w:sz="4" w:space="0" w:color="auto"/>
              <w:right w:val="single" w:sz="4" w:space="0" w:color="auto"/>
            </w:tcBorders>
            <w:shd w:val="clear" w:color="auto" w:fill="auto"/>
            <w:hideMark/>
          </w:tcPr>
          <w:p w14:paraId="0BB9D791"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 xml:space="preserve">Number of household and small enterprise beneficiaries adopting improved business practice </w:t>
            </w:r>
          </w:p>
        </w:tc>
        <w:tc>
          <w:tcPr>
            <w:tcW w:w="409" w:type="pct"/>
            <w:tcBorders>
              <w:top w:val="nil"/>
              <w:left w:val="nil"/>
              <w:bottom w:val="single" w:sz="4" w:space="0" w:color="auto"/>
              <w:right w:val="single" w:sz="4" w:space="0" w:color="auto"/>
            </w:tcBorders>
            <w:shd w:val="clear" w:color="auto" w:fill="auto"/>
            <w:hideMark/>
          </w:tcPr>
          <w:p w14:paraId="738F851A"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63F235D2"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100</w:t>
            </w:r>
          </w:p>
        </w:tc>
        <w:tc>
          <w:tcPr>
            <w:tcW w:w="469" w:type="pct"/>
            <w:tcBorders>
              <w:top w:val="nil"/>
              <w:left w:val="nil"/>
              <w:bottom w:val="single" w:sz="4" w:space="0" w:color="auto"/>
              <w:right w:val="single" w:sz="4" w:space="0" w:color="auto"/>
            </w:tcBorders>
            <w:shd w:val="clear" w:color="auto" w:fill="D9D9D9" w:themeFill="accent6" w:themeFillTint="66"/>
            <w:hideMark/>
          </w:tcPr>
          <w:p w14:paraId="5E07B166"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54</w:t>
            </w:r>
          </w:p>
        </w:tc>
        <w:tc>
          <w:tcPr>
            <w:tcW w:w="526" w:type="pct"/>
            <w:tcBorders>
              <w:top w:val="nil"/>
              <w:left w:val="nil"/>
              <w:bottom w:val="single" w:sz="4" w:space="0" w:color="auto"/>
              <w:right w:val="single" w:sz="4" w:space="0" w:color="auto"/>
            </w:tcBorders>
            <w:shd w:val="clear" w:color="auto" w:fill="D9D9D9" w:themeFill="accent6" w:themeFillTint="66"/>
            <w:hideMark/>
          </w:tcPr>
          <w:p w14:paraId="682D7669"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54%</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33248A9D"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250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1BE6752A"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185</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732994B6"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74%</w:t>
            </w:r>
          </w:p>
        </w:tc>
      </w:tr>
      <w:tr w:rsidR="000A64EE" w:rsidRPr="000A64EE" w14:paraId="49DF6128"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7AFF7504"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w:t>
            </w:r>
          </w:p>
        </w:tc>
        <w:tc>
          <w:tcPr>
            <w:tcW w:w="1475" w:type="pct"/>
            <w:tcBorders>
              <w:top w:val="nil"/>
              <w:left w:val="nil"/>
              <w:bottom w:val="single" w:sz="4" w:space="0" w:color="auto"/>
              <w:right w:val="single" w:sz="4" w:space="0" w:color="auto"/>
            </w:tcBorders>
            <w:shd w:val="clear" w:color="auto" w:fill="auto"/>
            <w:hideMark/>
          </w:tcPr>
          <w:p w14:paraId="353912CA" w14:textId="6280F14C" w:rsidR="000A64EE" w:rsidRPr="000A64EE" w:rsidRDefault="053A8A5E" w:rsidP="000A64EE">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Number of women, youth or </w:t>
            </w:r>
            <w:r w:rsidR="549BDFEF" w:rsidRPr="08123348">
              <w:rPr>
                <w:rFonts w:ascii="Franklin Gothic Book" w:eastAsia="Times New Roman" w:hAnsi="Franklin Gothic Book"/>
                <w:color w:val="212121"/>
                <w:sz w:val="18"/>
                <w:szCs w:val="18"/>
              </w:rPr>
              <w:t>PWD</w:t>
            </w:r>
            <w:r w:rsidRPr="08123348">
              <w:rPr>
                <w:rFonts w:ascii="Franklin Gothic Book" w:eastAsia="Times New Roman" w:hAnsi="Franklin Gothic Book"/>
                <w:color w:val="212121"/>
                <w:sz w:val="18"/>
                <w:szCs w:val="18"/>
              </w:rPr>
              <w:t xml:space="preserve"> owned or led enterprise adopting improved business practices</w:t>
            </w:r>
          </w:p>
        </w:tc>
        <w:tc>
          <w:tcPr>
            <w:tcW w:w="409" w:type="pct"/>
            <w:tcBorders>
              <w:top w:val="nil"/>
              <w:left w:val="nil"/>
              <w:bottom w:val="single" w:sz="4" w:space="0" w:color="auto"/>
              <w:right w:val="single" w:sz="4" w:space="0" w:color="auto"/>
            </w:tcBorders>
            <w:shd w:val="clear" w:color="auto" w:fill="auto"/>
            <w:hideMark/>
          </w:tcPr>
          <w:p w14:paraId="69929E6E"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EOPO-3</w:t>
            </w:r>
          </w:p>
        </w:tc>
        <w:tc>
          <w:tcPr>
            <w:tcW w:w="431" w:type="pct"/>
            <w:tcBorders>
              <w:top w:val="nil"/>
              <w:left w:val="nil"/>
              <w:bottom w:val="single" w:sz="4" w:space="0" w:color="auto"/>
              <w:right w:val="single" w:sz="4" w:space="0" w:color="auto"/>
            </w:tcBorders>
            <w:shd w:val="clear" w:color="auto" w:fill="D9D9D9" w:themeFill="accent6" w:themeFillTint="66"/>
            <w:hideMark/>
          </w:tcPr>
          <w:p w14:paraId="38D4D401"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80</w:t>
            </w:r>
          </w:p>
        </w:tc>
        <w:tc>
          <w:tcPr>
            <w:tcW w:w="469" w:type="pct"/>
            <w:tcBorders>
              <w:top w:val="nil"/>
              <w:left w:val="nil"/>
              <w:bottom w:val="single" w:sz="4" w:space="0" w:color="auto"/>
              <w:right w:val="single" w:sz="4" w:space="0" w:color="auto"/>
            </w:tcBorders>
            <w:shd w:val="clear" w:color="auto" w:fill="D9D9D9" w:themeFill="accent6" w:themeFillTint="66"/>
            <w:hideMark/>
          </w:tcPr>
          <w:p w14:paraId="57D5EF5F"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22</w:t>
            </w:r>
          </w:p>
        </w:tc>
        <w:tc>
          <w:tcPr>
            <w:tcW w:w="526" w:type="pct"/>
            <w:tcBorders>
              <w:top w:val="nil"/>
              <w:left w:val="nil"/>
              <w:bottom w:val="single" w:sz="4" w:space="0" w:color="auto"/>
              <w:right w:val="single" w:sz="4" w:space="0" w:color="auto"/>
            </w:tcBorders>
            <w:shd w:val="clear" w:color="auto" w:fill="D9D9D9" w:themeFill="accent6" w:themeFillTint="66"/>
            <w:hideMark/>
          </w:tcPr>
          <w:p w14:paraId="454CF484"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28%</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344D4019"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180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12A0D840"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141</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3F94C892"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78%</w:t>
            </w:r>
          </w:p>
        </w:tc>
      </w:tr>
      <w:tr w:rsidR="000A64EE" w:rsidRPr="000A64EE" w14:paraId="295FD6DF" w14:textId="77777777" w:rsidTr="08123348">
        <w:trPr>
          <w:trHeight w:val="765"/>
        </w:trPr>
        <w:tc>
          <w:tcPr>
            <w:tcW w:w="301" w:type="pct"/>
            <w:tcBorders>
              <w:top w:val="nil"/>
              <w:left w:val="single" w:sz="4" w:space="0" w:color="auto"/>
              <w:bottom w:val="single" w:sz="4" w:space="0" w:color="auto"/>
              <w:right w:val="single" w:sz="4" w:space="0" w:color="auto"/>
            </w:tcBorders>
            <w:shd w:val="clear" w:color="auto" w:fill="auto"/>
            <w:hideMark/>
          </w:tcPr>
          <w:p w14:paraId="199F0663"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3</w:t>
            </w:r>
          </w:p>
        </w:tc>
        <w:tc>
          <w:tcPr>
            <w:tcW w:w="1475" w:type="pct"/>
            <w:tcBorders>
              <w:top w:val="nil"/>
              <w:left w:val="nil"/>
              <w:bottom w:val="single" w:sz="4" w:space="0" w:color="auto"/>
              <w:right w:val="single" w:sz="4" w:space="0" w:color="auto"/>
            </w:tcBorders>
            <w:shd w:val="clear" w:color="auto" w:fill="auto"/>
            <w:hideMark/>
          </w:tcPr>
          <w:p w14:paraId="04C4C90D"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women reporting improvement in their access and control over productive resources in the household and community</w:t>
            </w:r>
          </w:p>
        </w:tc>
        <w:tc>
          <w:tcPr>
            <w:tcW w:w="409" w:type="pct"/>
            <w:tcBorders>
              <w:top w:val="nil"/>
              <w:left w:val="nil"/>
              <w:bottom w:val="single" w:sz="4" w:space="0" w:color="auto"/>
              <w:right w:val="single" w:sz="4" w:space="0" w:color="auto"/>
            </w:tcBorders>
            <w:shd w:val="clear" w:color="auto" w:fill="auto"/>
            <w:hideMark/>
          </w:tcPr>
          <w:p w14:paraId="0C61BD56"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EOPO-3</w:t>
            </w:r>
          </w:p>
        </w:tc>
        <w:tc>
          <w:tcPr>
            <w:tcW w:w="431" w:type="pct"/>
            <w:tcBorders>
              <w:top w:val="nil"/>
              <w:left w:val="nil"/>
              <w:bottom w:val="single" w:sz="4" w:space="0" w:color="auto"/>
              <w:right w:val="single" w:sz="4" w:space="0" w:color="auto"/>
            </w:tcBorders>
            <w:shd w:val="clear" w:color="auto" w:fill="D9D9D9" w:themeFill="accent6" w:themeFillTint="66"/>
            <w:hideMark/>
          </w:tcPr>
          <w:p w14:paraId="1CA935E8"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60</w:t>
            </w:r>
          </w:p>
        </w:tc>
        <w:tc>
          <w:tcPr>
            <w:tcW w:w="469" w:type="pct"/>
            <w:tcBorders>
              <w:top w:val="nil"/>
              <w:left w:val="nil"/>
              <w:bottom w:val="single" w:sz="4" w:space="0" w:color="auto"/>
              <w:right w:val="single" w:sz="4" w:space="0" w:color="auto"/>
            </w:tcBorders>
            <w:shd w:val="clear" w:color="auto" w:fill="D9D9D9" w:themeFill="accent6" w:themeFillTint="66"/>
            <w:hideMark/>
          </w:tcPr>
          <w:p w14:paraId="2285B876"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13</w:t>
            </w:r>
          </w:p>
        </w:tc>
        <w:tc>
          <w:tcPr>
            <w:tcW w:w="526" w:type="pct"/>
            <w:tcBorders>
              <w:top w:val="nil"/>
              <w:left w:val="nil"/>
              <w:bottom w:val="single" w:sz="4" w:space="0" w:color="auto"/>
              <w:right w:val="single" w:sz="4" w:space="0" w:color="auto"/>
            </w:tcBorders>
            <w:shd w:val="clear" w:color="auto" w:fill="D9D9D9" w:themeFill="accent6" w:themeFillTint="66"/>
            <w:hideMark/>
          </w:tcPr>
          <w:p w14:paraId="7F023CAA"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22%</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13DE2FA2"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130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4DD626A7"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62</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2B95B57A"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48%</w:t>
            </w:r>
          </w:p>
        </w:tc>
      </w:tr>
      <w:tr w:rsidR="000A64EE" w:rsidRPr="000A64EE" w14:paraId="18C1C2F9" w14:textId="77777777" w:rsidTr="08123348">
        <w:trPr>
          <w:trHeight w:val="765"/>
        </w:trPr>
        <w:tc>
          <w:tcPr>
            <w:tcW w:w="301" w:type="pct"/>
            <w:tcBorders>
              <w:top w:val="nil"/>
              <w:left w:val="single" w:sz="4" w:space="0" w:color="auto"/>
              <w:bottom w:val="single" w:sz="4" w:space="0" w:color="auto"/>
              <w:right w:val="single" w:sz="4" w:space="0" w:color="auto"/>
            </w:tcBorders>
            <w:shd w:val="clear" w:color="auto" w:fill="auto"/>
            <w:hideMark/>
          </w:tcPr>
          <w:p w14:paraId="5CC302C6"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4</w:t>
            </w:r>
          </w:p>
        </w:tc>
        <w:tc>
          <w:tcPr>
            <w:tcW w:w="1475" w:type="pct"/>
            <w:tcBorders>
              <w:top w:val="nil"/>
              <w:left w:val="nil"/>
              <w:bottom w:val="single" w:sz="4" w:space="0" w:color="auto"/>
              <w:right w:val="single" w:sz="4" w:space="0" w:color="auto"/>
            </w:tcBorders>
            <w:shd w:val="clear" w:color="auto" w:fill="auto"/>
            <w:hideMark/>
          </w:tcPr>
          <w:p w14:paraId="404E56FF" w14:textId="00068472" w:rsidR="000A64EE" w:rsidRPr="000A64EE" w:rsidRDefault="053A8A5E" w:rsidP="000A64EE">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Number of women, youth or </w:t>
            </w:r>
            <w:r w:rsidR="549BDFEF" w:rsidRPr="08123348">
              <w:rPr>
                <w:rFonts w:ascii="Franklin Gothic Book" w:eastAsia="Times New Roman" w:hAnsi="Franklin Gothic Book"/>
                <w:color w:val="212121"/>
                <w:sz w:val="18"/>
                <w:szCs w:val="18"/>
              </w:rPr>
              <w:t>PWD</w:t>
            </w:r>
            <w:r w:rsidRPr="08123348">
              <w:rPr>
                <w:rFonts w:ascii="Franklin Gothic Book" w:eastAsia="Times New Roman" w:hAnsi="Franklin Gothic Book"/>
                <w:color w:val="212121"/>
                <w:sz w:val="18"/>
                <w:szCs w:val="18"/>
              </w:rPr>
              <w:t>s owned or led businesses with improved access to higher economic opportunities</w:t>
            </w:r>
          </w:p>
        </w:tc>
        <w:tc>
          <w:tcPr>
            <w:tcW w:w="409" w:type="pct"/>
            <w:tcBorders>
              <w:top w:val="nil"/>
              <w:left w:val="nil"/>
              <w:bottom w:val="single" w:sz="4" w:space="0" w:color="auto"/>
              <w:right w:val="single" w:sz="4" w:space="0" w:color="auto"/>
            </w:tcBorders>
            <w:shd w:val="clear" w:color="auto" w:fill="auto"/>
            <w:hideMark/>
          </w:tcPr>
          <w:p w14:paraId="186C5226"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EOPO-3</w:t>
            </w:r>
          </w:p>
        </w:tc>
        <w:tc>
          <w:tcPr>
            <w:tcW w:w="431" w:type="pct"/>
            <w:tcBorders>
              <w:top w:val="nil"/>
              <w:left w:val="nil"/>
              <w:bottom w:val="single" w:sz="4" w:space="0" w:color="auto"/>
              <w:right w:val="single" w:sz="4" w:space="0" w:color="auto"/>
            </w:tcBorders>
            <w:shd w:val="clear" w:color="auto" w:fill="D9D9D9" w:themeFill="accent6" w:themeFillTint="66"/>
            <w:hideMark/>
          </w:tcPr>
          <w:p w14:paraId="0E9849A9"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120</w:t>
            </w:r>
          </w:p>
        </w:tc>
        <w:tc>
          <w:tcPr>
            <w:tcW w:w="469" w:type="pct"/>
            <w:tcBorders>
              <w:top w:val="nil"/>
              <w:left w:val="nil"/>
              <w:bottom w:val="single" w:sz="4" w:space="0" w:color="auto"/>
              <w:right w:val="single" w:sz="4" w:space="0" w:color="auto"/>
            </w:tcBorders>
            <w:shd w:val="clear" w:color="auto" w:fill="D9D9D9" w:themeFill="accent6" w:themeFillTint="66"/>
            <w:hideMark/>
          </w:tcPr>
          <w:p w14:paraId="034E814F"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60</w:t>
            </w:r>
          </w:p>
        </w:tc>
        <w:tc>
          <w:tcPr>
            <w:tcW w:w="526" w:type="pct"/>
            <w:tcBorders>
              <w:top w:val="nil"/>
              <w:left w:val="nil"/>
              <w:bottom w:val="single" w:sz="4" w:space="0" w:color="auto"/>
              <w:right w:val="single" w:sz="4" w:space="0" w:color="auto"/>
            </w:tcBorders>
            <w:shd w:val="clear" w:color="auto" w:fill="D9D9D9" w:themeFill="accent6" w:themeFillTint="66"/>
            <w:hideMark/>
          </w:tcPr>
          <w:p w14:paraId="75C36DEA"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50%</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655CAF61"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400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2FC11972"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548</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1DF9F1E6"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137%</w:t>
            </w:r>
          </w:p>
        </w:tc>
      </w:tr>
      <w:tr w:rsidR="000A64EE" w:rsidRPr="000A64EE" w14:paraId="411C7138" w14:textId="77777777" w:rsidTr="08123348">
        <w:trPr>
          <w:trHeight w:val="765"/>
        </w:trPr>
        <w:tc>
          <w:tcPr>
            <w:tcW w:w="301" w:type="pct"/>
            <w:tcBorders>
              <w:top w:val="nil"/>
              <w:left w:val="single" w:sz="4" w:space="0" w:color="auto"/>
              <w:bottom w:val="single" w:sz="4" w:space="0" w:color="auto"/>
              <w:right w:val="single" w:sz="4" w:space="0" w:color="auto"/>
            </w:tcBorders>
            <w:shd w:val="clear" w:color="auto" w:fill="auto"/>
            <w:hideMark/>
          </w:tcPr>
          <w:p w14:paraId="5C6189B2"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5</w:t>
            </w:r>
          </w:p>
        </w:tc>
        <w:tc>
          <w:tcPr>
            <w:tcW w:w="1475" w:type="pct"/>
            <w:tcBorders>
              <w:top w:val="nil"/>
              <w:left w:val="nil"/>
              <w:bottom w:val="single" w:sz="4" w:space="0" w:color="auto"/>
              <w:right w:val="single" w:sz="4" w:space="0" w:color="auto"/>
            </w:tcBorders>
            <w:shd w:val="clear" w:color="auto" w:fill="auto"/>
            <w:hideMark/>
          </w:tcPr>
          <w:p w14:paraId="24EC5732"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household and small enterprise beneficiaries with improved access to markets or information or products/services</w:t>
            </w:r>
          </w:p>
        </w:tc>
        <w:tc>
          <w:tcPr>
            <w:tcW w:w="409" w:type="pct"/>
            <w:tcBorders>
              <w:top w:val="nil"/>
              <w:left w:val="nil"/>
              <w:bottom w:val="single" w:sz="4" w:space="0" w:color="auto"/>
              <w:right w:val="single" w:sz="4" w:space="0" w:color="auto"/>
            </w:tcBorders>
            <w:shd w:val="clear" w:color="auto" w:fill="auto"/>
            <w:hideMark/>
          </w:tcPr>
          <w:p w14:paraId="19D9D15D"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5441991A"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200</w:t>
            </w:r>
          </w:p>
        </w:tc>
        <w:tc>
          <w:tcPr>
            <w:tcW w:w="469" w:type="pct"/>
            <w:tcBorders>
              <w:top w:val="nil"/>
              <w:left w:val="nil"/>
              <w:bottom w:val="single" w:sz="4" w:space="0" w:color="auto"/>
              <w:right w:val="single" w:sz="4" w:space="0" w:color="auto"/>
            </w:tcBorders>
            <w:shd w:val="clear" w:color="auto" w:fill="D9D9D9" w:themeFill="accent6" w:themeFillTint="66"/>
            <w:hideMark/>
          </w:tcPr>
          <w:p w14:paraId="739B5CC0"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62</w:t>
            </w:r>
          </w:p>
        </w:tc>
        <w:tc>
          <w:tcPr>
            <w:tcW w:w="526" w:type="pct"/>
            <w:tcBorders>
              <w:top w:val="nil"/>
              <w:left w:val="nil"/>
              <w:bottom w:val="single" w:sz="4" w:space="0" w:color="auto"/>
              <w:right w:val="single" w:sz="4" w:space="0" w:color="auto"/>
            </w:tcBorders>
            <w:shd w:val="clear" w:color="auto" w:fill="D9D9D9" w:themeFill="accent6" w:themeFillTint="66"/>
            <w:hideMark/>
          </w:tcPr>
          <w:p w14:paraId="2A421794"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31%</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448F5CE9"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680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4AEC2FCF"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1,225</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61F2F7E2"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180%</w:t>
            </w:r>
          </w:p>
        </w:tc>
      </w:tr>
      <w:tr w:rsidR="000A64EE" w:rsidRPr="000A64EE" w14:paraId="29038D64"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7B303C32"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6</w:t>
            </w:r>
          </w:p>
        </w:tc>
        <w:tc>
          <w:tcPr>
            <w:tcW w:w="1475" w:type="pct"/>
            <w:tcBorders>
              <w:top w:val="nil"/>
              <w:left w:val="nil"/>
              <w:bottom w:val="single" w:sz="4" w:space="0" w:color="auto"/>
              <w:right w:val="single" w:sz="4" w:space="0" w:color="auto"/>
            </w:tcBorders>
            <w:shd w:val="clear" w:color="auto" w:fill="auto"/>
            <w:hideMark/>
          </w:tcPr>
          <w:p w14:paraId="0482359D"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market actors providing new/improved product/services</w:t>
            </w:r>
          </w:p>
        </w:tc>
        <w:tc>
          <w:tcPr>
            <w:tcW w:w="409" w:type="pct"/>
            <w:tcBorders>
              <w:top w:val="nil"/>
              <w:left w:val="nil"/>
              <w:bottom w:val="single" w:sz="4" w:space="0" w:color="auto"/>
              <w:right w:val="single" w:sz="4" w:space="0" w:color="auto"/>
            </w:tcBorders>
            <w:shd w:val="clear" w:color="auto" w:fill="auto"/>
            <w:hideMark/>
          </w:tcPr>
          <w:p w14:paraId="124F8DCC"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10FF82B6"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25</w:t>
            </w:r>
          </w:p>
        </w:tc>
        <w:tc>
          <w:tcPr>
            <w:tcW w:w="469" w:type="pct"/>
            <w:tcBorders>
              <w:top w:val="nil"/>
              <w:left w:val="nil"/>
              <w:bottom w:val="single" w:sz="4" w:space="0" w:color="auto"/>
              <w:right w:val="single" w:sz="4" w:space="0" w:color="auto"/>
            </w:tcBorders>
            <w:shd w:val="clear" w:color="auto" w:fill="D9D9D9" w:themeFill="accent6" w:themeFillTint="66"/>
            <w:hideMark/>
          </w:tcPr>
          <w:p w14:paraId="35462B0D"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10</w:t>
            </w:r>
          </w:p>
        </w:tc>
        <w:tc>
          <w:tcPr>
            <w:tcW w:w="526" w:type="pct"/>
            <w:tcBorders>
              <w:top w:val="nil"/>
              <w:left w:val="nil"/>
              <w:bottom w:val="single" w:sz="4" w:space="0" w:color="auto"/>
              <w:right w:val="single" w:sz="4" w:space="0" w:color="auto"/>
            </w:tcBorders>
            <w:shd w:val="clear" w:color="auto" w:fill="D9D9D9" w:themeFill="accent6" w:themeFillTint="66"/>
            <w:hideMark/>
          </w:tcPr>
          <w:p w14:paraId="5FEE6EA2"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40%</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59171FAE"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67274674"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29</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68C6ADB9"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145%</w:t>
            </w:r>
          </w:p>
        </w:tc>
      </w:tr>
      <w:tr w:rsidR="000A64EE" w:rsidRPr="000A64EE" w14:paraId="4DFBB791" w14:textId="77777777" w:rsidTr="08123348">
        <w:trPr>
          <w:trHeight w:val="300"/>
        </w:trPr>
        <w:tc>
          <w:tcPr>
            <w:tcW w:w="301" w:type="pct"/>
            <w:tcBorders>
              <w:top w:val="nil"/>
              <w:left w:val="single" w:sz="4" w:space="0" w:color="auto"/>
              <w:bottom w:val="single" w:sz="4" w:space="0" w:color="auto"/>
              <w:right w:val="single" w:sz="4" w:space="0" w:color="auto"/>
            </w:tcBorders>
            <w:shd w:val="clear" w:color="auto" w:fill="auto"/>
            <w:hideMark/>
          </w:tcPr>
          <w:p w14:paraId="0854007C"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7</w:t>
            </w:r>
          </w:p>
        </w:tc>
        <w:tc>
          <w:tcPr>
            <w:tcW w:w="1475" w:type="pct"/>
            <w:tcBorders>
              <w:top w:val="nil"/>
              <w:left w:val="nil"/>
              <w:bottom w:val="single" w:sz="4" w:space="0" w:color="auto"/>
              <w:right w:val="single" w:sz="4" w:space="0" w:color="auto"/>
            </w:tcBorders>
            <w:shd w:val="clear" w:color="auto" w:fill="auto"/>
            <w:hideMark/>
          </w:tcPr>
          <w:p w14:paraId="19A34FA5"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market actors expanding business</w:t>
            </w:r>
          </w:p>
        </w:tc>
        <w:tc>
          <w:tcPr>
            <w:tcW w:w="409" w:type="pct"/>
            <w:tcBorders>
              <w:top w:val="nil"/>
              <w:left w:val="nil"/>
              <w:bottom w:val="single" w:sz="4" w:space="0" w:color="auto"/>
              <w:right w:val="single" w:sz="4" w:space="0" w:color="auto"/>
            </w:tcBorders>
            <w:shd w:val="clear" w:color="auto" w:fill="auto"/>
            <w:hideMark/>
          </w:tcPr>
          <w:p w14:paraId="29332211"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29AEB7B3"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25</w:t>
            </w:r>
          </w:p>
        </w:tc>
        <w:tc>
          <w:tcPr>
            <w:tcW w:w="469" w:type="pct"/>
            <w:tcBorders>
              <w:top w:val="nil"/>
              <w:left w:val="nil"/>
              <w:bottom w:val="single" w:sz="4" w:space="0" w:color="auto"/>
              <w:right w:val="single" w:sz="4" w:space="0" w:color="auto"/>
            </w:tcBorders>
            <w:shd w:val="clear" w:color="auto" w:fill="D9D9D9" w:themeFill="accent6" w:themeFillTint="66"/>
            <w:hideMark/>
          </w:tcPr>
          <w:p w14:paraId="2ECA197B"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13</w:t>
            </w:r>
          </w:p>
        </w:tc>
        <w:tc>
          <w:tcPr>
            <w:tcW w:w="526" w:type="pct"/>
            <w:tcBorders>
              <w:top w:val="nil"/>
              <w:left w:val="nil"/>
              <w:bottom w:val="single" w:sz="4" w:space="0" w:color="auto"/>
              <w:right w:val="single" w:sz="4" w:space="0" w:color="auto"/>
            </w:tcBorders>
            <w:shd w:val="clear" w:color="auto" w:fill="D9D9D9" w:themeFill="accent6" w:themeFillTint="66"/>
            <w:hideMark/>
          </w:tcPr>
          <w:p w14:paraId="1A405A27"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52%</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31CF552C"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7A034C00"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25</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6B87A617"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250%</w:t>
            </w:r>
          </w:p>
        </w:tc>
      </w:tr>
      <w:tr w:rsidR="000A64EE" w:rsidRPr="000A64EE" w14:paraId="10A5801F" w14:textId="77777777" w:rsidTr="08123348">
        <w:trPr>
          <w:trHeight w:val="300"/>
        </w:trPr>
        <w:tc>
          <w:tcPr>
            <w:tcW w:w="301" w:type="pct"/>
            <w:tcBorders>
              <w:top w:val="nil"/>
              <w:left w:val="single" w:sz="4" w:space="0" w:color="auto"/>
              <w:bottom w:val="single" w:sz="4" w:space="0" w:color="auto"/>
              <w:right w:val="single" w:sz="4" w:space="0" w:color="auto"/>
            </w:tcBorders>
            <w:shd w:val="clear" w:color="auto" w:fill="auto"/>
            <w:hideMark/>
          </w:tcPr>
          <w:p w14:paraId="4CBE0F37"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8</w:t>
            </w:r>
          </w:p>
        </w:tc>
        <w:tc>
          <w:tcPr>
            <w:tcW w:w="1475" w:type="pct"/>
            <w:tcBorders>
              <w:top w:val="nil"/>
              <w:left w:val="nil"/>
              <w:bottom w:val="single" w:sz="4" w:space="0" w:color="auto"/>
              <w:right w:val="single" w:sz="4" w:space="0" w:color="auto"/>
            </w:tcBorders>
            <w:shd w:val="clear" w:color="auto" w:fill="auto"/>
            <w:hideMark/>
          </w:tcPr>
          <w:p w14:paraId="325A8D25" w14:textId="6D838BE8" w:rsidR="000A64EE" w:rsidRPr="000A64EE" w:rsidRDefault="053A8A5E" w:rsidP="000A64EE">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Value of sales of </w:t>
            </w:r>
            <w:r w:rsidR="334B5613" w:rsidRPr="08123348">
              <w:rPr>
                <w:rFonts w:ascii="Franklin Gothic Book" w:eastAsia="Times New Roman" w:hAnsi="Franklin Gothic Book"/>
                <w:color w:val="212121"/>
                <w:sz w:val="18"/>
                <w:szCs w:val="18"/>
              </w:rPr>
              <w:t>value-added</w:t>
            </w:r>
            <w:r w:rsidRPr="08123348">
              <w:rPr>
                <w:rFonts w:ascii="Franklin Gothic Book" w:eastAsia="Times New Roman" w:hAnsi="Franklin Gothic Book"/>
                <w:color w:val="212121"/>
                <w:sz w:val="18"/>
                <w:szCs w:val="18"/>
              </w:rPr>
              <w:t xml:space="preserve"> products (AUD)</w:t>
            </w:r>
          </w:p>
        </w:tc>
        <w:tc>
          <w:tcPr>
            <w:tcW w:w="409" w:type="pct"/>
            <w:tcBorders>
              <w:top w:val="nil"/>
              <w:left w:val="nil"/>
              <w:bottom w:val="single" w:sz="4" w:space="0" w:color="auto"/>
              <w:right w:val="single" w:sz="4" w:space="0" w:color="auto"/>
            </w:tcBorders>
            <w:shd w:val="clear" w:color="auto" w:fill="auto"/>
            <w:hideMark/>
          </w:tcPr>
          <w:p w14:paraId="56E587F3"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3E9D685E"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80,000</w:t>
            </w:r>
          </w:p>
        </w:tc>
        <w:tc>
          <w:tcPr>
            <w:tcW w:w="469" w:type="pct"/>
            <w:tcBorders>
              <w:top w:val="nil"/>
              <w:left w:val="nil"/>
              <w:bottom w:val="single" w:sz="4" w:space="0" w:color="auto"/>
              <w:right w:val="single" w:sz="4" w:space="0" w:color="auto"/>
            </w:tcBorders>
            <w:shd w:val="clear" w:color="auto" w:fill="D9D9D9" w:themeFill="accent6" w:themeFillTint="66"/>
            <w:hideMark/>
          </w:tcPr>
          <w:p w14:paraId="37B9B7FD"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465,417</w:t>
            </w:r>
          </w:p>
        </w:tc>
        <w:tc>
          <w:tcPr>
            <w:tcW w:w="526" w:type="pct"/>
            <w:tcBorders>
              <w:top w:val="nil"/>
              <w:left w:val="nil"/>
              <w:bottom w:val="single" w:sz="4" w:space="0" w:color="auto"/>
              <w:right w:val="single" w:sz="4" w:space="0" w:color="auto"/>
            </w:tcBorders>
            <w:shd w:val="clear" w:color="auto" w:fill="D9D9D9" w:themeFill="accent6" w:themeFillTint="66"/>
            <w:hideMark/>
          </w:tcPr>
          <w:p w14:paraId="6AD43694"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582%</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6A3ECB84"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450,000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06127B9F"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533,688</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0E1D2F1F"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119%</w:t>
            </w:r>
          </w:p>
        </w:tc>
      </w:tr>
      <w:tr w:rsidR="000A64EE" w:rsidRPr="000A64EE" w14:paraId="6F877406" w14:textId="77777777" w:rsidTr="08123348">
        <w:trPr>
          <w:trHeight w:val="300"/>
        </w:trPr>
        <w:tc>
          <w:tcPr>
            <w:tcW w:w="301" w:type="pct"/>
            <w:tcBorders>
              <w:top w:val="nil"/>
              <w:left w:val="single" w:sz="4" w:space="0" w:color="auto"/>
              <w:bottom w:val="single" w:sz="4" w:space="0" w:color="auto"/>
              <w:right w:val="single" w:sz="4" w:space="0" w:color="auto"/>
            </w:tcBorders>
            <w:shd w:val="clear" w:color="auto" w:fill="auto"/>
            <w:hideMark/>
          </w:tcPr>
          <w:p w14:paraId="3830E028"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9</w:t>
            </w:r>
          </w:p>
        </w:tc>
        <w:tc>
          <w:tcPr>
            <w:tcW w:w="1475" w:type="pct"/>
            <w:tcBorders>
              <w:top w:val="nil"/>
              <w:left w:val="nil"/>
              <w:bottom w:val="single" w:sz="4" w:space="0" w:color="auto"/>
              <w:right w:val="single" w:sz="4" w:space="0" w:color="auto"/>
            </w:tcBorders>
            <w:shd w:val="clear" w:color="auto" w:fill="auto"/>
            <w:hideMark/>
          </w:tcPr>
          <w:p w14:paraId="46142F87"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Value of exports facilitated (AUD)</w:t>
            </w:r>
          </w:p>
        </w:tc>
        <w:tc>
          <w:tcPr>
            <w:tcW w:w="409" w:type="pct"/>
            <w:tcBorders>
              <w:top w:val="nil"/>
              <w:left w:val="nil"/>
              <w:bottom w:val="single" w:sz="4" w:space="0" w:color="auto"/>
              <w:right w:val="single" w:sz="4" w:space="0" w:color="auto"/>
            </w:tcBorders>
            <w:shd w:val="clear" w:color="auto" w:fill="auto"/>
            <w:hideMark/>
          </w:tcPr>
          <w:p w14:paraId="0F703573"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5EBF235D"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110,000</w:t>
            </w:r>
          </w:p>
        </w:tc>
        <w:tc>
          <w:tcPr>
            <w:tcW w:w="469" w:type="pct"/>
            <w:tcBorders>
              <w:top w:val="nil"/>
              <w:left w:val="nil"/>
              <w:bottom w:val="single" w:sz="4" w:space="0" w:color="auto"/>
              <w:right w:val="single" w:sz="4" w:space="0" w:color="auto"/>
            </w:tcBorders>
            <w:shd w:val="clear" w:color="auto" w:fill="D9D9D9" w:themeFill="accent6" w:themeFillTint="66"/>
            <w:hideMark/>
          </w:tcPr>
          <w:p w14:paraId="65BC9587"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201,990</w:t>
            </w:r>
          </w:p>
        </w:tc>
        <w:tc>
          <w:tcPr>
            <w:tcW w:w="526" w:type="pct"/>
            <w:tcBorders>
              <w:top w:val="nil"/>
              <w:left w:val="nil"/>
              <w:bottom w:val="single" w:sz="4" w:space="0" w:color="auto"/>
              <w:right w:val="single" w:sz="4" w:space="0" w:color="auto"/>
            </w:tcBorders>
            <w:shd w:val="clear" w:color="auto" w:fill="D9D9D9" w:themeFill="accent6" w:themeFillTint="66"/>
            <w:hideMark/>
          </w:tcPr>
          <w:p w14:paraId="0EC147B8"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184%</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27E911FF"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1,000,000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3364274C"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139,067</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24446946"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14%</w:t>
            </w:r>
          </w:p>
        </w:tc>
      </w:tr>
      <w:tr w:rsidR="000A64EE" w:rsidRPr="000A64EE" w14:paraId="7D5ED3BC" w14:textId="77777777" w:rsidTr="08123348">
        <w:trPr>
          <w:trHeight w:val="765"/>
        </w:trPr>
        <w:tc>
          <w:tcPr>
            <w:tcW w:w="301" w:type="pct"/>
            <w:tcBorders>
              <w:top w:val="nil"/>
              <w:left w:val="single" w:sz="4" w:space="0" w:color="auto"/>
              <w:bottom w:val="single" w:sz="4" w:space="0" w:color="auto"/>
              <w:right w:val="single" w:sz="4" w:space="0" w:color="auto"/>
            </w:tcBorders>
            <w:shd w:val="clear" w:color="auto" w:fill="auto"/>
            <w:hideMark/>
          </w:tcPr>
          <w:p w14:paraId="3A7B02F7"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10</w:t>
            </w:r>
          </w:p>
        </w:tc>
        <w:tc>
          <w:tcPr>
            <w:tcW w:w="1475" w:type="pct"/>
            <w:tcBorders>
              <w:top w:val="nil"/>
              <w:left w:val="nil"/>
              <w:bottom w:val="single" w:sz="4" w:space="0" w:color="auto"/>
              <w:right w:val="single" w:sz="4" w:space="0" w:color="auto"/>
            </w:tcBorders>
            <w:shd w:val="clear" w:color="auto" w:fill="auto"/>
            <w:hideMark/>
          </w:tcPr>
          <w:p w14:paraId="1C2D9014"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new or reformed laws, regulations, policies, and/or procedures intending to enable private sector investment initiated*</w:t>
            </w:r>
          </w:p>
        </w:tc>
        <w:tc>
          <w:tcPr>
            <w:tcW w:w="409" w:type="pct"/>
            <w:tcBorders>
              <w:top w:val="nil"/>
              <w:left w:val="nil"/>
              <w:bottom w:val="single" w:sz="4" w:space="0" w:color="auto"/>
              <w:right w:val="single" w:sz="4" w:space="0" w:color="auto"/>
            </w:tcBorders>
            <w:shd w:val="clear" w:color="auto" w:fill="auto"/>
            <w:hideMark/>
          </w:tcPr>
          <w:p w14:paraId="1AFD1AA5"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EOPO-2</w:t>
            </w:r>
          </w:p>
        </w:tc>
        <w:tc>
          <w:tcPr>
            <w:tcW w:w="431" w:type="pct"/>
            <w:tcBorders>
              <w:top w:val="nil"/>
              <w:left w:val="nil"/>
              <w:bottom w:val="single" w:sz="4" w:space="0" w:color="auto"/>
              <w:right w:val="single" w:sz="4" w:space="0" w:color="auto"/>
            </w:tcBorders>
            <w:shd w:val="clear" w:color="auto" w:fill="D9D9D9" w:themeFill="accent6" w:themeFillTint="66"/>
            <w:hideMark/>
          </w:tcPr>
          <w:p w14:paraId="7AF3FB70"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w:t>
            </w:r>
          </w:p>
        </w:tc>
        <w:tc>
          <w:tcPr>
            <w:tcW w:w="469" w:type="pct"/>
            <w:tcBorders>
              <w:top w:val="nil"/>
              <w:left w:val="nil"/>
              <w:bottom w:val="single" w:sz="4" w:space="0" w:color="auto"/>
              <w:right w:val="single" w:sz="4" w:space="0" w:color="auto"/>
            </w:tcBorders>
            <w:shd w:val="clear" w:color="auto" w:fill="D9D9D9" w:themeFill="accent6" w:themeFillTint="66"/>
            <w:hideMark/>
          </w:tcPr>
          <w:p w14:paraId="7D01ED2C"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w:t>
            </w:r>
          </w:p>
        </w:tc>
        <w:tc>
          <w:tcPr>
            <w:tcW w:w="526" w:type="pct"/>
            <w:tcBorders>
              <w:top w:val="nil"/>
              <w:left w:val="nil"/>
              <w:bottom w:val="single" w:sz="4" w:space="0" w:color="auto"/>
              <w:right w:val="single" w:sz="4" w:space="0" w:color="auto"/>
            </w:tcBorders>
            <w:shd w:val="clear" w:color="auto" w:fill="D9D9D9" w:themeFill="accent6" w:themeFillTint="66"/>
            <w:hideMark/>
          </w:tcPr>
          <w:p w14:paraId="4DF4A9FE"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100%</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3E2A5C9A"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7A2F45ED"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029A87F8"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100%</w:t>
            </w:r>
          </w:p>
        </w:tc>
      </w:tr>
      <w:tr w:rsidR="000A64EE" w:rsidRPr="000A64EE" w14:paraId="082E970E"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39EDDEAB"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11</w:t>
            </w:r>
          </w:p>
        </w:tc>
        <w:tc>
          <w:tcPr>
            <w:tcW w:w="1475" w:type="pct"/>
            <w:tcBorders>
              <w:top w:val="nil"/>
              <w:left w:val="nil"/>
              <w:bottom w:val="single" w:sz="4" w:space="0" w:color="auto"/>
              <w:right w:val="single" w:sz="4" w:space="0" w:color="auto"/>
            </w:tcBorders>
            <w:shd w:val="clear" w:color="auto" w:fill="auto"/>
            <w:hideMark/>
          </w:tcPr>
          <w:p w14:paraId="75840AFA"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collaborations facilitated between public and private sector actors</w:t>
            </w:r>
          </w:p>
        </w:tc>
        <w:tc>
          <w:tcPr>
            <w:tcW w:w="409" w:type="pct"/>
            <w:tcBorders>
              <w:top w:val="nil"/>
              <w:left w:val="nil"/>
              <w:bottom w:val="single" w:sz="4" w:space="0" w:color="auto"/>
              <w:right w:val="single" w:sz="4" w:space="0" w:color="auto"/>
            </w:tcBorders>
            <w:shd w:val="clear" w:color="auto" w:fill="auto"/>
            <w:hideMark/>
          </w:tcPr>
          <w:p w14:paraId="65A61640"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EOPO-2</w:t>
            </w:r>
          </w:p>
        </w:tc>
        <w:tc>
          <w:tcPr>
            <w:tcW w:w="431" w:type="pct"/>
            <w:tcBorders>
              <w:top w:val="nil"/>
              <w:left w:val="nil"/>
              <w:bottom w:val="single" w:sz="4" w:space="0" w:color="auto"/>
              <w:right w:val="single" w:sz="4" w:space="0" w:color="auto"/>
            </w:tcBorders>
            <w:shd w:val="clear" w:color="auto" w:fill="D9D9D9" w:themeFill="accent6" w:themeFillTint="66"/>
            <w:hideMark/>
          </w:tcPr>
          <w:p w14:paraId="2FB071CA"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3</w:t>
            </w:r>
          </w:p>
        </w:tc>
        <w:tc>
          <w:tcPr>
            <w:tcW w:w="469" w:type="pct"/>
            <w:tcBorders>
              <w:top w:val="nil"/>
              <w:left w:val="nil"/>
              <w:bottom w:val="single" w:sz="4" w:space="0" w:color="auto"/>
              <w:right w:val="single" w:sz="4" w:space="0" w:color="auto"/>
            </w:tcBorders>
            <w:shd w:val="clear" w:color="auto" w:fill="D9D9D9" w:themeFill="accent6" w:themeFillTint="66"/>
            <w:hideMark/>
          </w:tcPr>
          <w:p w14:paraId="1F0A1260"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5</w:t>
            </w:r>
          </w:p>
        </w:tc>
        <w:tc>
          <w:tcPr>
            <w:tcW w:w="526" w:type="pct"/>
            <w:tcBorders>
              <w:top w:val="nil"/>
              <w:left w:val="nil"/>
              <w:bottom w:val="single" w:sz="4" w:space="0" w:color="auto"/>
              <w:right w:val="single" w:sz="4" w:space="0" w:color="auto"/>
            </w:tcBorders>
            <w:shd w:val="clear" w:color="auto" w:fill="D9D9D9" w:themeFill="accent6" w:themeFillTint="66"/>
            <w:hideMark/>
          </w:tcPr>
          <w:p w14:paraId="606FA4FF"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167%</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3619A65A"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5</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110F8AC3"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7</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1C4B19EF"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140%</w:t>
            </w:r>
          </w:p>
        </w:tc>
      </w:tr>
      <w:tr w:rsidR="000A64EE" w:rsidRPr="000A64EE" w14:paraId="361D50CF" w14:textId="77777777" w:rsidTr="08123348">
        <w:trPr>
          <w:trHeight w:val="300"/>
        </w:trPr>
        <w:tc>
          <w:tcPr>
            <w:tcW w:w="301" w:type="pct"/>
            <w:tcBorders>
              <w:top w:val="nil"/>
              <w:left w:val="single" w:sz="4" w:space="0" w:color="auto"/>
              <w:bottom w:val="single" w:sz="4" w:space="0" w:color="auto"/>
              <w:right w:val="single" w:sz="4" w:space="0" w:color="auto"/>
            </w:tcBorders>
            <w:shd w:val="clear" w:color="auto" w:fill="auto"/>
            <w:hideMark/>
          </w:tcPr>
          <w:p w14:paraId="7E65B485"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12</w:t>
            </w:r>
          </w:p>
        </w:tc>
        <w:tc>
          <w:tcPr>
            <w:tcW w:w="1475" w:type="pct"/>
            <w:tcBorders>
              <w:top w:val="nil"/>
              <w:left w:val="nil"/>
              <w:bottom w:val="single" w:sz="4" w:space="0" w:color="auto"/>
              <w:right w:val="single" w:sz="4" w:space="0" w:color="auto"/>
            </w:tcBorders>
            <w:shd w:val="clear" w:color="auto" w:fill="auto"/>
            <w:hideMark/>
          </w:tcPr>
          <w:p w14:paraId="1ECB5A9D"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recipients of capacity building support</w:t>
            </w:r>
          </w:p>
        </w:tc>
        <w:tc>
          <w:tcPr>
            <w:tcW w:w="409" w:type="pct"/>
            <w:tcBorders>
              <w:top w:val="nil"/>
              <w:left w:val="nil"/>
              <w:bottom w:val="single" w:sz="4" w:space="0" w:color="auto"/>
              <w:right w:val="single" w:sz="4" w:space="0" w:color="auto"/>
            </w:tcBorders>
            <w:shd w:val="clear" w:color="auto" w:fill="auto"/>
            <w:hideMark/>
          </w:tcPr>
          <w:p w14:paraId="7A5FFC18"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4F57145C"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300</w:t>
            </w:r>
          </w:p>
        </w:tc>
        <w:tc>
          <w:tcPr>
            <w:tcW w:w="469" w:type="pct"/>
            <w:tcBorders>
              <w:top w:val="nil"/>
              <w:left w:val="nil"/>
              <w:bottom w:val="single" w:sz="4" w:space="0" w:color="auto"/>
              <w:right w:val="single" w:sz="4" w:space="0" w:color="auto"/>
            </w:tcBorders>
            <w:shd w:val="clear" w:color="auto" w:fill="D9D9D9" w:themeFill="accent6" w:themeFillTint="66"/>
            <w:hideMark/>
          </w:tcPr>
          <w:p w14:paraId="5AB50023"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967</w:t>
            </w:r>
          </w:p>
        </w:tc>
        <w:tc>
          <w:tcPr>
            <w:tcW w:w="526" w:type="pct"/>
            <w:tcBorders>
              <w:top w:val="nil"/>
              <w:left w:val="nil"/>
              <w:bottom w:val="single" w:sz="4" w:space="0" w:color="auto"/>
              <w:right w:val="single" w:sz="4" w:space="0" w:color="auto"/>
            </w:tcBorders>
            <w:shd w:val="clear" w:color="auto" w:fill="D9D9D9" w:themeFill="accent6" w:themeFillTint="66"/>
            <w:hideMark/>
          </w:tcPr>
          <w:p w14:paraId="6CD31C13"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322%</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79E8EB2D"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390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77931B4D"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1,243</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618B3FD9"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319%</w:t>
            </w:r>
          </w:p>
        </w:tc>
      </w:tr>
      <w:tr w:rsidR="000A64EE" w:rsidRPr="000A64EE" w14:paraId="34A0997F"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1DB1DB09"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13</w:t>
            </w:r>
          </w:p>
        </w:tc>
        <w:tc>
          <w:tcPr>
            <w:tcW w:w="1475" w:type="pct"/>
            <w:tcBorders>
              <w:top w:val="nil"/>
              <w:left w:val="nil"/>
              <w:bottom w:val="single" w:sz="4" w:space="0" w:color="auto"/>
              <w:right w:val="single" w:sz="4" w:space="0" w:color="auto"/>
            </w:tcBorders>
            <w:shd w:val="clear" w:color="auto" w:fill="auto"/>
            <w:hideMark/>
          </w:tcPr>
          <w:p w14:paraId="4B2CA6D6" w14:textId="5CB2937C" w:rsidR="000A64EE" w:rsidRPr="000A64EE" w:rsidRDefault="053A8A5E" w:rsidP="000A64EE">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Number of women, youth or </w:t>
            </w:r>
            <w:r w:rsidR="549BDFEF" w:rsidRPr="08123348">
              <w:rPr>
                <w:rFonts w:ascii="Franklin Gothic Book" w:eastAsia="Times New Roman" w:hAnsi="Franklin Gothic Book"/>
                <w:color w:val="212121"/>
                <w:sz w:val="18"/>
                <w:szCs w:val="18"/>
              </w:rPr>
              <w:t>PWD</w:t>
            </w:r>
            <w:r w:rsidRPr="08123348">
              <w:rPr>
                <w:rFonts w:ascii="Franklin Gothic Book" w:eastAsia="Times New Roman" w:hAnsi="Franklin Gothic Book"/>
                <w:color w:val="212121"/>
                <w:sz w:val="18"/>
                <w:szCs w:val="18"/>
              </w:rPr>
              <w:t xml:space="preserve"> recipients of capacity building support</w:t>
            </w:r>
          </w:p>
        </w:tc>
        <w:tc>
          <w:tcPr>
            <w:tcW w:w="409" w:type="pct"/>
            <w:tcBorders>
              <w:top w:val="nil"/>
              <w:left w:val="nil"/>
              <w:bottom w:val="single" w:sz="4" w:space="0" w:color="auto"/>
              <w:right w:val="single" w:sz="4" w:space="0" w:color="auto"/>
            </w:tcBorders>
            <w:shd w:val="clear" w:color="auto" w:fill="auto"/>
            <w:hideMark/>
          </w:tcPr>
          <w:p w14:paraId="0B092CEC"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EOPO-3</w:t>
            </w:r>
          </w:p>
        </w:tc>
        <w:tc>
          <w:tcPr>
            <w:tcW w:w="431" w:type="pct"/>
            <w:tcBorders>
              <w:top w:val="nil"/>
              <w:left w:val="nil"/>
              <w:bottom w:val="single" w:sz="4" w:space="0" w:color="auto"/>
              <w:right w:val="single" w:sz="4" w:space="0" w:color="auto"/>
            </w:tcBorders>
            <w:shd w:val="clear" w:color="auto" w:fill="D9D9D9" w:themeFill="accent6" w:themeFillTint="66"/>
            <w:hideMark/>
          </w:tcPr>
          <w:p w14:paraId="7A0D10A7"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140</w:t>
            </w:r>
          </w:p>
        </w:tc>
        <w:tc>
          <w:tcPr>
            <w:tcW w:w="469" w:type="pct"/>
            <w:tcBorders>
              <w:top w:val="nil"/>
              <w:left w:val="nil"/>
              <w:bottom w:val="single" w:sz="4" w:space="0" w:color="auto"/>
              <w:right w:val="single" w:sz="4" w:space="0" w:color="auto"/>
            </w:tcBorders>
            <w:shd w:val="clear" w:color="auto" w:fill="D9D9D9" w:themeFill="accent6" w:themeFillTint="66"/>
            <w:hideMark/>
          </w:tcPr>
          <w:p w14:paraId="6244DC57"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259</w:t>
            </w:r>
          </w:p>
        </w:tc>
        <w:tc>
          <w:tcPr>
            <w:tcW w:w="526" w:type="pct"/>
            <w:tcBorders>
              <w:top w:val="nil"/>
              <w:left w:val="nil"/>
              <w:bottom w:val="single" w:sz="4" w:space="0" w:color="auto"/>
              <w:right w:val="single" w:sz="4" w:space="0" w:color="auto"/>
            </w:tcBorders>
            <w:shd w:val="clear" w:color="auto" w:fill="D9D9D9" w:themeFill="accent6" w:themeFillTint="66"/>
            <w:hideMark/>
          </w:tcPr>
          <w:p w14:paraId="06C5D13F"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185%</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6DF916FB"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270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07F384C3"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622</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2438DDC5"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230%</w:t>
            </w:r>
          </w:p>
        </w:tc>
      </w:tr>
      <w:tr w:rsidR="000A64EE" w:rsidRPr="000A64EE" w14:paraId="4F38E545" w14:textId="77777777" w:rsidTr="08123348">
        <w:trPr>
          <w:trHeight w:val="300"/>
        </w:trPr>
        <w:tc>
          <w:tcPr>
            <w:tcW w:w="301" w:type="pct"/>
            <w:tcBorders>
              <w:top w:val="nil"/>
              <w:left w:val="single" w:sz="4" w:space="0" w:color="auto"/>
              <w:bottom w:val="single" w:sz="4" w:space="0" w:color="auto"/>
              <w:right w:val="single" w:sz="4" w:space="0" w:color="auto"/>
            </w:tcBorders>
            <w:shd w:val="clear" w:color="auto" w:fill="auto"/>
            <w:hideMark/>
          </w:tcPr>
          <w:p w14:paraId="102D6931"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14</w:t>
            </w:r>
          </w:p>
        </w:tc>
        <w:tc>
          <w:tcPr>
            <w:tcW w:w="1475" w:type="pct"/>
            <w:tcBorders>
              <w:top w:val="nil"/>
              <w:left w:val="nil"/>
              <w:bottom w:val="single" w:sz="4" w:space="0" w:color="auto"/>
              <w:right w:val="single" w:sz="4" w:space="0" w:color="auto"/>
            </w:tcBorders>
            <w:shd w:val="clear" w:color="auto" w:fill="auto"/>
            <w:hideMark/>
          </w:tcPr>
          <w:p w14:paraId="39293E4A"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market actors supported by Strongim Bisnis</w:t>
            </w:r>
          </w:p>
        </w:tc>
        <w:tc>
          <w:tcPr>
            <w:tcW w:w="409" w:type="pct"/>
            <w:tcBorders>
              <w:top w:val="nil"/>
              <w:left w:val="nil"/>
              <w:bottom w:val="single" w:sz="4" w:space="0" w:color="auto"/>
              <w:right w:val="single" w:sz="4" w:space="0" w:color="auto"/>
            </w:tcBorders>
            <w:shd w:val="clear" w:color="auto" w:fill="auto"/>
            <w:hideMark/>
          </w:tcPr>
          <w:p w14:paraId="7E476D47"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1538392D"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25</w:t>
            </w:r>
          </w:p>
        </w:tc>
        <w:tc>
          <w:tcPr>
            <w:tcW w:w="469" w:type="pct"/>
            <w:tcBorders>
              <w:top w:val="nil"/>
              <w:left w:val="nil"/>
              <w:bottom w:val="single" w:sz="4" w:space="0" w:color="auto"/>
              <w:right w:val="single" w:sz="4" w:space="0" w:color="auto"/>
            </w:tcBorders>
            <w:shd w:val="clear" w:color="auto" w:fill="D9D9D9" w:themeFill="accent6" w:themeFillTint="66"/>
            <w:hideMark/>
          </w:tcPr>
          <w:p w14:paraId="28F63AE8"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19</w:t>
            </w:r>
          </w:p>
        </w:tc>
        <w:tc>
          <w:tcPr>
            <w:tcW w:w="526" w:type="pct"/>
            <w:tcBorders>
              <w:top w:val="nil"/>
              <w:left w:val="nil"/>
              <w:bottom w:val="single" w:sz="4" w:space="0" w:color="auto"/>
              <w:right w:val="single" w:sz="4" w:space="0" w:color="auto"/>
            </w:tcBorders>
            <w:shd w:val="clear" w:color="auto" w:fill="D9D9D9" w:themeFill="accent6" w:themeFillTint="66"/>
            <w:hideMark/>
          </w:tcPr>
          <w:p w14:paraId="093E9BAB"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76%</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41E6AA3D"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8</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491DCC10"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14</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172A5CDA"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175%</w:t>
            </w:r>
          </w:p>
        </w:tc>
      </w:tr>
      <w:tr w:rsidR="000A64EE" w:rsidRPr="000A64EE" w14:paraId="2D1F1FA0"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54C06C3F"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15</w:t>
            </w:r>
          </w:p>
        </w:tc>
        <w:tc>
          <w:tcPr>
            <w:tcW w:w="1475" w:type="pct"/>
            <w:tcBorders>
              <w:top w:val="nil"/>
              <w:left w:val="nil"/>
              <w:bottom w:val="single" w:sz="4" w:space="0" w:color="auto"/>
              <w:right w:val="single" w:sz="4" w:space="0" w:color="auto"/>
            </w:tcBorders>
            <w:shd w:val="clear" w:color="auto" w:fill="auto"/>
            <w:hideMark/>
          </w:tcPr>
          <w:p w14:paraId="7505811A"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Contributions (financial and non-financial) by market actors (AUD)</w:t>
            </w:r>
          </w:p>
        </w:tc>
        <w:tc>
          <w:tcPr>
            <w:tcW w:w="409" w:type="pct"/>
            <w:tcBorders>
              <w:top w:val="nil"/>
              <w:left w:val="nil"/>
              <w:bottom w:val="single" w:sz="4" w:space="0" w:color="auto"/>
              <w:right w:val="single" w:sz="4" w:space="0" w:color="auto"/>
            </w:tcBorders>
            <w:shd w:val="clear" w:color="auto" w:fill="auto"/>
            <w:hideMark/>
          </w:tcPr>
          <w:p w14:paraId="6F36C8F0"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EOPO-1</w:t>
            </w:r>
          </w:p>
        </w:tc>
        <w:tc>
          <w:tcPr>
            <w:tcW w:w="431" w:type="pct"/>
            <w:tcBorders>
              <w:top w:val="nil"/>
              <w:left w:val="nil"/>
              <w:bottom w:val="single" w:sz="4" w:space="0" w:color="auto"/>
              <w:right w:val="single" w:sz="4" w:space="0" w:color="auto"/>
            </w:tcBorders>
            <w:shd w:val="clear" w:color="auto" w:fill="D9D9D9" w:themeFill="accent6" w:themeFillTint="66"/>
            <w:hideMark/>
          </w:tcPr>
          <w:p w14:paraId="23C7A131"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450,000</w:t>
            </w:r>
          </w:p>
        </w:tc>
        <w:tc>
          <w:tcPr>
            <w:tcW w:w="469" w:type="pct"/>
            <w:tcBorders>
              <w:top w:val="nil"/>
              <w:left w:val="nil"/>
              <w:bottom w:val="single" w:sz="4" w:space="0" w:color="auto"/>
              <w:right w:val="single" w:sz="4" w:space="0" w:color="auto"/>
            </w:tcBorders>
            <w:shd w:val="clear" w:color="auto" w:fill="D9D9D9" w:themeFill="accent6" w:themeFillTint="66"/>
            <w:hideMark/>
          </w:tcPr>
          <w:p w14:paraId="3C7F8DF9"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482,115</w:t>
            </w:r>
          </w:p>
        </w:tc>
        <w:tc>
          <w:tcPr>
            <w:tcW w:w="526" w:type="pct"/>
            <w:tcBorders>
              <w:top w:val="nil"/>
              <w:left w:val="nil"/>
              <w:bottom w:val="single" w:sz="4" w:space="0" w:color="auto"/>
              <w:right w:val="single" w:sz="4" w:space="0" w:color="auto"/>
            </w:tcBorders>
            <w:shd w:val="clear" w:color="auto" w:fill="D9D9D9" w:themeFill="accent6" w:themeFillTint="66"/>
            <w:hideMark/>
          </w:tcPr>
          <w:p w14:paraId="047653A4"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107%</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4A73674F"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450,000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484F2C66"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AUD 638,460</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206711B5"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142%</w:t>
            </w:r>
          </w:p>
        </w:tc>
      </w:tr>
      <w:tr w:rsidR="000A64EE" w:rsidRPr="000A64EE" w14:paraId="4CFB8080"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1E0D12EC"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16</w:t>
            </w:r>
          </w:p>
        </w:tc>
        <w:tc>
          <w:tcPr>
            <w:tcW w:w="1475" w:type="pct"/>
            <w:tcBorders>
              <w:top w:val="nil"/>
              <w:left w:val="nil"/>
              <w:bottom w:val="single" w:sz="4" w:space="0" w:color="auto"/>
              <w:right w:val="single" w:sz="4" w:space="0" w:color="auto"/>
            </w:tcBorders>
            <w:shd w:val="clear" w:color="auto" w:fill="auto"/>
            <w:hideMark/>
          </w:tcPr>
          <w:p w14:paraId="769B9A62"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events supported for encouraging market actor participation/innovation</w:t>
            </w:r>
          </w:p>
        </w:tc>
        <w:tc>
          <w:tcPr>
            <w:tcW w:w="409" w:type="pct"/>
            <w:tcBorders>
              <w:top w:val="nil"/>
              <w:left w:val="nil"/>
              <w:bottom w:val="single" w:sz="4" w:space="0" w:color="auto"/>
              <w:right w:val="single" w:sz="4" w:space="0" w:color="auto"/>
            </w:tcBorders>
            <w:shd w:val="clear" w:color="auto" w:fill="auto"/>
            <w:hideMark/>
          </w:tcPr>
          <w:p w14:paraId="4A7E99B6"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All</w:t>
            </w:r>
          </w:p>
        </w:tc>
        <w:tc>
          <w:tcPr>
            <w:tcW w:w="431" w:type="pct"/>
            <w:tcBorders>
              <w:top w:val="nil"/>
              <w:left w:val="nil"/>
              <w:bottom w:val="single" w:sz="4" w:space="0" w:color="auto"/>
              <w:right w:val="single" w:sz="4" w:space="0" w:color="auto"/>
            </w:tcBorders>
            <w:shd w:val="clear" w:color="auto" w:fill="D9D9D9" w:themeFill="accent6" w:themeFillTint="66"/>
            <w:hideMark/>
          </w:tcPr>
          <w:p w14:paraId="75DBBB8C"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12</w:t>
            </w:r>
          </w:p>
        </w:tc>
        <w:tc>
          <w:tcPr>
            <w:tcW w:w="469" w:type="pct"/>
            <w:tcBorders>
              <w:top w:val="nil"/>
              <w:left w:val="nil"/>
              <w:bottom w:val="single" w:sz="4" w:space="0" w:color="auto"/>
              <w:right w:val="single" w:sz="4" w:space="0" w:color="auto"/>
            </w:tcBorders>
            <w:shd w:val="clear" w:color="auto" w:fill="D9D9D9" w:themeFill="accent6" w:themeFillTint="66"/>
            <w:hideMark/>
          </w:tcPr>
          <w:p w14:paraId="09B6E14C"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12</w:t>
            </w:r>
          </w:p>
        </w:tc>
        <w:tc>
          <w:tcPr>
            <w:tcW w:w="526" w:type="pct"/>
            <w:tcBorders>
              <w:top w:val="nil"/>
              <w:left w:val="nil"/>
              <w:bottom w:val="single" w:sz="4" w:space="0" w:color="auto"/>
              <w:right w:val="single" w:sz="4" w:space="0" w:color="auto"/>
            </w:tcBorders>
            <w:shd w:val="clear" w:color="auto" w:fill="D9D9D9" w:themeFill="accent6" w:themeFillTint="66"/>
            <w:hideMark/>
          </w:tcPr>
          <w:p w14:paraId="47EDE8C4"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100%</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0D077DF9"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737879F8"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9</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6FEC07FE"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90%</w:t>
            </w:r>
          </w:p>
        </w:tc>
      </w:tr>
      <w:tr w:rsidR="000A64EE" w:rsidRPr="000A64EE" w14:paraId="4305AE64" w14:textId="77777777" w:rsidTr="08123348">
        <w:trPr>
          <w:trHeight w:val="1275"/>
        </w:trPr>
        <w:tc>
          <w:tcPr>
            <w:tcW w:w="301" w:type="pct"/>
            <w:tcBorders>
              <w:top w:val="nil"/>
              <w:left w:val="single" w:sz="4" w:space="0" w:color="auto"/>
              <w:bottom w:val="single" w:sz="4" w:space="0" w:color="auto"/>
              <w:right w:val="single" w:sz="4" w:space="0" w:color="auto"/>
            </w:tcBorders>
            <w:shd w:val="clear" w:color="auto" w:fill="auto"/>
            <w:hideMark/>
          </w:tcPr>
          <w:p w14:paraId="677D979F"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17</w:t>
            </w:r>
          </w:p>
        </w:tc>
        <w:tc>
          <w:tcPr>
            <w:tcW w:w="1475" w:type="pct"/>
            <w:tcBorders>
              <w:top w:val="nil"/>
              <w:left w:val="nil"/>
              <w:bottom w:val="single" w:sz="4" w:space="0" w:color="auto"/>
              <w:right w:val="single" w:sz="4" w:space="0" w:color="auto"/>
            </w:tcBorders>
            <w:shd w:val="clear" w:color="auto" w:fill="auto"/>
            <w:hideMark/>
          </w:tcPr>
          <w:p w14:paraId="582EA8E5"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contributions to the consultations of development partners and Solomon Island government agencies to influence complementarity and evidence-based decisions making that empowers the private sector</w:t>
            </w:r>
          </w:p>
        </w:tc>
        <w:tc>
          <w:tcPr>
            <w:tcW w:w="409" w:type="pct"/>
            <w:tcBorders>
              <w:top w:val="nil"/>
              <w:left w:val="nil"/>
              <w:bottom w:val="single" w:sz="4" w:space="0" w:color="auto"/>
              <w:right w:val="single" w:sz="4" w:space="0" w:color="auto"/>
            </w:tcBorders>
            <w:shd w:val="clear" w:color="auto" w:fill="auto"/>
            <w:hideMark/>
          </w:tcPr>
          <w:p w14:paraId="111235E2"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All</w:t>
            </w:r>
          </w:p>
        </w:tc>
        <w:tc>
          <w:tcPr>
            <w:tcW w:w="431" w:type="pct"/>
            <w:tcBorders>
              <w:top w:val="nil"/>
              <w:left w:val="nil"/>
              <w:bottom w:val="single" w:sz="4" w:space="0" w:color="auto"/>
              <w:right w:val="single" w:sz="4" w:space="0" w:color="auto"/>
            </w:tcBorders>
            <w:shd w:val="clear" w:color="auto" w:fill="D9D9D9" w:themeFill="accent6" w:themeFillTint="66"/>
            <w:hideMark/>
          </w:tcPr>
          <w:p w14:paraId="02A9C6AB"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10</w:t>
            </w:r>
          </w:p>
        </w:tc>
        <w:tc>
          <w:tcPr>
            <w:tcW w:w="469" w:type="pct"/>
            <w:tcBorders>
              <w:top w:val="nil"/>
              <w:left w:val="nil"/>
              <w:bottom w:val="single" w:sz="4" w:space="0" w:color="auto"/>
              <w:right w:val="single" w:sz="4" w:space="0" w:color="auto"/>
            </w:tcBorders>
            <w:shd w:val="clear" w:color="auto" w:fill="D9D9D9" w:themeFill="accent6" w:themeFillTint="66"/>
            <w:hideMark/>
          </w:tcPr>
          <w:p w14:paraId="46373E00"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16</w:t>
            </w:r>
          </w:p>
        </w:tc>
        <w:tc>
          <w:tcPr>
            <w:tcW w:w="526" w:type="pct"/>
            <w:tcBorders>
              <w:top w:val="nil"/>
              <w:left w:val="nil"/>
              <w:bottom w:val="single" w:sz="4" w:space="0" w:color="auto"/>
              <w:right w:val="single" w:sz="4" w:space="0" w:color="auto"/>
            </w:tcBorders>
            <w:shd w:val="clear" w:color="auto" w:fill="D9D9D9" w:themeFill="accent6" w:themeFillTint="66"/>
            <w:hideMark/>
          </w:tcPr>
          <w:p w14:paraId="50526277"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160%</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03983F42"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10</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02BF7A28"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14</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06BE0655"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140%</w:t>
            </w:r>
          </w:p>
        </w:tc>
      </w:tr>
      <w:tr w:rsidR="000A64EE" w:rsidRPr="000A64EE" w14:paraId="1F0CF6FE" w14:textId="77777777" w:rsidTr="08123348">
        <w:trPr>
          <w:trHeight w:val="510"/>
        </w:trPr>
        <w:tc>
          <w:tcPr>
            <w:tcW w:w="301" w:type="pct"/>
            <w:tcBorders>
              <w:top w:val="nil"/>
              <w:left w:val="single" w:sz="4" w:space="0" w:color="auto"/>
              <w:bottom w:val="single" w:sz="4" w:space="0" w:color="auto"/>
              <w:right w:val="single" w:sz="4" w:space="0" w:color="auto"/>
            </w:tcBorders>
            <w:shd w:val="clear" w:color="auto" w:fill="auto"/>
            <w:hideMark/>
          </w:tcPr>
          <w:p w14:paraId="4C00160C"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18</w:t>
            </w:r>
          </w:p>
        </w:tc>
        <w:tc>
          <w:tcPr>
            <w:tcW w:w="1475" w:type="pct"/>
            <w:tcBorders>
              <w:top w:val="nil"/>
              <w:left w:val="nil"/>
              <w:bottom w:val="single" w:sz="4" w:space="0" w:color="auto"/>
              <w:right w:val="single" w:sz="4" w:space="0" w:color="auto"/>
            </w:tcBorders>
            <w:shd w:val="clear" w:color="auto" w:fill="auto"/>
            <w:hideMark/>
          </w:tcPr>
          <w:p w14:paraId="3A5AB236"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Number of public communiques for encouraging market actor participation and innovation*</w:t>
            </w:r>
          </w:p>
        </w:tc>
        <w:tc>
          <w:tcPr>
            <w:tcW w:w="409" w:type="pct"/>
            <w:tcBorders>
              <w:top w:val="nil"/>
              <w:left w:val="nil"/>
              <w:bottom w:val="single" w:sz="4" w:space="0" w:color="auto"/>
              <w:right w:val="single" w:sz="4" w:space="0" w:color="auto"/>
            </w:tcBorders>
            <w:shd w:val="clear" w:color="auto" w:fill="auto"/>
            <w:hideMark/>
          </w:tcPr>
          <w:p w14:paraId="44739204"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All</w:t>
            </w:r>
          </w:p>
        </w:tc>
        <w:tc>
          <w:tcPr>
            <w:tcW w:w="431" w:type="pct"/>
            <w:tcBorders>
              <w:top w:val="nil"/>
              <w:left w:val="nil"/>
              <w:bottom w:val="single" w:sz="4" w:space="0" w:color="auto"/>
              <w:right w:val="single" w:sz="4" w:space="0" w:color="auto"/>
            </w:tcBorders>
            <w:shd w:val="clear" w:color="auto" w:fill="D9D9D9" w:themeFill="accent6" w:themeFillTint="66"/>
            <w:hideMark/>
          </w:tcPr>
          <w:p w14:paraId="20B57979"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15</w:t>
            </w:r>
          </w:p>
        </w:tc>
        <w:tc>
          <w:tcPr>
            <w:tcW w:w="469" w:type="pct"/>
            <w:tcBorders>
              <w:top w:val="nil"/>
              <w:left w:val="nil"/>
              <w:bottom w:val="single" w:sz="4" w:space="0" w:color="auto"/>
              <w:right w:val="single" w:sz="4" w:space="0" w:color="auto"/>
            </w:tcBorders>
            <w:shd w:val="clear" w:color="auto" w:fill="D9D9D9" w:themeFill="accent6" w:themeFillTint="66"/>
            <w:hideMark/>
          </w:tcPr>
          <w:p w14:paraId="6D01DE83"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16</w:t>
            </w:r>
          </w:p>
        </w:tc>
        <w:tc>
          <w:tcPr>
            <w:tcW w:w="526" w:type="pct"/>
            <w:tcBorders>
              <w:top w:val="nil"/>
              <w:left w:val="nil"/>
              <w:bottom w:val="single" w:sz="4" w:space="0" w:color="auto"/>
              <w:right w:val="single" w:sz="4" w:space="0" w:color="auto"/>
            </w:tcBorders>
            <w:shd w:val="clear" w:color="auto" w:fill="D9D9D9" w:themeFill="accent6" w:themeFillTint="66"/>
            <w:hideMark/>
          </w:tcPr>
          <w:p w14:paraId="7BC23355"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107%</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64384BDF"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15</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5EC39DED"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16</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118E66DD"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107%</w:t>
            </w:r>
          </w:p>
        </w:tc>
      </w:tr>
      <w:tr w:rsidR="000A64EE" w:rsidRPr="000A64EE" w14:paraId="5CE92EFF" w14:textId="77777777" w:rsidTr="08123348">
        <w:trPr>
          <w:trHeight w:val="765"/>
        </w:trPr>
        <w:tc>
          <w:tcPr>
            <w:tcW w:w="301" w:type="pct"/>
            <w:tcBorders>
              <w:top w:val="nil"/>
              <w:left w:val="single" w:sz="4" w:space="0" w:color="auto"/>
              <w:bottom w:val="single" w:sz="4" w:space="0" w:color="auto"/>
              <w:right w:val="single" w:sz="4" w:space="0" w:color="auto"/>
            </w:tcBorders>
            <w:shd w:val="clear" w:color="auto" w:fill="auto"/>
            <w:hideMark/>
          </w:tcPr>
          <w:p w14:paraId="4F6C256C"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19</w:t>
            </w:r>
          </w:p>
        </w:tc>
        <w:tc>
          <w:tcPr>
            <w:tcW w:w="1475" w:type="pct"/>
            <w:tcBorders>
              <w:top w:val="nil"/>
              <w:left w:val="nil"/>
              <w:bottom w:val="single" w:sz="4" w:space="0" w:color="auto"/>
              <w:right w:val="single" w:sz="4" w:space="0" w:color="auto"/>
            </w:tcBorders>
            <w:shd w:val="clear" w:color="auto" w:fill="auto"/>
            <w:hideMark/>
          </w:tcPr>
          <w:p w14:paraId="02E46E17" w14:textId="37FAAF5C" w:rsidR="000A64EE" w:rsidRPr="000A64EE" w:rsidRDefault="053A8A5E" w:rsidP="000A64EE">
            <w:pPr>
              <w:spacing w:after="0" w:line="240" w:lineRule="auto"/>
              <w:rPr>
                <w:rFonts w:ascii="Franklin Gothic Book" w:eastAsia="Times New Roman" w:hAnsi="Franklin Gothic Book"/>
                <w:color w:val="212121"/>
                <w:sz w:val="18"/>
                <w:szCs w:val="18"/>
              </w:rPr>
            </w:pPr>
            <w:r w:rsidRPr="08123348">
              <w:rPr>
                <w:rFonts w:ascii="Franklin Gothic Book" w:eastAsia="Times New Roman" w:hAnsi="Franklin Gothic Book"/>
                <w:color w:val="212121"/>
                <w:sz w:val="18"/>
                <w:szCs w:val="18"/>
              </w:rPr>
              <w:t xml:space="preserve">Number of new partnerships in the new target value chains (timber, horticulture, financial sector and waste </w:t>
            </w:r>
            <w:r w:rsidR="019A2403" w:rsidRPr="08123348">
              <w:rPr>
                <w:rFonts w:ascii="Franklin Gothic Book" w:eastAsia="Times New Roman" w:hAnsi="Franklin Gothic Book"/>
                <w:color w:val="212121"/>
                <w:sz w:val="18"/>
                <w:szCs w:val="18"/>
              </w:rPr>
              <w:t>management) *</w:t>
            </w:r>
          </w:p>
        </w:tc>
        <w:tc>
          <w:tcPr>
            <w:tcW w:w="409" w:type="pct"/>
            <w:tcBorders>
              <w:top w:val="nil"/>
              <w:left w:val="nil"/>
              <w:bottom w:val="single" w:sz="4" w:space="0" w:color="auto"/>
              <w:right w:val="single" w:sz="4" w:space="0" w:color="auto"/>
            </w:tcBorders>
            <w:shd w:val="clear" w:color="auto" w:fill="auto"/>
            <w:hideMark/>
          </w:tcPr>
          <w:p w14:paraId="10601145" w14:textId="77777777" w:rsidR="000A64EE" w:rsidRPr="000A64EE" w:rsidRDefault="000A64EE" w:rsidP="000A64EE">
            <w:pPr>
              <w:spacing w:after="0" w:line="240" w:lineRule="auto"/>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All</w:t>
            </w:r>
          </w:p>
        </w:tc>
        <w:tc>
          <w:tcPr>
            <w:tcW w:w="431" w:type="pct"/>
            <w:tcBorders>
              <w:top w:val="nil"/>
              <w:left w:val="nil"/>
              <w:bottom w:val="single" w:sz="4" w:space="0" w:color="auto"/>
              <w:right w:val="single" w:sz="4" w:space="0" w:color="auto"/>
            </w:tcBorders>
            <w:shd w:val="clear" w:color="auto" w:fill="D9D9D9" w:themeFill="accent6" w:themeFillTint="66"/>
            <w:hideMark/>
          </w:tcPr>
          <w:p w14:paraId="50833E4A"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12</w:t>
            </w:r>
          </w:p>
        </w:tc>
        <w:tc>
          <w:tcPr>
            <w:tcW w:w="469" w:type="pct"/>
            <w:tcBorders>
              <w:top w:val="nil"/>
              <w:left w:val="nil"/>
              <w:bottom w:val="single" w:sz="4" w:space="0" w:color="auto"/>
              <w:right w:val="single" w:sz="4" w:space="0" w:color="auto"/>
            </w:tcBorders>
            <w:shd w:val="clear" w:color="auto" w:fill="D9D9D9" w:themeFill="accent6" w:themeFillTint="66"/>
            <w:hideMark/>
          </w:tcPr>
          <w:p w14:paraId="55F96C88"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8</w:t>
            </w:r>
          </w:p>
        </w:tc>
        <w:tc>
          <w:tcPr>
            <w:tcW w:w="526" w:type="pct"/>
            <w:tcBorders>
              <w:top w:val="nil"/>
              <w:left w:val="nil"/>
              <w:bottom w:val="single" w:sz="4" w:space="0" w:color="auto"/>
              <w:right w:val="single" w:sz="4" w:space="0" w:color="auto"/>
            </w:tcBorders>
            <w:shd w:val="clear" w:color="auto" w:fill="D9D9D9" w:themeFill="accent6" w:themeFillTint="66"/>
            <w:hideMark/>
          </w:tcPr>
          <w:p w14:paraId="5CC57A77"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67%</w:t>
            </w:r>
          </w:p>
        </w:tc>
        <w:tc>
          <w:tcPr>
            <w:tcW w:w="446" w:type="pct"/>
            <w:tcBorders>
              <w:top w:val="nil"/>
              <w:left w:val="nil"/>
              <w:bottom w:val="single" w:sz="4" w:space="0" w:color="auto"/>
              <w:right w:val="single" w:sz="4" w:space="0" w:color="auto"/>
            </w:tcBorders>
            <w:shd w:val="clear" w:color="auto" w:fill="C4CFEF" w:themeFill="background2" w:themeFillTint="33"/>
            <w:hideMark/>
          </w:tcPr>
          <w:p w14:paraId="1EF81800" w14:textId="77777777" w:rsidR="000A64EE" w:rsidRPr="000A64EE" w:rsidRDefault="000A64EE" w:rsidP="00DD7BF5">
            <w:pPr>
              <w:spacing w:after="0" w:line="240" w:lineRule="auto"/>
              <w:jc w:val="right"/>
              <w:rPr>
                <w:rFonts w:ascii="Franklin Gothic Book" w:eastAsia="Times New Roman" w:hAnsi="Franklin Gothic Book"/>
                <w:color w:val="212121"/>
                <w:sz w:val="18"/>
                <w:szCs w:val="18"/>
              </w:rPr>
            </w:pPr>
            <w:r w:rsidRPr="000A64EE">
              <w:rPr>
                <w:rFonts w:ascii="Franklin Gothic Book" w:eastAsia="Times New Roman" w:hAnsi="Franklin Gothic Book"/>
                <w:color w:val="212121"/>
                <w:sz w:val="18"/>
                <w:szCs w:val="18"/>
              </w:rPr>
              <w:t>7</w:t>
            </w:r>
          </w:p>
        </w:tc>
        <w:tc>
          <w:tcPr>
            <w:tcW w:w="469" w:type="pct"/>
            <w:tcBorders>
              <w:top w:val="nil"/>
              <w:left w:val="nil"/>
              <w:bottom w:val="single" w:sz="4" w:space="0" w:color="auto"/>
              <w:right w:val="single" w:sz="4" w:space="0" w:color="auto"/>
            </w:tcBorders>
            <w:shd w:val="clear" w:color="auto" w:fill="C4CFEF" w:themeFill="background2" w:themeFillTint="33"/>
            <w:hideMark/>
          </w:tcPr>
          <w:p w14:paraId="2EBD79A3"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8</w:t>
            </w:r>
          </w:p>
        </w:tc>
        <w:tc>
          <w:tcPr>
            <w:tcW w:w="475" w:type="pct"/>
            <w:tcBorders>
              <w:top w:val="nil"/>
              <w:left w:val="nil"/>
              <w:bottom w:val="single" w:sz="4" w:space="0" w:color="auto"/>
              <w:right w:val="single" w:sz="4" w:space="0" w:color="auto"/>
            </w:tcBorders>
            <w:shd w:val="clear" w:color="auto" w:fill="C4CFEF" w:themeFill="background2" w:themeFillTint="33"/>
            <w:hideMark/>
          </w:tcPr>
          <w:p w14:paraId="35F0408D" w14:textId="77777777" w:rsidR="000A64EE" w:rsidRPr="000A64EE" w:rsidRDefault="000A64EE" w:rsidP="00DD7BF5">
            <w:pPr>
              <w:spacing w:after="0" w:line="240" w:lineRule="auto"/>
              <w:jc w:val="right"/>
              <w:rPr>
                <w:rFonts w:ascii="Franklin Gothic Book" w:eastAsia="Times New Roman" w:hAnsi="Franklin Gothic Book"/>
                <w:color w:val="000000"/>
                <w:sz w:val="18"/>
                <w:szCs w:val="18"/>
              </w:rPr>
            </w:pPr>
            <w:r w:rsidRPr="000A64EE">
              <w:rPr>
                <w:rFonts w:ascii="Franklin Gothic Book" w:eastAsia="Times New Roman" w:hAnsi="Franklin Gothic Book"/>
                <w:color w:val="000000"/>
                <w:sz w:val="18"/>
                <w:szCs w:val="18"/>
              </w:rPr>
              <w:t>114%</w:t>
            </w:r>
          </w:p>
        </w:tc>
      </w:tr>
    </w:tbl>
    <w:p w14:paraId="0A334FF9" w14:textId="77777777" w:rsidR="000A64EE" w:rsidRDefault="000A64EE" w:rsidP="003B058D"/>
    <w:p w14:paraId="6090A17F" w14:textId="77777777" w:rsidR="000A64EE" w:rsidRDefault="000A64EE" w:rsidP="003B058D"/>
    <w:p w14:paraId="17E38F39" w14:textId="7BF42732" w:rsidR="000A64EE" w:rsidRDefault="000A64EE" w:rsidP="003B058D">
      <w:pPr>
        <w:sectPr w:rsidR="000A64EE" w:rsidSect="00070332">
          <w:pgSz w:w="11906" w:h="16838" w:code="9"/>
          <w:pgMar w:top="1814" w:right="1021" w:bottom="1134" w:left="1021"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37C7F52A" w14:textId="40A8B095" w:rsidR="00007328" w:rsidRPr="00354A6B" w:rsidRDefault="00354A6B" w:rsidP="00354A6B">
      <w:pPr>
        <w:rPr>
          <w:b/>
          <w:bCs/>
        </w:rPr>
      </w:pPr>
      <w:r w:rsidRPr="00354A6B">
        <w:rPr>
          <w:b/>
          <w:bCs/>
        </w:rPr>
        <w:t>Table A5.3</w:t>
      </w:r>
      <w:r w:rsidR="00FC5288" w:rsidRPr="00354A6B">
        <w:rPr>
          <w:b/>
          <w:bCs/>
        </w:rPr>
        <w:t>:  Phase 2 Results by Sector</w:t>
      </w:r>
      <w:r w:rsidR="003C3F9F" w:rsidRPr="00354A6B">
        <w:rPr>
          <w:rStyle w:val="FootnoteReference"/>
          <w:b/>
          <w:bCs/>
        </w:rPr>
        <w:footnoteReference w:id="29"/>
      </w:r>
    </w:p>
    <w:tbl>
      <w:tblPr>
        <w:tblStyle w:val="DefaultTable"/>
        <w:tblW w:w="5003" w:type="pct"/>
        <w:tblLayout w:type="fixed"/>
        <w:tblCellMar>
          <w:top w:w="28" w:type="dxa"/>
          <w:bottom w:w="28" w:type="dxa"/>
        </w:tblCellMar>
        <w:tblLook w:val="04A0" w:firstRow="1" w:lastRow="0" w:firstColumn="1" w:lastColumn="0" w:noHBand="0" w:noVBand="1"/>
      </w:tblPr>
      <w:tblGrid>
        <w:gridCol w:w="460"/>
        <w:gridCol w:w="2652"/>
        <w:gridCol w:w="1419"/>
        <w:gridCol w:w="994"/>
        <w:gridCol w:w="1131"/>
        <w:gridCol w:w="1136"/>
        <w:gridCol w:w="991"/>
        <w:gridCol w:w="1136"/>
        <w:gridCol w:w="1273"/>
        <w:gridCol w:w="994"/>
        <w:gridCol w:w="1209"/>
        <w:gridCol w:w="1174"/>
      </w:tblGrid>
      <w:tr w:rsidR="00BA3CD8" w:rsidRPr="0011223D" w14:paraId="2602E96A" w14:textId="77777777" w:rsidTr="00C94C2A">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158" w:type="pct"/>
            <w:hideMark/>
          </w:tcPr>
          <w:p w14:paraId="5DD33915" w14:textId="78BEEE00" w:rsidR="006C6E9E" w:rsidRPr="00AC0B63" w:rsidRDefault="006C6E9E" w:rsidP="00AC0B63">
            <w:pPr>
              <w:spacing w:after="0" w:line="240" w:lineRule="auto"/>
              <w:rPr>
                <w:rFonts w:ascii="Franklin Gothic Book" w:eastAsia="Times New Roman" w:hAnsi="Franklin Gothic Book"/>
                <w:b/>
                <w:bCs/>
                <w:color w:val="FFFFFF" w:themeColor="background1"/>
                <w:sz w:val="18"/>
                <w:szCs w:val="18"/>
              </w:rPr>
            </w:pPr>
            <w:r w:rsidRPr="00AC0B63">
              <w:rPr>
                <w:rFonts w:ascii="Franklin Gothic Book" w:eastAsia="Times New Roman" w:hAnsi="Franklin Gothic Book"/>
                <w:b/>
                <w:bCs/>
                <w:color w:val="FFFFFF" w:themeColor="background1"/>
                <w:sz w:val="18"/>
                <w:szCs w:val="18"/>
              </w:rPr>
              <w:t>#</w:t>
            </w:r>
          </w:p>
        </w:tc>
        <w:tc>
          <w:tcPr>
            <w:tcW w:w="910" w:type="pct"/>
            <w:hideMark/>
          </w:tcPr>
          <w:p w14:paraId="725095CA" w14:textId="49AF458B" w:rsidR="006C6E9E" w:rsidRPr="00AC0B63" w:rsidRDefault="006C6E9E" w:rsidP="00AC0B63">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D40449">
              <w:rPr>
                <w:rFonts w:ascii="Calibri" w:eastAsia="Times New Roman" w:hAnsi="Calibri"/>
                <w:b/>
                <w:bCs/>
                <w:color w:val="FFFFFF" w:themeColor="background1"/>
                <w:szCs w:val="20"/>
              </w:rPr>
              <w:t>Indicator</w:t>
            </w:r>
          </w:p>
        </w:tc>
        <w:tc>
          <w:tcPr>
            <w:tcW w:w="487" w:type="pct"/>
            <w:hideMark/>
          </w:tcPr>
          <w:p w14:paraId="188F5CEC" w14:textId="521618F9" w:rsidR="006C6E9E" w:rsidRPr="00AC0B63" w:rsidRDefault="0022676F"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Pr>
                <w:rFonts w:ascii="Calibri" w:eastAsia="Times New Roman" w:hAnsi="Calibri"/>
                <w:b/>
                <w:bCs/>
                <w:color w:val="FFFFFF" w:themeColor="background1"/>
                <w:szCs w:val="20"/>
              </w:rPr>
              <w:t xml:space="preserve">Indicator </w:t>
            </w:r>
            <w:r w:rsidR="006C6E9E" w:rsidRPr="00E14FDB">
              <w:rPr>
                <w:rFonts w:ascii="Calibri" w:eastAsia="Times New Roman" w:hAnsi="Calibri"/>
                <w:b/>
                <w:bCs/>
                <w:color w:val="FFFFFF" w:themeColor="background1"/>
                <w:szCs w:val="20"/>
              </w:rPr>
              <w:t>Aggregation</w:t>
            </w:r>
          </w:p>
        </w:tc>
        <w:tc>
          <w:tcPr>
            <w:tcW w:w="341" w:type="pct"/>
            <w:tcBorders>
              <w:top w:val="single" w:sz="4" w:space="0" w:color="FFFFFF" w:themeColor="background1"/>
            </w:tcBorders>
            <w:hideMark/>
          </w:tcPr>
          <w:p w14:paraId="4EEC8AFF" w14:textId="3EF8BA04" w:rsidR="006C6E9E" w:rsidRPr="00AC0B63" w:rsidRDefault="006C6E9E"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AC0B63">
              <w:rPr>
                <w:rFonts w:ascii="Calibri" w:eastAsia="Times New Roman" w:hAnsi="Calibri"/>
                <w:b/>
                <w:bCs/>
                <w:color w:val="FFFFFF" w:themeColor="background1"/>
                <w:szCs w:val="20"/>
              </w:rPr>
              <w:t>Cocoa</w:t>
            </w:r>
          </w:p>
        </w:tc>
        <w:tc>
          <w:tcPr>
            <w:tcW w:w="388" w:type="pct"/>
            <w:tcBorders>
              <w:top w:val="single" w:sz="4" w:space="0" w:color="FFFFFF" w:themeColor="background1"/>
            </w:tcBorders>
            <w:hideMark/>
          </w:tcPr>
          <w:p w14:paraId="639D3A7E" w14:textId="67050331" w:rsidR="006C6E9E" w:rsidRPr="00AC0B63" w:rsidRDefault="006C6E9E"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AC0B63">
              <w:rPr>
                <w:rFonts w:ascii="Calibri" w:eastAsia="Times New Roman" w:hAnsi="Calibri"/>
                <w:b/>
                <w:bCs/>
                <w:color w:val="FFFFFF" w:themeColor="background1"/>
                <w:szCs w:val="20"/>
              </w:rPr>
              <w:t>Coconut</w:t>
            </w:r>
          </w:p>
        </w:tc>
        <w:tc>
          <w:tcPr>
            <w:tcW w:w="390" w:type="pct"/>
            <w:tcBorders>
              <w:top w:val="single" w:sz="4" w:space="0" w:color="FFFFFF" w:themeColor="background1"/>
            </w:tcBorders>
            <w:hideMark/>
          </w:tcPr>
          <w:p w14:paraId="21D9D628" w14:textId="4658638A" w:rsidR="006C6E9E" w:rsidRPr="00AC0B63" w:rsidRDefault="006C6E9E"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AC0B63">
              <w:rPr>
                <w:rFonts w:ascii="Calibri" w:eastAsia="Times New Roman" w:hAnsi="Calibri"/>
                <w:b/>
                <w:bCs/>
                <w:color w:val="FFFFFF" w:themeColor="background1"/>
                <w:szCs w:val="20"/>
              </w:rPr>
              <w:t>Tourism</w:t>
            </w:r>
          </w:p>
        </w:tc>
        <w:tc>
          <w:tcPr>
            <w:tcW w:w="340" w:type="pct"/>
            <w:tcBorders>
              <w:top w:val="single" w:sz="4" w:space="0" w:color="FFFFFF" w:themeColor="background1"/>
            </w:tcBorders>
            <w:hideMark/>
          </w:tcPr>
          <w:p w14:paraId="3CF982F7" w14:textId="47EF7ED2" w:rsidR="006C6E9E" w:rsidRPr="00AC0B63" w:rsidRDefault="006C6E9E"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AC0B63">
              <w:rPr>
                <w:rFonts w:ascii="Calibri" w:eastAsia="Times New Roman" w:hAnsi="Calibri"/>
                <w:b/>
                <w:bCs/>
                <w:color w:val="FFFFFF" w:themeColor="background1"/>
                <w:szCs w:val="20"/>
              </w:rPr>
              <w:t>Financial Services</w:t>
            </w:r>
          </w:p>
        </w:tc>
        <w:tc>
          <w:tcPr>
            <w:tcW w:w="390" w:type="pct"/>
            <w:tcBorders>
              <w:top w:val="single" w:sz="4" w:space="0" w:color="FFFFFF" w:themeColor="background1"/>
            </w:tcBorders>
            <w:hideMark/>
          </w:tcPr>
          <w:p w14:paraId="4B220DAE" w14:textId="49E12863" w:rsidR="006C6E9E" w:rsidRPr="00AC0B63" w:rsidRDefault="006C6E9E"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AC0B63">
              <w:rPr>
                <w:rFonts w:ascii="Calibri" w:eastAsia="Times New Roman" w:hAnsi="Calibri"/>
                <w:b/>
                <w:bCs/>
                <w:color w:val="FFFFFF" w:themeColor="background1"/>
                <w:szCs w:val="20"/>
              </w:rPr>
              <w:t>Timber</w:t>
            </w:r>
          </w:p>
        </w:tc>
        <w:tc>
          <w:tcPr>
            <w:tcW w:w="437" w:type="pct"/>
            <w:tcBorders>
              <w:top w:val="single" w:sz="4" w:space="0" w:color="FFFFFF" w:themeColor="background1"/>
            </w:tcBorders>
            <w:hideMark/>
          </w:tcPr>
          <w:p w14:paraId="74739EC7" w14:textId="0935B2ED" w:rsidR="006C6E9E" w:rsidRPr="00AC0B63" w:rsidRDefault="006C6E9E"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AC0B63">
              <w:rPr>
                <w:rFonts w:ascii="Calibri" w:eastAsia="Times New Roman" w:hAnsi="Calibri"/>
                <w:b/>
                <w:bCs/>
                <w:color w:val="FFFFFF" w:themeColor="background1"/>
                <w:szCs w:val="20"/>
              </w:rPr>
              <w:t>Guadal</w:t>
            </w:r>
            <w:r w:rsidR="00C94C2A">
              <w:rPr>
                <w:rFonts w:ascii="Calibri" w:eastAsia="Times New Roman" w:hAnsi="Calibri"/>
                <w:b/>
                <w:bCs/>
                <w:color w:val="FFFFFF" w:themeColor="background1"/>
                <w:szCs w:val="20"/>
              </w:rPr>
              <w:t>-</w:t>
            </w:r>
            <w:r w:rsidRPr="00AC0B63">
              <w:rPr>
                <w:rFonts w:ascii="Calibri" w:eastAsia="Times New Roman" w:hAnsi="Calibri"/>
                <w:b/>
                <w:bCs/>
                <w:color w:val="FFFFFF" w:themeColor="background1"/>
                <w:szCs w:val="20"/>
              </w:rPr>
              <w:t>canal Horticulture</w:t>
            </w:r>
          </w:p>
        </w:tc>
        <w:tc>
          <w:tcPr>
            <w:tcW w:w="341" w:type="pct"/>
            <w:tcBorders>
              <w:top w:val="single" w:sz="4" w:space="0" w:color="FFFFFF" w:themeColor="background1"/>
            </w:tcBorders>
            <w:hideMark/>
          </w:tcPr>
          <w:p w14:paraId="129F3EF1" w14:textId="626AF354" w:rsidR="006C6E9E" w:rsidRPr="00AC0B63" w:rsidRDefault="006C6E9E"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FFFFFF" w:themeColor="background1"/>
                <w:szCs w:val="20"/>
              </w:rPr>
            </w:pPr>
            <w:r w:rsidRPr="00AC0B63">
              <w:rPr>
                <w:rFonts w:ascii="Calibri" w:eastAsia="Times New Roman" w:hAnsi="Calibri"/>
                <w:b/>
                <w:bCs/>
                <w:color w:val="FFFFFF" w:themeColor="background1"/>
                <w:szCs w:val="20"/>
              </w:rPr>
              <w:t>Waste Manage</w:t>
            </w:r>
            <w:r w:rsidR="00C94C2A">
              <w:rPr>
                <w:rFonts w:ascii="Calibri" w:eastAsia="Times New Roman" w:hAnsi="Calibri"/>
                <w:b/>
                <w:bCs/>
                <w:color w:val="FFFFFF" w:themeColor="background1"/>
                <w:szCs w:val="20"/>
              </w:rPr>
              <w:t>-</w:t>
            </w:r>
            <w:r w:rsidRPr="00AC0B63">
              <w:rPr>
                <w:rFonts w:ascii="Calibri" w:eastAsia="Times New Roman" w:hAnsi="Calibri"/>
                <w:b/>
                <w:bCs/>
                <w:color w:val="FFFFFF" w:themeColor="background1"/>
                <w:szCs w:val="20"/>
              </w:rPr>
              <w:t>ment</w:t>
            </w:r>
          </w:p>
        </w:tc>
        <w:tc>
          <w:tcPr>
            <w:tcW w:w="415" w:type="pct"/>
            <w:hideMark/>
          </w:tcPr>
          <w:p w14:paraId="023E66C4" w14:textId="4EC3C5E7" w:rsidR="006C6E9E" w:rsidRPr="00AC0B63" w:rsidRDefault="006D5299"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Pr>
                <w:rFonts w:ascii="Calibri" w:eastAsia="Times New Roman" w:hAnsi="Calibri"/>
                <w:b/>
                <w:bCs/>
                <w:color w:val="FFFFFF" w:themeColor="background1"/>
                <w:szCs w:val="20"/>
              </w:rPr>
              <w:t xml:space="preserve">Targeted </w:t>
            </w:r>
            <w:r w:rsidRPr="00AC0B63">
              <w:rPr>
                <w:rFonts w:ascii="Calibri" w:eastAsia="Times New Roman" w:hAnsi="Calibri"/>
                <w:b/>
                <w:bCs/>
                <w:color w:val="FFFFFF" w:themeColor="background1"/>
                <w:szCs w:val="20"/>
              </w:rPr>
              <w:t>WEE &amp; SI</w:t>
            </w:r>
          </w:p>
        </w:tc>
        <w:tc>
          <w:tcPr>
            <w:tcW w:w="403" w:type="pct"/>
            <w:hideMark/>
          </w:tcPr>
          <w:p w14:paraId="2EF91E0F" w14:textId="119DC913" w:rsidR="006C6E9E" w:rsidRPr="00AC0B63" w:rsidRDefault="002F3B12" w:rsidP="00030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FFFFFF" w:themeColor="background1"/>
                <w:szCs w:val="20"/>
              </w:rPr>
              <w:t xml:space="preserve">Phase 2 Results </w:t>
            </w:r>
            <w:r w:rsidRPr="00220BB8">
              <w:rPr>
                <w:rFonts w:ascii="Calibri" w:eastAsia="Times New Roman" w:hAnsi="Calibri"/>
                <w:b/>
                <w:bCs/>
                <w:color w:val="FFFFFF" w:themeColor="background1"/>
                <w:szCs w:val="20"/>
              </w:rPr>
              <w:t>2021-22</w:t>
            </w:r>
          </w:p>
        </w:tc>
      </w:tr>
      <w:tr w:rsidR="0059187B" w:rsidRPr="00AC0B63" w14:paraId="0A30E75E" w14:textId="77777777" w:rsidTr="00C94C2A">
        <w:trPr>
          <w:trHeight w:val="765"/>
        </w:trPr>
        <w:tc>
          <w:tcPr>
            <w:cnfStyle w:val="001000000000" w:firstRow="0" w:lastRow="0" w:firstColumn="1" w:lastColumn="0" w:oddVBand="0" w:evenVBand="0" w:oddHBand="0" w:evenHBand="0" w:firstRowFirstColumn="0" w:firstRowLastColumn="0" w:lastRowFirstColumn="0" w:lastRowLastColumn="0"/>
            <w:tcW w:w="158" w:type="pct"/>
            <w:hideMark/>
          </w:tcPr>
          <w:p w14:paraId="58C14852"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w:t>
            </w:r>
          </w:p>
        </w:tc>
        <w:tc>
          <w:tcPr>
            <w:tcW w:w="910" w:type="pct"/>
            <w:shd w:val="clear" w:color="auto" w:fill="C4CFEF" w:themeFill="background2" w:themeFillTint="33"/>
            <w:hideMark/>
          </w:tcPr>
          <w:p w14:paraId="49118945"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Number of HHs and small enterprises benefitting from additional income increase</w:t>
            </w:r>
          </w:p>
        </w:tc>
        <w:tc>
          <w:tcPr>
            <w:tcW w:w="487" w:type="pct"/>
            <w:hideMark/>
          </w:tcPr>
          <w:p w14:paraId="40CC069D"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6E269A1C"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124</w:t>
            </w:r>
          </w:p>
        </w:tc>
        <w:tc>
          <w:tcPr>
            <w:tcW w:w="388" w:type="pct"/>
            <w:hideMark/>
          </w:tcPr>
          <w:p w14:paraId="59F325A6"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w:t>
            </w:r>
          </w:p>
        </w:tc>
        <w:tc>
          <w:tcPr>
            <w:tcW w:w="390" w:type="pct"/>
            <w:hideMark/>
          </w:tcPr>
          <w:p w14:paraId="5FF82659"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90</w:t>
            </w:r>
          </w:p>
        </w:tc>
        <w:tc>
          <w:tcPr>
            <w:tcW w:w="340" w:type="pct"/>
            <w:hideMark/>
          </w:tcPr>
          <w:p w14:paraId="4DE40464"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7</w:t>
            </w:r>
          </w:p>
        </w:tc>
        <w:tc>
          <w:tcPr>
            <w:tcW w:w="390" w:type="pct"/>
            <w:hideMark/>
          </w:tcPr>
          <w:p w14:paraId="3F8944EC"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33</w:t>
            </w:r>
          </w:p>
        </w:tc>
        <w:tc>
          <w:tcPr>
            <w:tcW w:w="437" w:type="pct"/>
            <w:hideMark/>
          </w:tcPr>
          <w:p w14:paraId="1025EE59"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34</w:t>
            </w:r>
          </w:p>
        </w:tc>
        <w:tc>
          <w:tcPr>
            <w:tcW w:w="341" w:type="pct"/>
            <w:hideMark/>
          </w:tcPr>
          <w:p w14:paraId="1A35934B"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141</w:t>
            </w:r>
          </w:p>
        </w:tc>
        <w:tc>
          <w:tcPr>
            <w:tcW w:w="415" w:type="pct"/>
            <w:hideMark/>
          </w:tcPr>
          <w:p w14:paraId="14605840"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38</w:t>
            </w:r>
          </w:p>
        </w:tc>
        <w:tc>
          <w:tcPr>
            <w:tcW w:w="403" w:type="pct"/>
            <w:hideMark/>
          </w:tcPr>
          <w:p w14:paraId="4F2644F9"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497</w:t>
            </w:r>
          </w:p>
        </w:tc>
      </w:tr>
      <w:tr w:rsidR="00BA3CD8" w:rsidRPr="00AC0B63" w14:paraId="2AA4D783" w14:textId="77777777" w:rsidTr="00C94C2A">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8" w:type="pct"/>
            <w:hideMark/>
          </w:tcPr>
          <w:p w14:paraId="1128ABA3"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2</w:t>
            </w:r>
          </w:p>
        </w:tc>
        <w:tc>
          <w:tcPr>
            <w:tcW w:w="910" w:type="pct"/>
            <w:shd w:val="clear" w:color="auto" w:fill="C4CFEF" w:themeFill="background2" w:themeFillTint="33"/>
            <w:hideMark/>
          </w:tcPr>
          <w:p w14:paraId="0E82DB9F" w14:textId="6D9AE2CE" w:rsidR="00ED6630" w:rsidRPr="00AC0B63" w:rsidRDefault="4EC0AFDC" w:rsidP="08123348">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rPr>
            </w:pPr>
            <w:r w:rsidRPr="08123348">
              <w:rPr>
                <w:rFonts w:ascii="Calibri" w:eastAsia="Times New Roman" w:hAnsi="Calibri"/>
                <w:b/>
                <w:bCs/>
              </w:rPr>
              <w:t xml:space="preserve">Net additional income </w:t>
            </w:r>
            <w:r w:rsidR="4586E3BF" w:rsidRPr="08123348">
              <w:rPr>
                <w:rFonts w:ascii="Calibri" w:eastAsia="Times New Roman" w:hAnsi="Calibri"/>
                <w:b/>
                <w:bCs/>
              </w:rPr>
              <w:t>increases</w:t>
            </w:r>
            <w:r w:rsidRPr="08123348">
              <w:rPr>
                <w:rFonts w:ascii="Calibri" w:eastAsia="Times New Roman" w:hAnsi="Calibri"/>
                <w:b/>
                <w:bCs/>
              </w:rPr>
              <w:t xml:space="preserve"> of HH and small enterprise beneficiaries (AUD)</w:t>
            </w:r>
          </w:p>
        </w:tc>
        <w:tc>
          <w:tcPr>
            <w:tcW w:w="487" w:type="pct"/>
            <w:hideMark/>
          </w:tcPr>
          <w:p w14:paraId="4D302A65"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4BD7310B" w14:textId="081D4312"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29,745</w:t>
            </w:r>
          </w:p>
        </w:tc>
        <w:tc>
          <w:tcPr>
            <w:tcW w:w="388" w:type="pct"/>
            <w:hideMark/>
          </w:tcPr>
          <w:p w14:paraId="1981505C" w14:textId="65A2C94D"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15,268</w:t>
            </w:r>
          </w:p>
        </w:tc>
        <w:tc>
          <w:tcPr>
            <w:tcW w:w="390" w:type="pct"/>
            <w:hideMark/>
          </w:tcPr>
          <w:p w14:paraId="10F49957" w14:textId="31117EEB"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111,634</w:t>
            </w:r>
          </w:p>
        </w:tc>
        <w:tc>
          <w:tcPr>
            <w:tcW w:w="340" w:type="pct"/>
            <w:hideMark/>
          </w:tcPr>
          <w:p w14:paraId="12AB4FC3" w14:textId="073EBF16"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20,227</w:t>
            </w:r>
          </w:p>
        </w:tc>
        <w:tc>
          <w:tcPr>
            <w:tcW w:w="390" w:type="pct"/>
            <w:hideMark/>
          </w:tcPr>
          <w:p w14:paraId="511FA54F" w14:textId="0D356DEF"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107,912</w:t>
            </w:r>
          </w:p>
        </w:tc>
        <w:tc>
          <w:tcPr>
            <w:tcW w:w="437" w:type="pct"/>
            <w:hideMark/>
          </w:tcPr>
          <w:p w14:paraId="4615ADC0" w14:textId="55C7337A"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69,102</w:t>
            </w:r>
          </w:p>
        </w:tc>
        <w:tc>
          <w:tcPr>
            <w:tcW w:w="341" w:type="pct"/>
            <w:hideMark/>
          </w:tcPr>
          <w:p w14:paraId="48B787B9" w14:textId="560EBE5D"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10,870</w:t>
            </w:r>
          </w:p>
        </w:tc>
        <w:tc>
          <w:tcPr>
            <w:tcW w:w="415" w:type="pct"/>
            <w:hideMark/>
          </w:tcPr>
          <w:p w14:paraId="43DEB067" w14:textId="0EA9D6F8"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70,682</w:t>
            </w:r>
          </w:p>
        </w:tc>
        <w:tc>
          <w:tcPr>
            <w:tcW w:w="403" w:type="pct"/>
            <w:hideMark/>
          </w:tcPr>
          <w:p w14:paraId="51224458" w14:textId="24A8B220"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435,439</w:t>
            </w:r>
          </w:p>
        </w:tc>
      </w:tr>
      <w:tr w:rsidR="00635195" w:rsidRPr="00AC0B63" w14:paraId="40D2E089" w14:textId="77777777" w:rsidTr="00C94C2A">
        <w:trPr>
          <w:trHeight w:val="405"/>
        </w:trPr>
        <w:tc>
          <w:tcPr>
            <w:cnfStyle w:val="001000000000" w:firstRow="0" w:lastRow="0" w:firstColumn="1" w:lastColumn="0" w:oddVBand="0" w:evenVBand="0" w:oddHBand="0" w:evenHBand="0" w:firstRowFirstColumn="0" w:firstRowLastColumn="0" w:lastRowFirstColumn="0" w:lastRowLastColumn="0"/>
            <w:tcW w:w="158" w:type="pct"/>
            <w:vMerge w:val="restart"/>
            <w:hideMark/>
          </w:tcPr>
          <w:p w14:paraId="41EA74FB"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3</w:t>
            </w:r>
          </w:p>
          <w:p w14:paraId="5A969F4B"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5F69DF7A"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7BAF4659"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10EC7384" w14:textId="0E2ACE4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tc>
        <w:tc>
          <w:tcPr>
            <w:tcW w:w="910" w:type="pct"/>
            <w:vMerge w:val="restart"/>
            <w:shd w:val="clear" w:color="auto" w:fill="C4CFEF" w:themeFill="background2" w:themeFillTint="33"/>
            <w:hideMark/>
          </w:tcPr>
          <w:p w14:paraId="708B1E30"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 xml:space="preserve">Number of new jobs (FTE) created or maintained/saved attributable to Strongim Bisnis interventions </w:t>
            </w:r>
          </w:p>
        </w:tc>
        <w:tc>
          <w:tcPr>
            <w:tcW w:w="487" w:type="pct"/>
            <w:hideMark/>
          </w:tcPr>
          <w:p w14:paraId="24121D43"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65F956B3"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3.36</w:t>
            </w:r>
          </w:p>
        </w:tc>
        <w:tc>
          <w:tcPr>
            <w:tcW w:w="388" w:type="pct"/>
            <w:hideMark/>
          </w:tcPr>
          <w:p w14:paraId="297FF62F"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3.96</w:t>
            </w:r>
          </w:p>
        </w:tc>
        <w:tc>
          <w:tcPr>
            <w:tcW w:w="390" w:type="pct"/>
            <w:hideMark/>
          </w:tcPr>
          <w:p w14:paraId="2D1424C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37.20</w:t>
            </w:r>
          </w:p>
        </w:tc>
        <w:tc>
          <w:tcPr>
            <w:tcW w:w="340" w:type="pct"/>
            <w:hideMark/>
          </w:tcPr>
          <w:p w14:paraId="78D450AA"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3.00</w:t>
            </w:r>
          </w:p>
        </w:tc>
        <w:tc>
          <w:tcPr>
            <w:tcW w:w="390" w:type="pct"/>
            <w:hideMark/>
          </w:tcPr>
          <w:p w14:paraId="0427908F"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25.50</w:t>
            </w:r>
          </w:p>
        </w:tc>
        <w:tc>
          <w:tcPr>
            <w:tcW w:w="437" w:type="pct"/>
            <w:hideMark/>
          </w:tcPr>
          <w:p w14:paraId="7CE168B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15.10</w:t>
            </w:r>
          </w:p>
        </w:tc>
        <w:tc>
          <w:tcPr>
            <w:tcW w:w="341" w:type="pct"/>
            <w:hideMark/>
          </w:tcPr>
          <w:p w14:paraId="6E7BC345"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1.00</w:t>
            </w:r>
          </w:p>
        </w:tc>
        <w:tc>
          <w:tcPr>
            <w:tcW w:w="415" w:type="pct"/>
            <w:hideMark/>
          </w:tcPr>
          <w:p w14:paraId="1CFF194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28.29</w:t>
            </w:r>
          </w:p>
        </w:tc>
        <w:tc>
          <w:tcPr>
            <w:tcW w:w="403" w:type="pct"/>
            <w:hideMark/>
          </w:tcPr>
          <w:p w14:paraId="017A0307"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117</w:t>
            </w:r>
          </w:p>
        </w:tc>
      </w:tr>
      <w:tr w:rsidR="00BA3CD8" w:rsidRPr="00AC0B63" w14:paraId="2065022E" w14:textId="77777777" w:rsidTr="00C94C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74FCBC10" w14:textId="18FBAF5A"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6BF9ECBC"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6DFBDDC8"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Women</w:t>
            </w:r>
          </w:p>
        </w:tc>
        <w:tc>
          <w:tcPr>
            <w:tcW w:w="341" w:type="pct"/>
            <w:hideMark/>
          </w:tcPr>
          <w:p w14:paraId="72783AAA"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2.20</w:t>
            </w:r>
          </w:p>
        </w:tc>
        <w:tc>
          <w:tcPr>
            <w:tcW w:w="388" w:type="pct"/>
            <w:hideMark/>
          </w:tcPr>
          <w:p w14:paraId="096F7316"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2.64</w:t>
            </w:r>
          </w:p>
        </w:tc>
        <w:tc>
          <w:tcPr>
            <w:tcW w:w="390" w:type="pct"/>
            <w:hideMark/>
          </w:tcPr>
          <w:p w14:paraId="139ED90E"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15.60</w:t>
            </w:r>
          </w:p>
        </w:tc>
        <w:tc>
          <w:tcPr>
            <w:tcW w:w="340" w:type="pct"/>
            <w:hideMark/>
          </w:tcPr>
          <w:p w14:paraId="4FF99B31"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2.00</w:t>
            </w:r>
          </w:p>
        </w:tc>
        <w:tc>
          <w:tcPr>
            <w:tcW w:w="390" w:type="pct"/>
            <w:hideMark/>
          </w:tcPr>
          <w:p w14:paraId="35C38DFA"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3.00</w:t>
            </w:r>
          </w:p>
        </w:tc>
        <w:tc>
          <w:tcPr>
            <w:tcW w:w="437" w:type="pct"/>
            <w:hideMark/>
          </w:tcPr>
          <w:p w14:paraId="2A2A8E3B"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8.12</w:t>
            </w:r>
          </w:p>
        </w:tc>
        <w:tc>
          <w:tcPr>
            <w:tcW w:w="341" w:type="pct"/>
            <w:hideMark/>
          </w:tcPr>
          <w:p w14:paraId="3D9F422E"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415" w:type="pct"/>
            <w:hideMark/>
          </w:tcPr>
          <w:p w14:paraId="21BAA2E6"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14.11</w:t>
            </w:r>
          </w:p>
        </w:tc>
        <w:tc>
          <w:tcPr>
            <w:tcW w:w="403" w:type="pct"/>
            <w:hideMark/>
          </w:tcPr>
          <w:p w14:paraId="10081046"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48</w:t>
            </w:r>
          </w:p>
        </w:tc>
      </w:tr>
      <w:tr w:rsidR="00635195" w:rsidRPr="00AC0B63" w14:paraId="1740FB7C" w14:textId="77777777" w:rsidTr="00C94C2A">
        <w:trPr>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5E1173C1" w14:textId="6019F417"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3824D394"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77D5B160"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Youth</w:t>
            </w:r>
          </w:p>
        </w:tc>
        <w:tc>
          <w:tcPr>
            <w:tcW w:w="341" w:type="pct"/>
            <w:hideMark/>
          </w:tcPr>
          <w:p w14:paraId="5C029D32"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3.10</w:t>
            </w:r>
          </w:p>
        </w:tc>
        <w:tc>
          <w:tcPr>
            <w:tcW w:w="388" w:type="pct"/>
            <w:hideMark/>
          </w:tcPr>
          <w:p w14:paraId="6B55619A"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3.76</w:t>
            </w:r>
          </w:p>
        </w:tc>
        <w:tc>
          <w:tcPr>
            <w:tcW w:w="390" w:type="pct"/>
            <w:hideMark/>
          </w:tcPr>
          <w:p w14:paraId="458E3400"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21.27</w:t>
            </w:r>
          </w:p>
        </w:tc>
        <w:tc>
          <w:tcPr>
            <w:tcW w:w="340" w:type="pct"/>
            <w:hideMark/>
          </w:tcPr>
          <w:p w14:paraId="7B6DC2EE"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2.00</w:t>
            </w:r>
          </w:p>
        </w:tc>
        <w:tc>
          <w:tcPr>
            <w:tcW w:w="390" w:type="pct"/>
            <w:hideMark/>
          </w:tcPr>
          <w:p w14:paraId="3CDC29F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8.20</w:t>
            </w:r>
          </w:p>
        </w:tc>
        <w:tc>
          <w:tcPr>
            <w:tcW w:w="437" w:type="pct"/>
            <w:hideMark/>
          </w:tcPr>
          <w:p w14:paraId="65437665"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9.06</w:t>
            </w:r>
          </w:p>
        </w:tc>
        <w:tc>
          <w:tcPr>
            <w:tcW w:w="341" w:type="pct"/>
            <w:hideMark/>
          </w:tcPr>
          <w:p w14:paraId="6821F654"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1.00</w:t>
            </w:r>
          </w:p>
        </w:tc>
        <w:tc>
          <w:tcPr>
            <w:tcW w:w="415" w:type="pct"/>
            <w:hideMark/>
          </w:tcPr>
          <w:p w14:paraId="79F3D518"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26.27</w:t>
            </w:r>
          </w:p>
        </w:tc>
        <w:tc>
          <w:tcPr>
            <w:tcW w:w="403" w:type="pct"/>
            <w:hideMark/>
          </w:tcPr>
          <w:p w14:paraId="1A42FF18"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75</w:t>
            </w:r>
          </w:p>
        </w:tc>
      </w:tr>
      <w:tr w:rsidR="00BA3CD8" w:rsidRPr="00AC0B63" w14:paraId="75EE3862" w14:textId="77777777" w:rsidTr="00C94C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32FC8DA1" w14:textId="5415E699"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206A58D5"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2ADEAD09" w14:textId="2E72C4E6" w:rsidR="00352891" w:rsidRPr="00AC0B63" w:rsidRDefault="549BDFEF" w:rsidP="08123348">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8123348">
              <w:rPr>
                <w:rFonts w:ascii="Calibri" w:eastAsia="Times New Roman" w:hAnsi="Calibri"/>
              </w:rPr>
              <w:t>PWD</w:t>
            </w:r>
          </w:p>
        </w:tc>
        <w:tc>
          <w:tcPr>
            <w:tcW w:w="341" w:type="pct"/>
            <w:hideMark/>
          </w:tcPr>
          <w:p w14:paraId="3BA0FAF3"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88" w:type="pct"/>
            <w:hideMark/>
          </w:tcPr>
          <w:p w14:paraId="29C81D76"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90" w:type="pct"/>
            <w:hideMark/>
          </w:tcPr>
          <w:p w14:paraId="7D1F01E5"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40" w:type="pct"/>
            <w:hideMark/>
          </w:tcPr>
          <w:p w14:paraId="299899B7"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90" w:type="pct"/>
            <w:hideMark/>
          </w:tcPr>
          <w:p w14:paraId="5E4DCE21"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437" w:type="pct"/>
            <w:hideMark/>
          </w:tcPr>
          <w:p w14:paraId="69E9C138"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41" w:type="pct"/>
            <w:hideMark/>
          </w:tcPr>
          <w:p w14:paraId="47A67D80"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415" w:type="pct"/>
            <w:hideMark/>
          </w:tcPr>
          <w:p w14:paraId="59297083"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403" w:type="pct"/>
            <w:hideMark/>
          </w:tcPr>
          <w:p w14:paraId="25CE49B4"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0</w:t>
            </w:r>
          </w:p>
        </w:tc>
      </w:tr>
      <w:tr w:rsidR="00635195" w:rsidRPr="00AC0B63" w14:paraId="3D90B331" w14:textId="77777777" w:rsidTr="00C94C2A">
        <w:trPr>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4EF5F811" w14:textId="76C4AAA1"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5BB5C672"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678AF1EE"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Saved</w:t>
            </w:r>
          </w:p>
        </w:tc>
        <w:tc>
          <w:tcPr>
            <w:tcW w:w="341" w:type="pct"/>
            <w:hideMark/>
          </w:tcPr>
          <w:p w14:paraId="58703497"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88" w:type="pct"/>
            <w:hideMark/>
          </w:tcPr>
          <w:p w14:paraId="639E6BB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90" w:type="pct"/>
            <w:hideMark/>
          </w:tcPr>
          <w:p w14:paraId="4F97CDD5"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29.20</w:t>
            </w:r>
          </w:p>
        </w:tc>
        <w:tc>
          <w:tcPr>
            <w:tcW w:w="340" w:type="pct"/>
            <w:hideMark/>
          </w:tcPr>
          <w:p w14:paraId="0DC0499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90" w:type="pct"/>
            <w:hideMark/>
          </w:tcPr>
          <w:p w14:paraId="24D4A85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437" w:type="pct"/>
            <w:hideMark/>
          </w:tcPr>
          <w:p w14:paraId="0D4B9E3A"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341" w:type="pct"/>
            <w:hideMark/>
          </w:tcPr>
          <w:p w14:paraId="2901D184"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415" w:type="pct"/>
            <w:hideMark/>
          </w:tcPr>
          <w:p w14:paraId="45CF8281"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0.00</w:t>
            </w:r>
          </w:p>
        </w:tc>
        <w:tc>
          <w:tcPr>
            <w:tcW w:w="403" w:type="pct"/>
            <w:hideMark/>
          </w:tcPr>
          <w:p w14:paraId="44CE68A1"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29</w:t>
            </w:r>
          </w:p>
        </w:tc>
      </w:tr>
      <w:tr w:rsidR="00BA3CD8" w:rsidRPr="00AC0B63" w14:paraId="335A932F" w14:textId="77777777" w:rsidTr="00C94C2A">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8" w:type="pct"/>
            <w:vMerge w:val="restart"/>
            <w:hideMark/>
          </w:tcPr>
          <w:p w14:paraId="356299ED"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4</w:t>
            </w:r>
          </w:p>
          <w:p w14:paraId="22B7DC29"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0285DA2E"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73373C4F" w14:textId="640FBC8C"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tc>
        <w:tc>
          <w:tcPr>
            <w:tcW w:w="910" w:type="pct"/>
            <w:vMerge w:val="restart"/>
            <w:shd w:val="clear" w:color="auto" w:fill="C4CFEF" w:themeFill="background2" w:themeFillTint="33"/>
            <w:hideMark/>
          </w:tcPr>
          <w:p w14:paraId="22D75E5C" w14:textId="5FC1A05A" w:rsidR="00352891" w:rsidRPr="00AC0B63" w:rsidRDefault="4DDA0A19" w:rsidP="08123348">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rPr>
            </w:pPr>
            <w:r w:rsidRPr="08123348">
              <w:rPr>
                <w:rFonts w:ascii="Calibri" w:eastAsia="Times New Roman" w:hAnsi="Calibri"/>
                <w:b/>
                <w:bCs/>
              </w:rPr>
              <w:t xml:space="preserve">Number of women, youth or </w:t>
            </w:r>
            <w:r w:rsidR="549BDFEF" w:rsidRPr="08123348">
              <w:rPr>
                <w:rFonts w:ascii="Calibri" w:eastAsia="Times New Roman" w:hAnsi="Calibri"/>
                <w:b/>
                <w:bCs/>
              </w:rPr>
              <w:t>PWD</w:t>
            </w:r>
            <w:r w:rsidRPr="08123348">
              <w:rPr>
                <w:rFonts w:ascii="Calibri" w:eastAsia="Times New Roman" w:hAnsi="Calibri"/>
                <w:b/>
                <w:bCs/>
              </w:rPr>
              <w:t xml:space="preserve">s owned or led businesses with improved access to higher economic opportunities </w:t>
            </w:r>
          </w:p>
        </w:tc>
        <w:tc>
          <w:tcPr>
            <w:tcW w:w="487" w:type="pct"/>
            <w:hideMark/>
          </w:tcPr>
          <w:p w14:paraId="3B4BB09C"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61C32B8F"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56</w:t>
            </w:r>
          </w:p>
        </w:tc>
        <w:tc>
          <w:tcPr>
            <w:tcW w:w="388" w:type="pct"/>
            <w:hideMark/>
          </w:tcPr>
          <w:p w14:paraId="176AF374"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127</w:t>
            </w:r>
          </w:p>
        </w:tc>
        <w:tc>
          <w:tcPr>
            <w:tcW w:w="390" w:type="pct"/>
            <w:hideMark/>
          </w:tcPr>
          <w:p w14:paraId="7D0A6F32"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7</w:t>
            </w:r>
          </w:p>
        </w:tc>
        <w:tc>
          <w:tcPr>
            <w:tcW w:w="340" w:type="pct"/>
            <w:hideMark/>
          </w:tcPr>
          <w:p w14:paraId="1458CB00"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w:t>
            </w:r>
          </w:p>
        </w:tc>
        <w:tc>
          <w:tcPr>
            <w:tcW w:w="390" w:type="pct"/>
            <w:hideMark/>
          </w:tcPr>
          <w:p w14:paraId="2D707FF7"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160</w:t>
            </w:r>
          </w:p>
        </w:tc>
        <w:tc>
          <w:tcPr>
            <w:tcW w:w="437" w:type="pct"/>
            <w:hideMark/>
          </w:tcPr>
          <w:p w14:paraId="4FE9ECB6"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62</w:t>
            </w:r>
          </w:p>
        </w:tc>
        <w:tc>
          <w:tcPr>
            <w:tcW w:w="341" w:type="pct"/>
            <w:hideMark/>
          </w:tcPr>
          <w:p w14:paraId="5C2AF4FB"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96</w:t>
            </w:r>
          </w:p>
        </w:tc>
        <w:tc>
          <w:tcPr>
            <w:tcW w:w="415" w:type="pct"/>
            <w:hideMark/>
          </w:tcPr>
          <w:p w14:paraId="77052C7A"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87</w:t>
            </w:r>
          </w:p>
        </w:tc>
        <w:tc>
          <w:tcPr>
            <w:tcW w:w="403" w:type="pct"/>
            <w:hideMark/>
          </w:tcPr>
          <w:p w14:paraId="1C8848B9"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609</w:t>
            </w:r>
          </w:p>
        </w:tc>
      </w:tr>
      <w:tr w:rsidR="00117DFB" w:rsidRPr="00AC0B63" w14:paraId="3B66DE0D" w14:textId="77777777" w:rsidTr="00C94C2A">
        <w:trPr>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34CD51D5" w14:textId="51202DE0"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196196F7"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4FE94730"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Women</w:t>
            </w:r>
          </w:p>
        </w:tc>
        <w:tc>
          <w:tcPr>
            <w:tcW w:w="341" w:type="pct"/>
            <w:hideMark/>
          </w:tcPr>
          <w:p w14:paraId="435CE4E3"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49</w:t>
            </w:r>
          </w:p>
        </w:tc>
        <w:tc>
          <w:tcPr>
            <w:tcW w:w="388" w:type="pct"/>
            <w:hideMark/>
          </w:tcPr>
          <w:p w14:paraId="5DC5BA3F"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91</w:t>
            </w:r>
          </w:p>
        </w:tc>
        <w:tc>
          <w:tcPr>
            <w:tcW w:w="390" w:type="pct"/>
            <w:hideMark/>
          </w:tcPr>
          <w:p w14:paraId="0586DE4E"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7</w:t>
            </w:r>
          </w:p>
        </w:tc>
        <w:tc>
          <w:tcPr>
            <w:tcW w:w="340" w:type="pct"/>
            <w:hideMark/>
          </w:tcPr>
          <w:p w14:paraId="220AFA87"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w:t>
            </w:r>
          </w:p>
        </w:tc>
        <w:tc>
          <w:tcPr>
            <w:tcW w:w="390" w:type="pct"/>
            <w:hideMark/>
          </w:tcPr>
          <w:p w14:paraId="1A39DC9F"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160</w:t>
            </w:r>
          </w:p>
        </w:tc>
        <w:tc>
          <w:tcPr>
            <w:tcW w:w="437" w:type="pct"/>
            <w:hideMark/>
          </w:tcPr>
          <w:p w14:paraId="38D16F7E"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62</w:t>
            </w:r>
          </w:p>
        </w:tc>
        <w:tc>
          <w:tcPr>
            <w:tcW w:w="341" w:type="pct"/>
            <w:hideMark/>
          </w:tcPr>
          <w:p w14:paraId="55AF034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77</w:t>
            </w:r>
          </w:p>
        </w:tc>
        <w:tc>
          <w:tcPr>
            <w:tcW w:w="415" w:type="pct"/>
            <w:hideMark/>
          </w:tcPr>
          <w:p w14:paraId="361E623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62</w:t>
            </w:r>
          </w:p>
        </w:tc>
        <w:tc>
          <w:tcPr>
            <w:tcW w:w="403" w:type="pct"/>
            <w:hideMark/>
          </w:tcPr>
          <w:p w14:paraId="46AB79A7"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518</w:t>
            </w:r>
          </w:p>
        </w:tc>
      </w:tr>
      <w:tr w:rsidR="00BA3CD8" w:rsidRPr="00AC0B63" w14:paraId="1F86497B" w14:textId="77777777" w:rsidTr="00C94C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74615F27" w14:textId="66F7D5BC"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601EAE54"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1412B3C5"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Youth</w:t>
            </w:r>
          </w:p>
        </w:tc>
        <w:tc>
          <w:tcPr>
            <w:tcW w:w="341" w:type="pct"/>
            <w:hideMark/>
          </w:tcPr>
          <w:p w14:paraId="2C874B95"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25</w:t>
            </w:r>
          </w:p>
        </w:tc>
        <w:tc>
          <w:tcPr>
            <w:tcW w:w="388" w:type="pct"/>
            <w:hideMark/>
          </w:tcPr>
          <w:p w14:paraId="5D6B63C0"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60</w:t>
            </w:r>
          </w:p>
        </w:tc>
        <w:tc>
          <w:tcPr>
            <w:tcW w:w="390" w:type="pct"/>
            <w:hideMark/>
          </w:tcPr>
          <w:p w14:paraId="7BDEA7AB"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w:t>
            </w:r>
          </w:p>
        </w:tc>
        <w:tc>
          <w:tcPr>
            <w:tcW w:w="340" w:type="pct"/>
            <w:hideMark/>
          </w:tcPr>
          <w:p w14:paraId="27D3530B"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w:t>
            </w:r>
          </w:p>
        </w:tc>
        <w:tc>
          <w:tcPr>
            <w:tcW w:w="390" w:type="pct"/>
            <w:hideMark/>
          </w:tcPr>
          <w:p w14:paraId="712593A7"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92</w:t>
            </w:r>
          </w:p>
        </w:tc>
        <w:tc>
          <w:tcPr>
            <w:tcW w:w="437" w:type="pct"/>
            <w:hideMark/>
          </w:tcPr>
          <w:p w14:paraId="499E5285"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w:t>
            </w:r>
          </w:p>
        </w:tc>
        <w:tc>
          <w:tcPr>
            <w:tcW w:w="341" w:type="pct"/>
            <w:hideMark/>
          </w:tcPr>
          <w:p w14:paraId="59D0A509"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w:t>
            </w:r>
          </w:p>
        </w:tc>
        <w:tc>
          <w:tcPr>
            <w:tcW w:w="415" w:type="pct"/>
            <w:hideMark/>
          </w:tcPr>
          <w:p w14:paraId="3458399D"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53</w:t>
            </w:r>
          </w:p>
        </w:tc>
        <w:tc>
          <w:tcPr>
            <w:tcW w:w="403" w:type="pct"/>
            <w:hideMark/>
          </w:tcPr>
          <w:p w14:paraId="37A712BA"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281</w:t>
            </w:r>
          </w:p>
        </w:tc>
      </w:tr>
      <w:tr w:rsidR="00117DFB" w:rsidRPr="00AC0B63" w14:paraId="5E2242EE" w14:textId="77777777" w:rsidTr="00C94C2A">
        <w:trPr>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7DBDBA56" w14:textId="3329314B"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5F26F539"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749A7B1F" w14:textId="7062C703" w:rsidR="00352891" w:rsidRPr="00AC0B63" w:rsidRDefault="549BDFEF" w:rsidP="081233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8123348">
              <w:rPr>
                <w:rFonts w:ascii="Calibri" w:eastAsia="Times New Roman" w:hAnsi="Calibri"/>
              </w:rPr>
              <w:t>PWD</w:t>
            </w:r>
          </w:p>
        </w:tc>
        <w:tc>
          <w:tcPr>
            <w:tcW w:w="341" w:type="pct"/>
            <w:hideMark/>
          </w:tcPr>
          <w:p w14:paraId="65725849"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88" w:type="pct"/>
            <w:hideMark/>
          </w:tcPr>
          <w:p w14:paraId="6EB1C474"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34CA9179"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5A3BA832"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w:t>
            </w:r>
          </w:p>
        </w:tc>
        <w:tc>
          <w:tcPr>
            <w:tcW w:w="390" w:type="pct"/>
            <w:hideMark/>
          </w:tcPr>
          <w:p w14:paraId="3DB06CD1"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344B61E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4AF865F6"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w:t>
            </w:r>
          </w:p>
        </w:tc>
        <w:tc>
          <w:tcPr>
            <w:tcW w:w="415" w:type="pct"/>
            <w:hideMark/>
          </w:tcPr>
          <w:p w14:paraId="366C764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w:t>
            </w:r>
          </w:p>
        </w:tc>
        <w:tc>
          <w:tcPr>
            <w:tcW w:w="403" w:type="pct"/>
            <w:hideMark/>
          </w:tcPr>
          <w:p w14:paraId="7A02F29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8</w:t>
            </w:r>
          </w:p>
        </w:tc>
      </w:tr>
      <w:tr w:rsidR="00BA3CD8" w:rsidRPr="00AC0B63" w14:paraId="0E22D938" w14:textId="77777777" w:rsidTr="00C94C2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58" w:type="pct"/>
            <w:hideMark/>
          </w:tcPr>
          <w:p w14:paraId="636E92D4"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5</w:t>
            </w:r>
          </w:p>
        </w:tc>
        <w:tc>
          <w:tcPr>
            <w:tcW w:w="910" w:type="pct"/>
            <w:shd w:val="clear" w:color="auto" w:fill="C4CFEF" w:themeFill="background2" w:themeFillTint="33"/>
            <w:hideMark/>
          </w:tcPr>
          <w:p w14:paraId="3EA4E65F"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Number of women reporting improvement in their access and control over productive resources in the HH and community</w:t>
            </w:r>
          </w:p>
        </w:tc>
        <w:tc>
          <w:tcPr>
            <w:tcW w:w="487" w:type="pct"/>
            <w:hideMark/>
          </w:tcPr>
          <w:p w14:paraId="5726B2A9"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02A0E9AC"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39</w:t>
            </w:r>
          </w:p>
        </w:tc>
        <w:tc>
          <w:tcPr>
            <w:tcW w:w="388" w:type="pct"/>
            <w:hideMark/>
          </w:tcPr>
          <w:p w14:paraId="72310AA7"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5E729816"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6D4178A7"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w:t>
            </w:r>
          </w:p>
        </w:tc>
        <w:tc>
          <w:tcPr>
            <w:tcW w:w="390" w:type="pct"/>
            <w:hideMark/>
          </w:tcPr>
          <w:p w14:paraId="03BE97C2"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41D08EF8"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7909A159"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w:t>
            </w:r>
          </w:p>
        </w:tc>
        <w:tc>
          <w:tcPr>
            <w:tcW w:w="415" w:type="pct"/>
            <w:hideMark/>
          </w:tcPr>
          <w:p w14:paraId="017FCAB2"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21</w:t>
            </w:r>
          </w:p>
        </w:tc>
        <w:tc>
          <w:tcPr>
            <w:tcW w:w="403" w:type="pct"/>
            <w:hideMark/>
          </w:tcPr>
          <w:p w14:paraId="1E8FCFC7"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75</w:t>
            </w:r>
          </w:p>
        </w:tc>
      </w:tr>
      <w:tr w:rsidR="0059187B" w:rsidRPr="00AC0B63" w14:paraId="5ACCDA6A" w14:textId="77777777" w:rsidTr="00C94C2A">
        <w:trPr>
          <w:trHeight w:val="765"/>
        </w:trPr>
        <w:tc>
          <w:tcPr>
            <w:cnfStyle w:val="001000000000" w:firstRow="0" w:lastRow="0" w:firstColumn="1" w:lastColumn="0" w:oddVBand="0" w:evenVBand="0" w:oddHBand="0" w:evenHBand="0" w:firstRowFirstColumn="0" w:firstRowLastColumn="0" w:lastRowFirstColumn="0" w:lastRowLastColumn="0"/>
            <w:tcW w:w="158" w:type="pct"/>
            <w:hideMark/>
          </w:tcPr>
          <w:p w14:paraId="69F3E2BD"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6</w:t>
            </w:r>
          </w:p>
        </w:tc>
        <w:tc>
          <w:tcPr>
            <w:tcW w:w="910" w:type="pct"/>
            <w:shd w:val="clear" w:color="auto" w:fill="C4CFEF" w:themeFill="background2" w:themeFillTint="33"/>
            <w:hideMark/>
          </w:tcPr>
          <w:p w14:paraId="76DFE56C"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Number of HH and small enterprise beneficiaries adopting improved business practice</w:t>
            </w:r>
          </w:p>
        </w:tc>
        <w:tc>
          <w:tcPr>
            <w:tcW w:w="487" w:type="pct"/>
            <w:hideMark/>
          </w:tcPr>
          <w:p w14:paraId="06715880"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455CC825"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120</w:t>
            </w:r>
          </w:p>
        </w:tc>
        <w:tc>
          <w:tcPr>
            <w:tcW w:w="388" w:type="pct"/>
            <w:hideMark/>
          </w:tcPr>
          <w:p w14:paraId="1376FC46"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56B8D22F"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w:t>
            </w:r>
          </w:p>
        </w:tc>
        <w:tc>
          <w:tcPr>
            <w:tcW w:w="340" w:type="pct"/>
            <w:hideMark/>
          </w:tcPr>
          <w:p w14:paraId="0B643D3A"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11</w:t>
            </w:r>
          </w:p>
        </w:tc>
        <w:tc>
          <w:tcPr>
            <w:tcW w:w="390" w:type="pct"/>
            <w:hideMark/>
          </w:tcPr>
          <w:p w14:paraId="1F8D9FFB"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173F25B8"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28</w:t>
            </w:r>
          </w:p>
        </w:tc>
        <w:tc>
          <w:tcPr>
            <w:tcW w:w="341" w:type="pct"/>
            <w:hideMark/>
          </w:tcPr>
          <w:p w14:paraId="6C96CCE5"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703F7136"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49</w:t>
            </w:r>
          </w:p>
        </w:tc>
        <w:tc>
          <w:tcPr>
            <w:tcW w:w="403" w:type="pct"/>
            <w:hideMark/>
          </w:tcPr>
          <w:p w14:paraId="4CE726EB"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238</w:t>
            </w:r>
          </w:p>
        </w:tc>
      </w:tr>
      <w:tr w:rsidR="00BA3CD8" w:rsidRPr="00AC0B63" w14:paraId="6D81B1F0" w14:textId="77777777" w:rsidTr="00C94C2A">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58" w:type="pct"/>
            <w:hideMark/>
          </w:tcPr>
          <w:p w14:paraId="7FE3F490"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7</w:t>
            </w:r>
          </w:p>
        </w:tc>
        <w:tc>
          <w:tcPr>
            <w:tcW w:w="910" w:type="pct"/>
            <w:shd w:val="clear" w:color="auto" w:fill="C4CFEF" w:themeFill="background2" w:themeFillTint="33"/>
            <w:hideMark/>
          </w:tcPr>
          <w:p w14:paraId="58FDBAC0"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 xml:space="preserve">Number of HH and small enterprise beneficiaries with improved access to markets or information or products/services </w:t>
            </w:r>
          </w:p>
        </w:tc>
        <w:tc>
          <w:tcPr>
            <w:tcW w:w="487" w:type="pct"/>
            <w:hideMark/>
          </w:tcPr>
          <w:p w14:paraId="18F24C0B"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225BF1E1"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148</w:t>
            </w:r>
          </w:p>
        </w:tc>
        <w:tc>
          <w:tcPr>
            <w:tcW w:w="388" w:type="pct"/>
            <w:hideMark/>
          </w:tcPr>
          <w:p w14:paraId="3C5AFAD6"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257</w:t>
            </w:r>
          </w:p>
        </w:tc>
        <w:tc>
          <w:tcPr>
            <w:tcW w:w="390" w:type="pct"/>
            <w:hideMark/>
          </w:tcPr>
          <w:p w14:paraId="0955C321"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w:t>
            </w:r>
          </w:p>
        </w:tc>
        <w:tc>
          <w:tcPr>
            <w:tcW w:w="340" w:type="pct"/>
            <w:hideMark/>
          </w:tcPr>
          <w:p w14:paraId="3A2B853B"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24</w:t>
            </w:r>
          </w:p>
        </w:tc>
        <w:tc>
          <w:tcPr>
            <w:tcW w:w="390" w:type="pct"/>
            <w:hideMark/>
          </w:tcPr>
          <w:p w14:paraId="32A303C6"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456</w:t>
            </w:r>
          </w:p>
        </w:tc>
        <w:tc>
          <w:tcPr>
            <w:tcW w:w="437" w:type="pct"/>
            <w:hideMark/>
          </w:tcPr>
          <w:p w14:paraId="32D48684"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87</w:t>
            </w:r>
          </w:p>
        </w:tc>
        <w:tc>
          <w:tcPr>
            <w:tcW w:w="341" w:type="pct"/>
            <w:hideMark/>
          </w:tcPr>
          <w:p w14:paraId="1E3949A7"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141</w:t>
            </w:r>
          </w:p>
        </w:tc>
        <w:tc>
          <w:tcPr>
            <w:tcW w:w="415" w:type="pct"/>
            <w:hideMark/>
          </w:tcPr>
          <w:p w14:paraId="16CB3B07"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144</w:t>
            </w:r>
          </w:p>
        </w:tc>
        <w:tc>
          <w:tcPr>
            <w:tcW w:w="403" w:type="pct"/>
            <w:hideMark/>
          </w:tcPr>
          <w:p w14:paraId="0DA4273B"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1287</w:t>
            </w:r>
          </w:p>
        </w:tc>
      </w:tr>
      <w:tr w:rsidR="0059187B" w:rsidRPr="00AC0B63" w14:paraId="7E60D8FE" w14:textId="77777777" w:rsidTr="00C94C2A">
        <w:trPr>
          <w:trHeight w:val="1275"/>
        </w:trPr>
        <w:tc>
          <w:tcPr>
            <w:cnfStyle w:val="001000000000" w:firstRow="0" w:lastRow="0" w:firstColumn="1" w:lastColumn="0" w:oddVBand="0" w:evenVBand="0" w:oddHBand="0" w:evenHBand="0" w:firstRowFirstColumn="0" w:firstRowLastColumn="0" w:lastRowFirstColumn="0" w:lastRowLastColumn="0"/>
            <w:tcW w:w="158" w:type="pct"/>
            <w:hideMark/>
          </w:tcPr>
          <w:p w14:paraId="2394242C"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8</w:t>
            </w:r>
          </w:p>
        </w:tc>
        <w:tc>
          <w:tcPr>
            <w:tcW w:w="910" w:type="pct"/>
            <w:shd w:val="clear" w:color="auto" w:fill="C4CFEF" w:themeFill="background2" w:themeFillTint="33"/>
            <w:hideMark/>
          </w:tcPr>
          <w:p w14:paraId="7C151646"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Number of women accessing new products or services that potentially improve their access and control over HH and/or community productive resources</w:t>
            </w:r>
          </w:p>
        </w:tc>
        <w:tc>
          <w:tcPr>
            <w:tcW w:w="487" w:type="pct"/>
            <w:hideMark/>
          </w:tcPr>
          <w:p w14:paraId="50046441"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5386EFF2"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44</w:t>
            </w:r>
          </w:p>
        </w:tc>
        <w:tc>
          <w:tcPr>
            <w:tcW w:w="388" w:type="pct"/>
            <w:hideMark/>
          </w:tcPr>
          <w:p w14:paraId="7AB00B0D"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4EA4E064"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2641411C"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12</w:t>
            </w:r>
          </w:p>
        </w:tc>
        <w:tc>
          <w:tcPr>
            <w:tcW w:w="390" w:type="pct"/>
            <w:hideMark/>
          </w:tcPr>
          <w:p w14:paraId="306B8E6A"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102</w:t>
            </w:r>
          </w:p>
        </w:tc>
        <w:tc>
          <w:tcPr>
            <w:tcW w:w="437" w:type="pct"/>
            <w:hideMark/>
          </w:tcPr>
          <w:p w14:paraId="294337AD"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62</w:t>
            </w:r>
          </w:p>
        </w:tc>
        <w:tc>
          <w:tcPr>
            <w:tcW w:w="341" w:type="pct"/>
            <w:hideMark/>
          </w:tcPr>
          <w:p w14:paraId="12BBA00C"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77</w:t>
            </w:r>
          </w:p>
        </w:tc>
        <w:tc>
          <w:tcPr>
            <w:tcW w:w="415" w:type="pct"/>
            <w:hideMark/>
          </w:tcPr>
          <w:p w14:paraId="42F7A8AD"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100</w:t>
            </w:r>
          </w:p>
        </w:tc>
        <w:tc>
          <w:tcPr>
            <w:tcW w:w="403" w:type="pct"/>
            <w:hideMark/>
          </w:tcPr>
          <w:p w14:paraId="320ED728"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397</w:t>
            </w:r>
          </w:p>
        </w:tc>
      </w:tr>
      <w:tr w:rsidR="00BA3CD8" w:rsidRPr="00AC0B63" w14:paraId="4EDCC711" w14:textId="77777777" w:rsidTr="00C94C2A">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8" w:type="pct"/>
            <w:hideMark/>
          </w:tcPr>
          <w:p w14:paraId="647182B4"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9</w:t>
            </w:r>
          </w:p>
        </w:tc>
        <w:tc>
          <w:tcPr>
            <w:tcW w:w="910" w:type="pct"/>
            <w:shd w:val="clear" w:color="auto" w:fill="C4CFEF" w:themeFill="background2" w:themeFillTint="33"/>
            <w:hideMark/>
          </w:tcPr>
          <w:p w14:paraId="0E98ACD4"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Number of market actors providing new/improved product/services</w:t>
            </w:r>
          </w:p>
        </w:tc>
        <w:tc>
          <w:tcPr>
            <w:tcW w:w="487" w:type="pct"/>
            <w:hideMark/>
          </w:tcPr>
          <w:p w14:paraId="122AEA4E"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136B6909"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w:t>
            </w:r>
          </w:p>
        </w:tc>
        <w:tc>
          <w:tcPr>
            <w:tcW w:w="388" w:type="pct"/>
            <w:hideMark/>
          </w:tcPr>
          <w:p w14:paraId="1AA948AD"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7</w:t>
            </w:r>
          </w:p>
        </w:tc>
        <w:tc>
          <w:tcPr>
            <w:tcW w:w="390" w:type="pct"/>
            <w:hideMark/>
          </w:tcPr>
          <w:p w14:paraId="6B55D67C"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w:t>
            </w:r>
          </w:p>
        </w:tc>
        <w:tc>
          <w:tcPr>
            <w:tcW w:w="340" w:type="pct"/>
            <w:hideMark/>
          </w:tcPr>
          <w:p w14:paraId="57123161"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w:t>
            </w:r>
          </w:p>
        </w:tc>
        <w:tc>
          <w:tcPr>
            <w:tcW w:w="390" w:type="pct"/>
            <w:hideMark/>
          </w:tcPr>
          <w:p w14:paraId="6FFD4A73"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w:t>
            </w:r>
          </w:p>
        </w:tc>
        <w:tc>
          <w:tcPr>
            <w:tcW w:w="437" w:type="pct"/>
            <w:hideMark/>
          </w:tcPr>
          <w:p w14:paraId="631E136A"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w:t>
            </w:r>
          </w:p>
        </w:tc>
        <w:tc>
          <w:tcPr>
            <w:tcW w:w="341" w:type="pct"/>
            <w:hideMark/>
          </w:tcPr>
          <w:p w14:paraId="13DBAA3E"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w:t>
            </w:r>
          </w:p>
        </w:tc>
        <w:tc>
          <w:tcPr>
            <w:tcW w:w="415" w:type="pct"/>
            <w:hideMark/>
          </w:tcPr>
          <w:p w14:paraId="6D1ED31A"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w:t>
            </w:r>
          </w:p>
        </w:tc>
        <w:tc>
          <w:tcPr>
            <w:tcW w:w="403" w:type="pct"/>
            <w:hideMark/>
          </w:tcPr>
          <w:p w14:paraId="529590B1"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39</w:t>
            </w:r>
          </w:p>
        </w:tc>
      </w:tr>
      <w:tr w:rsidR="0059187B" w:rsidRPr="00AC0B63" w14:paraId="01B0A52E" w14:textId="77777777" w:rsidTr="00C94C2A">
        <w:trPr>
          <w:trHeight w:val="510"/>
        </w:trPr>
        <w:tc>
          <w:tcPr>
            <w:cnfStyle w:val="001000000000" w:firstRow="0" w:lastRow="0" w:firstColumn="1" w:lastColumn="0" w:oddVBand="0" w:evenVBand="0" w:oddHBand="0" w:evenHBand="0" w:firstRowFirstColumn="0" w:firstRowLastColumn="0" w:lastRowFirstColumn="0" w:lastRowLastColumn="0"/>
            <w:tcW w:w="158" w:type="pct"/>
            <w:hideMark/>
          </w:tcPr>
          <w:p w14:paraId="06CDBF2E"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10</w:t>
            </w:r>
          </w:p>
        </w:tc>
        <w:tc>
          <w:tcPr>
            <w:tcW w:w="910" w:type="pct"/>
            <w:shd w:val="clear" w:color="auto" w:fill="C4CFEF" w:themeFill="background2" w:themeFillTint="33"/>
            <w:hideMark/>
          </w:tcPr>
          <w:p w14:paraId="18FCAA5A"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Value of sales of value-added products (AUD)</w:t>
            </w:r>
          </w:p>
        </w:tc>
        <w:tc>
          <w:tcPr>
            <w:tcW w:w="487" w:type="pct"/>
            <w:hideMark/>
          </w:tcPr>
          <w:p w14:paraId="30200701"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57B96FB4" w14:textId="74641865"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124,338</w:t>
            </w:r>
          </w:p>
        </w:tc>
        <w:tc>
          <w:tcPr>
            <w:tcW w:w="388" w:type="pct"/>
            <w:hideMark/>
          </w:tcPr>
          <w:p w14:paraId="7FFF2B05" w14:textId="3F08C3F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291,000</w:t>
            </w:r>
          </w:p>
        </w:tc>
        <w:tc>
          <w:tcPr>
            <w:tcW w:w="390" w:type="pct"/>
            <w:hideMark/>
          </w:tcPr>
          <w:p w14:paraId="7B226ED3" w14:textId="4E52BC83"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260,503</w:t>
            </w:r>
          </w:p>
        </w:tc>
        <w:tc>
          <w:tcPr>
            <w:tcW w:w="340" w:type="pct"/>
            <w:hideMark/>
          </w:tcPr>
          <w:p w14:paraId="73029959" w14:textId="5716C900"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17,464</w:t>
            </w:r>
          </w:p>
        </w:tc>
        <w:tc>
          <w:tcPr>
            <w:tcW w:w="390" w:type="pct"/>
            <w:hideMark/>
          </w:tcPr>
          <w:p w14:paraId="45C1DF8C" w14:textId="2029F5EB"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199,736</w:t>
            </w:r>
          </w:p>
        </w:tc>
        <w:tc>
          <w:tcPr>
            <w:tcW w:w="437" w:type="pct"/>
            <w:hideMark/>
          </w:tcPr>
          <w:p w14:paraId="39A9CD36" w14:textId="04CC07F3"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22,563</w:t>
            </w:r>
          </w:p>
        </w:tc>
        <w:tc>
          <w:tcPr>
            <w:tcW w:w="341" w:type="pct"/>
            <w:hideMark/>
          </w:tcPr>
          <w:p w14:paraId="423251CE" w14:textId="2259A502"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1F7926BA" w14:textId="641C0C40"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83,501</w:t>
            </w:r>
          </w:p>
        </w:tc>
        <w:tc>
          <w:tcPr>
            <w:tcW w:w="403" w:type="pct"/>
            <w:hideMark/>
          </w:tcPr>
          <w:p w14:paraId="05CF6DB6" w14:textId="230EDAE1"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999,105</w:t>
            </w:r>
          </w:p>
        </w:tc>
      </w:tr>
      <w:tr w:rsidR="00BA3CD8" w:rsidRPr="00AC0B63" w14:paraId="6B67949B" w14:textId="77777777" w:rsidTr="00C94C2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8" w:type="pct"/>
            <w:hideMark/>
          </w:tcPr>
          <w:p w14:paraId="70BD82D1"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11</w:t>
            </w:r>
          </w:p>
        </w:tc>
        <w:tc>
          <w:tcPr>
            <w:tcW w:w="910" w:type="pct"/>
            <w:shd w:val="clear" w:color="auto" w:fill="C4CFEF" w:themeFill="background2" w:themeFillTint="33"/>
            <w:hideMark/>
          </w:tcPr>
          <w:p w14:paraId="765CA1DB"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Number of market actors expanding business</w:t>
            </w:r>
          </w:p>
        </w:tc>
        <w:tc>
          <w:tcPr>
            <w:tcW w:w="487" w:type="pct"/>
            <w:hideMark/>
          </w:tcPr>
          <w:p w14:paraId="5ABA4099"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364D191B"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w:t>
            </w:r>
          </w:p>
        </w:tc>
        <w:tc>
          <w:tcPr>
            <w:tcW w:w="388" w:type="pct"/>
            <w:hideMark/>
          </w:tcPr>
          <w:p w14:paraId="46C8ED63"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w:t>
            </w:r>
          </w:p>
        </w:tc>
        <w:tc>
          <w:tcPr>
            <w:tcW w:w="390" w:type="pct"/>
            <w:hideMark/>
          </w:tcPr>
          <w:p w14:paraId="2547BADF"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w:t>
            </w:r>
          </w:p>
        </w:tc>
        <w:tc>
          <w:tcPr>
            <w:tcW w:w="340" w:type="pct"/>
            <w:hideMark/>
          </w:tcPr>
          <w:p w14:paraId="4BD8B090"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w:t>
            </w:r>
          </w:p>
        </w:tc>
        <w:tc>
          <w:tcPr>
            <w:tcW w:w="390" w:type="pct"/>
            <w:hideMark/>
          </w:tcPr>
          <w:p w14:paraId="52FA5CF4"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w:t>
            </w:r>
          </w:p>
        </w:tc>
        <w:tc>
          <w:tcPr>
            <w:tcW w:w="437" w:type="pct"/>
            <w:hideMark/>
          </w:tcPr>
          <w:p w14:paraId="69CCD1E8"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w:t>
            </w:r>
          </w:p>
        </w:tc>
        <w:tc>
          <w:tcPr>
            <w:tcW w:w="341" w:type="pct"/>
            <w:hideMark/>
          </w:tcPr>
          <w:p w14:paraId="719DA63E"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w:t>
            </w:r>
          </w:p>
        </w:tc>
        <w:tc>
          <w:tcPr>
            <w:tcW w:w="415" w:type="pct"/>
            <w:hideMark/>
          </w:tcPr>
          <w:p w14:paraId="47FF871E"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w:t>
            </w:r>
          </w:p>
        </w:tc>
        <w:tc>
          <w:tcPr>
            <w:tcW w:w="403" w:type="pct"/>
            <w:hideMark/>
          </w:tcPr>
          <w:p w14:paraId="30EF67A3"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38</w:t>
            </w:r>
          </w:p>
        </w:tc>
      </w:tr>
      <w:tr w:rsidR="0059187B" w:rsidRPr="00AC0B63" w14:paraId="41DF9089" w14:textId="77777777" w:rsidTr="00C94C2A">
        <w:trPr>
          <w:trHeight w:val="300"/>
        </w:trPr>
        <w:tc>
          <w:tcPr>
            <w:cnfStyle w:val="001000000000" w:firstRow="0" w:lastRow="0" w:firstColumn="1" w:lastColumn="0" w:oddVBand="0" w:evenVBand="0" w:oddHBand="0" w:evenHBand="0" w:firstRowFirstColumn="0" w:firstRowLastColumn="0" w:lastRowFirstColumn="0" w:lastRowLastColumn="0"/>
            <w:tcW w:w="158" w:type="pct"/>
            <w:hideMark/>
          </w:tcPr>
          <w:p w14:paraId="7FBCE794"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12</w:t>
            </w:r>
          </w:p>
        </w:tc>
        <w:tc>
          <w:tcPr>
            <w:tcW w:w="910" w:type="pct"/>
            <w:shd w:val="clear" w:color="auto" w:fill="C4CFEF" w:themeFill="background2" w:themeFillTint="33"/>
            <w:hideMark/>
          </w:tcPr>
          <w:p w14:paraId="4BB46622"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Value of exports facilitated (AUD)</w:t>
            </w:r>
          </w:p>
        </w:tc>
        <w:tc>
          <w:tcPr>
            <w:tcW w:w="487" w:type="pct"/>
            <w:hideMark/>
          </w:tcPr>
          <w:p w14:paraId="62BEF7DF"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533817D4" w14:textId="0BEFA53C"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123,428</w:t>
            </w:r>
          </w:p>
        </w:tc>
        <w:tc>
          <w:tcPr>
            <w:tcW w:w="388" w:type="pct"/>
            <w:hideMark/>
          </w:tcPr>
          <w:p w14:paraId="29F6F67C" w14:textId="03A2AAD2"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188,244</w:t>
            </w:r>
          </w:p>
        </w:tc>
        <w:tc>
          <w:tcPr>
            <w:tcW w:w="390" w:type="pct"/>
            <w:hideMark/>
          </w:tcPr>
          <w:p w14:paraId="025ABE0E" w14:textId="127FDA5D"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6E39CBBE" w14:textId="4DE8CB5F"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3A4A1BC2" w14:textId="76CECE14"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29,385</w:t>
            </w:r>
          </w:p>
        </w:tc>
        <w:tc>
          <w:tcPr>
            <w:tcW w:w="437" w:type="pct"/>
            <w:hideMark/>
          </w:tcPr>
          <w:p w14:paraId="4817A2E4" w14:textId="76C4DBE9"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4DD0CE42" w14:textId="7935633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5E85941D" w14:textId="102C32A3"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03" w:type="pct"/>
            <w:hideMark/>
          </w:tcPr>
          <w:p w14:paraId="45900A15" w14:textId="0A9F6239"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341,057</w:t>
            </w:r>
          </w:p>
        </w:tc>
      </w:tr>
      <w:tr w:rsidR="00BA3CD8" w:rsidRPr="00AC0B63" w14:paraId="71F11674" w14:textId="77777777" w:rsidTr="00C94C2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8" w:type="pct"/>
            <w:hideMark/>
          </w:tcPr>
          <w:p w14:paraId="38B8A77E"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13</w:t>
            </w:r>
          </w:p>
        </w:tc>
        <w:tc>
          <w:tcPr>
            <w:tcW w:w="910" w:type="pct"/>
            <w:shd w:val="clear" w:color="auto" w:fill="C4CFEF" w:themeFill="background2" w:themeFillTint="33"/>
            <w:hideMark/>
          </w:tcPr>
          <w:p w14:paraId="223A551F"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 xml:space="preserve">Number of new foreign/domestic investments in the tourism sector </w:t>
            </w:r>
          </w:p>
        </w:tc>
        <w:tc>
          <w:tcPr>
            <w:tcW w:w="487" w:type="pct"/>
            <w:hideMark/>
          </w:tcPr>
          <w:p w14:paraId="32E04846"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6141803E"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w:t>
            </w:r>
          </w:p>
        </w:tc>
        <w:tc>
          <w:tcPr>
            <w:tcW w:w="388" w:type="pct"/>
            <w:hideMark/>
          </w:tcPr>
          <w:p w14:paraId="28E1AA0F"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7445CBA0"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w:t>
            </w:r>
          </w:p>
        </w:tc>
        <w:tc>
          <w:tcPr>
            <w:tcW w:w="340" w:type="pct"/>
            <w:hideMark/>
          </w:tcPr>
          <w:p w14:paraId="34A1B296"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3A4CE8E7"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338FB98A"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2BCDB1E2"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0D2E0146"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03" w:type="pct"/>
            <w:hideMark/>
          </w:tcPr>
          <w:p w14:paraId="38F3898F" w14:textId="7777777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5</w:t>
            </w:r>
          </w:p>
        </w:tc>
      </w:tr>
      <w:tr w:rsidR="00117DFB" w:rsidRPr="00AC0B63" w14:paraId="3D15002E" w14:textId="77777777" w:rsidTr="00C46B29">
        <w:trPr>
          <w:trHeight w:val="295"/>
        </w:trPr>
        <w:tc>
          <w:tcPr>
            <w:cnfStyle w:val="001000000000" w:firstRow="0" w:lastRow="0" w:firstColumn="1" w:lastColumn="0" w:oddVBand="0" w:evenVBand="0" w:oddHBand="0" w:evenHBand="0" w:firstRowFirstColumn="0" w:firstRowLastColumn="0" w:lastRowFirstColumn="0" w:lastRowLastColumn="0"/>
            <w:tcW w:w="158" w:type="pct"/>
            <w:vMerge w:val="restart"/>
            <w:hideMark/>
          </w:tcPr>
          <w:p w14:paraId="75D942E5" w14:textId="77777777" w:rsidR="00352891" w:rsidRPr="00AC0B63" w:rsidRDefault="00352891" w:rsidP="00FF5A35">
            <w:pPr>
              <w:keepNext/>
              <w:keepLines/>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14</w:t>
            </w:r>
          </w:p>
          <w:p w14:paraId="2AE83092" w14:textId="77777777" w:rsidR="00352891" w:rsidRPr="00AC0B63" w:rsidRDefault="00352891" w:rsidP="00FF5A35">
            <w:pPr>
              <w:keepNext/>
              <w:keepLines/>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48F7425F" w14:textId="289C21BD" w:rsidR="00352891" w:rsidRPr="00AC0B63" w:rsidRDefault="00352891" w:rsidP="00235B8A">
            <w:pPr>
              <w:keepLines/>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tc>
        <w:tc>
          <w:tcPr>
            <w:tcW w:w="910" w:type="pct"/>
            <w:vMerge w:val="restart"/>
            <w:shd w:val="clear" w:color="auto" w:fill="C4CFEF" w:themeFill="background2" w:themeFillTint="33"/>
            <w:hideMark/>
          </w:tcPr>
          <w:p w14:paraId="0DD59594" w14:textId="77777777" w:rsidR="00352891" w:rsidRPr="00AC0B63" w:rsidRDefault="00352891" w:rsidP="00235B8A">
            <w:pPr>
              <w:keepLine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Number of additional visitors to Solomon Island tourism operator sites as a result of Strongim Bisnis interventions</w:t>
            </w:r>
          </w:p>
        </w:tc>
        <w:tc>
          <w:tcPr>
            <w:tcW w:w="487" w:type="pct"/>
            <w:hideMark/>
          </w:tcPr>
          <w:p w14:paraId="55D7F61A" w14:textId="77777777" w:rsidR="00352891" w:rsidRPr="00AC0B63" w:rsidRDefault="00352891" w:rsidP="00235B8A">
            <w:p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59092B25"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w:t>
            </w:r>
          </w:p>
        </w:tc>
        <w:tc>
          <w:tcPr>
            <w:tcW w:w="388" w:type="pct"/>
            <w:hideMark/>
          </w:tcPr>
          <w:p w14:paraId="4FC91344"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6FF4F5F6"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1114</w:t>
            </w:r>
          </w:p>
        </w:tc>
        <w:tc>
          <w:tcPr>
            <w:tcW w:w="340" w:type="pct"/>
            <w:hideMark/>
          </w:tcPr>
          <w:p w14:paraId="238CCB8A"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6B6939A2"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3ED4E726"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08B47AD8"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0ED96260"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03" w:type="pct"/>
            <w:hideMark/>
          </w:tcPr>
          <w:p w14:paraId="449FAF4D"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1119</w:t>
            </w:r>
          </w:p>
        </w:tc>
      </w:tr>
      <w:tr w:rsidR="00BA3CD8" w:rsidRPr="00AC0B63" w14:paraId="34938AE1" w14:textId="77777777" w:rsidTr="00C46B29">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8" w:type="pct"/>
            <w:vMerge/>
            <w:hideMark/>
          </w:tcPr>
          <w:p w14:paraId="69B4AB11" w14:textId="1C823184" w:rsidR="00352891" w:rsidRPr="00AC0B63" w:rsidRDefault="00352891" w:rsidP="00235B8A">
            <w:pPr>
              <w:keepLines/>
              <w:spacing w:after="0" w:line="240" w:lineRule="auto"/>
              <w:rPr>
                <w:rFonts w:ascii="Franklin Gothic Book" w:eastAsia="Times New Roman" w:hAnsi="Franklin Gothic Book"/>
                <w:color w:val="212121"/>
                <w:sz w:val="18"/>
                <w:szCs w:val="18"/>
              </w:rPr>
            </w:pPr>
          </w:p>
        </w:tc>
        <w:tc>
          <w:tcPr>
            <w:tcW w:w="910" w:type="pct"/>
            <w:vMerge/>
            <w:hideMark/>
          </w:tcPr>
          <w:p w14:paraId="321BB702" w14:textId="77777777" w:rsidR="00352891" w:rsidRPr="00AC0B63" w:rsidRDefault="00352891" w:rsidP="00235B8A">
            <w:pPr>
              <w:keepLine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6C48A7A2" w14:textId="4D6E3FD7" w:rsidR="00352891" w:rsidRPr="00AC0B63" w:rsidRDefault="00352891" w:rsidP="00235B8A">
            <w:pPr>
              <w:keepLines/>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International</w:t>
            </w:r>
          </w:p>
        </w:tc>
        <w:tc>
          <w:tcPr>
            <w:tcW w:w="341" w:type="pct"/>
            <w:hideMark/>
          </w:tcPr>
          <w:p w14:paraId="3A53DEDF"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w:t>
            </w:r>
          </w:p>
        </w:tc>
        <w:tc>
          <w:tcPr>
            <w:tcW w:w="388" w:type="pct"/>
            <w:hideMark/>
          </w:tcPr>
          <w:p w14:paraId="3E99F5F1"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337CEBBA"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135</w:t>
            </w:r>
          </w:p>
        </w:tc>
        <w:tc>
          <w:tcPr>
            <w:tcW w:w="340" w:type="pct"/>
            <w:hideMark/>
          </w:tcPr>
          <w:p w14:paraId="5A6C1BDB"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00757FDF"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36B74349"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2F9D26FB"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3AED39DC"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03" w:type="pct"/>
            <w:hideMark/>
          </w:tcPr>
          <w:p w14:paraId="39D17C1F" w14:textId="77777777" w:rsidR="00352891" w:rsidRPr="00AC0B63" w:rsidRDefault="00352891" w:rsidP="00235B8A">
            <w:pPr>
              <w:keepLine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140</w:t>
            </w:r>
          </w:p>
        </w:tc>
      </w:tr>
      <w:tr w:rsidR="00117DFB" w:rsidRPr="00AC0B63" w14:paraId="3FC1CE3B" w14:textId="77777777" w:rsidTr="00C46B29">
        <w:trPr>
          <w:trHeight w:val="406"/>
        </w:trPr>
        <w:tc>
          <w:tcPr>
            <w:cnfStyle w:val="001000000000" w:firstRow="0" w:lastRow="0" w:firstColumn="1" w:lastColumn="0" w:oddVBand="0" w:evenVBand="0" w:oddHBand="0" w:evenHBand="0" w:firstRowFirstColumn="0" w:firstRowLastColumn="0" w:lastRowFirstColumn="0" w:lastRowLastColumn="0"/>
            <w:tcW w:w="158" w:type="pct"/>
            <w:vMerge/>
            <w:hideMark/>
          </w:tcPr>
          <w:p w14:paraId="1B439682" w14:textId="015C500B" w:rsidR="00352891" w:rsidRPr="00AC0B63" w:rsidRDefault="00352891" w:rsidP="00235B8A">
            <w:pPr>
              <w:keepLines/>
              <w:spacing w:after="0" w:line="240" w:lineRule="auto"/>
              <w:rPr>
                <w:rFonts w:ascii="Franklin Gothic Book" w:eastAsia="Times New Roman" w:hAnsi="Franklin Gothic Book"/>
                <w:color w:val="212121"/>
                <w:sz w:val="18"/>
                <w:szCs w:val="18"/>
              </w:rPr>
            </w:pPr>
          </w:p>
        </w:tc>
        <w:tc>
          <w:tcPr>
            <w:tcW w:w="910" w:type="pct"/>
            <w:vMerge/>
            <w:hideMark/>
          </w:tcPr>
          <w:p w14:paraId="7644527F" w14:textId="77777777" w:rsidR="00352891" w:rsidRPr="00AC0B63" w:rsidRDefault="00352891" w:rsidP="00235B8A">
            <w:pPr>
              <w:keepLine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361DCED1" w14:textId="77777777" w:rsidR="00352891" w:rsidRPr="00AC0B63" w:rsidRDefault="00352891" w:rsidP="00235B8A">
            <w:pPr>
              <w:keepLine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Domestic</w:t>
            </w:r>
          </w:p>
        </w:tc>
        <w:tc>
          <w:tcPr>
            <w:tcW w:w="341" w:type="pct"/>
            <w:hideMark/>
          </w:tcPr>
          <w:p w14:paraId="30940B5B"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88" w:type="pct"/>
            <w:hideMark/>
          </w:tcPr>
          <w:p w14:paraId="3A847D52"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07C895C6"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979</w:t>
            </w:r>
          </w:p>
        </w:tc>
        <w:tc>
          <w:tcPr>
            <w:tcW w:w="340" w:type="pct"/>
            <w:hideMark/>
          </w:tcPr>
          <w:p w14:paraId="35267E62"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20CB4AF2"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3206FB7C"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50EA8828"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507644A4"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03" w:type="pct"/>
            <w:hideMark/>
          </w:tcPr>
          <w:p w14:paraId="643426CF" w14:textId="77777777" w:rsidR="00352891" w:rsidRPr="00AC0B63" w:rsidRDefault="00352891" w:rsidP="00235B8A">
            <w:pPr>
              <w:keepLine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979</w:t>
            </w:r>
          </w:p>
        </w:tc>
      </w:tr>
      <w:tr w:rsidR="00BA3CD8" w:rsidRPr="00AC0B63" w14:paraId="4238C7D9" w14:textId="77777777" w:rsidTr="00C94C2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8" w:type="pct"/>
            <w:hideMark/>
          </w:tcPr>
          <w:p w14:paraId="09119104"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15</w:t>
            </w:r>
          </w:p>
        </w:tc>
        <w:tc>
          <w:tcPr>
            <w:tcW w:w="910" w:type="pct"/>
            <w:shd w:val="clear" w:color="auto" w:fill="C4CFEF" w:themeFill="background2" w:themeFillTint="33"/>
            <w:hideMark/>
          </w:tcPr>
          <w:p w14:paraId="3072369F"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 xml:space="preserve">Value of credit disbursed to beneficiaries (AUD) </w:t>
            </w:r>
          </w:p>
        </w:tc>
        <w:tc>
          <w:tcPr>
            <w:tcW w:w="487" w:type="pct"/>
            <w:hideMark/>
          </w:tcPr>
          <w:p w14:paraId="28A64A55" w14:textId="77777777" w:rsidR="00ED6630" w:rsidRPr="00AC0B63" w:rsidRDefault="00ED6630"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0E7E5DD2" w14:textId="1F87D15E"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88" w:type="pct"/>
            <w:hideMark/>
          </w:tcPr>
          <w:p w14:paraId="20E20AF2" w14:textId="3877C084"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1ACAAE99" w14:textId="652158B9"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6C98DE66" w14:textId="4B55AA11"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3F98DF73" w14:textId="306A277E"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66C103EF" w14:textId="7379D407"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15C0DAC4" w14:textId="23C806C8"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22955D1C" w14:textId="4BB8F269"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20,765</w:t>
            </w:r>
          </w:p>
        </w:tc>
        <w:tc>
          <w:tcPr>
            <w:tcW w:w="403" w:type="pct"/>
            <w:hideMark/>
          </w:tcPr>
          <w:p w14:paraId="5721AEB9" w14:textId="11387220" w:rsidR="00ED6630" w:rsidRPr="00AC0B63" w:rsidRDefault="00ED6630"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20,765</w:t>
            </w:r>
          </w:p>
        </w:tc>
      </w:tr>
      <w:tr w:rsidR="0059187B" w:rsidRPr="00AC0B63" w14:paraId="37E4ECA1" w14:textId="77777777" w:rsidTr="00C94C2A">
        <w:trPr>
          <w:trHeight w:val="429"/>
        </w:trPr>
        <w:tc>
          <w:tcPr>
            <w:cnfStyle w:val="001000000000" w:firstRow="0" w:lastRow="0" w:firstColumn="1" w:lastColumn="0" w:oddVBand="0" w:evenVBand="0" w:oddHBand="0" w:evenHBand="0" w:firstRowFirstColumn="0" w:firstRowLastColumn="0" w:lastRowFirstColumn="0" w:lastRowLastColumn="0"/>
            <w:tcW w:w="158" w:type="pct"/>
            <w:vMerge w:val="restart"/>
            <w:hideMark/>
          </w:tcPr>
          <w:p w14:paraId="40E95C36"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16</w:t>
            </w:r>
          </w:p>
          <w:p w14:paraId="53834EB2"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6F6EDCA6"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1757A51A" w14:textId="0B13D248"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tc>
        <w:tc>
          <w:tcPr>
            <w:tcW w:w="910" w:type="pct"/>
            <w:vMerge w:val="restart"/>
            <w:shd w:val="clear" w:color="auto" w:fill="C4CFEF" w:themeFill="background2" w:themeFillTint="33"/>
            <w:hideMark/>
          </w:tcPr>
          <w:p w14:paraId="0E798598" w14:textId="49BC9DA9" w:rsidR="00352891" w:rsidRPr="00AC0B63" w:rsidRDefault="4DDA0A19" w:rsidP="081233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rPr>
            </w:pPr>
            <w:r w:rsidRPr="08123348">
              <w:rPr>
                <w:rFonts w:ascii="Calibri" w:eastAsia="Times New Roman" w:hAnsi="Calibri"/>
                <w:b/>
                <w:bCs/>
              </w:rPr>
              <w:t xml:space="preserve">Number of recipients of capacity building support (Disaggregated by women, youth and </w:t>
            </w:r>
            <w:r w:rsidR="549BDFEF" w:rsidRPr="08123348">
              <w:rPr>
                <w:rFonts w:ascii="Calibri" w:eastAsia="Times New Roman" w:hAnsi="Calibri"/>
                <w:b/>
                <w:bCs/>
              </w:rPr>
              <w:t>PWD</w:t>
            </w:r>
            <w:r w:rsidRPr="08123348">
              <w:rPr>
                <w:rFonts w:ascii="Calibri" w:eastAsia="Times New Roman" w:hAnsi="Calibri"/>
                <w:b/>
                <w:bCs/>
              </w:rPr>
              <w:t>)</w:t>
            </w:r>
          </w:p>
        </w:tc>
        <w:tc>
          <w:tcPr>
            <w:tcW w:w="487" w:type="pct"/>
            <w:hideMark/>
          </w:tcPr>
          <w:p w14:paraId="6706CF97"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0B56B69D"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200</w:t>
            </w:r>
          </w:p>
        </w:tc>
        <w:tc>
          <w:tcPr>
            <w:tcW w:w="388" w:type="pct"/>
            <w:hideMark/>
          </w:tcPr>
          <w:p w14:paraId="18A867F3"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0FA890A0"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552</w:t>
            </w:r>
          </w:p>
        </w:tc>
        <w:tc>
          <w:tcPr>
            <w:tcW w:w="340" w:type="pct"/>
            <w:hideMark/>
          </w:tcPr>
          <w:p w14:paraId="50C0F835"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28</w:t>
            </w:r>
          </w:p>
        </w:tc>
        <w:tc>
          <w:tcPr>
            <w:tcW w:w="390" w:type="pct"/>
            <w:hideMark/>
          </w:tcPr>
          <w:p w14:paraId="15FED7EE"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932</w:t>
            </w:r>
          </w:p>
        </w:tc>
        <w:tc>
          <w:tcPr>
            <w:tcW w:w="437" w:type="pct"/>
            <w:hideMark/>
          </w:tcPr>
          <w:p w14:paraId="6CAE94A8"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48</w:t>
            </w:r>
          </w:p>
        </w:tc>
        <w:tc>
          <w:tcPr>
            <w:tcW w:w="341" w:type="pct"/>
            <w:hideMark/>
          </w:tcPr>
          <w:p w14:paraId="0089F103"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12</w:t>
            </w:r>
          </w:p>
        </w:tc>
        <w:tc>
          <w:tcPr>
            <w:tcW w:w="415" w:type="pct"/>
            <w:hideMark/>
          </w:tcPr>
          <w:p w14:paraId="46EFBCD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425</w:t>
            </w:r>
          </w:p>
        </w:tc>
        <w:tc>
          <w:tcPr>
            <w:tcW w:w="403" w:type="pct"/>
            <w:hideMark/>
          </w:tcPr>
          <w:p w14:paraId="762D034F"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2197</w:t>
            </w:r>
          </w:p>
        </w:tc>
      </w:tr>
      <w:tr w:rsidR="00BA3CD8" w:rsidRPr="00AC0B63" w14:paraId="2581BB2D" w14:textId="77777777" w:rsidTr="00C94C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6456AAF0" w14:textId="3B134A0A"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5562D972"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4C3CCC7F"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Women</w:t>
            </w:r>
          </w:p>
        </w:tc>
        <w:tc>
          <w:tcPr>
            <w:tcW w:w="341" w:type="pct"/>
            <w:hideMark/>
          </w:tcPr>
          <w:p w14:paraId="537DF50F"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81</w:t>
            </w:r>
          </w:p>
        </w:tc>
        <w:tc>
          <w:tcPr>
            <w:tcW w:w="388" w:type="pct"/>
            <w:hideMark/>
          </w:tcPr>
          <w:p w14:paraId="222F20E2"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050D4F2E"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210</w:t>
            </w:r>
          </w:p>
        </w:tc>
        <w:tc>
          <w:tcPr>
            <w:tcW w:w="340" w:type="pct"/>
            <w:hideMark/>
          </w:tcPr>
          <w:p w14:paraId="6AA3395A"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w:t>
            </w:r>
          </w:p>
        </w:tc>
        <w:tc>
          <w:tcPr>
            <w:tcW w:w="390" w:type="pct"/>
            <w:hideMark/>
          </w:tcPr>
          <w:p w14:paraId="12DC20E4"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230</w:t>
            </w:r>
          </w:p>
        </w:tc>
        <w:tc>
          <w:tcPr>
            <w:tcW w:w="437" w:type="pct"/>
            <w:hideMark/>
          </w:tcPr>
          <w:p w14:paraId="21E69396"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28</w:t>
            </w:r>
          </w:p>
        </w:tc>
        <w:tc>
          <w:tcPr>
            <w:tcW w:w="341" w:type="pct"/>
            <w:hideMark/>
          </w:tcPr>
          <w:p w14:paraId="25B8A348"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w:t>
            </w:r>
          </w:p>
        </w:tc>
        <w:tc>
          <w:tcPr>
            <w:tcW w:w="415" w:type="pct"/>
            <w:hideMark/>
          </w:tcPr>
          <w:p w14:paraId="375CC711"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306</w:t>
            </w:r>
          </w:p>
        </w:tc>
        <w:tc>
          <w:tcPr>
            <w:tcW w:w="403" w:type="pct"/>
            <w:hideMark/>
          </w:tcPr>
          <w:p w14:paraId="7D4D9CB5"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877</w:t>
            </w:r>
          </w:p>
        </w:tc>
      </w:tr>
      <w:tr w:rsidR="0059187B" w:rsidRPr="00AC0B63" w14:paraId="0E0D74C6" w14:textId="77777777" w:rsidTr="00C94C2A">
        <w:trPr>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7CF664B7" w14:textId="00E42673"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1B7CDC02"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20110202"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Youth</w:t>
            </w:r>
          </w:p>
        </w:tc>
        <w:tc>
          <w:tcPr>
            <w:tcW w:w="341" w:type="pct"/>
            <w:hideMark/>
          </w:tcPr>
          <w:p w14:paraId="4786D2EE"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50</w:t>
            </w:r>
          </w:p>
        </w:tc>
        <w:tc>
          <w:tcPr>
            <w:tcW w:w="388" w:type="pct"/>
            <w:hideMark/>
          </w:tcPr>
          <w:p w14:paraId="1A56C3E3"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0DA5A3A0"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2682E188"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w:t>
            </w:r>
          </w:p>
        </w:tc>
        <w:tc>
          <w:tcPr>
            <w:tcW w:w="390" w:type="pct"/>
            <w:hideMark/>
          </w:tcPr>
          <w:p w14:paraId="0612DEEC"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92</w:t>
            </w:r>
          </w:p>
        </w:tc>
        <w:tc>
          <w:tcPr>
            <w:tcW w:w="437" w:type="pct"/>
            <w:hideMark/>
          </w:tcPr>
          <w:p w14:paraId="1CFEC646"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28</w:t>
            </w:r>
          </w:p>
        </w:tc>
        <w:tc>
          <w:tcPr>
            <w:tcW w:w="341" w:type="pct"/>
            <w:hideMark/>
          </w:tcPr>
          <w:p w14:paraId="75092A4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w:t>
            </w:r>
          </w:p>
        </w:tc>
        <w:tc>
          <w:tcPr>
            <w:tcW w:w="415" w:type="pct"/>
            <w:hideMark/>
          </w:tcPr>
          <w:p w14:paraId="7BA8684B"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142</w:t>
            </w:r>
          </w:p>
        </w:tc>
        <w:tc>
          <w:tcPr>
            <w:tcW w:w="403" w:type="pct"/>
            <w:hideMark/>
          </w:tcPr>
          <w:p w14:paraId="06B5F891" w14:textId="7777777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326</w:t>
            </w:r>
          </w:p>
        </w:tc>
      </w:tr>
      <w:tr w:rsidR="00BA3CD8" w:rsidRPr="00AC0B63" w14:paraId="7D3FB3B4" w14:textId="77777777" w:rsidTr="00C94C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354575D8" w14:textId="31CCF539"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163BA353"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08F557EF" w14:textId="209B325F" w:rsidR="00352891" w:rsidRPr="00AC0B63" w:rsidRDefault="549BDFEF" w:rsidP="08123348">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8123348">
              <w:rPr>
                <w:rFonts w:ascii="Calibri" w:eastAsia="Times New Roman" w:hAnsi="Calibri"/>
              </w:rPr>
              <w:t>PWD</w:t>
            </w:r>
          </w:p>
        </w:tc>
        <w:tc>
          <w:tcPr>
            <w:tcW w:w="341" w:type="pct"/>
            <w:hideMark/>
          </w:tcPr>
          <w:p w14:paraId="473B28D1"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88" w:type="pct"/>
            <w:hideMark/>
          </w:tcPr>
          <w:p w14:paraId="4399AE38"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79BD8171"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761BC9DA"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231BAF80"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37" w:type="pct"/>
            <w:hideMark/>
          </w:tcPr>
          <w:p w14:paraId="78288C5A"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1" w:type="pct"/>
            <w:hideMark/>
          </w:tcPr>
          <w:p w14:paraId="469D4424"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1A4C0534"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13</w:t>
            </w:r>
          </w:p>
        </w:tc>
        <w:tc>
          <w:tcPr>
            <w:tcW w:w="403" w:type="pct"/>
            <w:hideMark/>
          </w:tcPr>
          <w:p w14:paraId="7170537C" w14:textId="77777777"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13</w:t>
            </w:r>
          </w:p>
        </w:tc>
      </w:tr>
      <w:tr w:rsidR="0059187B" w:rsidRPr="00AC0B63" w14:paraId="0C2355AA" w14:textId="77777777" w:rsidTr="00593A3B">
        <w:trPr>
          <w:trHeight w:val="387"/>
        </w:trPr>
        <w:tc>
          <w:tcPr>
            <w:cnfStyle w:val="001000000000" w:firstRow="0" w:lastRow="0" w:firstColumn="1" w:lastColumn="0" w:oddVBand="0" w:evenVBand="0" w:oddHBand="0" w:evenHBand="0" w:firstRowFirstColumn="0" w:firstRowLastColumn="0" w:lastRowFirstColumn="0" w:lastRowLastColumn="0"/>
            <w:tcW w:w="158" w:type="pct"/>
            <w:hideMark/>
          </w:tcPr>
          <w:p w14:paraId="0FDE03BE"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19</w:t>
            </w:r>
          </w:p>
        </w:tc>
        <w:tc>
          <w:tcPr>
            <w:tcW w:w="910" w:type="pct"/>
            <w:shd w:val="clear" w:color="auto" w:fill="C4CFEF" w:themeFill="background2" w:themeFillTint="33"/>
            <w:hideMark/>
          </w:tcPr>
          <w:p w14:paraId="328B7B7F" w14:textId="4C2F9A39"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 xml:space="preserve">Number of market actors supported by </w:t>
            </w:r>
            <w:r w:rsidR="00593A3B">
              <w:rPr>
                <w:rFonts w:ascii="Calibri" w:eastAsia="Times New Roman" w:hAnsi="Calibri"/>
                <w:b/>
                <w:bCs/>
                <w:color w:val="000000"/>
                <w:szCs w:val="20"/>
              </w:rPr>
              <w:t>SB</w:t>
            </w:r>
          </w:p>
        </w:tc>
        <w:tc>
          <w:tcPr>
            <w:tcW w:w="487" w:type="pct"/>
            <w:hideMark/>
          </w:tcPr>
          <w:p w14:paraId="2C0D90FA"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1F7F987F"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w:t>
            </w:r>
          </w:p>
        </w:tc>
        <w:tc>
          <w:tcPr>
            <w:tcW w:w="388" w:type="pct"/>
            <w:hideMark/>
          </w:tcPr>
          <w:p w14:paraId="7D09F329"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w:t>
            </w:r>
          </w:p>
        </w:tc>
        <w:tc>
          <w:tcPr>
            <w:tcW w:w="390" w:type="pct"/>
            <w:hideMark/>
          </w:tcPr>
          <w:p w14:paraId="01C2607D"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w:t>
            </w:r>
          </w:p>
        </w:tc>
        <w:tc>
          <w:tcPr>
            <w:tcW w:w="340" w:type="pct"/>
            <w:hideMark/>
          </w:tcPr>
          <w:p w14:paraId="18FC40CD"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w:t>
            </w:r>
          </w:p>
        </w:tc>
        <w:tc>
          <w:tcPr>
            <w:tcW w:w="390" w:type="pct"/>
            <w:hideMark/>
          </w:tcPr>
          <w:p w14:paraId="204EC474"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w:t>
            </w:r>
          </w:p>
        </w:tc>
        <w:tc>
          <w:tcPr>
            <w:tcW w:w="437" w:type="pct"/>
            <w:hideMark/>
          </w:tcPr>
          <w:p w14:paraId="08D367AB"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w:t>
            </w:r>
          </w:p>
        </w:tc>
        <w:tc>
          <w:tcPr>
            <w:tcW w:w="341" w:type="pct"/>
            <w:hideMark/>
          </w:tcPr>
          <w:p w14:paraId="313CB036"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w:t>
            </w:r>
          </w:p>
        </w:tc>
        <w:tc>
          <w:tcPr>
            <w:tcW w:w="415" w:type="pct"/>
            <w:hideMark/>
          </w:tcPr>
          <w:p w14:paraId="0040DE17" w14:textId="4DA45952" w:rsidR="00ED6630" w:rsidRPr="00AC0B63" w:rsidRDefault="00BC2717"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Pr>
                <w:rFonts w:ascii="Calibri" w:eastAsia="Times New Roman" w:hAnsi="Calibri"/>
                <w:color w:val="000000"/>
                <w:szCs w:val="20"/>
              </w:rPr>
              <w:t>0</w:t>
            </w:r>
          </w:p>
        </w:tc>
        <w:tc>
          <w:tcPr>
            <w:tcW w:w="403" w:type="pct"/>
            <w:hideMark/>
          </w:tcPr>
          <w:p w14:paraId="5394BCFF" w14:textId="7777777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33</w:t>
            </w:r>
          </w:p>
        </w:tc>
      </w:tr>
      <w:tr w:rsidR="00BA3CD8" w:rsidRPr="00AC0B63" w14:paraId="6C11D09F" w14:textId="77777777" w:rsidTr="00C94C2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58" w:type="pct"/>
            <w:vMerge w:val="restart"/>
            <w:hideMark/>
          </w:tcPr>
          <w:p w14:paraId="7BF4131E"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20</w:t>
            </w:r>
          </w:p>
          <w:p w14:paraId="5D8E5192" w14:textId="77777777"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p w14:paraId="429A0026" w14:textId="37DC28A1" w:rsidR="00352891" w:rsidRPr="00AC0B63" w:rsidRDefault="00352891"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tc>
        <w:tc>
          <w:tcPr>
            <w:tcW w:w="910" w:type="pct"/>
            <w:vMerge w:val="restart"/>
            <w:shd w:val="clear" w:color="auto" w:fill="C4CFEF" w:themeFill="background2" w:themeFillTint="33"/>
            <w:hideMark/>
          </w:tcPr>
          <w:p w14:paraId="2C5A428A"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Contributions (financial and non-financial) by market actors (AUD)</w:t>
            </w:r>
          </w:p>
        </w:tc>
        <w:tc>
          <w:tcPr>
            <w:tcW w:w="487" w:type="pct"/>
            <w:hideMark/>
          </w:tcPr>
          <w:p w14:paraId="1DB77CA8"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Aggregate</w:t>
            </w:r>
          </w:p>
        </w:tc>
        <w:tc>
          <w:tcPr>
            <w:tcW w:w="341" w:type="pct"/>
            <w:hideMark/>
          </w:tcPr>
          <w:p w14:paraId="2335E850" w14:textId="2C34B000"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80,133</w:t>
            </w:r>
          </w:p>
        </w:tc>
        <w:tc>
          <w:tcPr>
            <w:tcW w:w="388" w:type="pct"/>
            <w:hideMark/>
          </w:tcPr>
          <w:p w14:paraId="661E1023" w14:textId="7C50B48E"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133,973</w:t>
            </w:r>
          </w:p>
        </w:tc>
        <w:tc>
          <w:tcPr>
            <w:tcW w:w="390" w:type="pct"/>
            <w:hideMark/>
          </w:tcPr>
          <w:p w14:paraId="2A5E0F12" w14:textId="3F2BB382"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347,752</w:t>
            </w:r>
          </w:p>
        </w:tc>
        <w:tc>
          <w:tcPr>
            <w:tcW w:w="340" w:type="pct"/>
            <w:hideMark/>
          </w:tcPr>
          <w:p w14:paraId="7574DEC8" w14:textId="0A9248E3"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30,368</w:t>
            </w:r>
          </w:p>
        </w:tc>
        <w:tc>
          <w:tcPr>
            <w:tcW w:w="390" w:type="pct"/>
            <w:hideMark/>
          </w:tcPr>
          <w:p w14:paraId="1F93962B" w14:textId="2902EAF5"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115,817</w:t>
            </w:r>
          </w:p>
        </w:tc>
        <w:tc>
          <w:tcPr>
            <w:tcW w:w="437" w:type="pct"/>
            <w:hideMark/>
          </w:tcPr>
          <w:p w14:paraId="7BF4BEAB" w14:textId="6FFC7F36"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112,926</w:t>
            </w:r>
          </w:p>
        </w:tc>
        <w:tc>
          <w:tcPr>
            <w:tcW w:w="341" w:type="pct"/>
            <w:hideMark/>
          </w:tcPr>
          <w:p w14:paraId="77439829" w14:textId="44A91C06"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635</w:t>
            </w:r>
          </w:p>
        </w:tc>
        <w:tc>
          <w:tcPr>
            <w:tcW w:w="415" w:type="pct"/>
            <w:hideMark/>
          </w:tcPr>
          <w:p w14:paraId="7731486A" w14:textId="26A4F11E"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298,972</w:t>
            </w:r>
          </w:p>
        </w:tc>
        <w:tc>
          <w:tcPr>
            <w:tcW w:w="403" w:type="pct"/>
            <w:hideMark/>
          </w:tcPr>
          <w:p w14:paraId="38B3FD86" w14:textId="20C2C4B2"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1,120,575</w:t>
            </w:r>
          </w:p>
        </w:tc>
      </w:tr>
      <w:tr w:rsidR="0059187B" w:rsidRPr="00AC0B63" w14:paraId="68D62319" w14:textId="77777777" w:rsidTr="00C94C2A">
        <w:trPr>
          <w:trHeight w:val="300"/>
        </w:trPr>
        <w:tc>
          <w:tcPr>
            <w:cnfStyle w:val="001000000000" w:firstRow="0" w:lastRow="0" w:firstColumn="1" w:lastColumn="0" w:oddVBand="0" w:evenVBand="0" w:oddHBand="0" w:evenHBand="0" w:firstRowFirstColumn="0" w:firstRowLastColumn="0" w:lastRowFirstColumn="0" w:lastRowLastColumn="0"/>
            <w:tcW w:w="158" w:type="pct"/>
            <w:vMerge/>
            <w:hideMark/>
          </w:tcPr>
          <w:p w14:paraId="027D66E4" w14:textId="6DAE7B94"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121E464A"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2E7B4A1E" w14:textId="77777777" w:rsidR="00352891" w:rsidRPr="00AC0B63" w:rsidRDefault="00352891"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Financial</w:t>
            </w:r>
          </w:p>
        </w:tc>
        <w:tc>
          <w:tcPr>
            <w:tcW w:w="341" w:type="pct"/>
            <w:hideMark/>
          </w:tcPr>
          <w:p w14:paraId="4AD73471" w14:textId="6B00AE5D"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80,133</w:t>
            </w:r>
          </w:p>
        </w:tc>
        <w:tc>
          <w:tcPr>
            <w:tcW w:w="388" w:type="pct"/>
            <w:hideMark/>
          </w:tcPr>
          <w:p w14:paraId="3D03C132" w14:textId="142E0D7D"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133,973</w:t>
            </w:r>
          </w:p>
        </w:tc>
        <w:tc>
          <w:tcPr>
            <w:tcW w:w="390" w:type="pct"/>
            <w:hideMark/>
          </w:tcPr>
          <w:p w14:paraId="54177574" w14:textId="45C836DF"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347,752</w:t>
            </w:r>
          </w:p>
        </w:tc>
        <w:tc>
          <w:tcPr>
            <w:tcW w:w="340" w:type="pct"/>
            <w:hideMark/>
          </w:tcPr>
          <w:p w14:paraId="2301B843" w14:textId="2CEDE746"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30,368</w:t>
            </w:r>
          </w:p>
        </w:tc>
        <w:tc>
          <w:tcPr>
            <w:tcW w:w="390" w:type="pct"/>
            <w:hideMark/>
          </w:tcPr>
          <w:p w14:paraId="1406A302" w14:textId="3DCE2F3D"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114,458</w:t>
            </w:r>
          </w:p>
        </w:tc>
        <w:tc>
          <w:tcPr>
            <w:tcW w:w="437" w:type="pct"/>
            <w:hideMark/>
          </w:tcPr>
          <w:p w14:paraId="5DA82DD6" w14:textId="29F70397"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108,426</w:t>
            </w:r>
          </w:p>
        </w:tc>
        <w:tc>
          <w:tcPr>
            <w:tcW w:w="341" w:type="pct"/>
            <w:hideMark/>
          </w:tcPr>
          <w:p w14:paraId="17F347BB" w14:textId="045175D3"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635</w:t>
            </w:r>
          </w:p>
        </w:tc>
        <w:tc>
          <w:tcPr>
            <w:tcW w:w="415" w:type="pct"/>
            <w:hideMark/>
          </w:tcPr>
          <w:p w14:paraId="6B13945E" w14:textId="4421DB72"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38,029</w:t>
            </w:r>
          </w:p>
        </w:tc>
        <w:tc>
          <w:tcPr>
            <w:tcW w:w="403" w:type="pct"/>
            <w:hideMark/>
          </w:tcPr>
          <w:p w14:paraId="692FC645" w14:textId="61EC7C4E" w:rsidR="00352891" w:rsidRPr="00AC0B63" w:rsidRDefault="00352891"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853,773</w:t>
            </w:r>
          </w:p>
        </w:tc>
      </w:tr>
      <w:tr w:rsidR="00BA3CD8" w:rsidRPr="00AC0B63" w14:paraId="6F15FAD5" w14:textId="77777777" w:rsidTr="00593A3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58" w:type="pct"/>
            <w:vMerge/>
            <w:hideMark/>
          </w:tcPr>
          <w:p w14:paraId="7A0D74B5" w14:textId="5B545977" w:rsidR="00352891" w:rsidRPr="00AC0B63" w:rsidRDefault="00352891" w:rsidP="00AC0B63">
            <w:pPr>
              <w:spacing w:after="0" w:line="240" w:lineRule="auto"/>
              <w:rPr>
                <w:rFonts w:ascii="Franklin Gothic Book" w:eastAsia="Times New Roman" w:hAnsi="Franklin Gothic Book"/>
                <w:color w:val="212121"/>
                <w:sz w:val="18"/>
                <w:szCs w:val="18"/>
              </w:rPr>
            </w:pPr>
          </w:p>
        </w:tc>
        <w:tc>
          <w:tcPr>
            <w:tcW w:w="910" w:type="pct"/>
            <w:vMerge/>
            <w:hideMark/>
          </w:tcPr>
          <w:p w14:paraId="3C6AA190"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auto"/>
                <w:szCs w:val="20"/>
              </w:rPr>
            </w:pPr>
          </w:p>
        </w:tc>
        <w:tc>
          <w:tcPr>
            <w:tcW w:w="487" w:type="pct"/>
            <w:hideMark/>
          </w:tcPr>
          <w:p w14:paraId="61C4DEB6" w14:textId="77777777" w:rsidR="00352891" w:rsidRPr="00AC0B63" w:rsidRDefault="00352891" w:rsidP="00AC0B63">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Non-Financial</w:t>
            </w:r>
          </w:p>
        </w:tc>
        <w:tc>
          <w:tcPr>
            <w:tcW w:w="341" w:type="pct"/>
            <w:hideMark/>
          </w:tcPr>
          <w:p w14:paraId="58A0DE4F" w14:textId="486998A6"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88" w:type="pct"/>
            <w:hideMark/>
          </w:tcPr>
          <w:p w14:paraId="2E7D4FA5" w14:textId="1611E9C1"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186549B5" w14:textId="48415599"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40" w:type="pct"/>
            <w:hideMark/>
          </w:tcPr>
          <w:p w14:paraId="00C9534A" w14:textId="0D7DA92C"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390" w:type="pct"/>
            <w:hideMark/>
          </w:tcPr>
          <w:p w14:paraId="468CE9A4" w14:textId="28CFC79D"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1,359</w:t>
            </w:r>
          </w:p>
        </w:tc>
        <w:tc>
          <w:tcPr>
            <w:tcW w:w="437" w:type="pct"/>
            <w:hideMark/>
          </w:tcPr>
          <w:p w14:paraId="26EC156B" w14:textId="4629A894"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4,500</w:t>
            </w:r>
          </w:p>
        </w:tc>
        <w:tc>
          <w:tcPr>
            <w:tcW w:w="341" w:type="pct"/>
            <w:hideMark/>
          </w:tcPr>
          <w:p w14:paraId="49FE6AD5" w14:textId="473507BD"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0</w:t>
            </w:r>
          </w:p>
        </w:tc>
        <w:tc>
          <w:tcPr>
            <w:tcW w:w="415" w:type="pct"/>
            <w:hideMark/>
          </w:tcPr>
          <w:p w14:paraId="405559BA" w14:textId="5876AC8F"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AC0B63">
              <w:rPr>
                <w:rFonts w:ascii="Calibri" w:eastAsia="Times New Roman" w:hAnsi="Calibri"/>
                <w:color w:val="000000"/>
                <w:szCs w:val="20"/>
              </w:rPr>
              <w:t>260,943</w:t>
            </w:r>
          </w:p>
        </w:tc>
        <w:tc>
          <w:tcPr>
            <w:tcW w:w="403" w:type="pct"/>
            <w:hideMark/>
          </w:tcPr>
          <w:p w14:paraId="25600113" w14:textId="5BC6CE0D" w:rsidR="00352891" w:rsidRPr="00AC0B63" w:rsidRDefault="00352891" w:rsidP="00AC0B6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266,802</w:t>
            </w:r>
          </w:p>
        </w:tc>
      </w:tr>
      <w:tr w:rsidR="0059187B" w:rsidRPr="00AC0B63" w14:paraId="647545AE" w14:textId="77777777" w:rsidTr="00C94C2A">
        <w:trPr>
          <w:trHeight w:val="510"/>
        </w:trPr>
        <w:tc>
          <w:tcPr>
            <w:cnfStyle w:val="001000000000" w:firstRow="0" w:lastRow="0" w:firstColumn="1" w:lastColumn="0" w:oddVBand="0" w:evenVBand="0" w:oddHBand="0" w:evenHBand="0" w:firstRowFirstColumn="0" w:firstRowLastColumn="0" w:lastRowFirstColumn="0" w:lastRowLastColumn="0"/>
            <w:tcW w:w="158" w:type="pct"/>
            <w:hideMark/>
          </w:tcPr>
          <w:p w14:paraId="3944C1C7" w14:textId="77777777" w:rsidR="00ED6630" w:rsidRPr="00AC0B63" w:rsidRDefault="00ED6630" w:rsidP="00AC0B63">
            <w:pPr>
              <w:spacing w:after="0" w:line="240" w:lineRule="auto"/>
              <w:rPr>
                <w:rFonts w:ascii="Franklin Gothic Book" w:eastAsia="Times New Roman" w:hAnsi="Franklin Gothic Book"/>
                <w:color w:val="212121"/>
                <w:sz w:val="18"/>
                <w:szCs w:val="18"/>
              </w:rPr>
            </w:pPr>
            <w:r w:rsidRPr="00AC0B63">
              <w:rPr>
                <w:rFonts w:ascii="Franklin Gothic Book" w:eastAsia="Times New Roman" w:hAnsi="Franklin Gothic Book"/>
                <w:color w:val="212121"/>
                <w:sz w:val="18"/>
                <w:szCs w:val="18"/>
              </w:rPr>
              <w:t> </w:t>
            </w:r>
          </w:p>
        </w:tc>
        <w:tc>
          <w:tcPr>
            <w:tcW w:w="910" w:type="pct"/>
            <w:shd w:val="clear" w:color="auto" w:fill="C4CFEF" w:themeFill="background2" w:themeFillTint="33"/>
            <w:hideMark/>
          </w:tcPr>
          <w:p w14:paraId="0759719D" w14:textId="7E8990E3"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Strongim Bisnis investment to date</w:t>
            </w:r>
            <w:r w:rsidR="00CE6D10" w:rsidRPr="00D40449">
              <w:rPr>
                <w:rFonts w:ascii="Calibri" w:eastAsia="Times New Roman" w:hAnsi="Calibri"/>
                <w:b/>
                <w:bCs/>
                <w:color w:val="000000"/>
                <w:szCs w:val="20"/>
              </w:rPr>
              <w:t xml:space="preserve"> (AUD)</w:t>
            </w:r>
            <w:r w:rsidR="00C61158" w:rsidRPr="00D40449">
              <w:rPr>
                <w:rFonts w:ascii="Calibri" w:eastAsia="Times New Roman" w:hAnsi="Calibri"/>
                <w:b/>
                <w:bCs/>
                <w:color w:val="000000"/>
                <w:szCs w:val="20"/>
              </w:rPr>
              <w:t>*</w:t>
            </w:r>
          </w:p>
        </w:tc>
        <w:tc>
          <w:tcPr>
            <w:tcW w:w="487" w:type="pct"/>
            <w:hideMark/>
          </w:tcPr>
          <w:p w14:paraId="0D684CC2" w14:textId="77777777" w:rsidR="00ED6630" w:rsidRPr="00AC0B63" w:rsidRDefault="00ED6630" w:rsidP="00AC0B6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Aggregate</w:t>
            </w:r>
          </w:p>
        </w:tc>
        <w:tc>
          <w:tcPr>
            <w:tcW w:w="341" w:type="pct"/>
            <w:hideMark/>
          </w:tcPr>
          <w:p w14:paraId="75557535" w14:textId="74DBBC56"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357,407</w:t>
            </w:r>
          </w:p>
        </w:tc>
        <w:tc>
          <w:tcPr>
            <w:tcW w:w="388" w:type="pct"/>
            <w:hideMark/>
          </w:tcPr>
          <w:p w14:paraId="6A7E5E13" w14:textId="2CD5137F"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296,826</w:t>
            </w:r>
          </w:p>
        </w:tc>
        <w:tc>
          <w:tcPr>
            <w:tcW w:w="390" w:type="pct"/>
            <w:hideMark/>
          </w:tcPr>
          <w:p w14:paraId="0CEBE76E" w14:textId="0559CA7A"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628,297</w:t>
            </w:r>
          </w:p>
        </w:tc>
        <w:tc>
          <w:tcPr>
            <w:tcW w:w="340" w:type="pct"/>
            <w:hideMark/>
          </w:tcPr>
          <w:p w14:paraId="511A2959" w14:textId="60B96DE7"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115,089</w:t>
            </w:r>
          </w:p>
        </w:tc>
        <w:tc>
          <w:tcPr>
            <w:tcW w:w="390" w:type="pct"/>
            <w:hideMark/>
          </w:tcPr>
          <w:p w14:paraId="73B1129F" w14:textId="44BA30FA"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761,757</w:t>
            </w:r>
          </w:p>
        </w:tc>
        <w:tc>
          <w:tcPr>
            <w:tcW w:w="437" w:type="pct"/>
            <w:hideMark/>
          </w:tcPr>
          <w:p w14:paraId="6B244F0D" w14:textId="35F5BC8A"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427,418</w:t>
            </w:r>
          </w:p>
        </w:tc>
        <w:tc>
          <w:tcPr>
            <w:tcW w:w="341" w:type="pct"/>
            <w:hideMark/>
          </w:tcPr>
          <w:p w14:paraId="6AF99823" w14:textId="2F4ECC2E"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142,085</w:t>
            </w:r>
          </w:p>
        </w:tc>
        <w:tc>
          <w:tcPr>
            <w:tcW w:w="415" w:type="pct"/>
            <w:hideMark/>
          </w:tcPr>
          <w:p w14:paraId="044E5EA5" w14:textId="7CFBD693"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848,900</w:t>
            </w:r>
          </w:p>
        </w:tc>
        <w:tc>
          <w:tcPr>
            <w:tcW w:w="403" w:type="pct"/>
            <w:hideMark/>
          </w:tcPr>
          <w:p w14:paraId="4D919105" w14:textId="6463CBBF" w:rsidR="00ED6630" w:rsidRPr="00AC0B63" w:rsidRDefault="00ED6630" w:rsidP="00AC0B6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AC0B63">
              <w:rPr>
                <w:rFonts w:ascii="Calibri" w:eastAsia="Times New Roman" w:hAnsi="Calibri"/>
                <w:b/>
                <w:bCs/>
                <w:color w:val="000000"/>
                <w:szCs w:val="20"/>
              </w:rPr>
              <w:t>3,577,777</w:t>
            </w:r>
          </w:p>
        </w:tc>
      </w:tr>
      <w:tr w:rsidR="00C94C2A" w:rsidRPr="00AC0B63" w14:paraId="4A1E23CD" w14:textId="77777777" w:rsidTr="00C94C2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8" w:type="pct"/>
          </w:tcPr>
          <w:p w14:paraId="019E75A8" w14:textId="77777777" w:rsidR="00D87E26" w:rsidRPr="00AC0B63" w:rsidRDefault="00D87E26" w:rsidP="00D87E26">
            <w:pPr>
              <w:spacing w:after="0" w:line="240" w:lineRule="auto"/>
              <w:rPr>
                <w:rFonts w:ascii="Franklin Gothic Book" w:eastAsia="Times New Roman" w:hAnsi="Franklin Gothic Book"/>
                <w:color w:val="212121"/>
                <w:sz w:val="18"/>
                <w:szCs w:val="18"/>
              </w:rPr>
            </w:pPr>
          </w:p>
        </w:tc>
        <w:tc>
          <w:tcPr>
            <w:tcW w:w="910" w:type="pct"/>
            <w:shd w:val="clear" w:color="auto" w:fill="C4CFEF" w:themeFill="background2" w:themeFillTint="33"/>
          </w:tcPr>
          <w:p w14:paraId="37144C74" w14:textId="4B3E4293" w:rsidR="00D87E26" w:rsidRPr="00AC0B63" w:rsidRDefault="00D87E26" w:rsidP="00D87E26">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20"/>
              </w:rPr>
            </w:pPr>
            <w:r w:rsidRPr="002B71C9">
              <w:rPr>
                <w:rFonts w:ascii="Calibri" w:hAnsi="Calibri"/>
                <w:b/>
                <w:color w:val="000000"/>
                <w:szCs w:val="20"/>
              </w:rPr>
              <w:t>Leverage</w:t>
            </w:r>
            <w:r w:rsidR="00240100" w:rsidRPr="002B71C9">
              <w:rPr>
                <w:rFonts w:ascii="Calibri" w:hAnsi="Calibri"/>
                <w:b/>
                <w:color w:val="000000"/>
                <w:szCs w:val="20"/>
              </w:rPr>
              <w:t xml:space="preserve"> </w:t>
            </w:r>
            <w:r w:rsidR="002C7C62" w:rsidRPr="002B71C9">
              <w:rPr>
                <w:rFonts w:ascii="Calibri" w:hAnsi="Calibri"/>
                <w:b/>
                <w:color w:val="000000"/>
                <w:szCs w:val="20"/>
              </w:rPr>
              <w:t>(</w:t>
            </w:r>
            <w:r w:rsidR="00133A02" w:rsidRPr="002B71C9">
              <w:rPr>
                <w:rFonts w:ascii="Calibri" w:hAnsi="Calibri"/>
                <w:b/>
                <w:color w:val="000000"/>
                <w:szCs w:val="20"/>
              </w:rPr>
              <w:t xml:space="preserve">partner contribs / SB </w:t>
            </w:r>
            <w:r w:rsidR="00805F79" w:rsidRPr="002B71C9">
              <w:rPr>
                <w:rFonts w:ascii="Calibri" w:hAnsi="Calibri"/>
                <w:b/>
                <w:color w:val="000000"/>
                <w:szCs w:val="20"/>
              </w:rPr>
              <w:t xml:space="preserve">direct </w:t>
            </w:r>
            <w:r w:rsidR="00133A02" w:rsidRPr="002B71C9">
              <w:rPr>
                <w:rFonts w:ascii="Calibri" w:hAnsi="Calibri"/>
                <w:b/>
                <w:color w:val="000000"/>
                <w:szCs w:val="20"/>
              </w:rPr>
              <w:t>investment)</w:t>
            </w:r>
            <w:r w:rsidR="0044698A" w:rsidRPr="002B71C9">
              <w:rPr>
                <w:rFonts w:ascii="Calibri" w:hAnsi="Calibri"/>
                <w:b/>
                <w:color w:val="000000"/>
                <w:szCs w:val="20"/>
              </w:rPr>
              <w:t>**</w:t>
            </w:r>
          </w:p>
        </w:tc>
        <w:tc>
          <w:tcPr>
            <w:tcW w:w="487" w:type="pct"/>
            <w:vAlign w:val="bottom"/>
          </w:tcPr>
          <w:p w14:paraId="20C5CE3E" w14:textId="0C534402" w:rsidR="00D87E26" w:rsidRPr="00D11B1E" w:rsidRDefault="00D11B1E" w:rsidP="00D87E26">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D11B1E">
              <w:rPr>
                <w:rFonts w:ascii="Calibri" w:eastAsia="Times New Roman" w:hAnsi="Calibri"/>
                <w:color w:val="000000"/>
                <w:szCs w:val="20"/>
              </w:rPr>
              <w:t>N/A</w:t>
            </w:r>
          </w:p>
        </w:tc>
        <w:tc>
          <w:tcPr>
            <w:tcW w:w="341" w:type="pct"/>
            <w:vAlign w:val="bottom"/>
          </w:tcPr>
          <w:p w14:paraId="5F85E621" w14:textId="76C56B9E"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0.224</w:t>
            </w:r>
          </w:p>
        </w:tc>
        <w:tc>
          <w:tcPr>
            <w:tcW w:w="388" w:type="pct"/>
            <w:vAlign w:val="bottom"/>
          </w:tcPr>
          <w:p w14:paraId="2EDA7660" w14:textId="0EBE75D3"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0.451</w:t>
            </w:r>
          </w:p>
        </w:tc>
        <w:tc>
          <w:tcPr>
            <w:tcW w:w="390" w:type="pct"/>
            <w:vAlign w:val="bottom"/>
          </w:tcPr>
          <w:p w14:paraId="0DFC1A6B" w14:textId="3BBAE902"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0.553</w:t>
            </w:r>
          </w:p>
        </w:tc>
        <w:tc>
          <w:tcPr>
            <w:tcW w:w="340" w:type="pct"/>
            <w:vAlign w:val="bottom"/>
          </w:tcPr>
          <w:p w14:paraId="1B8E30AC" w14:textId="0C89C4E7"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0.264</w:t>
            </w:r>
          </w:p>
        </w:tc>
        <w:tc>
          <w:tcPr>
            <w:tcW w:w="390" w:type="pct"/>
            <w:vAlign w:val="bottom"/>
          </w:tcPr>
          <w:p w14:paraId="38EDF9FF" w14:textId="1C5376DC"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0.152</w:t>
            </w:r>
          </w:p>
        </w:tc>
        <w:tc>
          <w:tcPr>
            <w:tcW w:w="437" w:type="pct"/>
            <w:vAlign w:val="bottom"/>
          </w:tcPr>
          <w:p w14:paraId="1C9C785E" w14:textId="49039E74"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0.264</w:t>
            </w:r>
          </w:p>
        </w:tc>
        <w:tc>
          <w:tcPr>
            <w:tcW w:w="341" w:type="pct"/>
            <w:vAlign w:val="bottom"/>
          </w:tcPr>
          <w:p w14:paraId="39C261A0" w14:textId="2AE29B63"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0.004</w:t>
            </w:r>
          </w:p>
        </w:tc>
        <w:tc>
          <w:tcPr>
            <w:tcW w:w="415" w:type="pct"/>
            <w:vAlign w:val="bottom"/>
          </w:tcPr>
          <w:p w14:paraId="712808CB" w14:textId="526FF73C"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0.352</w:t>
            </w:r>
          </w:p>
        </w:tc>
        <w:tc>
          <w:tcPr>
            <w:tcW w:w="403" w:type="pct"/>
            <w:vAlign w:val="bottom"/>
          </w:tcPr>
          <w:p w14:paraId="27E65380" w14:textId="2C6CA392" w:rsidR="00D87E26" w:rsidRPr="00711A24" w:rsidRDefault="00D87E26" w:rsidP="00D87E2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0.313</w:t>
            </w:r>
          </w:p>
        </w:tc>
      </w:tr>
      <w:tr w:rsidR="00C94C2A" w:rsidRPr="00AC0B63" w14:paraId="36A277FB" w14:textId="77777777" w:rsidTr="00C94C2A">
        <w:trPr>
          <w:trHeight w:val="510"/>
        </w:trPr>
        <w:tc>
          <w:tcPr>
            <w:cnfStyle w:val="001000000000" w:firstRow="0" w:lastRow="0" w:firstColumn="1" w:lastColumn="0" w:oddVBand="0" w:evenVBand="0" w:oddHBand="0" w:evenHBand="0" w:firstRowFirstColumn="0" w:firstRowLastColumn="0" w:lastRowFirstColumn="0" w:lastRowLastColumn="0"/>
            <w:tcW w:w="158" w:type="pct"/>
          </w:tcPr>
          <w:p w14:paraId="05D342E3" w14:textId="77777777" w:rsidR="00D87E26" w:rsidRPr="00AC0B63" w:rsidRDefault="00D87E26" w:rsidP="00D87E26">
            <w:pPr>
              <w:spacing w:after="0" w:line="240" w:lineRule="auto"/>
              <w:rPr>
                <w:rFonts w:ascii="Franklin Gothic Book" w:eastAsia="Times New Roman" w:hAnsi="Franklin Gothic Book"/>
                <w:color w:val="212121"/>
                <w:sz w:val="18"/>
                <w:szCs w:val="18"/>
              </w:rPr>
            </w:pPr>
          </w:p>
        </w:tc>
        <w:tc>
          <w:tcPr>
            <w:tcW w:w="910" w:type="pct"/>
            <w:shd w:val="clear" w:color="auto" w:fill="C4CFEF" w:themeFill="background2" w:themeFillTint="33"/>
          </w:tcPr>
          <w:p w14:paraId="14B9BB9C" w14:textId="638E1075" w:rsidR="00D87E26" w:rsidRPr="00AC0B63" w:rsidRDefault="00004309" w:rsidP="00D87E2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2B71C9">
              <w:rPr>
                <w:rFonts w:ascii="Calibri" w:hAnsi="Calibri"/>
                <w:b/>
                <w:color w:val="000000"/>
                <w:szCs w:val="20"/>
              </w:rPr>
              <w:t>Net additional income increase</w:t>
            </w:r>
            <w:r w:rsidR="00134896" w:rsidRPr="002B71C9">
              <w:rPr>
                <w:rFonts w:ascii="Calibri" w:hAnsi="Calibri"/>
                <w:b/>
                <w:color w:val="000000"/>
                <w:szCs w:val="20"/>
              </w:rPr>
              <w:t xml:space="preserve"> per $ of direct SB investment</w:t>
            </w:r>
            <w:r w:rsidR="0044698A" w:rsidRPr="002B71C9">
              <w:rPr>
                <w:rFonts w:ascii="Calibri" w:hAnsi="Calibri"/>
                <w:b/>
                <w:color w:val="000000"/>
                <w:szCs w:val="20"/>
              </w:rPr>
              <w:t>**</w:t>
            </w:r>
          </w:p>
        </w:tc>
        <w:tc>
          <w:tcPr>
            <w:tcW w:w="487" w:type="pct"/>
            <w:vAlign w:val="bottom"/>
          </w:tcPr>
          <w:p w14:paraId="345F0B8A" w14:textId="251E5A7D" w:rsidR="00D87E26" w:rsidRPr="00AC0B63" w:rsidRDefault="00D11B1E" w:rsidP="00D87E2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Cs w:val="20"/>
              </w:rPr>
            </w:pPr>
            <w:r w:rsidRPr="00D11B1E">
              <w:rPr>
                <w:rFonts w:ascii="Calibri" w:eastAsia="Times New Roman" w:hAnsi="Calibri"/>
                <w:color w:val="000000"/>
                <w:szCs w:val="20"/>
              </w:rPr>
              <w:t>N/A</w:t>
            </w:r>
          </w:p>
        </w:tc>
        <w:tc>
          <w:tcPr>
            <w:tcW w:w="341" w:type="pct"/>
            <w:vAlign w:val="bottom"/>
          </w:tcPr>
          <w:p w14:paraId="3D4A8BFE" w14:textId="501C8125"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0.083</w:t>
            </w:r>
          </w:p>
        </w:tc>
        <w:tc>
          <w:tcPr>
            <w:tcW w:w="388" w:type="pct"/>
            <w:vAlign w:val="bottom"/>
          </w:tcPr>
          <w:p w14:paraId="6FE96776" w14:textId="70933E9B"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0.051</w:t>
            </w:r>
          </w:p>
        </w:tc>
        <w:tc>
          <w:tcPr>
            <w:tcW w:w="390" w:type="pct"/>
            <w:vAlign w:val="bottom"/>
          </w:tcPr>
          <w:p w14:paraId="6833120D" w14:textId="5BD5BC2A"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0.178</w:t>
            </w:r>
          </w:p>
        </w:tc>
        <w:tc>
          <w:tcPr>
            <w:tcW w:w="340" w:type="pct"/>
            <w:vAlign w:val="bottom"/>
          </w:tcPr>
          <w:p w14:paraId="0A48640D" w14:textId="31A07AD7"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0.176</w:t>
            </w:r>
          </w:p>
        </w:tc>
        <w:tc>
          <w:tcPr>
            <w:tcW w:w="390" w:type="pct"/>
            <w:vAlign w:val="bottom"/>
          </w:tcPr>
          <w:p w14:paraId="16330CB5" w14:textId="74954CF0"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0.142</w:t>
            </w:r>
          </w:p>
        </w:tc>
        <w:tc>
          <w:tcPr>
            <w:tcW w:w="437" w:type="pct"/>
            <w:vAlign w:val="bottom"/>
          </w:tcPr>
          <w:p w14:paraId="3F7B4842" w14:textId="1EB5944B"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0.162</w:t>
            </w:r>
          </w:p>
        </w:tc>
        <w:tc>
          <w:tcPr>
            <w:tcW w:w="341" w:type="pct"/>
            <w:vAlign w:val="bottom"/>
          </w:tcPr>
          <w:p w14:paraId="778FD0E8" w14:textId="3706B386"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0.077</w:t>
            </w:r>
          </w:p>
        </w:tc>
        <w:tc>
          <w:tcPr>
            <w:tcW w:w="415" w:type="pct"/>
            <w:vAlign w:val="bottom"/>
          </w:tcPr>
          <w:p w14:paraId="634E58AD" w14:textId="1721F0F3"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0.083</w:t>
            </w:r>
          </w:p>
        </w:tc>
        <w:tc>
          <w:tcPr>
            <w:tcW w:w="403" w:type="pct"/>
            <w:vAlign w:val="bottom"/>
          </w:tcPr>
          <w:p w14:paraId="4FACE38D" w14:textId="0C2568E1" w:rsidR="00D87E26" w:rsidRPr="00711A24" w:rsidRDefault="00D87E26" w:rsidP="00D87E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rPr>
            </w:pPr>
            <w:r w:rsidRPr="00711A24">
              <w:rPr>
                <w:rFonts w:ascii="Calibri" w:eastAsia="Times New Roman" w:hAnsi="Calibri"/>
                <w:color w:val="000000"/>
                <w:szCs w:val="20"/>
              </w:rPr>
              <w:t>0.122</w:t>
            </w:r>
          </w:p>
        </w:tc>
      </w:tr>
    </w:tbl>
    <w:p w14:paraId="3914826E" w14:textId="634B0DC0" w:rsidR="009807B3" w:rsidRPr="00FF5A35" w:rsidRDefault="00C61158" w:rsidP="009807B3">
      <w:pPr>
        <w:spacing w:after="0" w:line="240" w:lineRule="auto"/>
        <w:rPr>
          <w:rFonts w:ascii="Calibri" w:eastAsia="Times New Roman" w:hAnsi="Calibri"/>
          <w:color w:val="000000"/>
          <w:szCs w:val="20"/>
        </w:rPr>
      </w:pPr>
      <w:r w:rsidRPr="00FF5A35">
        <w:rPr>
          <w:rFonts w:ascii="Calibri" w:hAnsi="Calibri"/>
          <w:szCs w:val="20"/>
        </w:rPr>
        <w:t>*</w:t>
      </w:r>
      <w:r w:rsidR="009807B3" w:rsidRPr="00FF5A35">
        <w:rPr>
          <w:rFonts w:ascii="Calibri" w:hAnsi="Calibri"/>
          <w:color w:val="000000"/>
          <w:szCs w:val="20"/>
        </w:rPr>
        <w:t xml:space="preserve"> </w:t>
      </w:r>
      <w:r w:rsidR="009807B3" w:rsidRPr="00FF5A35">
        <w:rPr>
          <w:rFonts w:ascii="Calibri" w:eastAsia="Times New Roman" w:hAnsi="Calibri"/>
          <w:color w:val="000000"/>
          <w:szCs w:val="20"/>
        </w:rPr>
        <w:t>Spend to date as of 18 Jan 2023 in the Flexible Funds tracker</w:t>
      </w:r>
      <w:r w:rsidR="0006492C" w:rsidRPr="00FF5A35">
        <w:rPr>
          <w:rFonts w:ascii="Calibri" w:eastAsia="Times New Roman" w:hAnsi="Calibri"/>
          <w:color w:val="000000"/>
          <w:szCs w:val="20"/>
        </w:rPr>
        <w:t>.</w:t>
      </w:r>
      <w:r w:rsidR="009807B3" w:rsidRPr="00FF5A35">
        <w:rPr>
          <w:rFonts w:ascii="Calibri" w:eastAsia="Times New Roman" w:hAnsi="Calibri"/>
          <w:color w:val="000000"/>
          <w:szCs w:val="20"/>
        </w:rPr>
        <w:t xml:space="preserve"> </w:t>
      </w:r>
    </w:p>
    <w:p w14:paraId="0A62B246" w14:textId="251C5752" w:rsidR="0044698A" w:rsidRPr="00FF5A35" w:rsidRDefault="0044698A" w:rsidP="009807B3">
      <w:pPr>
        <w:spacing w:after="0" w:line="240" w:lineRule="auto"/>
        <w:rPr>
          <w:rFonts w:ascii="Calibri" w:eastAsia="Times New Roman" w:hAnsi="Calibri"/>
          <w:color w:val="000000"/>
          <w:szCs w:val="20"/>
        </w:rPr>
      </w:pPr>
      <w:r>
        <w:rPr>
          <w:rFonts w:ascii="Calibri" w:eastAsia="Times New Roman" w:hAnsi="Calibri"/>
          <w:color w:val="000000"/>
          <w:szCs w:val="20"/>
        </w:rPr>
        <w:t>** Evaluation Team calculations based on above data.</w:t>
      </w:r>
    </w:p>
    <w:p w14:paraId="58B7C9F5" w14:textId="6735F2E2" w:rsidR="00AC0B63" w:rsidRDefault="00AC0B63" w:rsidP="00AC0B63"/>
    <w:p w14:paraId="7DE2ED5D" w14:textId="77777777" w:rsidR="00AC0B63" w:rsidRPr="00AC0B63" w:rsidRDefault="00AC0B63" w:rsidP="00AC0B63">
      <w:pPr>
        <w:sectPr w:rsidR="00AC0B63" w:rsidRPr="00AC0B63" w:rsidSect="00070332">
          <w:pgSz w:w="16838" w:h="11906" w:orient="landscape" w:code="9"/>
          <w:pgMar w:top="113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71747B72" w14:textId="09C6EF60" w:rsidR="00A90358" w:rsidRDefault="00A90358" w:rsidP="00B37461">
      <w:pPr>
        <w:pStyle w:val="Heading1"/>
      </w:pPr>
      <w:bookmarkStart w:id="35" w:name="_Toc131170458"/>
      <w:r>
        <w:t>Annex 6: Value-for-Money Frameworks and Guidance</w:t>
      </w:r>
      <w:bookmarkEnd w:id="35"/>
    </w:p>
    <w:p w14:paraId="61859DD4" w14:textId="44F601DB" w:rsidR="00A90358" w:rsidRDefault="00A90358" w:rsidP="00A90358">
      <w:r>
        <w:t>While value for money is often interpreted as equating to cost efficiency, DFAT’s value for money framework is far broader, encompassing the following eight principles</w:t>
      </w:r>
      <w:r w:rsidR="0017029B">
        <w:t xml:space="preserve"> across four categories</w:t>
      </w:r>
      <w:r>
        <w:t xml:space="preserve">: </w:t>
      </w:r>
    </w:p>
    <w:tbl>
      <w:tblPr>
        <w:tblStyle w:val="TableGrid"/>
        <w:tblW w:w="0" w:type="auto"/>
        <w:tblLook w:val="04A0" w:firstRow="1" w:lastRow="0" w:firstColumn="1" w:lastColumn="0" w:noHBand="0" w:noVBand="1"/>
      </w:tblPr>
      <w:tblGrid>
        <w:gridCol w:w="2407"/>
        <w:gridCol w:w="2407"/>
        <w:gridCol w:w="2407"/>
        <w:gridCol w:w="2407"/>
      </w:tblGrid>
      <w:tr w:rsidR="006C1EFA" w14:paraId="7595458C" w14:textId="77777777" w:rsidTr="00552434">
        <w:trPr>
          <w:tblHeader/>
        </w:trPr>
        <w:tc>
          <w:tcPr>
            <w:tcW w:w="2407" w:type="dxa"/>
          </w:tcPr>
          <w:p w14:paraId="648F648E" w14:textId="0D516231" w:rsidR="006C1EFA" w:rsidRPr="006C1EFA" w:rsidRDefault="006C1EFA" w:rsidP="00A90358">
            <w:pPr>
              <w:rPr>
                <w:b/>
                <w:bCs/>
              </w:rPr>
            </w:pPr>
            <w:r w:rsidRPr="006C1EFA">
              <w:rPr>
                <w:b/>
                <w:bCs/>
              </w:rPr>
              <w:t>Economy</w:t>
            </w:r>
          </w:p>
        </w:tc>
        <w:tc>
          <w:tcPr>
            <w:tcW w:w="2407" w:type="dxa"/>
          </w:tcPr>
          <w:p w14:paraId="6C1189A7" w14:textId="4D41C117" w:rsidR="006C1EFA" w:rsidRPr="006C1EFA" w:rsidRDefault="006C1EFA" w:rsidP="00A90358">
            <w:pPr>
              <w:rPr>
                <w:b/>
                <w:bCs/>
              </w:rPr>
            </w:pPr>
            <w:r w:rsidRPr="006C1EFA">
              <w:rPr>
                <w:b/>
                <w:bCs/>
              </w:rPr>
              <w:t>Efficiency</w:t>
            </w:r>
          </w:p>
        </w:tc>
        <w:tc>
          <w:tcPr>
            <w:tcW w:w="2407" w:type="dxa"/>
          </w:tcPr>
          <w:p w14:paraId="77DAC559" w14:textId="32386AB9" w:rsidR="006C1EFA" w:rsidRPr="006C1EFA" w:rsidRDefault="006C1EFA" w:rsidP="00A90358">
            <w:pPr>
              <w:rPr>
                <w:b/>
                <w:bCs/>
              </w:rPr>
            </w:pPr>
            <w:r w:rsidRPr="006C1EFA">
              <w:rPr>
                <w:b/>
                <w:bCs/>
              </w:rPr>
              <w:t>Effectiveness</w:t>
            </w:r>
          </w:p>
        </w:tc>
        <w:tc>
          <w:tcPr>
            <w:tcW w:w="2407" w:type="dxa"/>
          </w:tcPr>
          <w:p w14:paraId="1ED1E6F0" w14:textId="26688718" w:rsidR="006C1EFA" w:rsidRPr="006C1EFA" w:rsidRDefault="006C1EFA" w:rsidP="00A90358">
            <w:pPr>
              <w:rPr>
                <w:b/>
                <w:bCs/>
              </w:rPr>
            </w:pPr>
            <w:r w:rsidRPr="006C1EFA">
              <w:rPr>
                <w:b/>
                <w:bCs/>
              </w:rPr>
              <w:t xml:space="preserve">Ethics </w:t>
            </w:r>
          </w:p>
        </w:tc>
      </w:tr>
      <w:tr w:rsidR="006C1EFA" w14:paraId="153E5799" w14:textId="77777777" w:rsidTr="006C1EFA">
        <w:tc>
          <w:tcPr>
            <w:tcW w:w="2407" w:type="dxa"/>
          </w:tcPr>
          <w:p w14:paraId="7B15B500" w14:textId="77777777" w:rsidR="006C1EFA" w:rsidRDefault="00406C0A" w:rsidP="00406C0A">
            <w:r>
              <w:t xml:space="preserve">1. </w:t>
            </w:r>
            <w:r w:rsidR="002658BF">
              <w:t xml:space="preserve">Cost </w:t>
            </w:r>
            <w:r>
              <w:t>consciousness</w:t>
            </w:r>
          </w:p>
          <w:p w14:paraId="7A9A0D2F" w14:textId="10993E0B" w:rsidR="00406C0A" w:rsidRDefault="00406C0A" w:rsidP="00406C0A">
            <w:r>
              <w:t>2. Encouraging competition</w:t>
            </w:r>
          </w:p>
        </w:tc>
        <w:tc>
          <w:tcPr>
            <w:tcW w:w="2407" w:type="dxa"/>
          </w:tcPr>
          <w:p w14:paraId="3842F05E" w14:textId="77777777" w:rsidR="006C1EFA" w:rsidRDefault="00590356" w:rsidP="00A90358">
            <w:r>
              <w:t>3. Evidence based decision making</w:t>
            </w:r>
          </w:p>
          <w:p w14:paraId="02F8B1B3" w14:textId="7C46E194" w:rsidR="00590356" w:rsidRDefault="00590356" w:rsidP="00A90358">
            <w:r>
              <w:t>4. Proportionality</w:t>
            </w:r>
          </w:p>
        </w:tc>
        <w:tc>
          <w:tcPr>
            <w:tcW w:w="2407" w:type="dxa"/>
          </w:tcPr>
          <w:p w14:paraId="64CE2D04" w14:textId="77777777" w:rsidR="006C1EFA" w:rsidRDefault="00590356" w:rsidP="00A90358">
            <w:r>
              <w:t>5. Performance and Risk Management</w:t>
            </w:r>
          </w:p>
          <w:p w14:paraId="34F6D20F" w14:textId="77777777" w:rsidR="00590356" w:rsidRDefault="00082DD2" w:rsidP="00A90358">
            <w:r>
              <w:t>6. Results Focus</w:t>
            </w:r>
          </w:p>
          <w:p w14:paraId="19C5C99D" w14:textId="4E78032E" w:rsidR="00082DD2" w:rsidRDefault="00082DD2" w:rsidP="00A90358">
            <w:r>
              <w:t>7. Experimentation and innovation</w:t>
            </w:r>
          </w:p>
        </w:tc>
        <w:tc>
          <w:tcPr>
            <w:tcW w:w="2407" w:type="dxa"/>
          </w:tcPr>
          <w:p w14:paraId="53D45E9C" w14:textId="537380E1" w:rsidR="006C1EFA" w:rsidRDefault="00082DD2" w:rsidP="00A90358">
            <w:r>
              <w:t>8. Accountability and transparency</w:t>
            </w:r>
          </w:p>
        </w:tc>
      </w:tr>
    </w:tbl>
    <w:p w14:paraId="57A44065" w14:textId="77777777" w:rsidR="0091700F" w:rsidRDefault="0091700F" w:rsidP="00A90358"/>
    <w:p w14:paraId="76546F73" w14:textId="77777777" w:rsidR="00A90358" w:rsidRDefault="00A90358" w:rsidP="00A90358">
      <w:r>
        <w:t>The message is that value for money is not simply a matter of measuring dollars spent to achieve program outcomes but is also about how those outcomes are achieved and the management and decision-making processes in place. It is also recognised that the costs of achieving outcomes will vary by context. No specific indicator(s) are mandated, but DFAT’s M&amp;E Standards</w:t>
      </w:r>
      <w:r>
        <w:rPr>
          <w:rStyle w:val="FootnoteReference"/>
        </w:rPr>
        <w:footnoteReference w:id="30"/>
      </w:r>
      <w:r>
        <w:t xml:space="preserve"> require programs to track performance by developing and reporting against </w:t>
      </w:r>
      <w:r w:rsidRPr="0044132D">
        <w:t xml:space="preserve">context specific </w:t>
      </w:r>
      <w:r>
        <w:t xml:space="preserve">measures. These can include benchmarking against similar programs in similar contexts, tracking expenditures against specific outcomes, and benefit-cost analysis on particular innovations or program improvements. </w:t>
      </w:r>
    </w:p>
    <w:p w14:paraId="204478CE" w14:textId="2EBE62F5" w:rsidR="00A90358" w:rsidRPr="000D375B" w:rsidRDefault="00A90358" w:rsidP="00A90358">
      <w:r>
        <w:t xml:space="preserve">DFAT’s </w:t>
      </w:r>
      <w:r w:rsidRPr="000D375B">
        <w:rPr>
          <w:i/>
        </w:rPr>
        <w:t>Guidance Note</w:t>
      </w:r>
      <w:r w:rsidRPr="000D375B">
        <w:rPr>
          <w:i/>
          <w:iCs/>
        </w:rPr>
        <w:t>: Performance Assessment Framework for</w:t>
      </w:r>
      <w:r w:rsidRPr="000D375B">
        <w:rPr>
          <w:i/>
        </w:rPr>
        <w:t xml:space="preserve"> Facilities</w:t>
      </w:r>
      <w:r>
        <w:rPr>
          <w:rStyle w:val="FootnoteReference"/>
          <w:i/>
          <w:iCs/>
        </w:rPr>
        <w:footnoteReference w:id="31"/>
      </w:r>
      <w:r w:rsidRPr="000D375B">
        <w:t xml:space="preserve"> </w:t>
      </w:r>
      <w:r>
        <w:t>suggests VfM expectations for facilities, that may be suitable also for other programs (including Strongim Bisnis, given it shares several core features of facilities</w:t>
      </w:r>
      <w:r>
        <w:rPr>
          <w:rStyle w:val="FootnoteReference"/>
        </w:rPr>
        <w:footnoteReference w:id="32"/>
      </w:r>
      <w:r>
        <w:t xml:space="preserve">). These include monitoring and reporting expenditure against EOPOs </w:t>
      </w:r>
      <w:r w:rsidRPr="006A4244">
        <w:t>(results-based budgeting),</w:t>
      </w:r>
      <w:r>
        <w:t xml:space="preserve"> regularly assessing VfM </w:t>
      </w:r>
      <w:r w:rsidRPr="006A4244">
        <w:t>as part of routine monitoring</w:t>
      </w:r>
      <w:r>
        <w:t xml:space="preserve">, and </w:t>
      </w:r>
      <w:r w:rsidRPr="009A3FCA">
        <w:t>clearly identif</w:t>
      </w:r>
      <w:r>
        <w:t xml:space="preserve">ying, </w:t>
      </w:r>
      <w:r w:rsidRPr="009A3FCA">
        <w:t>monitor</w:t>
      </w:r>
      <w:r>
        <w:t xml:space="preserve">ing and </w:t>
      </w:r>
      <w:r w:rsidRPr="009A3FCA">
        <w:t>manag</w:t>
      </w:r>
      <w:r>
        <w:t>ing a</w:t>
      </w:r>
      <w:r w:rsidRPr="009A3FCA">
        <w:t>dministration costs</w:t>
      </w:r>
      <w:r>
        <w:t>. DFAT’s guidance note for private sector engagement</w:t>
      </w:r>
      <w:r>
        <w:rPr>
          <w:rStyle w:val="FootnoteReference"/>
        </w:rPr>
        <w:footnoteReference w:id="33"/>
      </w:r>
      <w:r>
        <w:t xml:space="preserve"> reinforces the expectation that VfM will be applied across all investments (Box </w:t>
      </w:r>
      <w:r w:rsidR="00E72E8A">
        <w:t>A6.1</w:t>
      </w:r>
      <w:r>
        <w:t>).</w:t>
      </w:r>
    </w:p>
    <w:p w14:paraId="7DDB2B35" w14:textId="31FABD38" w:rsidR="00A90358" w:rsidRPr="00097B89" w:rsidRDefault="00A90358" w:rsidP="00A90358">
      <w:pPr>
        <w:pBdr>
          <w:top w:val="single" w:sz="4" w:space="1" w:color="auto"/>
          <w:left w:val="single" w:sz="4" w:space="4" w:color="auto"/>
          <w:bottom w:val="single" w:sz="4" w:space="1" w:color="auto"/>
          <w:right w:val="single" w:sz="4" w:space="4" w:color="auto"/>
        </w:pBdr>
        <w:spacing w:after="120" w:line="240" w:lineRule="auto"/>
        <w:ind w:left="284"/>
        <w:rPr>
          <w:b/>
          <w:bCs/>
          <w:i/>
          <w:iCs/>
          <w:color w:val="1D336D" w:themeColor="background2"/>
          <w:sz w:val="18"/>
          <w:szCs w:val="18"/>
        </w:rPr>
      </w:pPr>
      <w:r w:rsidRPr="00097B89">
        <w:rPr>
          <w:b/>
          <w:bCs/>
          <w:i/>
          <w:iCs/>
          <w:color w:val="1D336D" w:themeColor="background2"/>
          <w:sz w:val="18"/>
          <w:szCs w:val="18"/>
        </w:rPr>
        <w:t xml:space="preserve">Box </w:t>
      </w:r>
      <w:r w:rsidR="00E72E8A">
        <w:rPr>
          <w:b/>
          <w:bCs/>
          <w:i/>
          <w:iCs/>
          <w:color w:val="1D336D" w:themeColor="background2"/>
          <w:sz w:val="18"/>
          <w:szCs w:val="18"/>
        </w:rPr>
        <w:t>A6.1</w:t>
      </w:r>
      <w:r w:rsidRPr="00097B89">
        <w:rPr>
          <w:b/>
          <w:bCs/>
          <w:i/>
          <w:iCs/>
          <w:color w:val="1D336D" w:themeColor="background2"/>
          <w:sz w:val="18"/>
          <w:szCs w:val="18"/>
        </w:rPr>
        <w:t xml:space="preserve">: VfM with the Private Sector </w:t>
      </w:r>
    </w:p>
    <w:p w14:paraId="5C158F2E" w14:textId="77777777" w:rsidR="00A90358" w:rsidRDefault="00A90358" w:rsidP="00A90358">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Pr="009E5D91">
        <w:rPr>
          <w:i/>
          <w:iCs/>
          <w:color w:val="1D336D" w:themeColor="background2"/>
          <w:sz w:val="18"/>
          <w:szCs w:val="18"/>
        </w:rPr>
        <w:t>In achieving good value for money in working with the private sector, the expected benefits need to be higher than other possible approaches or partners. Typically, this means the achievement of a desired outcome at the best possible price, although not necessarily the lowest. Assessment of value for money is based on a balanced judgement of financial and non-financial factors relevant to the selection process for partners, such as opportunities for scale, reach and replication.</w:t>
      </w:r>
      <w:r>
        <w:rPr>
          <w:i/>
          <w:iCs/>
          <w:color w:val="1D336D" w:themeColor="background2"/>
          <w:sz w:val="18"/>
          <w:szCs w:val="18"/>
        </w:rPr>
        <w:t>’</w:t>
      </w:r>
      <w:r w:rsidRPr="009E5D91">
        <w:rPr>
          <w:i/>
          <w:iCs/>
          <w:color w:val="1D336D" w:themeColor="background2"/>
          <w:sz w:val="18"/>
          <w:szCs w:val="18"/>
        </w:rPr>
        <w:t xml:space="preserve"> </w:t>
      </w:r>
    </w:p>
    <w:p w14:paraId="4222CC86" w14:textId="77777777" w:rsidR="00A90358" w:rsidRPr="009E5D91" w:rsidRDefault="00A90358" w:rsidP="00A90358">
      <w:pPr>
        <w:pBdr>
          <w:top w:val="single" w:sz="4" w:space="1" w:color="auto"/>
          <w:left w:val="single" w:sz="4" w:space="4" w:color="auto"/>
          <w:bottom w:val="single" w:sz="4" w:space="1" w:color="auto"/>
          <w:right w:val="single" w:sz="4" w:space="4" w:color="auto"/>
        </w:pBdr>
        <w:spacing w:after="120" w:line="240" w:lineRule="auto"/>
        <w:ind w:left="284"/>
        <w:jc w:val="right"/>
        <w:rPr>
          <w:i/>
          <w:iCs/>
          <w:color w:val="1D336D" w:themeColor="background2"/>
          <w:sz w:val="18"/>
          <w:szCs w:val="18"/>
        </w:rPr>
      </w:pPr>
      <w:r>
        <w:rPr>
          <w:i/>
          <w:iCs/>
          <w:color w:val="1D336D" w:themeColor="background2"/>
          <w:sz w:val="18"/>
          <w:szCs w:val="18"/>
        </w:rPr>
        <w:t>[Guidance Note: Engaging the Private Sector in Development, 2020</w:t>
      </w:r>
      <w:r>
        <w:rPr>
          <w:rStyle w:val="FootnoteReference"/>
          <w:i/>
          <w:iCs/>
          <w:color w:val="1D336D" w:themeColor="background2"/>
          <w:sz w:val="18"/>
          <w:szCs w:val="18"/>
        </w:rPr>
        <w:footnoteReference w:id="34"/>
      </w:r>
      <w:r>
        <w:rPr>
          <w:i/>
          <w:iCs/>
          <w:color w:val="1D336D" w:themeColor="background2"/>
          <w:sz w:val="18"/>
          <w:szCs w:val="18"/>
        </w:rPr>
        <w:t>]</w:t>
      </w:r>
    </w:p>
    <w:p w14:paraId="4C0D1156" w14:textId="78CD50CA" w:rsidR="00A90358" w:rsidRDefault="00A90358" w:rsidP="00A90358">
      <w:r>
        <w:t>DFAT’s MSD programs generally use some combination of cost-effectiveness and cost-efficiency to assess VfM.</w:t>
      </w:r>
      <w:r w:rsidRPr="00A84835">
        <w:t xml:space="preserve"> </w:t>
      </w:r>
      <w:r>
        <w:t xml:space="preserve">However, given the broad definition and importance of contextual factors, reporting on VfM is highly variable (Box </w:t>
      </w:r>
      <w:r w:rsidR="00E72E8A">
        <w:t>A6.2</w:t>
      </w:r>
      <w:r>
        <w:t>).</w:t>
      </w:r>
    </w:p>
    <w:p w14:paraId="2C5EF639" w14:textId="0755F2D6" w:rsidR="00A90358" w:rsidRPr="0085505E" w:rsidRDefault="00A90358" w:rsidP="00A90358">
      <w:pPr>
        <w:keepNext/>
        <w:pBdr>
          <w:top w:val="single" w:sz="4" w:space="1" w:color="auto"/>
          <w:left w:val="single" w:sz="4" w:space="4" w:color="auto"/>
          <w:bottom w:val="single" w:sz="4" w:space="1" w:color="auto"/>
          <w:right w:val="single" w:sz="4" w:space="4" w:color="auto"/>
        </w:pBdr>
        <w:spacing w:after="120" w:line="240" w:lineRule="auto"/>
        <w:ind w:left="284"/>
        <w:rPr>
          <w:b/>
          <w:bCs/>
          <w:i/>
          <w:iCs/>
          <w:color w:val="1D336D" w:themeColor="background2"/>
          <w:sz w:val="18"/>
          <w:szCs w:val="18"/>
        </w:rPr>
      </w:pPr>
      <w:r w:rsidRPr="0085505E">
        <w:rPr>
          <w:b/>
          <w:bCs/>
          <w:i/>
          <w:iCs/>
          <w:color w:val="1D336D" w:themeColor="background2"/>
          <w:sz w:val="18"/>
          <w:szCs w:val="18"/>
        </w:rPr>
        <w:t xml:space="preserve">Box </w:t>
      </w:r>
      <w:r w:rsidR="00E72E8A">
        <w:rPr>
          <w:b/>
          <w:bCs/>
          <w:i/>
          <w:iCs/>
          <w:color w:val="1D336D" w:themeColor="background2"/>
          <w:sz w:val="18"/>
          <w:szCs w:val="18"/>
        </w:rPr>
        <w:t>A6.2</w:t>
      </w:r>
      <w:r w:rsidRPr="0085505E">
        <w:rPr>
          <w:b/>
          <w:bCs/>
          <w:i/>
          <w:iCs/>
          <w:color w:val="1D336D" w:themeColor="background2"/>
          <w:sz w:val="18"/>
          <w:szCs w:val="18"/>
        </w:rPr>
        <w:t>: VfM in DFAT MSD programs</w:t>
      </w:r>
    </w:p>
    <w:p w14:paraId="5218A459" w14:textId="77777777" w:rsidR="00A90358" w:rsidRPr="006B5D14" w:rsidRDefault="00A90358" w:rsidP="00A90358">
      <w:pPr>
        <w:pBdr>
          <w:top w:val="single" w:sz="4" w:space="1" w:color="auto"/>
          <w:left w:val="single" w:sz="4" w:space="4" w:color="auto"/>
          <w:bottom w:val="single" w:sz="4" w:space="1" w:color="auto"/>
          <w:right w:val="single" w:sz="4" w:space="4" w:color="auto"/>
        </w:pBdr>
        <w:spacing w:after="120" w:line="240" w:lineRule="auto"/>
        <w:ind w:left="284"/>
        <w:rPr>
          <w:i/>
          <w:iCs/>
          <w:color w:val="1D336D" w:themeColor="background2"/>
          <w:sz w:val="18"/>
          <w:szCs w:val="18"/>
        </w:rPr>
      </w:pPr>
      <w:r>
        <w:rPr>
          <w:i/>
          <w:iCs/>
          <w:color w:val="1D336D" w:themeColor="background2"/>
          <w:sz w:val="18"/>
          <w:szCs w:val="18"/>
        </w:rPr>
        <w:t>‘</w:t>
      </w:r>
      <w:r w:rsidRPr="006B5D14">
        <w:rPr>
          <w:i/>
          <w:iCs/>
          <w:color w:val="1D336D" w:themeColor="background2"/>
          <w:sz w:val="18"/>
          <w:szCs w:val="18"/>
        </w:rPr>
        <w:t>DFAT’s expectations regarding the purpose of and approach to VfM assessments is unclear and as such MSD programs use a variety of approaches to assess VfM, none of which convincingly demonstrates VfM or its absence. Few programs have plans to systematically collect and analysis information across all aspects of VfM to support an overall judgement of VfM</w:t>
      </w:r>
      <w:r>
        <w:rPr>
          <w:i/>
          <w:iCs/>
          <w:color w:val="1D336D" w:themeColor="background2"/>
          <w:sz w:val="18"/>
          <w:szCs w:val="18"/>
        </w:rPr>
        <w:t>.’</w:t>
      </w:r>
      <w:r w:rsidRPr="006B5D14">
        <w:rPr>
          <w:i/>
          <w:iCs/>
          <w:color w:val="1D336D" w:themeColor="background2"/>
          <w:sz w:val="18"/>
          <w:szCs w:val="18"/>
        </w:rPr>
        <w:t xml:space="preserve"> </w:t>
      </w:r>
    </w:p>
    <w:p w14:paraId="1665DAA7" w14:textId="77777777" w:rsidR="00A90358" w:rsidRPr="003A3B2A" w:rsidRDefault="00A90358" w:rsidP="00A90358">
      <w:pPr>
        <w:pBdr>
          <w:top w:val="single" w:sz="4" w:space="1" w:color="auto"/>
          <w:left w:val="single" w:sz="4" w:space="4" w:color="auto"/>
          <w:bottom w:val="single" w:sz="4" w:space="1" w:color="auto"/>
          <w:right w:val="single" w:sz="4" w:space="4" w:color="auto"/>
        </w:pBdr>
        <w:spacing w:after="120" w:line="240" w:lineRule="auto"/>
        <w:ind w:left="284"/>
        <w:jc w:val="right"/>
        <w:rPr>
          <w:i/>
          <w:iCs/>
          <w:color w:val="1D336D" w:themeColor="background2"/>
          <w:sz w:val="18"/>
          <w:szCs w:val="18"/>
        </w:rPr>
      </w:pPr>
      <w:r w:rsidRPr="0011584E">
        <w:rPr>
          <w:i/>
          <w:iCs/>
          <w:color w:val="1D336D" w:themeColor="background2"/>
          <w:sz w:val="18"/>
          <w:szCs w:val="18"/>
        </w:rPr>
        <w:t>[Synthesis Review</w:t>
      </w:r>
      <w:r w:rsidRPr="00370991">
        <w:rPr>
          <w:i/>
          <w:iCs/>
          <w:color w:val="1D336D" w:themeColor="background2"/>
          <w:sz w:val="18"/>
          <w:szCs w:val="18"/>
        </w:rPr>
        <w:t xml:space="preserve"> </w:t>
      </w:r>
      <w:r>
        <w:rPr>
          <w:i/>
          <w:iCs/>
          <w:color w:val="1D336D" w:themeColor="background2"/>
          <w:sz w:val="18"/>
          <w:szCs w:val="18"/>
        </w:rPr>
        <w:t xml:space="preserve">of DFAT-funded </w:t>
      </w:r>
      <w:r w:rsidRPr="0011584E">
        <w:rPr>
          <w:i/>
          <w:iCs/>
          <w:color w:val="1D336D" w:themeColor="background2"/>
          <w:sz w:val="18"/>
          <w:szCs w:val="18"/>
        </w:rPr>
        <w:t>MSD</w:t>
      </w:r>
      <w:r>
        <w:rPr>
          <w:i/>
          <w:iCs/>
          <w:color w:val="1D336D" w:themeColor="background2"/>
          <w:sz w:val="18"/>
          <w:szCs w:val="18"/>
        </w:rPr>
        <w:t xml:space="preserve"> initiatives</w:t>
      </w:r>
      <w:r w:rsidRPr="0011584E">
        <w:rPr>
          <w:i/>
          <w:iCs/>
          <w:color w:val="1D336D" w:themeColor="background2"/>
          <w:sz w:val="18"/>
          <w:szCs w:val="18"/>
        </w:rPr>
        <w:t>, 2019</w:t>
      </w:r>
      <w:r w:rsidRPr="003A3B2A">
        <w:rPr>
          <w:i/>
          <w:iCs/>
          <w:color w:val="1D336D" w:themeColor="background2"/>
          <w:sz w:val="18"/>
          <w:szCs w:val="18"/>
          <w:vertAlign w:val="superscript"/>
        </w:rPr>
        <w:footnoteReference w:id="35"/>
      </w:r>
      <w:r w:rsidRPr="003A3B2A">
        <w:rPr>
          <w:i/>
          <w:iCs/>
          <w:color w:val="1D336D" w:themeColor="background2"/>
          <w:sz w:val="18"/>
          <w:szCs w:val="18"/>
        </w:rPr>
        <w:t>].</w:t>
      </w:r>
      <w:hyperlink r:id="rId20" w:history="1">
        <w:r w:rsidRPr="003A3B2A">
          <w:rPr>
            <w:rStyle w:val="Hyperlink"/>
            <w:sz w:val="18"/>
            <w:szCs w:val="18"/>
          </w:rPr>
          <w:t>https://beamexchange.org/resources/1406/</w:t>
        </w:r>
      </w:hyperlink>
    </w:p>
    <w:p w14:paraId="03D6B1E8" w14:textId="3C1C96EE" w:rsidR="0C53F1B1" w:rsidRDefault="00D86335" w:rsidP="00A90358">
      <w:pPr>
        <w:pStyle w:val="Heading1"/>
        <w:pageBreakBefore/>
      </w:pPr>
      <w:bookmarkStart w:id="36" w:name="_Toc131170459"/>
      <w:r>
        <w:t xml:space="preserve">Annex </w:t>
      </w:r>
      <w:r w:rsidR="00A90358">
        <w:t>7</w:t>
      </w:r>
      <w:r w:rsidR="007B0227">
        <w:t xml:space="preserve">: Program </w:t>
      </w:r>
      <w:r w:rsidR="00DF31B9">
        <w:t>Costs and Benefits</w:t>
      </w:r>
      <w:bookmarkEnd w:id="36"/>
      <w:r>
        <w:t xml:space="preserve"> </w:t>
      </w:r>
    </w:p>
    <w:p w14:paraId="46C6573D" w14:textId="6493C106" w:rsidR="00B11197" w:rsidRDefault="00DF31B9" w:rsidP="00B11197">
      <w:r>
        <w:t>Program expenditure to date on staffing, operations and program delivery is summarised in Table A7.1</w:t>
      </w:r>
      <w:r w:rsidR="00C30A15">
        <w:t xml:space="preserve">. </w:t>
      </w:r>
      <w:r>
        <w:t>The c</w:t>
      </w:r>
      <w:r w:rsidR="00A76696">
        <w:t xml:space="preserve">losure </w:t>
      </w:r>
      <w:r>
        <w:t xml:space="preserve">and subsequent reopening </w:t>
      </w:r>
      <w:r w:rsidR="00A76696">
        <w:t xml:space="preserve">of international borders </w:t>
      </w:r>
      <w:r>
        <w:t>affected</w:t>
      </w:r>
      <w:r w:rsidR="003835EC">
        <w:t xml:space="preserve"> spending</w:t>
      </w:r>
      <w:r w:rsidR="00B818BE">
        <w:t xml:space="preserve"> on </w:t>
      </w:r>
      <w:r>
        <w:t>several categories</w:t>
      </w:r>
      <w:r w:rsidR="00B818BE">
        <w:t xml:space="preserve"> </w:t>
      </w:r>
      <w:r>
        <w:t>during Phase 2</w:t>
      </w:r>
      <w:r w:rsidR="00B818BE">
        <w:t>.</w:t>
      </w:r>
    </w:p>
    <w:p w14:paraId="77FA367D" w14:textId="63B09917" w:rsidR="00F20357" w:rsidRPr="00375262" w:rsidRDefault="00B91A2F" w:rsidP="00B11197">
      <w:pPr>
        <w:rPr>
          <w:b/>
        </w:rPr>
      </w:pPr>
      <w:r w:rsidRPr="00375262">
        <w:rPr>
          <w:b/>
        </w:rPr>
        <w:t>Table A</w:t>
      </w:r>
      <w:r w:rsidR="00DF31B9">
        <w:rPr>
          <w:b/>
        </w:rPr>
        <w:t>7</w:t>
      </w:r>
      <w:r w:rsidRPr="00375262">
        <w:rPr>
          <w:b/>
        </w:rPr>
        <w:t xml:space="preserve">.1: </w:t>
      </w:r>
      <w:r w:rsidR="00DF31B9">
        <w:rPr>
          <w:b/>
        </w:rPr>
        <w:t>Program</w:t>
      </w:r>
      <w:r w:rsidR="00C67280">
        <w:rPr>
          <w:b/>
        </w:rPr>
        <w:t xml:space="preserve"> </w:t>
      </w:r>
      <w:r w:rsidR="00DF31B9" w:rsidRPr="00375262">
        <w:rPr>
          <w:b/>
        </w:rPr>
        <w:t xml:space="preserve">Expenditure </w:t>
      </w:r>
      <w:r w:rsidRPr="00375262">
        <w:rPr>
          <w:b/>
        </w:rPr>
        <w:t>2021 and 2022</w:t>
      </w:r>
      <w:r w:rsidR="00DF31B9">
        <w:rPr>
          <w:b/>
        </w:rPr>
        <w:t>, and across Phases</w:t>
      </w:r>
      <w:r w:rsidRPr="00375262">
        <w:rPr>
          <w:b/>
        </w:rPr>
        <w:t xml:space="preserve"> </w:t>
      </w:r>
      <w:r w:rsidR="00D26286">
        <w:rPr>
          <w:b/>
        </w:rPr>
        <w:t>(AUD)</w:t>
      </w:r>
      <w:r w:rsidR="00F746D4" w:rsidRPr="00375262">
        <w:rPr>
          <w:rStyle w:val="FootnoteReference"/>
          <w:b/>
        </w:rPr>
        <w:footnoteReference w:id="36"/>
      </w:r>
    </w:p>
    <w:tbl>
      <w:tblPr>
        <w:tblW w:w="5000" w:type="pct"/>
        <w:tblLook w:val="04A0" w:firstRow="1" w:lastRow="0" w:firstColumn="1" w:lastColumn="0" w:noHBand="0" w:noVBand="1"/>
      </w:tblPr>
      <w:tblGrid>
        <w:gridCol w:w="4690"/>
        <w:gridCol w:w="1022"/>
        <w:gridCol w:w="1022"/>
        <w:gridCol w:w="1447"/>
        <w:gridCol w:w="1447"/>
      </w:tblGrid>
      <w:tr w:rsidR="00BA03EC" w:rsidRPr="00A85E7D" w14:paraId="2710B2A0" w14:textId="77777777" w:rsidTr="00552434">
        <w:trPr>
          <w:trHeight w:val="330"/>
          <w:tblHeader/>
        </w:trPr>
        <w:tc>
          <w:tcPr>
            <w:tcW w:w="2435" w:type="pct"/>
            <w:tcBorders>
              <w:top w:val="single" w:sz="4" w:space="0" w:color="auto"/>
              <w:left w:val="single" w:sz="4" w:space="0" w:color="auto"/>
              <w:bottom w:val="single" w:sz="4" w:space="0" w:color="auto"/>
              <w:right w:val="nil"/>
            </w:tcBorders>
            <w:shd w:val="clear" w:color="000000" w:fill="1D336D"/>
            <w:vAlign w:val="center"/>
            <w:hideMark/>
          </w:tcPr>
          <w:p w14:paraId="17ED34B9" w14:textId="77777777" w:rsidR="001B2940" w:rsidRPr="001B2940" w:rsidRDefault="001B2940" w:rsidP="001B2940">
            <w:pPr>
              <w:spacing w:after="0" w:line="240" w:lineRule="auto"/>
              <w:jc w:val="center"/>
              <w:rPr>
                <w:rFonts w:ascii="Arial" w:eastAsia="Times New Roman" w:hAnsi="Arial" w:cs="Arial"/>
                <w:b/>
                <w:bCs/>
                <w:i/>
                <w:iCs/>
                <w:color w:val="FFFFFF"/>
                <w:sz w:val="18"/>
                <w:szCs w:val="18"/>
              </w:rPr>
            </w:pPr>
            <w:r w:rsidRPr="001B2940">
              <w:rPr>
                <w:rFonts w:ascii="Arial" w:eastAsia="Times New Roman" w:hAnsi="Arial" w:cs="Arial"/>
                <w:b/>
                <w:bCs/>
                <w:i/>
                <w:iCs/>
                <w:color w:val="FFFFFF"/>
                <w:sz w:val="18"/>
                <w:szCs w:val="18"/>
              </w:rPr>
              <w:t>Item</w:t>
            </w:r>
          </w:p>
        </w:tc>
        <w:tc>
          <w:tcPr>
            <w:tcW w:w="531" w:type="pct"/>
            <w:tcBorders>
              <w:top w:val="single" w:sz="4" w:space="0" w:color="auto"/>
              <w:left w:val="nil"/>
              <w:bottom w:val="single" w:sz="4" w:space="0" w:color="auto"/>
              <w:right w:val="nil"/>
            </w:tcBorders>
            <w:shd w:val="clear" w:color="000000" w:fill="1D336D"/>
            <w:vAlign w:val="center"/>
            <w:hideMark/>
          </w:tcPr>
          <w:p w14:paraId="020C67FD" w14:textId="77777777" w:rsidR="001B2940" w:rsidRPr="001B2940" w:rsidRDefault="001B2940" w:rsidP="001B2940">
            <w:pPr>
              <w:spacing w:after="0" w:line="240" w:lineRule="auto"/>
              <w:jc w:val="center"/>
              <w:rPr>
                <w:rFonts w:ascii="Arial" w:eastAsia="Times New Roman" w:hAnsi="Arial" w:cs="Arial"/>
                <w:b/>
                <w:bCs/>
                <w:color w:val="FFFFFF"/>
                <w:sz w:val="18"/>
                <w:szCs w:val="18"/>
              </w:rPr>
            </w:pPr>
            <w:r w:rsidRPr="001B2940">
              <w:rPr>
                <w:rFonts w:ascii="Arial" w:eastAsia="Times New Roman" w:hAnsi="Arial" w:cs="Arial"/>
                <w:b/>
                <w:bCs/>
                <w:color w:val="FFFFFF"/>
                <w:sz w:val="18"/>
                <w:szCs w:val="18"/>
              </w:rPr>
              <w:t>2021</w:t>
            </w:r>
          </w:p>
        </w:tc>
        <w:tc>
          <w:tcPr>
            <w:tcW w:w="531" w:type="pct"/>
            <w:tcBorders>
              <w:top w:val="single" w:sz="4" w:space="0" w:color="auto"/>
              <w:left w:val="nil"/>
              <w:bottom w:val="single" w:sz="4" w:space="0" w:color="auto"/>
              <w:right w:val="nil"/>
            </w:tcBorders>
            <w:shd w:val="clear" w:color="auto" w:fill="1D336D" w:themeFill="background2"/>
            <w:vAlign w:val="center"/>
            <w:hideMark/>
          </w:tcPr>
          <w:p w14:paraId="30FE1307" w14:textId="77777777" w:rsidR="001B2940" w:rsidRPr="001B2940" w:rsidRDefault="001B2940" w:rsidP="001B2940">
            <w:pPr>
              <w:spacing w:after="0" w:line="240" w:lineRule="auto"/>
              <w:jc w:val="center"/>
              <w:rPr>
                <w:rFonts w:ascii="Arial" w:eastAsia="Times New Roman" w:hAnsi="Arial" w:cs="Arial"/>
                <w:b/>
                <w:bCs/>
                <w:color w:val="FFFFFF"/>
                <w:sz w:val="18"/>
                <w:szCs w:val="18"/>
              </w:rPr>
            </w:pPr>
            <w:r w:rsidRPr="001B2940">
              <w:rPr>
                <w:rFonts w:ascii="Arial" w:eastAsia="Times New Roman" w:hAnsi="Arial" w:cs="Arial"/>
                <w:b/>
                <w:bCs/>
                <w:color w:val="FFFFFF"/>
                <w:sz w:val="18"/>
                <w:szCs w:val="18"/>
              </w:rPr>
              <w:t>2022</w:t>
            </w:r>
          </w:p>
        </w:tc>
        <w:tc>
          <w:tcPr>
            <w:tcW w:w="751" w:type="pct"/>
            <w:tcBorders>
              <w:top w:val="single" w:sz="4" w:space="0" w:color="auto"/>
              <w:left w:val="nil"/>
              <w:bottom w:val="single" w:sz="4" w:space="0" w:color="auto"/>
              <w:right w:val="nil"/>
            </w:tcBorders>
            <w:shd w:val="clear" w:color="auto" w:fill="1D336D" w:themeFill="background2"/>
            <w:noWrap/>
            <w:vAlign w:val="bottom"/>
            <w:hideMark/>
          </w:tcPr>
          <w:p w14:paraId="1E2CBD47" w14:textId="77777777" w:rsidR="001B2940" w:rsidRPr="001B2940" w:rsidRDefault="001B2940" w:rsidP="00BA03EC">
            <w:pPr>
              <w:spacing w:after="0" w:line="240" w:lineRule="auto"/>
              <w:jc w:val="center"/>
              <w:rPr>
                <w:rFonts w:ascii="Arial" w:eastAsia="Times New Roman" w:hAnsi="Arial" w:cs="Arial"/>
                <w:b/>
                <w:bCs/>
                <w:color w:val="FFFFFF"/>
                <w:sz w:val="18"/>
                <w:szCs w:val="18"/>
              </w:rPr>
            </w:pPr>
            <w:r w:rsidRPr="001B2940">
              <w:rPr>
                <w:rFonts w:ascii="Arial" w:eastAsia="Times New Roman" w:hAnsi="Arial" w:cs="Arial"/>
                <w:b/>
                <w:bCs/>
                <w:color w:val="FFFFFF"/>
                <w:sz w:val="18"/>
                <w:szCs w:val="18"/>
              </w:rPr>
              <w:t>Phase 1 ONLY</w:t>
            </w:r>
          </w:p>
        </w:tc>
        <w:tc>
          <w:tcPr>
            <w:tcW w:w="751" w:type="pct"/>
            <w:tcBorders>
              <w:top w:val="single" w:sz="4" w:space="0" w:color="auto"/>
              <w:left w:val="nil"/>
              <w:bottom w:val="single" w:sz="4" w:space="0" w:color="auto"/>
              <w:right w:val="single" w:sz="4" w:space="0" w:color="auto"/>
            </w:tcBorders>
            <w:shd w:val="clear" w:color="auto" w:fill="1D336D" w:themeFill="background2"/>
            <w:noWrap/>
            <w:vAlign w:val="bottom"/>
            <w:hideMark/>
          </w:tcPr>
          <w:p w14:paraId="35660D15" w14:textId="77777777" w:rsidR="001B2940" w:rsidRPr="001B2940" w:rsidRDefault="001B2940" w:rsidP="00BA03EC">
            <w:pPr>
              <w:spacing w:after="0" w:line="240" w:lineRule="auto"/>
              <w:jc w:val="center"/>
              <w:rPr>
                <w:rFonts w:ascii="Arial" w:eastAsia="Times New Roman" w:hAnsi="Arial" w:cs="Arial"/>
                <w:b/>
                <w:bCs/>
                <w:color w:val="FFFFFF"/>
                <w:sz w:val="18"/>
                <w:szCs w:val="18"/>
              </w:rPr>
            </w:pPr>
            <w:r w:rsidRPr="001B2940">
              <w:rPr>
                <w:rFonts w:ascii="Arial" w:eastAsia="Times New Roman" w:hAnsi="Arial" w:cs="Arial"/>
                <w:b/>
                <w:bCs/>
                <w:color w:val="FFFFFF"/>
                <w:sz w:val="18"/>
                <w:szCs w:val="18"/>
              </w:rPr>
              <w:t>Phase 2 ONLY</w:t>
            </w:r>
          </w:p>
        </w:tc>
      </w:tr>
      <w:tr w:rsidR="00A85E7D" w:rsidRPr="001B2940" w14:paraId="085BFFEC" w14:textId="77777777" w:rsidTr="00DF31B9">
        <w:trPr>
          <w:trHeight w:val="315"/>
        </w:trPr>
        <w:tc>
          <w:tcPr>
            <w:tcW w:w="2435" w:type="pct"/>
            <w:tcBorders>
              <w:top w:val="single" w:sz="4" w:space="0" w:color="auto"/>
              <w:left w:val="single" w:sz="4" w:space="0" w:color="auto"/>
              <w:bottom w:val="single" w:sz="4" w:space="0" w:color="auto"/>
              <w:right w:val="nil"/>
            </w:tcBorders>
            <w:shd w:val="clear" w:color="auto" w:fill="auto"/>
            <w:vAlign w:val="center"/>
            <w:hideMark/>
          </w:tcPr>
          <w:p w14:paraId="46A16F5A" w14:textId="77777777" w:rsidR="001B2940" w:rsidRPr="001B2940" w:rsidRDefault="001B2940" w:rsidP="001B2940">
            <w:pPr>
              <w:spacing w:after="0" w:line="240" w:lineRule="auto"/>
              <w:rPr>
                <w:rFonts w:ascii="Arial" w:eastAsia="Times New Roman" w:hAnsi="Arial" w:cs="Arial"/>
                <w:i/>
                <w:iCs/>
                <w:color w:val="000000"/>
                <w:sz w:val="18"/>
                <w:szCs w:val="18"/>
              </w:rPr>
            </w:pPr>
            <w:r w:rsidRPr="001B2940">
              <w:rPr>
                <w:rFonts w:ascii="Arial" w:eastAsia="Times New Roman" w:hAnsi="Arial" w:cs="Arial"/>
                <w:i/>
                <w:iCs/>
                <w:color w:val="000000"/>
                <w:sz w:val="18"/>
                <w:szCs w:val="18"/>
              </w:rPr>
              <w:t xml:space="preserve">Long-Term Adviser Costs (ARF) - Fees </w:t>
            </w:r>
          </w:p>
        </w:tc>
        <w:tc>
          <w:tcPr>
            <w:tcW w:w="531" w:type="pct"/>
            <w:tcBorders>
              <w:top w:val="single" w:sz="4" w:space="0" w:color="auto"/>
              <w:left w:val="nil"/>
              <w:bottom w:val="single" w:sz="4" w:space="0" w:color="auto"/>
              <w:right w:val="nil"/>
            </w:tcBorders>
            <w:shd w:val="clear" w:color="auto" w:fill="auto"/>
            <w:noWrap/>
            <w:vAlign w:val="center"/>
            <w:hideMark/>
          </w:tcPr>
          <w:p w14:paraId="3A39B79F" w14:textId="62B005B4"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883,155 </w:t>
            </w:r>
          </w:p>
        </w:tc>
        <w:tc>
          <w:tcPr>
            <w:tcW w:w="531" w:type="pct"/>
            <w:tcBorders>
              <w:top w:val="single" w:sz="4" w:space="0" w:color="auto"/>
              <w:left w:val="nil"/>
              <w:bottom w:val="single" w:sz="4" w:space="0" w:color="auto"/>
              <w:right w:val="nil"/>
            </w:tcBorders>
            <w:shd w:val="clear" w:color="auto" w:fill="auto"/>
            <w:noWrap/>
            <w:vAlign w:val="center"/>
            <w:hideMark/>
          </w:tcPr>
          <w:p w14:paraId="53462621" w14:textId="2F1A0710" w:rsidR="001B2940" w:rsidRPr="001B2940" w:rsidRDefault="001B2940" w:rsidP="00A85E7D">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 xml:space="preserve">1,043,558 </w:t>
            </w:r>
          </w:p>
        </w:tc>
        <w:tc>
          <w:tcPr>
            <w:tcW w:w="751" w:type="pct"/>
            <w:tcBorders>
              <w:top w:val="single" w:sz="4" w:space="0" w:color="auto"/>
              <w:left w:val="nil"/>
              <w:bottom w:val="single" w:sz="4" w:space="0" w:color="auto"/>
              <w:right w:val="nil"/>
            </w:tcBorders>
            <w:shd w:val="clear" w:color="auto" w:fill="auto"/>
            <w:noWrap/>
            <w:vAlign w:val="center"/>
            <w:hideMark/>
          </w:tcPr>
          <w:p w14:paraId="453191E3" w14:textId="0D1CDD49"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2,159,500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19B67966" w14:textId="0F989C85"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1,926,713 </w:t>
            </w:r>
          </w:p>
        </w:tc>
      </w:tr>
      <w:tr w:rsidR="00A85E7D" w:rsidRPr="00A85E7D" w14:paraId="5C443C2E" w14:textId="77777777" w:rsidTr="00DF31B9">
        <w:trPr>
          <w:trHeight w:val="315"/>
        </w:trPr>
        <w:tc>
          <w:tcPr>
            <w:tcW w:w="2435" w:type="pct"/>
            <w:tcBorders>
              <w:top w:val="single" w:sz="4" w:space="0" w:color="auto"/>
              <w:left w:val="single" w:sz="4" w:space="0" w:color="auto"/>
              <w:bottom w:val="single" w:sz="4" w:space="0" w:color="auto"/>
              <w:right w:val="nil"/>
            </w:tcBorders>
            <w:shd w:val="clear" w:color="000000" w:fill="F2F2F2"/>
            <w:vAlign w:val="center"/>
            <w:hideMark/>
          </w:tcPr>
          <w:p w14:paraId="4C75A73F" w14:textId="77777777" w:rsidR="001B2940" w:rsidRPr="001B2940" w:rsidRDefault="001B2940" w:rsidP="001B2940">
            <w:pPr>
              <w:spacing w:after="0" w:line="240" w:lineRule="auto"/>
              <w:rPr>
                <w:rFonts w:ascii="Arial" w:eastAsia="Times New Roman" w:hAnsi="Arial" w:cs="Arial"/>
                <w:i/>
                <w:iCs/>
                <w:color w:val="000000"/>
                <w:sz w:val="18"/>
                <w:szCs w:val="18"/>
              </w:rPr>
            </w:pPr>
            <w:r w:rsidRPr="001B2940">
              <w:rPr>
                <w:rFonts w:ascii="Arial" w:eastAsia="Times New Roman" w:hAnsi="Arial" w:cs="Arial"/>
                <w:i/>
                <w:iCs/>
                <w:color w:val="000000"/>
                <w:sz w:val="18"/>
                <w:szCs w:val="18"/>
              </w:rPr>
              <w:t xml:space="preserve">Short Term Adviser Costs - Fees </w:t>
            </w:r>
          </w:p>
        </w:tc>
        <w:tc>
          <w:tcPr>
            <w:tcW w:w="531" w:type="pct"/>
            <w:tcBorders>
              <w:top w:val="single" w:sz="4" w:space="0" w:color="auto"/>
              <w:left w:val="nil"/>
              <w:bottom w:val="single" w:sz="4" w:space="0" w:color="auto"/>
              <w:right w:val="nil"/>
            </w:tcBorders>
            <w:shd w:val="clear" w:color="auto" w:fill="auto"/>
            <w:noWrap/>
            <w:vAlign w:val="center"/>
            <w:hideMark/>
          </w:tcPr>
          <w:p w14:paraId="589E03A9" w14:textId="1B717BDA"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26,206 </w:t>
            </w:r>
          </w:p>
        </w:tc>
        <w:tc>
          <w:tcPr>
            <w:tcW w:w="531" w:type="pct"/>
            <w:tcBorders>
              <w:top w:val="single" w:sz="4" w:space="0" w:color="auto"/>
              <w:left w:val="nil"/>
              <w:bottom w:val="single" w:sz="4" w:space="0" w:color="auto"/>
              <w:right w:val="nil"/>
            </w:tcBorders>
            <w:shd w:val="clear" w:color="auto" w:fill="auto"/>
            <w:noWrap/>
            <w:vAlign w:val="center"/>
            <w:hideMark/>
          </w:tcPr>
          <w:p w14:paraId="40FF5A30" w14:textId="715DD4DC"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186,191 </w:t>
            </w:r>
          </w:p>
        </w:tc>
        <w:tc>
          <w:tcPr>
            <w:tcW w:w="751" w:type="pct"/>
            <w:tcBorders>
              <w:top w:val="single" w:sz="4" w:space="0" w:color="auto"/>
              <w:left w:val="nil"/>
              <w:bottom w:val="single" w:sz="4" w:space="0" w:color="auto"/>
              <w:right w:val="nil"/>
            </w:tcBorders>
            <w:shd w:val="clear" w:color="auto" w:fill="auto"/>
            <w:noWrap/>
            <w:vAlign w:val="center"/>
            <w:hideMark/>
          </w:tcPr>
          <w:p w14:paraId="1F33BD94" w14:textId="4042FAB4"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287,933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1EFC9DF3" w14:textId="2442D39C"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212,397 </w:t>
            </w:r>
          </w:p>
        </w:tc>
      </w:tr>
      <w:tr w:rsidR="00A85E7D" w:rsidRPr="001B2940" w14:paraId="59F8210C" w14:textId="77777777" w:rsidTr="00DF31B9">
        <w:trPr>
          <w:trHeight w:val="315"/>
        </w:trPr>
        <w:tc>
          <w:tcPr>
            <w:tcW w:w="2435" w:type="pct"/>
            <w:tcBorders>
              <w:top w:val="single" w:sz="4" w:space="0" w:color="auto"/>
              <w:left w:val="single" w:sz="4" w:space="0" w:color="auto"/>
              <w:bottom w:val="single" w:sz="4" w:space="0" w:color="auto"/>
              <w:right w:val="nil"/>
            </w:tcBorders>
            <w:shd w:val="clear" w:color="auto" w:fill="auto"/>
            <w:vAlign w:val="center"/>
            <w:hideMark/>
          </w:tcPr>
          <w:p w14:paraId="40C5A6CC" w14:textId="77777777" w:rsidR="001B2940" w:rsidRPr="001B2940" w:rsidRDefault="001B2940" w:rsidP="001B2940">
            <w:pPr>
              <w:spacing w:after="0" w:line="240" w:lineRule="auto"/>
              <w:rPr>
                <w:rFonts w:ascii="Arial" w:eastAsia="Times New Roman" w:hAnsi="Arial" w:cs="Arial"/>
                <w:i/>
                <w:iCs/>
                <w:color w:val="000000"/>
                <w:sz w:val="18"/>
                <w:szCs w:val="18"/>
              </w:rPr>
            </w:pPr>
            <w:r w:rsidRPr="001B2940">
              <w:rPr>
                <w:rFonts w:ascii="Arial" w:eastAsia="Times New Roman" w:hAnsi="Arial" w:cs="Arial"/>
                <w:i/>
                <w:iCs/>
                <w:color w:val="000000"/>
                <w:sz w:val="18"/>
                <w:szCs w:val="18"/>
              </w:rPr>
              <w:t xml:space="preserve">Short Term Personnel Costs </w:t>
            </w:r>
          </w:p>
        </w:tc>
        <w:tc>
          <w:tcPr>
            <w:tcW w:w="531" w:type="pct"/>
            <w:tcBorders>
              <w:top w:val="single" w:sz="4" w:space="0" w:color="auto"/>
              <w:left w:val="nil"/>
              <w:bottom w:val="single" w:sz="4" w:space="0" w:color="auto"/>
              <w:right w:val="nil"/>
            </w:tcBorders>
            <w:shd w:val="clear" w:color="auto" w:fill="auto"/>
            <w:noWrap/>
            <w:vAlign w:val="center"/>
            <w:hideMark/>
          </w:tcPr>
          <w:p w14:paraId="799CC423" w14:textId="12AB8CB3"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547 </w:t>
            </w:r>
          </w:p>
        </w:tc>
        <w:tc>
          <w:tcPr>
            <w:tcW w:w="531" w:type="pct"/>
            <w:tcBorders>
              <w:top w:val="single" w:sz="4" w:space="0" w:color="auto"/>
              <w:left w:val="nil"/>
              <w:bottom w:val="single" w:sz="4" w:space="0" w:color="auto"/>
              <w:right w:val="nil"/>
            </w:tcBorders>
            <w:shd w:val="clear" w:color="auto" w:fill="auto"/>
            <w:noWrap/>
            <w:vAlign w:val="center"/>
            <w:hideMark/>
          </w:tcPr>
          <w:p w14:paraId="0E1D5F5D" w14:textId="017E095D"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D11B1E">
              <w:rPr>
                <w:rFonts w:ascii="Arial" w:eastAsia="Times New Roman" w:hAnsi="Arial" w:cs="Arial"/>
                <w:color w:val="000000"/>
                <w:sz w:val="18"/>
                <w:szCs w:val="18"/>
              </w:rPr>
              <w:t>0</w:t>
            </w:r>
            <w:r w:rsidRPr="00A85E7D">
              <w:rPr>
                <w:rFonts w:ascii="Arial" w:eastAsia="Times New Roman" w:hAnsi="Arial" w:cs="Arial"/>
                <w:color w:val="000000"/>
                <w:sz w:val="18"/>
                <w:szCs w:val="18"/>
              </w:rPr>
              <w:t xml:space="preserve"> </w:t>
            </w:r>
          </w:p>
        </w:tc>
        <w:tc>
          <w:tcPr>
            <w:tcW w:w="751" w:type="pct"/>
            <w:tcBorders>
              <w:top w:val="single" w:sz="4" w:space="0" w:color="auto"/>
              <w:left w:val="nil"/>
              <w:bottom w:val="single" w:sz="4" w:space="0" w:color="auto"/>
              <w:right w:val="nil"/>
            </w:tcBorders>
            <w:shd w:val="clear" w:color="auto" w:fill="auto"/>
            <w:noWrap/>
            <w:vAlign w:val="center"/>
            <w:hideMark/>
          </w:tcPr>
          <w:p w14:paraId="17E034F3" w14:textId="2265B08A"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3,878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0F5C10AB" w14:textId="42AC3FA9"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547 </w:t>
            </w:r>
          </w:p>
        </w:tc>
      </w:tr>
      <w:tr w:rsidR="00A85E7D" w:rsidRPr="00A85E7D" w14:paraId="23B64CF0" w14:textId="77777777" w:rsidTr="00DF31B9">
        <w:trPr>
          <w:trHeight w:val="315"/>
        </w:trPr>
        <w:tc>
          <w:tcPr>
            <w:tcW w:w="2435" w:type="pct"/>
            <w:tcBorders>
              <w:top w:val="single" w:sz="4" w:space="0" w:color="auto"/>
              <w:left w:val="single" w:sz="4" w:space="0" w:color="auto"/>
              <w:bottom w:val="single" w:sz="4" w:space="0" w:color="auto"/>
              <w:right w:val="nil"/>
            </w:tcBorders>
            <w:shd w:val="clear" w:color="000000" w:fill="F2F2F2"/>
            <w:vAlign w:val="center"/>
            <w:hideMark/>
          </w:tcPr>
          <w:p w14:paraId="1F18BAA7" w14:textId="77777777" w:rsidR="001B2940" w:rsidRPr="001B2940" w:rsidRDefault="001B2940" w:rsidP="001B2940">
            <w:pPr>
              <w:spacing w:after="0" w:line="240" w:lineRule="auto"/>
              <w:rPr>
                <w:rFonts w:ascii="Arial" w:eastAsia="Times New Roman" w:hAnsi="Arial" w:cs="Arial"/>
                <w:i/>
                <w:iCs/>
                <w:color w:val="000000"/>
                <w:sz w:val="18"/>
                <w:szCs w:val="18"/>
              </w:rPr>
            </w:pPr>
            <w:r w:rsidRPr="001B2940">
              <w:rPr>
                <w:rFonts w:ascii="Arial" w:eastAsia="Times New Roman" w:hAnsi="Arial" w:cs="Arial"/>
                <w:i/>
                <w:iCs/>
                <w:color w:val="000000"/>
                <w:sz w:val="18"/>
                <w:szCs w:val="18"/>
              </w:rPr>
              <w:t xml:space="preserve">Long-Term Personnel Costs </w:t>
            </w:r>
          </w:p>
        </w:tc>
        <w:tc>
          <w:tcPr>
            <w:tcW w:w="531" w:type="pct"/>
            <w:tcBorders>
              <w:top w:val="single" w:sz="4" w:space="0" w:color="auto"/>
              <w:left w:val="nil"/>
              <w:bottom w:val="single" w:sz="4" w:space="0" w:color="auto"/>
              <w:right w:val="nil"/>
            </w:tcBorders>
            <w:shd w:val="clear" w:color="auto" w:fill="auto"/>
            <w:noWrap/>
            <w:vAlign w:val="center"/>
            <w:hideMark/>
          </w:tcPr>
          <w:p w14:paraId="12BD64B9" w14:textId="6D77419B"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368,282 </w:t>
            </w:r>
          </w:p>
        </w:tc>
        <w:tc>
          <w:tcPr>
            <w:tcW w:w="531" w:type="pct"/>
            <w:tcBorders>
              <w:top w:val="single" w:sz="4" w:space="0" w:color="auto"/>
              <w:left w:val="nil"/>
              <w:bottom w:val="single" w:sz="4" w:space="0" w:color="auto"/>
              <w:right w:val="nil"/>
            </w:tcBorders>
            <w:shd w:val="clear" w:color="auto" w:fill="auto"/>
            <w:noWrap/>
            <w:vAlign w:val="center"/>
            <w:hideMark/>
          </w:tcPr>
          <w:p w14:paraId="06CDCEB3" w14:textId="5009F87D"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518,483 </w:t>
            </w:r>
          </w:p>
        </w:tc>
        <w:tc>
          <w:tcPr>
            <w:tcW w:w="751" w:type="pct"/>
            <w:tcBorders>
              <w:top w:val="single" w:sz="4" w:space="0" w:color="auto"/>
              <w:left w:val="nil"/>
              <w:bottom w:val="single" w:sz="4" w:space="0" w:color="auto"/>
              <w:right w:val="nil"/>
            </w:tcBorders>
            <w:shd w:val="clear" w:color="auto" w:fill="auto"/>
            <w:noWrap/>
            <w:vAlign w:val="center"/>
            <w:hideMark/>
          </w:tcPr>
          <w:p w14:paraId="207F5310" w14:textId="634B4E64"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1,507,205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4FA262D4" w14:textId="1D31EEEC"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886,765 </w:t>
            </w:r>
          </w:p>
        </w:tc>
      </w:tr>
      <w:tr w:rsidR="00A85E7D" w:rsidRPr="001B2940" w14:paraId="1E538EE6" w14:textId="77777777" w:rsidTr="00DF31B9">
        <w:trPr>
          <w:trHeight w:val="315"/>
        </w:trPr>
        <w:tc>
          <w:tcPr>
            <w:tcW w:w="2435" w:type="pct"/>
            <w:tcBorders>
              <w:top w:val="single" w:sz="4" w:space="0" w:color="auto"/>
              <w:left w:val="single" w:sz="4" w:space="0" w:color="auto"/>
              <w:bottom w:val="single" w:sz="4" w:space="0" w:color="auto"/>
              <w:right w:val="nil"/>
            </w:tcBorders>
            <w:shd w:val="clear" w:color="auto" w:fill="auto"/>
            <w:vAlign w:val="center"/>
            <w:hideMark/>
          </w:tcPr>
          <w:p w14:paraId="23B25893" w14:textId="77777777" w:rsidR="001B2940" w:rsidRPr="001B2940" w:rsidRDefault="001B2940" w:rsidP="001B2940">
            <w:pPr>
              <w:spacing w:after="0" w:line="240" w:lineRule="auto"/>
              <w:rPr>
                <w:rFonts w:ascii="Arial" w:eastAsia="Times New Roman" w:hAnsi="Arial" w:cs="Arial"/>
                <w:i/>
                <w:iCs/>
                <w:color w:val="000000"/>
                <w:sz w:val="18"/>
                <w:szCs w:val="18"/>
              </w:rPr>
            </w:pPr>
            <w:r w:rsidRPr="001B2940">
              <w:rPr>
                <w:rFonts w:ascii="Arial" w:eastAsia="Times New Roman" w:hAnsi="Arial" w:cs="Arial"/>
                <w:i/>
                <w:iCs/>
                <w:color w:val="000000"/>
                <w:sz w:val="18"/>
                <w:szCs w:val="18"/>
              </w:rPr>
              <w:t xml:space="preserve">Adviser Support Costs </w:t>
            </w:r>
          </w:p>
        </w:tc>
        <w:tc>
          <w:tcPr>
            <w:tcW w:w="531" w:type="pct"/>
            <w:tcBorders>
              <w:top w:val="single" w:sz="4" w:space="0" w:color="auto"/>
              <w:left w:val="nil"/>
              <w:bottom w:val="single" w:sz="4" w:space="0" w:color="auto"/>
              <w:right w:val="nil"/>
            </w:tcBorders>
            <w:shd w:val="clear" w:color="auto" w:fill="auto"/>
            <w:noWrap/>
            <w:vAlign w:val="center"/>
            <w:hideMark/>
          </w:tcPr>
          <w:p w14:paraId="0BFCBA86" w14:textId="7BC6B415"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125,647 </w:t>
            </w:r>
          </w:p>
        </w:tc>
        <w:tc>
          <w:tcPr>
            <w:tcW w:w="531" w:type="pct"/>
            <w:tcBorders>
              <w:top w:val="single" w:sz="4" w:space="0" w:color="auto"/>
              <w:left w:val="nil"/>
              <w:bottom w:val="single" w:sz="4" w:space="0" w:color="auto"/>
              <w:right w:val="nil"/>
            </w:tcBorders>
            <w:shd w:val="clear" w:color="auto" w:fill="auto"/>
            <w:noWrap/>
            <w:vAlign w:val="center"/>
            <w:hideMark/>
          </w:tcPr>
          <w:p w14:paraId="798C6637" w14:textId="5B13EC77"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351,665 </w:t>
            </w:r>
          </w:p>
        </w:tc>
        <w:tc>
          <w:tcPr>
            <w:tcW w:w="751" w:type="pct"/>
            <w:tcBorders>
              <w:top w:val="single" w:sz="4" w:space="0" w:color="auto"/>
              <w:left w:val="nil"/>
              <w:bottom w:val="single" w:sz="4" w:space="0" w:color="auto"/>
              <w:right w:val="nil"/>
            </w:tcBorders>
            <w:shd w:val="clear" w:color="auto" w:fill="auto"/>
            <w:noWrap/>
            <w:vAlign w:val="center"/>
            <w:hideMark/>
          </w:tcPr>
          <w:p w14:paraId="1A3A4D62" w14:textId="537ED020"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748,020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49B776C0" w14:textId="1777B17C"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477,312 </w:t>
            </w:r>
          </w:p>
        </w:tc>
      </w:tr>
      <w:tr w:rsidR="00A85E7D" w:rsidRPr="00A85E7D" w14:paraId="0977C991" w14:textId="77777777" w:rsidTr="00DF31B9">
        <w:trPr>
          <w:trHeight w:val="315"/>
        </w:trPr>
        <w:tc>
          <w:tcPr>
            <w:tcW w:w="2435" w:type="pct"/>
            <w:tcBorders>
              <w:top w:val="single" w:sz="4" w:space="0" w:color="auto"/>
              <w:left w:val="single" w:sz="4" w:space="0" w:color="auto"/>
              <w:bottom w:val="single" w:sz="4" w:space="0" w:color="auto"/>
              <w:right w:val="nil"/>
            </w:tcBorders>
            <w:shd w:val="clear" w:color="000000" w:fill="F2F2F2"/>
            <w:vAlign w:val="center"/>
            <w:hideMark/>
          </w:tcPr>
          <w:p w14:paraId="069DDDA8" w14:textId="77777777" w:rsidR="001B2940" w:rsidRPr="001B2940" w:rsidRDefault="001B2940" w:rsidP="001B2940">
            <w:pPr>
              <w:spacing w:after="0" w:line="240" w:lineRule="auto"/>
              <w:rPr>
                <w:rFonts w:ascii="Arial" w:eastAsia="Times New Roman" w:hAnsi="Arial" w:cs="Arial"/>
                <w:i/>
                <w:iCs/>
                <w:color w:val="000000"/>
                <w:sz w:val="18"/>
                <w:szCs w:val="18"/>
              </w:rPr>
            </w:pPr>
            <w:r w:rsidRPr="001B2940">
              <w:rPr>
                <w:rFonts w:ascii="Arial" w:eastAsia="Times New Roman" w:hAnsi="Arial" w:cs="Arial"/>
                <w:i/>
                <w:iCs/>
                <w:color w:val="000000"/>
                <w:sz w:val="18"/>
                <w:szCs w:val="18"/>
              </w:rPr>
              <w:t xml:space="preserve">Operational Costs </w:t>
            </w:r>
          </w:p>
        </w:tc>
        <w:tc>
          <w:tcPr>
            <w:tcW w:w="531" w:type="pct"/>
            <w:tcBorders>
              <w:top w:val="single" w:sz="4" w:space="0" w:color="auto"/>
              <w:left w:val="nil"/>
              <w:bottom w:val="single" w:sz="4" w:space="0" w:color="auto"/>
              <w:right w:val="nil"/>
            </w:tcBorders>
            <w:shd w:val="clear" w:color="auto" w:fill="auto"/>
            <w:noWrap/>
            <w:vAlign w:val="center"/>
            <w:hideMark/>
          </w:tcPr>
          <w:p w14:paraId="714D302C" w14:textId="75E8CF6C"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255,571 </w:t>
            </w:r>
          </w:p>
        </w:tc>
        <w:tc>
          <w:tcPr>
            <w:tcW w:w="531" w:type="pct"/>
            <w:tcBorders>
              <w:top w:val="single" w:sz="4" w:space="0" w:color="auto"/>
              <w:left w:val="nil"/>
              <w:bottom w:val="single" w:sz="4" w:space="0" w:color="auto"/>
              <w:right w:val="nil"/>
            </w:tcBorders>
            <w:shd w:val="clear" w:color="auto" w:fill="auto"/>
            <w:noWrap/>
            <w:vAlign w:val="center"/>
            <w:hideMark/>
          </w:tcPr>
          <w:p w14:paraId="393E0664" w14:textId="705A230B"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282,439 </w:t>
            </w:r>
          </w:p>
        </w:tc>
        <w:tc>
          <w:tcPr>
            <w:tcW w:w="751" w:type="pct"/>
            <w:tcBorders>
              <w:top w:val="single" w:sz="4" w:space="0" w:color="auto"/>
              <w:left w:val="nil"/>
              <w:bottom w:val="single" w:sz="4" w:space="0" w:color="auto"/>
              <w:right w:val="nil"/>
            </w:tcBorders>
            <w:shd w:val="clear" w:color="auto" w:fill="auto"/>
            <w:noWrap/>
            <w:vAlign w:val="center"/>
            <w:hideMark/>
          </w:tcPr>
          <w:p w14:paraId="1B87EE4A" w14:textId="780C88DC"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901,725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48CD5D0E" w14:textId="719ED766"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538,010 </w:t>
            </w:r>
          </w:p>
        </w:tc>
      </w:tr>
      <w:tr w:rsidR="00A85E7D" w:rsidRPr="001B2940" w14:paraId="60168E80" w14:textId="77777777" w:rsidTr="00DF31B9">
        <w:trPr>
          <w:trHeight w:val="315"/>
        </w:trPr>
        <w:tc>
          <w:tcPr>
            <w:tcW w:w="2435" w:type="pct"/>
            <w:tcBorders>
              <w:top w:val="single" w:sz="4" w:space="0" w:color="auto"/>
              <w:left w:val="single" w:sz="4" w:space="0" w:color="auto"/>
              <w:bottom w:val="single" w:sz="4" w:space="0" w:color="auto"/>
              <w:right w:val="nil"/>
            </w:tcBorders>
            <w:shd w:val="clear" w:color="auto" w:fill="auto"/>
            <w:vAlign w:val="center"/>
            <w:hideMark/>
          </w:tcPr>
          <w:p w14:paraId="537C6D3B" w14:textId="77777777" w:rsidR="001B2940" w:rsidRPr="001B2940" w:rsidRDefault="001B2940" w:rsidP="001B2940">
            <w:pPr>
              <w:spacing w:after="0" w:line="240" w:lineRule="auto"/>
              <w:rPr>
                <w:rFonts w:ascii="Arial" w:eastAsia="Times New Roman" w:hAnsi="Arial" w:cs="Arial"/>
                <w:i/>
                <w:iCs/>
                <w:color w:val="000000"/>
                <w:sz w:val="18"/>
                <w:szCs w:val="18"/>
              </w:rPr>
            </w:pPr>
            <w:r w:rsidRPr="001B2940">
              <w:rPr>
                <w:rFonts w:ascii="Arial" w:eastAsia="Times New Roman" w:hAnsi="Arial" w:cs="Arial"/>
                <w:i/>
                <w:iCs/>
                <w:color w:val="000000"/>
                <w:sz w:val="18"/>
                <w:szCs w:val="18"/>
              </w:rPr>
              <w:t xml:space="preserve">Program Costs </w:t>
            </w:r>
          </w:p>
        </w:tc>
        <w:tc>
          <w:tcPr>
            <w:tcW w:w="531" w:type="pct"/>
            <w:tcBorders>
              <w:top w:val="single" w:sz="4" w:space="0" w:color="auto"/>
              <w:left w:val="nil"/>
              <w:bottom w:val="single" w:sz="4" w:space="0" w:color="auto"/>
              <w:right w:val="nil"/>
            </w:tcBorders>
            <w:shd w:val="clear" w:color="auto" w:fill="auto"/>
            <w:noWrap/>
            <w:vAlign w:val="center"/>
            <w:hideMark/>
          </w:tcPr>
          <w:p w14:paraId="67775B0E" w14:textId="0B6880EF"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978,589 </w:t>
            </w:r>
          </w:p>
        </w:tc>
        <w:tc>
          <w:tcPr>
            <w:tcW w:w="531" w:type="pct"/>
            <w:tcBorders>
              <w:top w:val="single" w:sz="4" w:space="0" w:color="auto"/>
              <w:left w:val="nil"/>
              <w:bottom w:val="single" w:sz="4" w:space="0" w:color="auto"/>
              <w:right w:val="nil"/>
            </w:tcBorders>
            <w:shd w:val="clear" w:color="auto" w:fill="auto"/>
            <w:noWrap/>
            <w:vAlign w:val="center"/>
            <w:hideMark/>
          </w:tcPr>
          <w:p w14:paraId="68ED1421" w14:textId="478D49EE" w:rsidR="001B2940" w:rsidRPr="001B2940" w:rsidRDefault="001B2940" w:rsidP="00A85E7D">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 xml:space="preserve">2,373,649 </w:t>
            </w:r>
          </w:p>
        </w:tc>
        <w:tc>
          <w:tcPr>
            <w:tcW w:w="751" w:type="pct"/>
            <w:tcBorders>
              <w:top w:val="single" w:sz="4" w:space="0" w:color="auto"/>
              <w:left w:val="nil"/>
              <w:bottom w:val="single" w:sz="4" w:space="0" w:color="auto"/>
              <w:right w:val="nil"/>
            </w:tcBorders>
            <w:shd w:val="clear" w:color="auto" w:fill="auto"/>
            <w:noWrap/>
            <w:vAlign w:val="center"/>
            <w:hideMark/>
          </w:tcPr>
          <w:p w14:paraId="6A2A3357" w14:textId="1B754EC6"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3,132,021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70008C62" w14:textId="4A195870"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3,352,238 </w:t>
            </w:r>
          </w:p>
        </w:tc>
      </w:tr>
      <w:tr w:rsidR="00A85E7D" w:rsidRPr="00A85E7D" w14:paraId="40F557D4" w14:textId="77777777" w:rsidTr="00DF31B9">
        <w:trPr>
          <w:trHeight w:val="315"/>
        </w:trPr>
        <w:tc>
          <w:tcPr>
            <w:tcW w:w="2435" w:type="pct"/>
            <w:tcBorders>
              <w:top w:val="single" w:sz="4" w:space="0" w:color="auto"/>
              <w:left w:val="single" w:sz="4" w:space="0" w:color="auto"/>
              <w:bottom w:val="single" w:sz="4" w:space="0" w:color="auto"/>
              <w:right w:val="nil"/>
            </w:tcBorders>
            <w:shd w:val="clear" w:color="auto" w:fill="C4CFEF" w:themeFill="background2" w:themeFillTint="33"/>
            <w:vAlign w:val="center"/>
            <w:hideMark/>
          </w:tcPr>
          <w:p w14:paraId="5C65AAED" w14:textId="77777777" w:rsidR="001B2940" w:rsidRPr="001B2940" w:rsidRDefault="001B2940" w:rsidP="001B2940">
            <w:pPr>
              <w:spacing w:after="0" w:line="240" w:lineRule="auto"/>
              <w:rPr>
                <w:rFonts w:ascii="Arial" w:eastAsia="Times New Roman" w:hAnsi="Arial" w:cs="Arial"/>
                <w:b/>
                <w:bCs/>
                <w:color w:val="000000"/>
                <w:sz w:val="18"/>
                <w:szCs w:val="18"/>
              </w:rPr>
            </w:pPr>
            <w:r w:rsidRPr="001B2940">
              <w:rPr>
                <w:rFonts w:ascii="Arial" w:eastAsia="Times New Roman" w:hAnsi="Arial" w:cs="Arial"/>
                <w:b/>
                <w:bCs/>
                <w:color w:val="000000"/>
                <w:sz w:val="18"/>
                <w:szCs w:val="18"/>
              </w:rPr>
              <w:t xml:space="preserve">TOTAL </w:t>
            </w:r>
          </w:p>
        </w:tc>
        <w:tc>
          <w:tcPr>
            <w:tcW w:w="531" w:type="pct"/>
            <w:tcBorders>
              <w:top w:val="single" w:sz="4" w:space="0" w:color="auto"/>
              <w:left w:val="nil"/>
              <w:bottom w:val="single" w:sz="4" w:space="0" w:color="auto"/>
              <w:right w:val="nil"/>
            </w:tcBorders>
            <w:shd w:val="clear" w:color="auto" w:fill="C4CFEF" w:themeFill="background2" w:themeFillTint="33"/>
            <w:noWrap/>
            <w:vAlign w:val="center"/>
            <w:hideMark/>
          </w:tcPr>
          <w:p w14:paraId="435B2B8D" w14:textId="52E4DB0B" w:rsidR="001B2940" w:rsidRPr="001B2940" w:rsidRDefault="001B2940" w:rsidP="00A85E7D">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 xml:space="preserve">2,637,997 </w:t>
            </w:r>
          </w:p>
        </w:tc>
        <w:tc>
          <w:tcPr>
            <w:tcW w:w="531" w:type="pct"/>
            <w:tcBorders>
              <w:top w:val="single" w:sz="4" w:space="0" w:color="auto"/>
              <w:left w:val="nil"/>
              <w:bottom w:val="single" w:sz="4" w:space="0" w:color="auto"/>
              <w:right w:val="nil"/>
            </w:tcBorders>
            <w:shd w:val="clear" w:color="auto" w:fill="C4CFEF" w:themeFill="background2" w:themeFillTint="33"/>
            <w:noWrap/>
            <w:vAlign w:val="center"/>
            <w:hideMark/>
          </w:tcPr>
          <w:p w14:paraId="1BA297D1" w14:textId="553F49A4" w:rsidR="001B2940" w:rsidRPr="001B2940" w:rsidRDefault="001B2940" w:rsidP="00A85E7D">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 xml:space="preserve">4,756,092 </w:t>
            </w:r>
          </w:p>
        </w:tc>
        <w:tc>
          <w:tcPr>
            <w:tcW w:w="751" w:type="pct"/>
            <w:tcBorders>
              <w:top w:val="single" w:sz="4" w:space="0" w:color="auto"/>
              <w:left w:val="nil"/>
              <w:bottom w:val="single" w:sz="4" w:space="0" w:color="auto"/>
              <w:right w:val="nil"/>
            </w:tcBorders>
            <w:shd w:val="clear" w:color="auto" w:fill="C4CFEF" w:themeFill="background2" w:themeFillTint="33"/>
            <w:noWrap/>
            <w:vAlign w:val="center"/>
            <w:hideMark/>
          </w:tcPr>
          <w:p w14:paraId="47A6ED5D" w14:textId="5C2A5614"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8,740,282 </w:t>
            </w:r>
          </w:p>
        </w:tc>
        <w:tc>
          <w:tcPr>
            <w:tcW w:w="751" w:type="pct"/>
            <w:tcBorders>
              <w:top w:val="single" w:sz="4" w:space="0" w:color="auto"/>
              <w:left w:val="nil"/>
              <w:bottom w:val="single" w:sz="4" w:space="0" w:color="auto"/>
              <w:right w:val="single" w:sz="4" w:space="0" w:color="auto"/>
            </w:tcBorders>
            <w:shd w:val="clear" w:color="auto" w:fill="C4CFEF" w:themeFill="background2" w:themeFillTint="33"/>
            <w:noWrap/>
            <w:vAlign w:val="center"/>
            <w:hideMark/>
          </w:tcPr>
          <w:p w14:paraId="69ECEAB7" w14:textId="6DCFB6A6" w:rsidR="001B2940" w:rsidRPr="001B2940" w:rsidRDefault="00A85E7D" w:rsidP="00A85E7D">
            <w:pPr>
              <w:spacing w:after="0" w:line="240" w:lineRule="auto"/>
              <w:jc w:val="right"/>
              <w:rPr>
                <w:rFonts w:ascii="Arial" w:eastAsia="Times New Roman" w:hAnsi="Arial" w:cs="Arial"/>
                <w:color w:val="000000"/>
                <w:sz w:val="18"/>
                <w:szCs w:val="18"/>
              </w:rPr>
            </w:pPr>
            <w:r w:rsidRPr="00A85E7D">
              <w:rPr>
                <w:rFonts w:ascii="Arial" w:eastAsia="Times New Roman" w:hAnsi="Arial" w:cs="Arial"/>
                <w:color w:val="000000"/>
                <w:sz w:val="18"/>
                <w:szCs w:val="18"/>
              </w:rPr>
              <w:t xml:space="preserve"> </w:t>
            </w:r>
            <w:r w:rsidR="001B2940" w:rsidRPr="001B2940">
              <w:rPr>
                <w:rFonts w:ascii="Arial" w:eastAsia="Times New Roman" w:hAnsi="Arial" w:cs="Arial"/>
                <w:color w:val="000000"/>
                <w:sz w:val="18"/>
                <w:szCs w:val="18"/>
              </w:rPr>
              <w:t xml:space="preserve">7,394,089 </w:t>
            </w:r>
          </w:p>
        </w:tc>
      </w:tr>
      <w:tr w:rsidR="00A85E7D" w:rsidRPr="001B2940" w14:paraId="3EEB183A" w14:textId="77777777" w:rsidTr="00DF31B9">
        <w:trPr>
          <w:trHeight w:val="300"/>
        </w:trPr>
        <w:tc>
          <w:tcPr>
            <w:tcW w:w="2435" w:type="pct"/>
            <w:tcBorders>
              <w:top w:val="single" w:sz="4" w:space="0" w:color="auto"/>
              <w:left w:val="single" w:sz="4" w:space="0" w:color="auto"/>
              <w:bottom w:val="single" w:sz="4" w:space="0" w:color="auto"/>
              <w:right w:val="nil"/>
            </w:tcBorders>
            <w:shd w:val="clear" w:color="auto" w:fill="auto"/>
            <w:noWrap/>
            <w:vAlign w:val="bottom"/>
            <w:hideMark/>
          </w:tcPr>
          <w:p w14:paraId="1F3748B1" w14:textId="77777777" w:rsidR="001B2940" w:rsidRPr="001B2940" w:rsidRDefault="001B2940" w:rsidP="001B2940">
            <w:pPr>
              <w:spacing w:after="0" w:line="240" w:lineRule="auto"/>
              <w:rPr>
                <w:rFonts w:ascii="Arial" w:eastAsia="Times New Roman" w:hAnsi="Arial" w:cs="Arial"/>
                <w:color w:val="000000"/>
                <w:sz w:val="18"/>
                <w:szCs w:val="18"/>
              </w:rPr>
            </w:pPr>
            <w:r w:rsidRPr="001B2940">
              <w:rPr>
                <w:rFonts w:ascii="Arial" w:eastAsia="Times New Roman" w:hAnsi="Arial" w:cs="Arial"/>
                <w:color w:val="000000"/>
                <w:sz w:val="18"/>
                <w:szCs w:val="18"/>
              </w:rPr>
              <w:t>Ops costs as % of Total Spend</w:t>
            </w:r>
          </w:p>
        </w:tc>
        <w:tc>
          <w:tcPr>
            <w:tcW w:w="531" w:type="pct"/>
            <w:tcBorders>
              <w:top w:val="single" w:sz="4" w:space="0" w:color="auto"/>
              <w:left w:val="nil"/>
              <w:bottom w:val="single" w:sz="4" w:space="0" w:color="auto"/>
              <w:right w:val="nil"/>
            </w:tcBorders>
            <w:shd w:val="clear" w:color="auto" w:fill="auto"/>
            <w:noWrap/>
            <w:vAlign w:val="bottom"/>
            <w:hideMark/>
          </w:tcPr>
          <w:p w14:paraId="26EC7EA0"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10%</w:t>
            </w:r>
          </w:p>
        </w:tc>
        <w:tc>
          <w:tcPr>
            <w:tcW w:w="531" w:type="pct"/>
            <w:tcBorders>
              <w:top w:val="single" w:sz="4" w:space="0" w:color="auto"/>
              <w:left w:val="nil"/>
              <w:bottom w:val="single" w:sz="4" w:space="0" w:color="auto"/>
              <w:right w:val="nil"/>
            </w:tcBorders>
            <w:shd w:val="clear" w:color="auto" w:fill="auto"/>
            <w:noWrap/>
            <w:vAlign w:val="bottom"/>
            <w:hideMark/>
          </w:tcPr>
          <w:p w14:paraId="59C28F2C"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6%</w:t>
            </w:r>
          </w:p>
        </w:tc>
        <w:tc>
          <w:tcPr>
            <w:tcW w:w="751" w:type="pct"/>
            <w:tcBorders>
              <w:top w:val="single" w:sz="4" w:space="0" w:color="auto"/>
              <w:left w:val="nil"/>
              <w:bottom w:val="single" w:sz="4" w:space="0" w:color="auto"/>
              <w:right w:val="nil"/>
            </w:tcBorders>
            <w:shd w:val="clear" w:color="auto" w:fill="auto"/>
            <w:noWrap/>
            <w:vAlign w:val="bottom"/>
            <w:hideMark/>
          </w:tcPr>
          <w:p w14:paraId="17FB7D07"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10%</w:t>
            </w:r>
          </w:p>
        </w:tc>
        <w:tc>
          <w:tcPr>
            <w:tcW w:w="751" w:type="pct"/>
            <w:tcBorders>
              <w:top w:val="single" w:sz="4" w:space="0" w:color="auto"/>
              <w:left w:val="nil"/>
              <w:bottom w:val="single" w:sz="4" w:space="0" w:color="auto"/>
              <w:right w:val="single" w:sz="4" w:space="0" w:color="auto"/>
            </w:tcBorders>
            <w:shd w:val="clear" w:color="auto" w:fill="auto"/>
            <w:noWrap/>
            <w:vAlign w:val="bottom"/>
            <w:hideMark/>
          </w:tcPr>
          <w:p w14:paraId="25F83A8E"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7%</w:t>
            </w:r>
          </w:p>
        </w:tc>
      </w:tr>
      <w:tr w:rsidR="00A85E7D" w:rsidRPr="001B2940" w14:paraId="7B3A9E1E" w14:textId="77777777" w:rsidTr="00DF31B9">
        <w:trPr>
          <w:trHeight w:val="300"/>
        </w:trPr>
        <w:tc>
          <w:tcPr>
            <w:tcW w:w="2435" w:type="pct"/>
            <w:tcBorders>
              <w:top w:val="single" w:sz="4" w:space="0" w:color="auto"/>
              <w:left w:val="single" w:sz="4" w:space="0" w:color="auto"/>
              <w:bottom w:val="single" w:sz="4" w:space="0" w:color="auto"/>
              <w:right w:val="nil"/>
            </w:tcBorders>
            <w:shd w:val="clear" w:color="auto" w:fill="auto"/>
            <w:noWrap/>
            <w:vAlign w:val="bottom"/>
            <w:hideMark/>
          </w:tcPr>
          <w:p w14:paraId="5C0D3D37" w14:textId="77777777" w:rsidR="001B2940" w:rsidRPr="001B2940" w:rsidRDefault="001B2940" w:rsidP="001B2940">
            <w:pPr>
              <w:spacing w:after="0" w:line="240" w:lineRule="auto"/>
              <w:rPr>
                <w:rFonts w:ascii="Arial" w:eastAsia="Times New Roman" w:hAnsi="Arial" w:cs="Arial"/>
                <w:color w:val="000000"/>
                <w:sz w:val="18"/>
                <w:szCs w:val="18"/>
              </w:rPr>
            </w:pPr>
            <w:r w:rsidRPr="001B2940">
              <w:rPr>
                <w:rFonts w:ascii="Arial" w:eastAsia="Times New Roman" w:hAnsi="Arial" w:cs="Arial"/>
                <w:color w:val="000000"/>
                <w:sz w:val="18"/>
                <w:szCs w:val="18"/>
              </w:rPr>
              <w:t>Ops costs + Advisor support costs as % of Total Spend</w:t>
            </w:r>
          </w:p>
        </w:tc>
        <w:tc>
          <w:tcPr>
            <w:tcW w:w="531" w:type="pct"/>
            <w:tcBorders>
              <w:top w:val="single" w:sz="4" w:space="0" w:color="auto"/>
              <w:left w:val="nil"/>
              <w:bottom w:val="single" w:sz="4" w:space="0" w:color="auto"/>
              <w:right w:val="nil"/>
            </w:tcBorders>
            <w:shd w:val="clear" w:color="auto" w:fill="auto"/>
            <w:noWrap/>
            <w:vAlign w:val="bottom"/>
            <w:hideMark/>
          </w:tcPr>
          <w:p w14:paraId="02F24026"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14%</w:t>
            </w:r>
          </w:p>
        </w:tc>
        <w:tc>
          <w:tcPr>
            <w:tcW w:w="531" w:type="pct"/>
            <w:tcBorders>
              <w:top w:val="single" w:sz="4" w:space="0" w:color="auto"/>
              <w:left w:val="nil"/>
              <w:bottom w:val="single" w:sz="4" w:space="0" w:color="auto"/>
              <w:right w:val="nil"/>
            </w:tcBorders>
            <w:shd w:val="clear" w:color="auto" w:fill="auto"/>
            <w:noWrap/>
            <w:vAlign w:val="bottom"/>
            <w:hideMark/>
          </w:tcPr>
          <w:p w14:paraId="2293AB21"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13%</w:t>
            </w:r>
          </w:p>
        </w:tc>
        <w:tc>
          <w:tcPr>
            <w:tcW w:w="751" w:type="pct"/>
            <w:tcBorders>
              <w:top w:val="single" w:sz="4" w:space="0" w:color="auto"/>
              <w:left w:val="nil"/>
              <w:bottom w:val="single" w:sz="4" w:space="0" w:color="auto"/>
              <w:right w:val="nil"/>
            </w:tcBorders>
            <w:shd w:val="clear" w:color="auto" w:fill="auto"/>
            <w:noWrap/>
            <w:vAlign w:val="bottom"/>
            <w:hideMark/>
          </w:tcPr>
          <w:p w14:paraId="1618C2BF"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19%</w:t>
            </w:r>
          </w:p>
        </w:tc>
        <w:tc>
          <w:tcPr>
            <w:tcW w:w="751" w:type="pct"/>
            <w:tcBorders>
              <w:top w:val="single" w:sz="4" w:space="0" w:color="auto"/>
              <w:left w:val="nil"/>
              <w:bottom w:val="single" w:sz="4" w:space="0" w:color="auto"/>
              <w:right w:val="single" w:sz="4" w:space="0" w:color="auto"/>
            </w:tcBorders>
            <w:shd w:val="clear" w:color="auto" w:fill="auto"/>
            <w:noWrap/>
            <w:vAlign w:val="bottom"/>
            <w:hideMark/>
          </w:tcPr>
          <w:p w14:paraId="4EF3D4E1"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14%</w:t>
            </w:r>
          </w:p>
        </w:tc>
      </w:tr>
      <w:tr w:rsidR="00A85E7D" w:rsidRPr="001B2940" w14:paraId="1FC24917" w14:textId="77777777" w:rsidTr="00DF31B9">
        <w:trPr>
          <w:trHeight w:val="300"/>
        </w:trPr>
        <w:tc>
          <w:tcPr>
            <w:tcW w:w="2435" w:type="pct"/>
            <w:tcBorders>
              <w:top w:val="single" w:sz="4" w:space="0" w:color="auto"/>
              <w:left w:val="single" w:sz="4" w:space="0" w:color="auto"/>
              <w:bottom w:val="single" w:sz="4" w:space="0" w:color="auto"/>
              <w:right w:val="nil"/>
            </w:tcBorders>
            <w:shd w:val="clear" w:color="auto" w:fill="auto"/>
            <w:noWrap/>
            <w:vAlign w:val="bottom"/>
            <w:hideMark/>
          </w:tcPr>
          <w:p w14:paraId="12D0D1B3" w14:textId="77777777" w:rsidR="001B2940" w:rsidRPr="001B2940" w:rsidRDefault="001B2940" w:rsidP="001B2940">
            <w:pPr>
              <w:spacing w:after="0" w:line="240" w:lineRule="auto"/>
              <w:rPr>
                <w:rFonts w:ascii="Arial" w:eastAsia="Times New Roman" w:hAnsi="Arial" w:cs="Arial"/>
                <w:color w:val="000000"/>
                <w:sz w:val="18"/>
                <w:szCs w:val="18"/>
              </w:rPr>
            </w:pPr>
            <w:r w:rsidRPr="001B2940">
              <w:rPr>
                <w:rFonts w:ascii="Arial" w:eastAsia="Times New Roman" w:hAnsi="Arial" w:cs="Arial"/>
                <w:color w:val="000000"/>
                <w:sz w:val="18"/>
                <w:szCs w:val="18"/>
              </w:rPr>
              <w:t>Ops + Advisor support + staff costs as % of Total Spend</w:t>
            </w:r>
          </w:p>
        </w:tc>
        <w:tc>
          <w:tcPr>
            <w:tcW w:w="531" w:type="pct"/>
            <w:tcBorders>
              <w:top w:val="single" w:sz="4" w:space="0" w:color="auto"/>
              <w:left w:val="nil"/>
              <w:bottom w:val="single" w:sz="4" w:space="0" w:color="auto"/>
              <w:right w:val="nil"/>
            </w:tcBorders>
            <w:shd w:val="clear" w:color="auto" w:fill="auto"/>
            <w:noWrap/>
            <w:vAlign w:val="bottom"/>
            <w:hideMark/>
          </w:tcPr>
          <w:p w14:paraId="7009699C"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63%</w:t>
            </w:r>
          </w:p>
        </w:tc>
        <w:tc>
          <w:tcPr>
            <w:tcW w:w="531" w:type="pct"/>
            <w:tcBorders>
              <w:top w:val="single" w:sz="4" w:space="0" w:color="auto"/>
              <w:left w:val="nil"/>
              <w:bottom w:val="single" w:sz="4" w:space="0" w:color="auto"/>
              <w:right w:val="nil"/>
            </w:tcBorders>
            <w:shd w:val="clear" w:color="auto" w:fill="auto"/>
            <w:noWrap/>
            <w:vAlign w:val="bottom"/>
            <w:hideMark/>
          </w:tcPr>
          <w:p w14:paraId="34257E9B"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50%</w:t>
            </w:r>
          </w:p>
        </w:tc>
        <w:tc>
          <w:tcPr>
            <w:tcW w:w="751" w:type="pct"/>
            <w:tcBorders>
              <w:top w:val="single" w:sz="4" w:space="0" w:color="auto"/>
              <w:left w:val="nil"/>
              <w:bottom w:val="single" w:sz="4" w:space="0" w:color="auto"/>
              <w:right w:val="nil"/>
            </w:tcBorders>
            <w:shd w:val="clear" w:color="auto" w:fill="auto"/>
            <w:noWrap/>
            <w:vAlign w:val="bottom"/>
            <w:hideMark/>
          </w:tcPr>
          <w:p w14:paraId="1D76E0BE"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64%</w:t>
            </w:r>
          </w:p>
        </w:tc>
        <w:tc>
          <w:tcPr>
            <w:tcW w:w="751" w:type="pct"/>
            <w:tcBorders>
              <w:top w:val="single" w:sz="4" w:space="0" w:color="auto"/>
              <w:left w:val="nil"/>
              <w:bottom w:val="single" w:sz="4" w:space="0" w:color="auto"/>
              <w:right w:val="single" w:sz="4" w:space="0" w:color="auto"/>
            </w:tcBorders>
            <w:shd w:val="clear" w:color="auto" w:fill="auto"/>
            <w:noWrap/>
            <w:vAlign w:val="bottom"/>
            <w:hideMark/>
          </w:tcPr>
          <w:p w14:paraId="7498AA18" w14:textId="77777777" w:rsidR="001B2940" w:rsidRPr="001B2940" w:rsidRDefault="001B2940" w:rsidP="001B2940">
            <w:pPr>
              <w:spacing w:after="0" w:line="240" w:lineRule="auto"/>
              <w:jc w:val="right"/>
              <w:rPr>
                <w:rFonts w:ascii="Arial" w:eastAsia="Times New Roman" w:hAnsi="Arial" w:cs="Arial"/>
                <w:color w:val="000000"/>
                <w:sz w:val="18"/>
                <w:szCs w:val="18"/>
              </w:rPr>
            </w:pPr>
            <w:r w:rsidRPr="001B2940">
              <w:rPr>
                <w:rFonts w:ascii="Arial" w:eastAsia="Times New Roman" w:hAnsi="Arial" w:cs="Arial"/>
                <w:color w:val="000000"/>
                <w:sz w:val="18"/>
                <w:szCs w:val="18"/>
              </w:rPr>
              <w:t>55%</w:t>
            </w:r>
          </w:p>
        </w:tc>
      </w:tr>
      <w:tr w:rsidR="00DF31B9" w:rsidRPr="001B2940" w14:paraId="2299F708" w14:textId="77777777" w:rsidTr="00DF31B9">
        <w:trPr>
          <w:trHeight w:val="300"/>
        </w:trPr>
        <w:tc>
          <w:tcPr>
            <w:tcW w:w="2435" w:type="pct"/>
            <w:tcBorders>
              <w:top w:val="single" w:sz="4" w:space="0" w:color="auto"/>
              <w:left w:val="single" w:sz="4" w:space="0" w:color="auto"/>
              <w:bottom w:val="single" w:sz="4" w:space="0" w:color="auto"/>
              <w:right w:val="nil"/>
            </w:tcBorders>
            <w:shd w:val="clear" w:color="auto" w:fill="auto"/>
            <w:noWrap/>
            <w:vAlign w:val="bottom"/>
          </w:tcPr>
          <w:p w14:paraId="08CE52AF" w14:textId="58793AD5" w:rsidR="00DF31B9" w:rsidRPr="001B2940" w:rsidRDefault="00DF31B9" w:rsidP="00DF31B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Program costs as % of total</w:t>
            </w:r>
          </w:p>
        </w:tc>
        <w:tc>
          <w:tcPr>
            <w:tcW w:w="531" w:type="pct"/>
            <w:tcBorders>
              <w:top w:val="single" w:sz="4" w:space="0" w:color="auto"/>
              <w:left w:val="nil"/>
              <w:bottom w:val="single" w:sz="4" w:space="0" w:color="auto"/>
              <w:right w:val="nil"/>
            </w:tcBorders>
            <w:shd w:val="clear" w:color="auto" w:fill="auto"/>
            <w:noWrap/>
            <w:vAlign w:val="bottom"/>
          </w:tcPr>
          <w:p w14:paraId="6E46AE48" w14:textId="16F489E0" w:rsidR="00DF31B9" w:rsidRPr="001B2940" w:rsidRDefault="00DF31B9" w:rsidP="00DF31B9">
            <w:pPr>
              <w:spacing w:after="0" w:line="240" w:lineRule="auto"/>
              <w:jc w:val="right"/>
              <w:rPr>
                <w:rFonts w:ascii="Arial" w:eastAsia="Times New Roman" w:hAnsi="Arial" w:cs="Arial"/>
                <w:color w:val="000000"/>
                <w:sz w:val="18"/>
                <w:szCs w:val="18"/>
              </w:rPr>
            </w:pPr>
            <w:r w:rsidRPr="00DF31B9">
              <w:rPr>
                <w:rFonts w:ascii="Arial" w:eastAsia="Times New Roman" w:hAnsi="Arial" w:cs="Arial"/>
                <w:color w:val="000000"/>
                <w:sz w:val="18"/>
                <w:szCs w:val="18"/>
              </w:rPr>
              <w:t>37</w:t>
            </w:r>
            <w:r>
              <w:rPr>
                <w:rFonts w:ascii="Arial" w:eastAsia="Times New Roman" w:hAnsi="Arial" w:cs="Arial"/>
                <w:color w:val="000000"/>
                <w:sz w:val="18"/>
                <w:szCs w:val="18"/>
              </w:rPr>
              <w:t>%</w:t>
            </w:r>
          </w:p>
        </w:tc>
        <w:tc>
          <w:tcPr>
            <w:tcW w:w="531" w:type="pct"/>
            <w:tcBorders>
              <w:top w:val="single" w:sz="4" w:space="0" w:color="auto"/>
              <w:left w:val="nil"/>
              <w:bottom w:val="single" w:sz="4" w:space="0" w:color="auto"/>
              <w:right w:val="nil"/>
            </w:tcBorders>
            <w:shd w:val="clear" w:color="auto" w:fill="auto"/>
            <w:noWrap/>
            <w:vAlign w:val="bottom"/>
          </w:tcPr>
          <w:p w14:paraId="2898EE87" w14:textId="293D1ACF" w:rsidR="00DF31B9" w:rsidRPr="001B2940" w:rsidRDefault="00DF31B9" w:rsidP="00DF31B9">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50%</w:t>
            </w:r>
          </w:p>
        </w:tc>
        <w:tc>
          <w:tcPr>
            <w:tcW w:w="751" w:type="pct"/>
            <w:tcBorders>
              <w:top w:val="single" w:sz="4" w:space="0" w:color="auto"/>
              <w:left w:val="nil"/>
              <w:bottom w:val="single" w:sz="4" w:space="0" w:color="auto"/>
              <w:right w:val="nil"/>
            </w:tcBorders>
            <w:shd w:val="clear" w:color="auto" w:fill="auto"/>
            <w:noWrap/>
            <w:vAlign w:val="bottom"/>
          </w:tcPr>
          <w:p w14:paraId="0E0379F4" w14:textId="2B659983" w:rsidR="00DF31B9" w:rsidRPr="001B2940" w:rsidRDefault="00DF31B9" w:rsidP="00DF31B9">
            <w:pPr>
              <w:spacing w:after="0" w:line="240" w:lineRule="auto"/>
              <w:jc w:val="right"/>
              <w:rPr>
                <w:rFonts w:ascii="Arial" w:eastAsia="Times New Roman" w:hAnsi="Arial" w:cs="Arial"/>
                <w:color w:val="000000"/>
                <w:sz w:val="18"/>
                <w:szCs w:val="18"/>
              </w:rPr>
            </w:pPr>
            <w:r w:rsidRPr="00DF31B9">
              <w:rPr>
                <w:rFonts w:ascii="Arial" w:eastAsia="Times New Roman" w:hAnsi="Arial" w:cs="Arial"/>
                <w:color w:val="000000"/>
                <w:sz w:val="18"/>
                <w:szCs w:val="18"/>
              </w:rPr>
              <w:t>36</w:t>
            </w:r>
            <w:r>
              <w:rPr>
                <w:rFonts w:ascii="Arial" w:eastAsia="Times New Roman" w:hAnsi="Arial" w:cs="Arial"/>
                <w:color w:val="000000"/>
                <w:sz w:val="18"/>
                <w:szCs w:val="18"/>
              </w:rPr>
              <w:t>%</w:t>
            </w:r>
          </w:p>
        </w:tc>
        <w:tc>
          <w:tcPr>
            <w:tcW w:w="751" w:type="pct"/>
            <w:tcBorders>
              <w:top w:val="single" w:sz="4" w:space="0" w:color="auto"/>
              <w:left w:val="nil"/>
              <w:bottom w:val="single" w:sz="4" w:space="0" w:color="auto"/>
              <w:right w:val="single" w:sz="4" w:space="0" w:color="auto"/>
            </w:tcBorders>
            <w:shd w:val="clear" w:color="auto" w:fill="auto"/>
            <w:noWrap/>
            <w:vAlign w:val="bottom"/>
          </w:tcPr>
          <w:p w14:paraId="366A2F01" w14:textId="2CA913A7" w:rsidR="00DF31B9" w:rsidRPr="001B2940" w:rsidRDefault="00DF31B9" w:rsidP="00DF31B9">
            <w:pPr>
              <w:spacing w:after="0" w:line="240" w:lineRule="auto"/>
              <w:jc w:val="right"/>
              <w:rPr>
                <w:rFonts w:ascii="Arial" w:eastAsia="Times New Roman" w:hAnsi="Arial" w:cs="Arial"/>
                <w:color w:val="000000"/>
                <w:sz w:val="18"/>
                <w:szCs w:val="18"/>
              </w:rPr>
            </w:pPr>
            <w:r w:rsidRPr="00DF31B9">
              <w:rPr>
                <w:rFonts w:ascii="Arial" w:eastAsia="Times New Roman" w:hAnsi="Arial" w:cs="Arial"/>
                <w:color w:val="000000"/>
                <w:sz w:val="18"/>
                <w:szCs w:val="18"/>
              </w:rPr>
              <w:t>45</w:t>
            </w:r>
            <w:r>
              <w:rPr>
                <w:rFonts w:ascii="Arial" w:eastAsia="Times New Roman" w:hAnsi="Arial" w:cs="Arial"/>
                <w:color w:val="000000"/>
                <w:sz w:val="18"/>
                <w:szCs w:val="18"/>
              </w:rPr>
              <w:t>%</w:t>
            </w:r>
          </w:p>
        </w:tc>
      </w:tr>
    </w:tbl>
    <w:p w14:paraId="1DB56C5D" w14:textId="77777777" w:rsidR="001B2940" w:rsidRDefault="001B2940" w:rsidP="00B11197"/>
    <w:p w14:paraId="6FE911EC" w14:textId="77777777" w:rsidR="00DF31B9" w:rsidRDefault="00DF31B9" w:rsidP="00B11197"/>
    <w:p w14:paraId="6D97817E" w14:textId="6BE0D34A" w:rsidR="00DF31B9" w:rsidRPr="00DF31B9" w:rsidRDefault="00DF31B9" w:rsidP="00B11197">
      <w:pPr>
        <w:rPr>
          <w:b/>
        </w:rPr>
      </w:pPr>
      <w:r w:rsidRPr="00DF31B9">
        <w:rPr>
          <w:b/>
        </w:rPr>
        <w:t>Table A7.2: Cost per benefit generated</w:t>
      </w:r>
    </w:p>
    <w:tbl>
      <w:tblPr>
        <w:tblStyle w:val="DefaultTable"/>
        <w:tblW w:w="5000" w:type="pct"/>
        <w:tblLayout w:type="fixed"/>
        <w:tblCellMar>
          <w:top w:w="28" w:type="dxa"/>
          <w:bottom w:w="28" w:type="dxa"/>
        </w:tblCellMar>
        <w:tblLook w:val="04A0" w:firstRow="1" w:lastRow="0" w:firstColumn="1" w:lastColumn="0" w:noHBand="0" w:noVBand="1"/>
      </w:tblPr>
      <w:tblGrid>
        <w:gridCol w:w="4957"/>
        <w:gridCol w:w="3260"/>
        <w:gridCol w:w="1411"/>
      </w:tblGrid>
      <w:tr w:rsidR="00DF31B9" w:rsidRPr="00DF31B9" w14:paraId="6EDABD3C" w14:textId="77777777" w:rsidTr="0055243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74" w:type="pct"/>
            <w:noWrap/>
            <w:vAlign w:val="center"/>
            <w:hideMark/>
          </w:tcPr>
          <w:p w14:paraId="7D0A14B7" w14:textId="6F7E8B95" w:rsidR="00DF31B9" w:rsidRPr="00DF31B9" w:rsidRDefault="00DF31B9" w:rsidP="00DF31B9">
            <w:pPr>
              <w:spacing w:after="0" w:line="240" w:lineRule="auto"/>
              <w:jc w:val="center"/>
              <w:rPr>
                <w:rFonts w:eastAsia="Times New Roman" w:cstheme="minorHAnsi"/>
                <w:color w:val="FFFFFF" w:themeColor="background1"/>
                <w:sz w:val="18"/>
                <w:szCs w:val="18"/>
              </w:rPr>
            </w:pPr>
            <w:r w:rsidRPr="00DF31B9">
              <w:rPr>
                <w:rFonts w:eastAsia="Times New Roman" w:cstheme="minorHAnsi"/>
                <w:color w:val="FFFFFF" w:themeColor="background1"/>
                <w:sz w:val="18"/>
                <w:szCs w:val="18"/>
              </w:rPr>
              <w:t>Common Indicators</w:t>
            </w:r>
          </w:p>
        </w:tc>
        <w:tc>
          <w:tcPr>
            <w:tcW w:w="1693" w:type="pct"/>
            <w:noWrap/>
            <w:vAlign w:val="center"/>
            <w:hideMark/>
          </w:tcPr>
          <w:p w14:paraId="06C9AB24" w14:textId="77777777" w:rsidR="00DF31B9" w:rsidRPr="00DF31B9" w:rsidRDefault="00DF31B9" w:rsidP="00DF31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rPr>
            </w:pPr>
          </w:p>
        </w:tc>
        <w:tc>
          <w:tcPr>
            <w:tcW w:w="733" w:type="pct"/>
            <w:noWrap/>
            <w:vAlign w:val="center"/>
            <w:hideMark/>
          </w:tcPr>
          <w:p w14:paraId="01B744E5" w14:textId="77777777" w:rsidR="00DF31B9" w:rsidRPr="00DF31B9" w:rsidRDefault="00DF31B9" w:rsidP="00DF31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rPr>
            </w:pPr>
            <w:r w:rsidRPr="00DF31B9">
              <w:rPr>
                <w:rFonts w:eastAsia="Times New Roman" w:cstheme="minorHAnsi"/>
                <w:color w:val="FFFFFF" w:themeColor="background1"/>
                <w:sz w:val="18"/>
                <w:szCs w:val="18"/>
              </w:rPr>
              <w:t>Phase 2 only to date</w:t>
            </w:r>
          </w:p>
        </w:tc>
      </w:tr>
      <w:tr w:rsidR="00DF31B9" w:rsidRPr="00DF31B9" w14:paraId="01E1610F" w14:textId="77777777" w:rsidTr="00DF31B9">
        <w:trPr>
          <w:trHeight w:val="300"/>
        </w:trPr>
        <w:tc>
          <w:tcPr>
            <w:cnfStyle w:val="001000000000" w:firstRow="0" w:lastRow="0" w:firstColumn="1" w:lastColumn="0" w:oddVBand="0" w:evenVBand="0" w:oddHBand="0" w:evenHBand="0" w:firstRowFirstColumn="0" w:firstRowLastColumn="0" w:lastRowFirstColumn="0" w:lastRowLastColumn="0"/>
            <w:tcW w:w="2574" w:type="pct"/>
            <w:vMerge w:val="restart"/>
            <w:noWrap/>
            <w:vAlign w:val="center"/>
            <w:hideMark/>
          </w:tcPr>
          <w:p w14:paraId="41929EDB" w14:textId="77777777" w:rsidR="00DF31B9" w:rsidRPr="00DF31B9" w:rsidRDefault="00DF31B9" w:rsidP="00DF31B9">
            <w:pPr>
              <w:spacing w:after="0" w:line="240" w:lineRule="auto"/>
              <w:rPr>
                <w:rFonts w:eastAsia="Times New Roman" w:cstheme="minorHAnsi"/>
                <w:color w:val="000000"/>
                <w:sz w:val="18"/>
                <w:szCs w:val="18"/>
              </w:rPr>
            </w:pPr>
            <w:r w:rsidRPr="00DF31B9">
              <w:rPr>
                <w:rFonts w:eastAsia="Times New Roman" w:cstheme="minorHAnsi"/>
                <w:color w:val="000000"/>
                <w:sz w:val="18"/>
                <w:szCs w:val="18"/>
              </w:rPr>
              <w:t>Number of households and small enterprises benefitting from additional income increase</w:t>
            </w:r>
          </w:p>
        </w:tc>
        <w:tc>
          <w:tcPr>
            <w:tcW w:w="1693" w:type="pct"/>
            <w:noWrap/>
            <w:hideMark/>
          </w:tcPr>
          <w:p w14:paraId="30E510A6" w14:textId="77777777" w:rsidR="00DF31B9" w:rsidRPr="00DF31B9" w:rsidRDefault="00DF31B9" w:rsidP="00DF31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Aggregate</w:t>
            </w:r>
          </w:p>
        </w:tc>
        <w:tc>
          <w:tcPr>
            <w:tcW w:w="733" w:type="pct"/>
            <w:noWrap/>
            <w:hideMark/>
          </w:tcPr>
          <w:p w14:paraId="5EBC8905" w14:textId="77777777" w:rsidR="00DF31B9" w:rsidRPr="00DF31B9" w:rsidRDefault="00DF31B9" w:rsidP="00DF31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497</w:t>
            </w:r>
          </w:p>
        </w:tc>
      </w:tr>
      <w:tr w:rsidR="00DF31B9" w:rsidRPr="00DF31B9" w14:paraId="16F591F6" w14:textId="77777777" w:rsidTr="00DF31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pct"/>
            <w:vMerge/>
            <w:noWrap/>
            <w:vAlign w:val="center"/>
            <w:hideMark/>
          </w:tcPr>
          <w:p w14:paraId="3E552091" w14:textId="77777777" w:rsidR="00DF31B9" w:rsidRPr="00DF31B9" w:rsidRDefault="00DF31B9" w:rsidP="00DF31B9">
            <w:pPr>
              <w:spacing w:after="0" w:line="240" w:lineRule="auto"/>
              <w:rPr>
                <w:rFonts w:eastAsia="Times New Roman" w:cstheme="minorHAnsi"/>
                <w:color w:val="000000"/>
                <w:sz w:val="18"/>
                <w:szCs w:val="18"/>
              </w:rPr>
            </w:pPr>
          </w:p>
        </w:tc>
        <w:tc>
          <w:tcPr>
            <w:tcW w:w="1693" w:type="pct"/>
            <w:noWrap/>
            <w:hideMark/>
          </w:tcPr>
          <w:p w14:paraId="62CF2348" w14:textId="77777777" w:rsidR="00DF31B9" w:rsidRPr="00DF31B9" w:rsidRDefault="00DF31B9" w:rsidP="00DF31B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Program cost/ beneficiary</w:t>
            </w:r>
          </w:p>
        </w:tc>
        <w:tc>
          <w:tcPr>
            <w:tcW w:w="733" w:type="pct"/>
            <w:noWrap/>
            <w:hideMark/>
          </w:tcPr>
          <w:p w14:paraId="3F897260" w14:textId="77777777" w:rsidR="00DF31B9" w:rsidRPr="00DF31B9" w:rsidRDefault="00DF31B9" w:rsidP="00DF31B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AUD 6,751</w:t>
            </w:r>
          </w:p>
        </w:tc>
      </w:tr>
      <w:tr w:rsidR="00DF31B9" w:rsidRPr="00DF31B9" w14:paraId="634C01E3" w14:textId="77777777" w:rsidTr="00DF31B9">
        <w:trPr>
          <w:trHeight w:val="300"/>
        </w:trPr>
        <w:tc>
          <w:tcPr>
            <w:cnfStyle w:val="001000000000" w:firstRow="0" w:lastRow="0" w:firstColumn="1" w:lastColumn="0" w:oddVBand="0" w:evenVBand="0" w:oddHBand="0" w:evenHBand="0" w:firstRowFirstColumn="0" w:firstRowLastColumn="0" w:lastRowFirstColumn="0" w:lastRowLastColumn="0"/>
            <w:tcW w:w="2574" w:type="pct"/>
            <w:vMerge/>
            <w:noWrap/>
            <w:vAlign w:val="center"/>
            <w:hideMark/>
          </w:tcPr>
          <w:p w14:paraId="65ED4FF9" w14:textId="77777777" w:rsidR="00DF31B9" w:rsidRPr="00DF31B9" w:rsidRDefault="00DF31B9" w:rsidP="00DF31B9">
            <w:pPr>
              <w:spacing w:after="0" w:line="240" w:lineRule="auto"/>
              <w:rPr>
                <w:rFonts w:eastAsia="Times New Roman" w:cstheme="minorHAnsi"/>
                <w:color w:val="000000"/>
                <w:sz w:val="18"/>
                <w:szCs w:val="18"/>
              </w:rPr>
            </w:pPr>
          </w:p>
        </w:tc>
        <w:tc>
          <w:tcPr>
            <w:tcW w:w="1693" w:type="pct"/>
            <w:noWrap/>
            <w:hideMark/>
          </w:tcPr>
          <w:p w14:paraId="5C21F9D8" w14:textId="77777777" w:rsidR="00DF31B9" w:rsidRPr="00DF31B9" w:rsidRDefault="00DF31B9" w:rsidP="00DF31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Total spend/ beneficiary</w:t>
            </w:r>
          </w:p>
        </w:tc>
        <w:tc>
          <w:tcPr>
            <w:tcW w:w="733" w:type="pct"/>
            <w:noWrap/>
            <w:hideMark/>
          </w:tcPr>
          <w:p w14:paraId="1E7AAD03" w14:textId="77777777" w:rsidR="00DF31B9" w:rsidRPr="00DF31B9" w:rsidRDefault="00DF31B9" w:rsidP="00DF31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AUD 14,890</w:t>
            </w:r>
          </w:p>
        </w:tc>
      </w:tr>
      <w:tr w:rsidR="00DF31B9" w:rsidRPr="00DF31B9" w14:paraId="654D5F83" w14:textId="77777777" w:rsidTr="00DF31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pct"/>
            <w:vMerge w:val="restart"/>
            <w:noWrap/>
            <w:vAlign w:val="center"/>
            <w:hideMark/>
          </w:tcPr>
          <w:p w14:paraId="75F14B56" w14:textId="77777777" w:rsidR="00DF31B9" w:rsidRPr="00DF31B9" w:rsidRDefault="00DF31B9" w:rsidP="00DF31B9">
            <w:pPr>
              <w:spacing w:after="0" w:line="240" w:lineRule="auto"/>
              <w:rPr>
                <w:rFonts w:eastAsia="Times New Roman" w:cstheme="minorHAnsi"/>
                <w:color w:val="000000"/>
                <w:sz w:val="18"/>
                <w:szCs w:val="18"/>
              </w:rPr>
            </w:pPr>
            <w:r w:rsidRPr="00DF31B9">
              <w:rPr>
                <w:rFonts w:eastAsia="Times New Roman" w:cstheme="minorHAnsi"/>
                <w:color w:val="000000"/>
                <w:sz w:val="18"/>
                <w:szCs w:val="18"/>
              </w:rPr>
              <w:t>Net additional income increase of household and small enterprise beneficiaries (AUD)</w:t>
            </w:r>
          </w:p>
        </w:tc>
        <w:tc>
          <w:tcPr>
            <w:tcW w:w="1693" w:type="pct"/>
            <w:noWrap/>
            <w:hideMark/>
          </w:tcPr>
          <w:p w14:paraId="44E41555" w14:textId="77777777" w:rsidR="00DF31B9" w:rsidRPr="00DF31B9" w:rsidRDefault="00DF31B9" w:rsidP="00DF31B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Aggregate</w:t>
            </w:r>
          </w:p>
        </w:tc>
        <w:tc>
          <w:tcPr>
            <w:tcW w:w="733" w:type="pct"/>
            <w:noWrap/>
            <w:hideMark/>
          </w:tcPr>
          <w:p w14:paraId="7D1337B7" w14:textId="77777777" w:rsidR="00DF31B9" w:rsidRPr="00DF31B9" w:rsidRDefault="00DF31B9" w:rsidP="00DF31B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AUD 435,439</w:t>
            </w:r>
          </w:p>
        </w:tc>
      </w:tr>
      <w:tr w:rsidR="00DF31B9" w:rsidRPr="00DF31B9" w14:paraId="62BA4AC1" w14:textId="77777777" w:rsidTr="00DF31B9">
        <w:trPr>
          <w:trHeight w:val="300"/>
        </w:trPr>
        <w:tc>
          <w:tcPr>
            <w:cnfStyle w:val="001000000000" w:firstRow="0" w:lastRow="0" w:firstColumn="1" w:lastColumn="0" w:oddVBand="0" w:evenVBand="0" w:oddHBand="0" w:evenHBand="0" w:firstRowFirstColumn="0" w:firstRowLastColumn="0" w:lastRowFirstColumn="0" w:lastRowLastColumn="0"/>
            <w:tcW w:w="2574" w:type="pct"/>
            <w:vMerge/>
            <w:noWrap/>
            <w:vAlign w:val="center"/>
            <w:hideMark/>
          </w:tcPr>
          <w:p w14:paraId="6456247E" w14:textId="77777777" w:rsidR="00DF31B9" w:rsidRPr="00DF31B9" w:rsidRDefault="00DF31B9" w:rsidP="00DF31B9">
            <w:pPr>
              <w:spacing w:after="0" w:line="240" w:lineRule="auto"/>
              <w:rPr>
                <w:rFonts w:eastAsia="Times New Roman" w:cstheme="minorHAnsi"/>
                <w:color w:val="000000"/>
                <w:sz w:val="18"/>
                <w:szCs w:val="18"/>
              </w:rPr>
            </w:pPr>
          </w:p>
        </w:tc>
        <w:tc>
          <w:tcPr>
            <w:tcW w:w="1693" w:type="pct"/>
            <w:noWrap/>
            <w:hideMark/>
          </w:tcPr>
          <w:p w14:paraId="57C2D1EF" w14:textId="77777777" w:rsidR="00DF31B9" w:rsidRPr="00DF31B9" w:rsidRDefault="00DF31B9" w:rsidP="00DF31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Program cost/ $ of beneficiary net additional income</w:t>
            </w:r>
          </w:p>
        </w:tc>
        <w:tc>
          <w:tcPr>
            <w:tcW w:w="733" w:type="pct"/>
            <w:noWrap/>
            <w:hideMark/>
          </w:tcPr>
          <w:p w14:paraId="67FCA7B2" w14:textId="77777777" w:rsidR="00DF31B9" w:rsidRPr="00DF31B9" w:rsidRDefault="00DF31B9" w:rsidP="00DF31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AUD 8</w:t>
            </w:r>
          </w:p>
        </w:tc>
      </w:tr>
      <w:tr w:rsidR="00DF31B9" w:rsidRPr="00DF31B9" w14:paraId="669D2370" w14:textId="77777777" w:rsidTr="00DF31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pct"/>
            <w:vMerge/>
            <w:noWrap/>
            <w:vAlign w:val="center"/>
            <w:hideMark/>
          </w:tcPr>
          <w:p w14:paraId="1FD2A7F4" w14:textId="77777777" w:rsidR="00DF31B9" w:rsidRPr="00DF31B9" w:rsidRDefault="00DF31B9" w:rsidP="00DF31B9">
            <w:pPr>
              <w:spacing w:after="0" w:line="240" w:lineRule="auto"/>
              <w:rPr>
                <w:rFonts w:eastAsia="Times New Roman" w:cstheme="minorHAnsi"/>
                <w:color w:val="000000"/>
                <w:sz w:val="18"/>
                <w:szCs w:val="18"/>
              </w:rPr>
            </w:pPr>
          </w:p>
        </w:tc>
        <w:tc>
          <w:tcPr>
            <w:tcW w:w="1693" w:type="pct"/>
            <w:noWrap/>
            <w:hideMark/>
          </w:tcPr>
          <w:p w14:paraId="6F820D4F" w14:textId="77777777" w:rsidR="00DF31B9" w:rsidRPr="00DF31B9" w:rsidRDefault="00DF31B9" w:rsidP="00DF31B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Total spend/ $ of beneficiary net additional income</w:t>
            </w:r>
          </w:p>
        </w:tc>
        <w:tc>
          <w:tcPr>
            <w:tcW w:w="733" w:type="pct"/>
            <w:noWrap/>
            <w:hideMark/>
          </w:tcPr>
          <w:p w14:paraId="6B458F73" w14:textId="77777777" w:rsidR="00DF31B9" w:rsidRPr="00DF31B9" w:rsidRDefault="00DF31B9" w:rsidP="00DF31B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AUD 17</w:t>
            </w:r>
          </w:p>
        </w:tc>
      </w:tr>
      <w:tr w:rsidR="00DF31B9" w:rsidRPr="00DF31B9" w14:paraId="0FF967FF" w14:textId="77777777" w:rsidTr="00DF31B9">
        <w:trPr>
          <w:trHeight w:val="300"/>
        </w:trPr>
        <w:tc>
          <w:tcPr>
            <w:cnfStyle w:val="001000000000" w:firstRow="0" w:lastRow="0" w:firstColumn="1" w:lastColumn="0" w:oddVBand="0" w:evenVBand="0" w:oddHBand="0" w:evenHBand="0" w:firstRowFirstColumn="0" w:firstRowLastColumn="0" w:lastRowFirstColumn="0" w:lastRowLastColumn="0"/>
            <w:tcW w:w="2574" w:type="pct"/>
            <w:vMerge w:val="restart"/>
            <w:noWrap/>
            <w:vAlign w:val="center"/>
            <w:hideMark/>
          </w:tcPr>
          <w:p w14:paraId="356578D9" w14:textId="77777777" w:rsidR="00DF31B9" w:rsidRPr="00DF31B9" w:rsidRDefault="00DF31B9" w:rsidP="00DF31B9">
            <w:pPr>
              <w:spacing w:after="0" w:line="240" w:lineRule="auto"/>
              <w:rPr>
                <w:rFonts w:eastAsia="Times New Roman" w:cstheme="minorHAnsi"/>
                <w:color w:val="000000"/>
                <w:sz w:val="18"/>
                <w:szCs w:val="18"/>
              </w:rPr>
            </w:pPr>
            <w:r w:rsidRPr="00DF31B9">
              <w:rPr>
                <w:rFonts w:eastAsia="Times New Roman" w:cstheme="minorHAnsi"/>
                <w:color w:val="000000"/>
                <w:sz w:val="18"/>
                <w:szCs w:val="18"/>
              </w:rPr>
              <w:t>Number of new jobs (FTE) created or maintained/saved attributable to Strongim Bisnis interventions</w:t>
            </w:r>
          </w:p>
        </w:tc>
        <w:tc>
          <w:tcPr>
            <w:tcW w:w="1693" w:type="pct"/>
            <w:noWrap/>
            <w:hideMark/>
          </w:tcPr>
          <w:p w14:paraId="10D9EBA9" w14:textId="77777777" w:rsidR="00DF31B9" w:rsidRPr="00DF31B9" w:rsidRDefault="00DF31B9" w:rsidP="00DF31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Aggregate</w:t>
            </w:r>
          </w:p>
        </w:tc>
        <w:tc>
          <w:tcPr>
            <w:tcW w:w="733" w:type="pct"/>
            <w:noWrap/>
            <w:hideMark/>
          </w:tcPr>
          <w:p w14:paraId="1332692C" w14:textId="77777777" w:rsidR="00DF31B9" w:rsidRPr="00DF31B9" w:rsidRDefault="00DF31B9" w:rsidP="00DF31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117</w:t>
            </w:r>
          </w:p>
        </w:tc>
      </w:tr>
      <w:tr w:rsidR="00DF31B9" w:rsidRPr="00DF31B9" w14:paraId="73F98856" w14:textId="77777777" w:rsidTr="00DF31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pct"/>
            <w:vMerge/>
            <w:noWrap/>
            <w:hideMark/>
          </w:tcPr>
          <w:p w14:paraId="6E175F26" w14:textId="77777777" w:rsidR="00DF31B9" w:rsidRPr="00DF31B9" w:rsidRDefault="00DF31B9" w:rsidP="00DF31B9">
            <w:pPr>
              <w:spacing w:after="0" w:line="240" w:lineRule="auto"/>
              <w:jc w:val="right"/>
              <w:rPr>
                <w:rFonts w:eastAsia="Times New Roman" w:cstheme="minorHAnsi"/>
                <w:color w:val="000000"/>
                <w:sz w:val="18"/>
                <w:szCs w:val="18"/>
              </w:rPr>
            </w:pPr>
          </w:p>
        </w:tc>
        <w:tc>
          <w:tcPr>
            <w:tcW w:w="1693" w:type="pct"/>
            <w:noWrap/>
            <w:hideMark/>
          </w:tcPr>
          <w:p w14:paraId="11AA39E1" w14:textId="77777777" w:rsidR="00DF31B9" w:rsidRPr="00DF31B9" w:rsidRDefault="00DF31B9" w:rsidP="00DF31B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Program cost/ FTE Job created</w:t>
            </w:r>
          </w:p>
        </w:tc>
        <w:tc>
          <w:tcPr>
            <w:tcW w:w="733" w:type="pct"/>
            <w:noWrap/>
            <w:hideMark/>
          </w:tcPr>
          <w:p w14:paraId="4A7B36FE" w14:textId="77777777" w:rsidR="00DF31B9" w:rsidRPr="00DF31B9" w:rsidRDefault="00DF31B9" w:rsidP="00DF31B9">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AUD 28,553</w:t>
            </w:r>
          </w:p>
        </w:tc>
      </w:tr>
      <w:tr w:rsidR="00DF31B9" w:rsidRPr="00DF31B9" w14:paraId="01190960" w14:textId="77777777" w:rsidTr="00DF31B9">
        <w:trPr>
          <w:trHeight w:val="300"/>
        </w:trPr>
        <w:tc>
          <w:tcPr>
            <w:cnfStyle w:val="001000000000" w:firstRow="0" w:lastRow="0" w:firstColumn="1" w:lastColumn="0" w:oddVBand="0" w:evenVBand="0" w:oddHBand="0" w:evenHBand="0" w:firstRowFirstColumn="0" w:firstRowLastColumn="0" w:lastRowFirstColumn="0" w:lastRowLastColumn="0"/>
            <w:tcW w:w="2574" w:type="pct"/>
            <w:vMerge/>
            <w:noWrap/>
            <w:hideMark/>
          </w:tcPr>
          <w:p w14:paraId="46F031D2" w14:textId="77777777" w:rsidR="00DF31B9" w:rsidRPr="00DF31B9" w:rsidRDefault="00DF31B9" w:rsidP="00DF31B9">
            <w:pPr>
              <w:spacing w:after="0" w:line="240" w:lineRule="auto"/>
              <w:jc w:val="right"/>
              <w:rPr>
                <w:rFonts w:eastAsia="Times New Roman" w:cstheme="minorHAnsi"/>
                <w:color w:val="000000"/>
                <w:sz w:val="18"/>
                <w:szCs w:val="18"/>
              </w:rPr>
            </w:pPr>
          </w:p>
        </w:tc>
        <w:tc>
          <w:tcPr>
            <w:tcW w:w="1693" w:type="pct"/>
            <w:noWrap/>
            <w:hideMark/>
          </w:tcPr>
          <w:p w14:paraId="07B41265" w14:textId="77777777" w:rsidR="00DF31B9" w:rsidRPr="00DF31B9" w:rsidRDefault="00DF31B9" w:rsidP="00DF31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Total spend/ FTE Job created</w:t>
            </w:r>
          </w:p>
        </w:tc>
        <w:tc>
          <w:tcPr>
            <w:tcW w:w="733" w:type="pct"/>
            <w:noWrap/>
            <w:hideMark/>
          </w:tcPr>
          <w:p w14:paraId="22325CA6" w14:textId="77777777" w:rsidR="00DF31B9" w:rsidRPr="00DF31B9" w:rsidRDefault="00DF31B9" w:rsidP="00DF31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F31B9">
              <w:rPr>
                <w:rFonts w:eastAsia="Times New Roman" w:cstheme="minorHAnsi"/>
                <w:color w:val="000000"/>
                <w:sz w:val="18"/>
                <w:szCs w:val="18"/>
              </w:rPr>
              <w:t>AUD 62,980</w:t>
            </w:r>
          </w:p>
        </w:tc>
      </w:tr>
    </w:tbl>
    <w:p w14:paraId="39C4D2D7" w14:textId="77777777" w:rsidR="00DF31B9" w:rsidRDefault="00DF31B9" w:rsidP="00B11197"/>
    <w:p w14:paraId="6992297E" w14:textId="409BE161" w:rsidR="00726D77" w:rsidRDefault="00726D77" w:rsidP="00AF488E">
      <w:r>
        <w:br w:type="page"/>
      </w:r>
    </w:p>
    <w:p w14:paraId="274EAD47" w14:textId="53DAAB0F" w:rsidR="002E1028" w:rsidRDefault="003B5DC1" w:rsidP="00DC7FAB">
      <w:pPr>
        <w:pStyle w:val="Heading1"/>
      </w:pPr>
      <w:bookmarkStart w:id="37" w:name="_Toc131170460"/>
      <w:r>
        <w:t xml:space="preserve">Annex </w:t>
      </w:r>
      <w:r w:rsidR="007A1CFF">
        <w:t>8</w:t>
      </w:r>
      <w:r>
        <w:t>: DFAT Private Sector Engagement</w:t>
      </w:r>
      <w:r w:rsidRPr="003B5DC1">
        <w:t xml:space="preserve"> </w:t>
      </w:r>
      <w:r w:rsidR="00BA611E">
        <w:t>P</w:t>
      </w:r>
      <w:r>
        <w:t>rinciples</w:t>
      </w:r>
      <w:bookmarkEnd w:id="37"/>
    </w:p>
    <w:p w14:paraId="5494E5A5" w14:textId="1E64D10F" w:rsidR="003B5DC1" w:rsidRPr="003B5DC1" w:rsidRDefault="003B5DC1" w:rsidP="003B5DC1">
      <w:r>
        <w:t xml:space="preserve">The following guidance on PSE Principles is </w:t>
      </w:r>
      <w:r w:rsidR="00A831E5">
        <w:t>extracted</w:t>
      </w:r>
      <w:r>
        <w:t xml:space="preserve"> from DFAT’s PSE Guidance Note</w:t>
      </w:r>
      <w:r>
        <w:rPr>
          <w:rStyle w:val="FootnoteReference"/>
        </w:rPr>
        <w:footnoteReference w:id="37"/>
      </w:r>
      <w:r>
        <w:t>.</w:t>
      </w:r>
    </w:p>
    <w:p w14:paraId="6C8EB2FB" w14:textId="77777777" w:rsidR="00360DE8" w:rsidRPr="00C03C6B" w:rsidRDefault="003B5DC1" w:rsidP="00ED49E9">
      <w:pPr>
        <w:pStyle w:val="ListNumber3"/>
        <w:tabs>
          <w:tab w:val="clear" w:pos="851"/>
          <w:tab w:val="num" w:pos="567"/>
        </w:tabs>
        <w:spacing w:after="60"/>
        <w:ind w:left="568"/>
        <w:rPr>
          <w:b/>
        </w:rPr>
      </w:pPr>
      <w:r w:rsidRPr="00C03C6B">
        <w:rPr>
          <w:b/>
        </w:rPr>
        <w:t xml:space="preserve">Crowding in and minimum concessionality </w:t>
      </w:r>
    </w:p>
    <w:p w14:paraId="018A1C41" w14:textId="32C938A4" w:rsidR="003B5DC1" w:rsidRDefault="003B5DC1" w:rsidP="00D0584D">
      <w:r w:rsidRPr="08123348">
        <w:t>Support to the private sector should contribute to catalysing market development and the mobilisation of private sector resources. Financial support should be structured to encourage private investment that would otherwise have gone elsewhere or to bring in private investors that would otherwise not participate. Financial support should be provided at the minimum level necessary to induce private sector participation and should maximise the amount of private funding. Providing financial support that is greater than necessary to induce the intended investment can distort financial markets and subsidise private sector activity, representing an inefficient allocation of resources</w:t>
      </w:r>
      <w:r>
        <w:t>…</w:t>
      </w:r>
    </w:p>
    <w:p w14:paraId="4D4055C6" w14:textId="77777777" w:rsidR="00D0584D" w:rsidRDefault="003B5DC1" w:rsidP="00ED49E9">
      <w:pPr>
        <w:pStyle w:val="ListNumber3"/>
        <w:tabs>
          <w:tab w:val="clear" w:pos="851"/>
          <w:tab w:val="num" w:pos="567"/>
        </w:tabs>
        <w:spacing w:after="60"/>
        <w:ind w:left="568"/>
      </w:pPr>
      <w:r w:rsidRPr="000E550F">
        <w:rPr>
          <w:b/>
          <w:bCs/>
        </w:rPr>
        <w:t>Neutrality and reinforcing markets</w:t>
      </w:r>
      <w:r w:rsidRPr="08123348">
        <w:t xml:space="preserve"> </w:t>
      </w:r>
    </w:p>
    <w:p w14:paraId="2A6A8DE1" w14:textId="673A93AE" w:rsidR="003B5DC1" w:rsidRDefault="003B5DC1" w:rsidP="00D0584D">
      <w:r w:rsidRPr="08123348">
        <w:t>Support should not provide one business with an unfair advantage over competitors. Further, it should minimise the risk of unduly distorting markets or crowding out new entrants into the market. The use of open, transparent bidding and tendering processes when selecting private sector partners can reinforce the operation of markets by placing all market participants on equal footing. Similarly, offering rolling application processes can ensure opportunities are available to a larger pool of private sector firms. In underdeveloped markets where there are a small number of private firms operating, it can be necessary to partner with a preferred firm. This should be done in a way that improves the operation of the market as a whole and encourages new entrants over time.</w:t>
      </w:r>
      <w:r>
        <w:t>.</w:t>
      </w:r>
      <w:r w:rsidRPr="08123348">
        <w:t xml:space="preserve">. </w:t>
      </w:r>
    </w:p>
    <w:p w14:paraId="502159C0" w14:textId="77777777" w:rsidR="00D0584D" w:rsidRDefault="003B5DC1" w:rsidP="00ED49E9">
      <w:pPr>
        <w:pStyle w:val="ListNumber3"/>
        <w:spacing w:after="60"/>
        <w:ind w:left="568"/>
      </w:pPr>
      <w:r w:rsidRPr="00290A40">
        <w:rPr>
          <w:b/>
          <w:bCs/>
        </w:rPr>
        <w:t>Sustainability</w:t>
      </w:r>
      <w:r w:rsidRPr="08123348">
        <w:t xml:space="preserve"> </w:t>
      </w:r>
    </w:p>
    <w:p w14:paraId="54D1C748" w14:textId="07CFF61D" w:rsidR="003B5DC1" w:rsidRDefault="003B5DC1" w:rsidP="00D0584D">
      <w:r w:rsidRPr="08123348">
        <w:t xml:space="preserve">The partnership should have lasting development impacts and contribute towards the long-term commercial viability of the business or the relevant sector more broadly. There is an expectation that future investments in similar projects in a given sector will gradually require less financial support from the aid community and eventually none. However, depending on the context, commercial sustainability and independent commercial replication may only be achievable over time. It is important to maintain a high level of scrutiny of the commercial viability of private sector partners (such as through flexibility in responding to evolving markets, due diligence assessments and robust monitoring and evaluation), and reduce the level of support extended to repeat projects as market failures and other obstacles are reduced. </w:t>
      </w:r>
    </w:p>
    <w:p w14:paraId="7DB7A853" w14:textId="77777777" w:rsidR="00D0584D" w:rsidRDefault="003B5DC1" w:rsidP="00ED49E9">
      <w:pPr>
        <w:pStyle w:val="ListNumber3"/>
        <w:spacing w:after="60"/>
        <w:ind w:left="568"/>
      </w:pPr>
      <w:r w:rsidRPr="00854B7C">
        <w:rPr>
          <w:b/>
          <w:bCs/>
        </w:rPr>
        <w:t>Additionality</w:t>
      </w:r>
      <w:r w:rsidRPr="08123348">
        <w:t xml:space="preserve"> </w:t>
      </w:r>
    </w:p>
    <w:p w14:paraId="0ED6F2A2" w14:textId="68A78574" w:rsidR="003B5DC1" w:rsidRDefault="003B5DC1" w:rsidP="00D0584D">
      <w:r w:rsidRPr="08123348">
        <w:t>The principle of additionality must underpin all financial partnerships with the private sector: donors should not support activities that a business would have financed themselves and/or has the expertise to implement alone</w:t>
      </w:r>
      <w:r>
        <w:t>..</w:t>
      </w:r>
      <w:r w:rsidRPr="08123348">
        <w:t>. Additionality triggers investments that businesses would not make otherwise, or to make them occur more quickly, at a greater scale, or with stronger development outcomes</w:t>
      </w:r>
      <w:r>
        <w:t>…</w:t>
      </w:r>
    </w:p>
    <w:p w14:paraId="7D0BC1C4" w14:textId="77777777" w:rsidR="00D0584D" w:rsidRDefault="003B5DC1" w:rsidP="00ED49E9">
      <w:pPr>
        <w:pStyle w:val="ListNumber3"/>
        <w:spacing w:after="60"/>
        <w:ind w:left="568"/>
      </w:pPr>
      <w:r w:rsidRPr="00085A1C">
        <w:rPr>
          <w:b/>
          <w:bCs/>
        </w:rPr>
        <w:t>Value for money</w:t>
      </w:r>
      <w:r w:rsidRPr="08123348">
        <w:t xml:space="preserve"> </w:t>
      </w:r>
    </w:p>
    <w:p w14:paraId="27D45EA7" w14:textId="7B52FCE3" w:rsidR="00EF0873" w:rsidRDefault="003B5DC1" w:rsidP="00EF0873">
      <w:r>
        <w:t>I</w:t>
      </w:r>
      <w:r w:rsidRPr="08123348">
        <w:t>n achieving good value for money in working with the private sector, the expected benefits need to be higher than other possible approaches or partners. Typically, this means the achievement of a desired outcome at the best possible price, although not necessarily the lowest. Assessment of value for money is based on a balanced judgement of financial and non-financial factors relevant to the selection process for partners, such as opportunities for scale, reach and replication. In addition to PSE-specific value for money, staff must also consider DFAT’s strategic objectives, including requirements under the Public Governance, Performance and Accountability Act (2013) and the Commonwealth Procurement Rules</w:t>
      </w:r>
      <w:r>
        <w:t>…</w:t>
      </w:r>
    </w:p>
    <w:p w14:paraId="1E004B75" w14:textId="238E0711" w:rsidR="00DF31B9" w:rsidRDefault="00DF31B9" w:rsidP="00EF0873">
      <w:r>
        <w:t>DFAT’s subsequent Operational Framework for Private Sector Engagement seeks to operationalise these by highlighting three elements: additionality, fairness and transparency (Figure A8.1).</w:t>
      </w:r>
    </w:p>
    <w:p w14:paraId="0ECC515A" w14:textId="2A4CB5D4" w:rsidR="00DF31B9" w:rsidRDefault="00DF31B9" w:rsidP="00DF31B9">
      <w:pPr>
        <w:rPr>
          <w:b/>
          <w:bCs/>
        </w:rPr>
      </w:pPr>
      <w:r w:rsidRPr="00AC2CF6">
        <w:rPr>
          <w:b/>
          <w:bCs/>
        </w:rPr>
        <w:t xml:space="preserve">Figure </w:t>
      </w:r>
      <w:r>
        <w:rPr>
          <w:b/>
          <w:bCs/>
        </w:rPr>
        <w:t>A8.1</w:t>
      </w:r>
      <w:r w:rsidRPr="00AC2CF6">
        <w:rPr>
          <w:b/>
          <w:bCs/>
        </w:rPr>
        <w:t xml:space="preserve">:  Avoiding market distortions: </w:t>
      </w:r>
      <w:r>
        <w:rPr>
          <w:b/>
          <w:bCs/>
        </w:rPr>
        <w:t xml:space="preserve">operationalising </w:t>
      </w:r>
      <w:r w:rsidRPr="00AC2CF6">
        <w:rPr>
          <w:b/>
          <w:bCs/>
        </w:rPr>
        <w:t>DFAT</w:t>
      </w:r>
      <w:r>
        <w:rPr>
          <w:b/>
          <w:bCs/>
        </w:rPr>
        <w:t>’s</w:t>
      </w:r>
      <w:r w:rsidRPr="00AC2CF6">
        <w:rPr>
          <w:b/>
          <w:bCs/>
        </w:rPr>
        <w:t xml:space="preserve"> PSE Principles</w:t>
      </w:r>
      <w:r>
        <w:rPr>
          <w:rStyle w:val="FootnoteReference"/>
          <w:b/>
          <w:bCs/>
        </w:rPr>
        <w:footnoteReference w:id="38"/>
      </w:r>
    </w:p>
    <w:p w14:paraId="74B81FE8" w14:textId="42B13B9D" w:rsidR="006D7B31" w:rsidRPr="006D7B31" w:rsidRDefault="006D7B31" w:rsidP="00DF31B9">
      <w:r w:rsidRPr="006D7B31">
        <w:t>To avoid market distortions three principles should be adhere</w:t>
      </w:r>
      <w:r w:rsidR="008A33A5">
        <w:t>d</w:t>
      </w:r>
      <w:r w:rsidRPr="006D7B31">
        <w:t xml:space="preserve"> to:</w:t>
      </w:r>
    </w:p>
    <w:tbl>
      <w:tblPr>
        <w:tblStyle w:val="TableGrid"/>
        <w:tblW w:w="0" w:type="auto"/>
        <w:tblLook w:val="04A0" w:firstRow="1" w:lastRow="0" w:firstColumn="1" w:lastColumn="0" w:noHBand="0" w:noVBand="1"/>
      </w:tblPr>
      <w:tblGrid>
        <w:gridCol w:w="2689"/>
        <w:gridCol w:w="2551"/>
        <w:gridCol w:w="4388"/>
      </w:tblGrid>
      <w:tr w:rsidR="0068726F" w14:paraId="51F95BE3" w14:textId="77777777" w:rsidTr="008A33A5">
        <w:tc>
          <w:tcPr>
            <w:tcW w:w="2689" w:type="dxa"/>
            <w:shd w:val="clear" w:color="auto" w:fill="92D050"/>
          </w:tcPr>
          <w:p w14:paraId="38AF36DB" w14:textId="29E7FE42" w:rsidR="0068726F" w:rsidRDefault="0068726F" w:rsidP="00DF31B9">
            <w:pPr>
              <w:rPr>
                <w:b/>
                <w:bCs/>
              </w:rPr>
            </w:pPr>
            <w:r>
              <w:rPr>
                <w:b/>
                <w:bCs/>
              </w:rPr>
              <w:t>ADDITIONALITY</w:t>
            </w:r>
          </w:p>
          <w:p w14:paraId="48ED6477" w14:textId="330AC568" w:rsidR="0068726F" w:rsidRPr="0076562C" w:rsidRDefault="006D7B31" w:rsidP="00DF31B9">
            <w:r w:rsidRPr="006D7B31">
              <w:t>Public funds will not finance activities that a commercial enterprise or financier would have funded without intervention</w:t>
            </w:r>
          </w:p>
        </w:tc>
        <w:tc>
          <w:tcPr>
            <w:tcW w:w="2551" w:type="dxa"/>
            <w:shd w:val="clear" w:color="auto" w:fill="92D050"/>
          </w:tcPr>
          <w:p w14:paraId="074BA42E" w14:textId="77777777" w:rsidR="0068726F" w:rsidRDefault="006D7B31" w:rsidP="00DF31B9">
            <w:r>
              <w:rPr>
                <w:b/>
                <w:bCs/>
              </w:rPr>
              <w:t>FAIRNESS</w:t>
            </w:r>
          </w:p>
          <w:p w14:paraId="563410DB" w14:textId="594494BE" w:rsidR="006D7B31" w:rsidRPr="006D7B31" w:rsidRDefault="006D7B31" w:rsidP="00DF31B9">
            <w:r>
              <w:t>Collaboration with DFAT will not provide one business with an unfair advantage over its competitors</w:t>
            </w:r>
          </w:p>
        </w:tc>
        <w:tc>
          <w:tcPr>
            <w:tcW w:w="4388" w:type="dxa"/>
            <w:shd w:val="clear" w:color="auto" w:fill="92D050"/>
          </w:tcPr>
          <w:p w14:paraId="3B59B193" w14:textId="77777777" w:rsidR="0068726F" w:rsidRDefault="006D7B31" w:rsidP="00DF31B9">
            <w:pPr>
              <w:rPr>
                <w:b/>
                <w:bCs/>
              </w:rPr>
            </w:pPr>
            <w:r>
              <w:rPr>
                <w:b/>
                <w:bCs/>
              </w:rPr>
              <w:t>TRANSPARENCY</w:t>
            </w:r>
          </w:p>
          <w:p w14:paraId="2677836B" w14:textId="0F7B375B" w:rsidR="006D7B31" w:rsidRPr="0076562C" w:rsidRDefault="006D7B31" w:rsidP="00DF31B9">
            <w:r w:rsidRPr="0076562C">
              <w:t>Information shared with the private sector should be publ</w:t>
            </w:r>
            <w:r w:rsidR="0076562C" w:rsidRPr="0076562C">
              <w:t>icly available and funding opportunities shared with all relevant stakeholders. Transparent processes will guide all decisions to engage with the private sector</w:t>
            </w:r>
          </w:p>
        </w:tc>
      </w:tr>
    </w:tbl>
    <w:p w14:paraId="02E8CEBD" w14:textId="77777777" w:rsidR="00CE091A" w:rsidRPr="00AC2CF6" w:rsidRDefault="00CE091A" w:rsidP="00DF31B9">
      <w:pPr>
        <w:rPr>
          <w:b/>
          <w:bCs/>
        </w:rPr>
      </w:pPr>
    </w:p>
    <w:p w14:paraId="4F59B12D" w14:textId="6FEFD78D" w:rsidR="00DF31B9" w:rsidRPr="00AA18B8" w:rsidRDefault="00DF31B9" w:rsidP="00DF31B9"/>
    <w:p w14:paraId="589B8548" w14:textId="77777777" w:rsidR="00DF31B9" w:rsidRDefault="00DF31B9" w:rsidP="00EF0873"/>
    <w:sectPr w:rsidR="00DF31B9" w:rsidSect="00070332">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46880" w14:textId="77777777" w:rsidR="00433635" w:rsidRDefault="00433635" w:rsidP="00473290">
      <w:r>
        <w:separator/>
      </w:r>
    </w:p>
  </w:endnote>
  <w:endnote w:type="continuationSeparator" w:id="0">
    <w:p w14:paraId="0A1B5DE3" w14:textId="77777777" w:rsidR="00433635" w:rsidRDefault="00433635" w:rsidP="00473290">
      <w:r>
        <w:continuationSeparator/>
      </w:r>
    </w:p>
  </w:endnote>
  <w:endnote w:type="continuationNotice" w:id="1">
    <w:p w14:paraId="72193C78" w14:textId="77777777" w:rsidR="00433635" w:rsidRDefault="004336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B723" w14:textId="77777777" w:rsidR="00A5739C" w:rsidRDefault="00A5739C" w:rsidP="009D07D2">
    <w:pPr>
      <w:pStyle w:val="Footer"/>
    </w:pPr>
  </w:p>
  <w:p w14:paraId="25CCA6AA" w14:textId="77777777" w:rsidR="00A5739C" w:rsidRDefault="00A5739C" w:rsidP="009D07D2">
    <w:pPr>
      <w:pStyle w:val="Footer"/>
    </w:pPr>
  </w:p>
  <w:p w14:paraId="37227F48" w14:textId="77777777" w:rsidR="00A5739C" w:rsidRDefault="00A5739C" w:rsidP="009D07D2">
    <w:pPr>
      <w:pStyle w:val="Footer"/>
    </w:pPr>
  </w:p>
  <w:p w14:paraId="4179B77C" w14:textId="77777777" w:rsidR="00A5739C" w:rsidRDefault="00A5739C" w:rsidP="009D07D2">
    <w:pPr>
      <w:pStyle w:val="Footer"/>
    </w:pPr>
  </w:p>
  <w:p w14:paraId="7580F113" w14:textId="77777777" w:rsidR="00A5739C" w:rsidRDefault="00A5739C" w:rsidP="009D07D2">
    <w:pPr>
      <w:pStyle w:val="Footer"/>
    </w:pPr>
  </w:p>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5739C" w14:paraId="0E7D7CC3" w14:textId="77777777" w:rsidTr="009D07D2">
      <w:tc>
        <w:tcPr>
          <w:tcW w:w="9638" w:type="dxa"/>
        </w:tcPr>
        <w:p w14:paraId="6EAD6EB8" w14:textId="77777777" w:rsidR="00A5739C" w:rsidRDefault="00E33AEB" w:rsidP="009D07D2">
          <w:pPr>
            <w:pStyle w:val="Footer"/>
          </w:pPr>
          <w:r>
            <w:rPr>
              <w:noProof/>
            </w:rPr>
            <w:drawing>
              <wp:inline distT="0" distB="0" distL="0" distR="0" wp14:anchorId="65A385F3" wp14:editId="7BAF8466">
                <wp:extent cx="1815057" cy="660983"/>
                <wp:effectExtent l="0" t="0" r="0" b="6350"/>
                <wp:docPr id="14" name="Picture 14" descr="Ali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linea logo"/>
                        <pic:cNvPicPr/>
                      </pic:nvPicPr>
                      <pic:blipFill>
                        <a:blip r:embed="rId1"/>
                        <a:stretch>
                          <a:fillRect/>
                        </a:stretch>
                      </pic:blipFill>
                      <pic:spPr>
                        <a:xfrm>
                          <a:off x="0" y="0"/>
                          <a:ext cx="1815057" cy="660983"/>
                        </a:xfrm>
                        <a:prstGeom prst="rect">
                          <a:avLst/>
                        </a:prstGeom>
                      </pic:spPr>
                    </pic:pic>
                  </a:graphicData>
                </a:graphic>
              </wp:inline>
            </w:drawing>
          </w:r>
        </w:p>
      </w:tc>
    </w:tr>
  </w:tbl>
  <w:p w14:paraId="7F27F850" w14:textId="77777777" w:rsidR="00A5739C" w:rsidRDefault="00A5739C" w:rsidP="009D07D2">
    <w:pPr>
      <w:pStyle w:val="Footer"/>
    </w:pPr>
  </w:p>
  <w:p w14:paraId="3B6E0D19" w14:textId="77777777" w:rsidR="00A5739C" w:rsidRPr="009D07D2" w:rsidRDefault="00A5739C" w:rsidP="009D0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F466" w14:textId="77777777" w:rsidR="00A5739C" w:rsidRDefault="00A5739C" w:rsidP="0099396E">
    <w:pPr>
      <w:pStyle w:val="Footer"/>
      <w:jc w:val="right"/>
    </w:pPr>
    <w:r>
      <w:rPr>
        <w:noProof/>
      </w:rPr>
      <mc:AlternateContent>
        <mc:Choice Requires="wpg">
          <w:drawing>
            <wp:anchor distT="0" distB="0" distL="114300" distR="114300" simplePos="0" relativeHeight="251658241" behindDoc="1" locked="0" layoutInCell="1" allowOverlap="1" wp14:anchorId="059DE7E2" wp14:editId="6B671B37">
              <wp:simplePos x="0" y="0"/>
              <wp:positionH relativeFrom="page">
                <wp:align>right</wp:align>
              </wp:positionH>
              <wp:positionV relativeFrom="paragraph">
                <wp:posOffset>-3974858</wp:posOffset>
              </wp:positionV>
              <wp:extent cx="7596000" cy="6348248"/>
              <wp:effectExtent l="0" t="0" r="508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6000" cy="6348248"/>
                        <a:chOff x="-16713" y="533"/>
                        <a:chExt cx="7562648" cy="6348248"/>
                      </a:xfrm>
                    </wpg:grpSpPr>
                    <wps:wsp>
                      <wps:cNvPr id="3" name="Rectangle 3"/>
                      <wps:cNvSpPr/>
                      <wps:spPr>
                        <a:xfrm>
                          <a:off x="-1" y="1333133"/>
                          <a:ext cx="7545935" cy="50156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Triangle 4"/>
                      <wps:cNvSpPr/>
                      <wps:spPr>
                        <a:xfrm flipH="1">
                          <a:off x="-16713" y="533"/>
                          <a:ext cx="7562648" cy="13326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2E537C" id="Group 6" o:spid="_x0000_s1026" alt="&quot;&quot;" style="position:absolute;margin-left:546.9pt;margin-top:-313pt;width:598.1pt;height:499.85pt;z-index:-251658239;mso-position-horizontal:right;mso-position-horizontal-relative:page;mso-width-relative:margin;mso-height-relative:margin" coordorigin="-167,5" coordsize="75626,6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4TwMAALIKAAAOAAAAZHJzL2Uyb0RvYy54bWzsVltP2zAUfp+0/2D5HdK0SYGIFFVssEkI&#10;EDDx7DrORXJsz3abdr9+x86ll3V7YNKkSTzUtX3uX8/56surdc3RimlTSZHi8HSEERNUZpUoUvzt&#10;5ebkHCNjicgIl4KleMMMvpp9/HDZqISNZSl5xjQCJ8IkjUpxaa1KgsDQktXEnErFBAhzqWti4aiL&#10;INOkAe81D8aj0TRopM6UlpQZA7efWiGeef95zqh9yHPDLOIphtysX7VfF24NZpckKTRRZUW7NMgb&#10;sqhJJSDo4OoTsQQtdfWLq7qiWhqZ21Mq60DmeUWZrwGqCUcH1dxquVS+liJpCjXABNAe4PRmt/R+&#10;davVs3rUgESjCsDCn1wt61zX7huyRGsP2WaAjK0tonB5Fl9MRyNAloJsOonOx9F5CyotAXlndxJO&#10;z8IJRqAQTya98PPgYDqegs2hg6CPH+xl1SjoE7OFwvwdFM8lUcwjbBKA4lGjKksxJCtIDd36BP1D&#10;RMEZ8nm74KA1oGUSA8Adgeok9OWGk8kEPm3JW8Si+GIStwXHozB21QP4Q8EkUdrYWyZr5DYp1pCF&#10;by6yujO2Ve1VXHAjeZXdVJz7g5scds01WhHo+UURds73tLhwukI6q9ahuwGo+5L8zm44c3pcPLEc&#10;kIEfc+wT8eO5DUIoZcKGragkGWtjx9AYfsKgtMHCF+odOs85xB98dw72C+h9t1l2+s6U+ekejEd/&#10;Sqw1Hix8ZCnsYFxXQupjDjhU1UVu9XuQWmgcSguZbaBvtGy5xSh6U8HPdkeMfSQayASGAwjSPsCS&#10;c9mkWHY7jEqpfxy7d/rQ2CDFqAFySrH5viSaYcS/Cmj5izCKHJv5QxSfjeGgdyWLXYlY1tcSegGa&#10;ErLzW6dveb/NtaxfgUfnLiqIiKAQO8XU6v5wbVvSBCambD73asBgitg78ayoc+5QdW35sn4lWnW9&#10;a6Ht72U/ZiQ5aOFW11kKOV9amVe+v7e4dnjDyDt6+gezHw2zXxWlRS+6agkgcn3gMvg9AaCcV+pL&#10;D0XHmsfYb0sFO9wHRDGehv289Nzbz3lPBbZPyMN9gKbjDIfl3qgPk/dOCCneZ5N3Qvi/CcE/DeBh&#10;5P9Tukece3ntnj2BbJ+as58AAAD//wMAUEsDBBQABgAIAAAAIQAzx2JU4QAAAAoBAAAPAAAAZHJz&#10;L2Rvd25yZXYueG1sTI9Pa8JAEMXvhX6HZQq96eYPjTXNRETanqRQLRRvazImwexsyK5J/PZdT/X2&#10;hje893vZatKtGKi3jWGEcB6AIC5M2XCF8LP/mL2CsE5xqVrDhHAlC6v88SFTaWlG/qZh5yrhQ9im&#10;CqF2rkultEVNWtm56Yi9dzK9Vs6ffSXLXo0+XLcyCoJEatWwb6hVR5uaivPuohE+RzWu4/B92J5P&#10;m+th//L1uw0J8flpWr+BcDS5/2e44Xt0yD3T0Vy4tKJF8EMcwiyJEq9ufrhMIhBHhHgRL0Dmmbyf&#10;kP8BAAD//wMAUEsBAi0AFAAGAAgAAAAhALaDOJL+AAAA4QEAABMAAAAAAAAAAAAAAAAAAAAAAFtD&#10;b250ZW50X1R5cGVzXS54bWxQSwECLQAUAAYACAAAACEAOP0h/9YAAACUAQAACwAAAAAAAAAAAAAA&#10;AAAvAQAAX3JlbHMvLnJlbHNQSwECLQAUAAYACAAAACEAvRFFuE8DAACyCgAADgAAAAAAAAAAAAAA&#10;AAAuAgAAZHJzL2Uyb0RvYy54bWxQSwECLQAUAAYACAAAACEAM8diVOEAAAAKAQAADwAAAAAAAAAA&#10;AAAAAACpBQAAZHJzL2Rvd25yZXYueG1sUEsFBgAAAAAEAAQA8wAAALcGAAAAAA==&#10;">
              <v:rect id="Rectangle 3" o:spid="_x0000_s1027" style="position:absolute;top:13331;width:75459;height:5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ight Triangle 4" o:spid="_x0000_s1028" type="#_x0000_t6" style="position:absolute;left:-167;top:5;width:75626;height:133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rKwwAAANoAAAAPAAAAZHJzL2Rvd25yZXYueG1sRI9Pi8Iw&#10;FMTvC36H8IS9LJoqIlKNIoKLBz345+Dx0TzbaPNSmmzb9dMbYWGPw8z8hlmsOluKhmpvHCsYDRMQ&#10;xJnThnMFl/N2MAPhA7LG0jEp+CUPq2XvY4Gpdi0fqTmFXEQI+xQVFCFUqZQ+K8iiH7qKOHo3V1sM&#10;Uda51DW2EW5LOU6SqbRoOC4UWNGmoOxx+rEKMNF3c908v/VsP/0i06z37aFV6rPfrecgAnXhP/zX&#10;3mkFE3hfiTdALl8AAAD//wMAUEsBAi0AFAAGAAgAAAAhANvh9svuAAAAhQEAABMAAAAAAAAAAAAA&#10;AAAAAAAAAFtDb250ZW50X1R5cGVzXS54bWxQSwECLQAUAAYACAAAACEAWvQsW78AAAAVAQAACwAA&#10;AAAAAAAAAAAAAAAfAQAAX3JlbHMvLnJlbHNQSwECLQAUAAYACAAAACEA9tmKysMAAADaAAAADwAA&#10;AAAAAAAAAAAAAAAHAgAAZHJzL2Rvd25yZXYueG1sUEsFBgAAAAADAAMAtwAAAPcCAAAAAA==&#10;" fillcolor="white [3212]" stroked="f" strokeweight="2pt"/>
              <w10:wrap anchorx="page"/>
            </v:group>
          </w:pict>
        </mc:Fallback>
      </mc:AlternateContent>
    </w:r>
    <w:r w:rsidR="00E33AEB">
      <w:rPr>
        <w:noProof/>
      </w:rPr>
      <w:drawing>
        <wp:inline distT="0" distB="0" distL="0" distR="0" wp14:anchorId="38477762" wp14:editId="7D7BFE06">
          <wp:extent cx="2057142" cy="745714"/>
          <wp:effectExtent l="0" t="0" r="635" b="0"/>
          <wp:docPr id="16" name="Picture 16" descr="Ali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linea logo"/>
                  <pic:cNvPicPr/>
                </pic:nvPicPr>
                <pic:blipFill>
                  <a:blip r:embed="rId1"/>
                  <a:stretch>
                    <a:fillRect/>
                  </a:stretch>
                </pic:blipFill>
                <pic:spPr>
                  <a:xfrm>
                    <a:off x="0" y="0"/>
                    <a:ext cx="2057142" cy="745714"/>
                  </a:xfrm>
                  <a:prstGeom prst="rect">
                    <a:avLst/>
                  </a:prstGeom>
                </pic:spPr>
              </pic:pic>
            </a:graphicData>
          </a:graphic>
        </wp:inline>
      </w:drawing>
    </w:r>
  </w:p>
  <w:p w14:paraId="2BD2DDE6" w14:textId="77777777" w:rsidR="00A5739C" w:rsidRDefault="00A5739C" w:rsidP="0099396E">
    <w:pPr>
      <w:pStyle w:val="Footer"/>
      <w:jc w:val="right"/>
    </w:pPr>
  </w:p>
  <w:p w14:paraId="53978929" w14:textId="77777777" w:rsidR="00A5739C" w:rsidRPr="0040094A" w:rsidRDefault="00A5739C" w:rsidP="009939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69899"/>
      <w:docPartObj>
        <w:docPartGallery w:val="Page Numbers (Bottom of Page)"/>
        <w:docPartUnique/>
      </w:docPartObj>
    </w:sdtPr>
    <w:sdtEndPr>
      <w:rPr>
        <w:noProof/>
      </w:rPr>
    </w:sdtEndPr>
    <w:sdtContent>
      <w:p w14:paraId="6CEFC918" w14:textId="6C61EE8E" w:rsidR="00820C56" w:rsidRDefault="00820C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5DABCD" w14:textId="06E19D0E" w:rsidR="00820C56" w:rsidRPr="0040094A" w:rsidRDefault="00820C56" w:rsidP="00820C56">
    <w:pPr>
      <w:pStyle w:val="Footer"/>
    </w:pPr>
    <w:r>
      <w:fldChar w:fldCharType="begin"/>
    </w:r>
    <w:r>
      <w:instrText>STYLEREF  "Cover Title"</w:instrText>
    </w:r>
    <w:r>
      <w:fldChar w:fldCharType="separate"/>
    </w:r>
    <w:r w:rsidR="008C585E">
      <w:rPr>
        <w:noProof/>
      </w:rPr>
      <w:t>Strongim Bisnis Program (Phase 2)</w:t>
    </w:r>
    <w:r>
      <w:fldChar w:fldCharType="end"/>
    </w:r>
    <w:r>
      <w:t xml:space="preserve"> FINAL Evaluation Report</w:t>
    </w:r>
  </w:p>
  <w:p w14:paraId="41A20AEC" w14:textId="38BAF012" w:rsidR="00A5739C" w:rsidRPr="0017709F" w:rsidRDefault="00A5739C" w:rsidP="001770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112870"/>
      <w:docPartObj>
        <w:docPartGallery w:val="Page Numbers (Bottom of Page)"/>
        <w:docPartUnique/>
      </w:docPartObj>
    </w:sdtPr>
    <w:sdtEndPr>
      <w:rPr>
        <w:noProof/>
      </w:rPr>
    </w:sdtEndPr>
    <w:sdtContent>
      <w:p w14:paraId="7DD4CEB3" w14:textId="0DDED775" w:rsidR="00820C56" w:rsidRDefault="00820C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B94DF8" w14:textId="686E45D5" w:rsidR="00820C56" w:rsidRPr="0040094A" w:rsidRDefault="00820C56" w:rsidP="00820C56">
    <w:pPr>
      <w:pStyle w:val="Footer"/>
    </w:pPr>
    <w:r>
      <w:fldChar w:fldCharType="begin"/>
    </w:r>
    <w:r>
      <w:instrText>STYLEREF  "Cover Title"</w:instrText>
    </w:r>
    <w:r>
      <w:fldChar w:fldCharType="separate"/>
    </w:r>
    <w:r w:rsidR="008C585E">
      <w:rPr>
        <w:noProof/>
      </w:rPr>
      <w:t>Strongim Bisnis Program (Phase 2)</w:t>
    </w:r>
    <w:r>
      <w:fldChar w:fldCharType="end"/>
    </w:r>
    <w:r>
      <w:t xml:space="preserve"> FINAL Evaluation Report</w:t>
    </w:r>
  </w:p>
  <w:p w14:paraId="072E9D5C" w14:textId="77777777" w:rsidR="00A5739C" w:rsidRPr="009D07D2" w:rsidRDefault="00A5739C" w:rsidP="009D07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554890"/>
      <w:docPartObj>
        <w:docPartGallery w:val="Page Numbers (Bottom of Page)"/>
        <w:docPartUnique/>
      </w:docPartObj>
    </w:sdtPr>
    <w:sdtEndPr>
      <w:rPr>
        <w:noProof/>
      </w:rPr>
    </w:sdtEndPr>
    <w:sdtContent>
      <w:p w14:paraId="1E4CC64C" w14:textId="77777777" w:rsidR="007C402F" w:rsidRDefault="007C402F">
        <w:pPr>
          <w:pStyle w:val="Footer"/>
          <w:jc w:val="right"/>
        </w:pPr>
      </w:p>
      <w:p w14:paraId="60B1539A" w14:textId="0DC99FF4" w:rsidR="007C402F" w:rsidRPr="0040094A" w:rsidRDefault="007C402F" w:rsidP="007C402F">
        <w:pPr>
          <w:pStyle w:val="Footer"/>
        </w:pPr>
        <w:r>
          <w:fldChar w:fldCharType="begin"/>
        </w:r>
        <w:r>
          <w:instrText>STYLEREF  "Cover Title"</w:instrText>
        </w:r>
        <w:r>
          <w:fldChar w:fldCharType="separate"/>
        </w:r>
        <w:r w:rsidR="008C585E">
          <w:rPr>
            <w:noProof/>
          </w:rPr>
          <w:t>Strongim Bisnis Program (Phase 2)</w:t>
        </w:r>
        <w:r>
          <w:fldChar w:fldCharType="end"/>
        </w:r>
        <w:r>
          <w:t xml:space="preserve"> FINAL Evaluation Report</w:t>
        </w:r>
      </w:p>
      <w:p w14:paraId="66C04BC0" w14:textId="77777777" w:rsidR="007C402F" w:rsidRDefault="007C402F">
        <w:pPr>
          <w:pStyle w:val="Footer"/>
          <w:jc w:val="right"/>
        </w:pPr>
      </w:p>
      <w:p w14:paraId="56C146A1" w14:textId="03A176A7" w:rsidR="00A5739C" w:rsidRPr="0040094A" w:rsidRDefault="003B5C43" w:rsidP="00B07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33EA" w14:textId="03D806CB" w:rsidR="00C32B4C" w:rsidRDefault="00C32B4C">
    <w:pPr>
      <w:pStyle w:val="Footer"/>
      <w:jc w:val="right"/>
    </w:pPr>
    <w:r>
      <w:fldChar w:fldCharType="begin"/>
    </w:r>
    <w:r>
      <w:instrText xml:space="preserve"> PAGE   \* MERGEFORMAT </w:instrText>
    </w:r>
    <w:r>
      <w:fldChar w:fldCharType="separate"/>
    </w:r>
    <w:r>
      <w:rPr>
        <w:noProof/>
      </w:rPr>
      <w:t>2</w:t>
    </w:r>
    <w:r>
      <w:rPr>
        <w:noProof/>
      </w:rPr>
      <w:fldChar w:fldCharType="end"/>
    </w:r>
  </w:p>
  <w:p w14:paraId="4C06643F" w14:textId="77777777" w:rsidR="00A5739C" w:rsidRPr="009D07D2" w:rsidRDefault="00A5739C" w:rsidP="009D0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D5EE" w14:textId="77777777" w:rsidR="00433635" w:rsidRPr="003337B3" w:rsidRDefault="00433635" w:rsidP="003337B3">
      <w:pPr>
        <w:pStyle w:val="FootnoteText"/>
        <w:rPr>
          <w:color w:val="1D336D" w:themeColor="background2"/>
        </w:rPr>
      </w:pPr>
      <w:r w:rsidRPr="003337B3">
        <w:rPr>
          <w:color w:val="1D336D" w:themeColor="background2"/>
        </w:rPr>
        <w:separator/>
      </w:r>
    </w:p>
  </w:footnote>
  <w:footnote w:type="continuationSeparator" w:id="0">
    <w:p w14:paraId="3B55463C" w14:textId="77777777" w:rsidR="00433635" w:rsidRPr="003337B3" w:rsidRDefault="00433635" w:rsidP="003337B3">
      <w:pPr>
        <w:pStyle w:val="FootnoteText"/>
        <w:rPr>
          <w:color w:val="1D336D" w:themeColor="background2"/>
        </w:rPr>
      </w:pPr>
      <w:r w:rsidRPr="003337B3">
        <w:rPr>
          <w:color w:val="1D336D" w:themeColor="background2"/>
        </w:rPr>
        <w:continuationSeparator/>
      </w:r>
    </w:p>
  </w:footnote>
  <w:footnote w:type="continuationNotice" w:id="1">
    <w:p w14:paraId="751BEA53" w14:textId="77777777" w:rsidR="00433635" w:rsidRDefault="00433635" w:rsidP="003337B3">
      <w:pPr>
        <w:pStyle w:val="FootnoteText"/>
      </w:pPr>
    </w:p>
  </w:footnote>
  <w:footnote w:id="2">
    <w:p w14:paraId="78381097" w14:textId="77777777" w:rsidR="00987607" w:rsidRDefault="00987607" w:rsidP="00987607">
      <w:pPr>
        <w:pStyle w:val="FootnoteText"/>
      </w:pPr>
      <w:r>
        <w:rPr>
          <w:rStyle w:val="FootnoteReference"/>
        </w:rPr>
        <w:footnoteRef/>
      </w:r>
      <w:r>
        <w:t xml:space="preserve"> World Bank Group (2020), Doing Business: Economy Profile Solomon Islands (</w:t>
      </w:r>
      <w:hyperlink r:id="rId1" w:history="1">
        <w:r>
          <w:rPr>
            <w:rStyle w:val="Hyperlink"/>
          </w:rPr>
          <w:t>SLB.pdf (doingbusiness.org)</w:t>
        </w:r>
      </w:hyperlink>
      <w:r>
        <w:t>)</w:t>
      </w:r>
    </w:p>
  </w:footnote>
  <w:footnote w:id="3">
    <w:p w14:paraId="688F38EE" w14:textId="77777777" w:rsidR="009127D6" w:rsidRDefault="009127D6" w:rsidP="009127D6">
      <w:pPr>
        <w:pStyle w:val="FootnoteText"/>
      </w:pPr>
      <w:r w:rsidRPr="1567398C">
        <w:rPr>
          <w:rStyle w:val="FootnoteReference"/>
        </w:rPr>
        <w:footnoteRef/>
      </w:r>
      <w:r>
        <w:t xml:space="preserve"> Source: DFAT. (2020). Partnerships for Recovery: Australia’s COVID-19 Development Response ‘Solomon Islands COVID-19 Development Plan’.</w:t>
      </w:r>
    </w:p>
  </w:footnote>
  <w:footnote w:id="4">
    <w:p w14:paraId="1655A806" w14:textId="77777777" w:rsidR="009127D6" w:rsidRPr="00CB2B60" w:rsidRDefault="009127D6" w:rsidP="009127D6">
      <w:pPr>
        <w:pStyle w:val="FootnoteText"/>
        <w:rPr>
          <w:lang w:val="en-US"/>
        </w:rPr>
      </w:pPr>
      <w:r>
        <w:rPr>
          <w:rStyle w:val="FootnoteReference"/>
        </w:rPr>
        <w:footnoteRef/>
      </w:r>
      <w:r>
        <w:t xml:space="preserve"> As articulated for instance in the National E-Commerce Strategy, National Development Strategy, SME (Small Medium Enterprise) Policy and Strategy, Agriculture Sector Growth Strategy, and Investment Plan</w:t>
      </w:r>
    </w:p>
  </w:footnote>
  <w:footnote w:id="5">
    <w:p w14:paraId="6F1B9E35" w14:textId="5979832C" w:rsidR="009127D6" w:rsidRDefault="009127D6" w:rsidP="009127D6">
      <w:pPr>
        <w:pStyle w:val="FootnoteText"/>
      </w:pPr>
      <w:r>
        <w:rPr>
          <w:rStyle w:val="FootnoteReference"/>
        </w:rPr>
        <w:footnoteRef/>
      </w:r>
      <w:r>
        <w:t xml:space="preserve"> </w:t>
      </w:r>
      <w:hyperlink r:id="rId2" w:history="1">
        <w:r w:rsidR="002365D4">
          <w:rPr>
            <w:rStyle w:val="Hyperlink"/>
          </w:rPr>
          <w:t>https://archive.doingbusiness.org/content/dam/doingBusiness/country/s/solomon-islands/SLB.pdf</w:t>
        </w:r>
      </w:hyperlink>
      <w:r w:rsidR="002365D4">
        <w:t>. Calculation of this index has since been discontinued.</w:t>
      </w:r>
    </w:p>
  </w:footnote>
  <w:footnote w:id="6">
    <w:p w14:paraId="3264F1FF" w14:textId="44B3BAB1" w:rsidR="00170D5A" w:rsidRDefault="00170D5A">
      <w:pPr>
        <w:pStyle w:val="FootnoteText"/>
      </w:pPr>
      <w:r>
        <w:rPr>
          <w:rStyle w:val="FootnoteReference"/>
        </w:rPr>
        <w:footnoteRef/>
      </w:r>
      <w:r>
        <w:t xml:space="preserve"> Two international consultants and two independent </w:t>
      </w:r>
      <w:r w:rsidR="005A0619">
        <w:t xml:space="preserve">local </w:t>
      </w:r>
      <w:r>
        <w:t>consultants.</w:t>
      </w:r>
    </w:p>
  </w:footnote>
  <w:footnote w:id="7">
    <w:p w14:paraId="20D42AF9" w14:textId="1D03CF55" w:rsidR="00764961" w:rsidRDefault="00764961">
      <w:pPr>
        <w:pStyle w:val="FootnoteText"/>
      </w:pPr>
      <w:r>
        <w:rPr>
          <w:rStyle w:val="FootnoteReference"/>
        </w:rPr>
        <w:footnoteRef/>
      </w:r>
      <w:r>
        <w:t xml:space="preserve"> </w:t>
      </w:r>
      <w:r w:rsidR="00F5075C">
        <w:t>Traditional i</w:t>
      </w:r>
      <w:r>
        <w:t xml:space="preserve">nformal discussion - see </w:t>
      </w:r>
      <w:hyperlink r:id="rId3" w:history="1">
        <w:r>
          <w:rPr>
            <w:rStyle w:val="Hyperlink"/>
          </w:rPr>
          <w:t>https://devpolicy.org/talking-about-tok-stori-20200828/</w:t>
        </w:r>
      </w:hyperlink>
    </w:p>
  </w:footnote>
  <w:footnote w:id="8">
    <w:p w14:paraId="46B0DF4C" w14:textId="79E8807F" w:rsidR="00FB2CEF" w:rsidRDefault="00FB2CEF" w:rsidP="00FB2CEF">
      <w:pPr>
        <w:pStyle w:val="FootnoteText"/>
      </w:pPr>
      <w:r>
        <w:rPr>
          <w:rStyle w:val="FootnoteReference"/>
        </w:rPr>
        <w:footnoteRef/>
      </w:r>
      <w:r>
        <w:t xml:space="preserve"> Note that annual targets are not set across all indicators, and numbering is not consistent between common indicators and target indicators</w:t>
      </w:r>
      <w:r w:rsidR="005035D8">
        <w:t xml:space="preserve"> – as shown for EOPO1 indicators in Table xx.</w:t>
      </w:r>
    </w:p>
  </w:footnote>
  <w:footnote w:id="9">
    <w:p w14:paraId="7386CB5D" w14:textId="7808FA65" w:rsidR="003036E6" w:rsidRDefault="003036E6">
      <w:pPr>
        <w:pStyle w:val="FootnoteText"/>
      </w:pPr>
      <w:r>
        <w:rPr>
          <w:rStyle w:val="FootnoteReference"/>
        </w:rPr>
        <w:footnoteRef/>
      </w:r>
      <w:r w:rsidR="08123348">
        <w:t xml:space="preserve"> However, some commented that the technical advice was less useful, given they all worked on the plantation as well and already understood tree care.</w:t>
      </w:r>
    </w:p>
  </w:footnote>
  <w:footnote w:id="10">
    <w:p w14:paraId="41C75EB5" w14:textId="77777777" w:rsidR="008C589D" w:rsidRDefault="008C589D" w:rsidP="008C589D">
      <w:pPr>
        <w:pStyle w:val="FootnoteText"/>
      </w:pPr>
      <w:r>
        <w:rPr>
          <w:rStyle w:val="FootnoteReference"/>
        </w:rPr>
        <w:footnoteRef/>
      </w:r>
      <w:r>
        <w:t xml:space="preserve"> </w:t>
      </w:r>
      <w:hyperlink r:id="rId4" w:history="1">
        <w:r>
          <w:rPr>
            <w:rStyle w:val="Hyperlink"/>
          </w:rPr>
          <w:t>https://beamexchange.org/market-systems/what-market-system/mapping-system/</w:t>
        </w:r>
      </w:hyperlink>
    </w:p>
  </w:footnote>
  <w:footnote w:id="11">
    <w:p w14:paraId="4D1585A6" w14:textId="4D88DF0A" w:rsidR="00C23D24" w:rsidRDefault="00C23D24" w:rsidP="00AF10F1">
      <w:pPr>
        <w:spacing w:after="0" w:line="240" w:lineRule="auto"/>
      </w:pPr>
      <w:r>
        <w:rPr>
          <w:rStyle w:val="FootnoteReference"/>
        </w:rPr>
        <w:footnoteRef/>
      </w:r>
      <w:r>
        <w:t xml:space="preserve"> </w:t>
      </w:r>
      <w:r w:rsidR="00E57C4B" w:rsidRPr="00F450E6">
        <w:rPr>
          <w:sz w:val="16"/>
          <w:szCs w:val="16"/>
        </w:rPr>
        <w:t xml:space="preserve">Indicators pertaining </w:t>
      </w:r>
      <w:r w:rsidR="00541703" w:rsidRPr="00F450E6">
        <w:rPr>
          <w:sz w:val="16"/>
          <w:szCs w:val="16"/>
        </w:rPr>
        <w:t xml:space="preserve">only </w:t>
      </w:r>
      <w:r w:rsidR="00E57C4B" w:rsidRPr="00F450E6">
        <w:rPr>
          <w:sz w:val="16"/>
          <w:szCs w:val="16"/>
        </w:rPr>
        <w:t xml:space="preserve">to EOPO1 are also included here </w:t>
      </w:r>
      <w:r w:rsidR="00A73C83" w:rsidRPr="00F450E6">
        <w:rPr>
          <w:sz w:val="16"/>
          <w:szCs w:val="16"/>
        </w:rPr>
        <w:t xml:space="preserve">to highlight </w:t>
      </w:r>
      <w:r w:rsidR="00E57C4B" w:rsidRPr="00F450E6">
        <w:rPr>
          <w:sz w:val="16"/>
          <w:szCs w:val="16"/>
        </w:rPr>
        <w:t xml:space="preserve">the </w:t>
      </w:r>
      <w:r w:rsidR="00A73C83" w:rsidRPr="00F450E6">
        <w:rPr>
          <w:sz w:val="16"/>
          <w:szCs w:val="16"/>
        </w:rPr>
        <w:t xml:space="preserve">contribution of the </w:t>
      </w:r>
      <w:r w:rsidR="00E57C4B" w:rsidRPr="00F450E6">
        <w:rPr>
          <w:sz w:val="16"/>
          <w:szCs w:val="16"/>
        </w:rPr>
        <w:t xml:space="preserve">WEE/SI portfolio to </w:t>
      </w:r>
      <w:r w:rsidR="00541703" w:rsidRPr="00F450E6">
        <w:rPr>
          <w:sz w:val="16"/>
          <w:szCs w:val="16"/>
        </w:rPr>
        <w:t>EOPO1</w:t>
      </w:r>
      <w:r w:rsidR="00E57C4B" w:rsidRPr="00F450E6">
        <w:rPr>
          <w:sz w:val="16"/>
          <w:szCs w:val="16"/>
        </w:rPr>
        <w:t xml:space="preserve"> results.</w:t>
      </w:r>
      <w:r w:rsidR="00F450E6" w:rsidRPr="00F450E6">
        <w:rPr>
          <w:sz w:val="16"/>
          <w:szCs w:val="16"/>
        </w:rPr>
        <w:t xml:space="preserve"> It should also be noted that reported data does not disaggregate youth by gender, but young women are counted under both ‘youth’ and ‘women’ categories (hence totals do not add). </w:t>
      </w:r>
    </w:p>
  </w:footnote>
  <w:footnote w:id="12">
    <w:p w14:paraId="30BE8F0A" w14:textId="77777777" w:rsidR="003B72A3" w:rsidRDefault="003B72A3" w:rsidP="003B72A3">
      <w:pPr>
        <w:pStyle w:val="FootnoteText"/>
      </w:pPr>
      <w:r>
        <w:rPr>
          <w:rStyle w:val="FootnoteReference"/>
        </w:rPr>
        <w:footnoteRef/>
      </w:r>
      <w:r>
        <w:t xml:space="preserve"> Figures based on 2009 Population and Housing Census.</w:t>
      </w:r>
    </w:p>
  </w:footnote>
  <w:footnote w:id="13">
    <w:p w14:paraId="238B0F4F" w14:textId="77777777" w:rsidR="00670F8D" w:rsidRDefault="00670F8D" w:rsidP="00670F8D">
      <w:pPr>
        <w:pStyle w:val="FootnoteText"/>
      </w:pPr>
      <w:r>
        <w:rPr>
          <w:rStyle w:val="FootnoteReference"/>
        </w:rPr>
        <w:footnoteRef/>
      </w:r>
      <w:r>
        <w:t xml:space="preserve"> The nearby Guadalcanal Plains area is widely viewed as having fertile soils, but testing has not been undertaken to determine any deficiencies in soil nutrients.</w:t>
      </w:r>
    </w:p>
  </w:footnote>
  <w:footnote w:id="14">
    <w:p w14:paraId="13E09B61" w14:textId="77777777" w:rsidR="00A37F0E" w:rsidRDefault="00A37F0E" w:rsidP="00A37F0E">
      <w:pPr>
        <w:pStyle w:val="FootnoteText"/>
      </w:pPr>
      <w:r>
        <w:rPr>
          <w:rStyle w:val="FootnoteReference"/>
        </w:rPr>
        <w:footnoteRef/>
      </w:r>
      <w:r>
        <w:t xml:space="preserve"> </w:t>
      </w:r>
      <w:hyperlink r:id="rId5" w:history="1">
        <w:r>
          <w:rPr>
            <w:rStyle w:val="Hyperlink"/>
          </w:rPr>
          <w:t>https://www.dfat.gov.au/about-us/publications/Pages/dfat-monitoring-and-evaluation-standards</w:t>
        </w:r>
      </w:hyperlink>
      <w:r>
        <w:t>; Standard 5 (M&amp;E); Standard 6 (Program Progress Reports).</w:t>
      </w:r>
    </w:p>
  </w:footnote>
  <w:footnote w:id="15">
    <w:p w14:paraId="205042FC" w14:textId="1C525E5A" w:rsidR="00152980" w:rsidRDefault="00152980">
      <w:pPr>
        <w:pStyle w:val="FootnoteText"/>
      </w:pPr>
      <w:r>
        <w:rPr>
          <w:rStyle w:val="FootnoteReference"/>
        </w:rPr>
        <w:footnoteRef/>
      </w:r>
      <w:r>
        <w:t xml:space="preserve"> That is, Flexible Fund expenditure.</w:t>
      </w:r>
      <w:r w:rsidR="00607744">
        <w:t xml:space="preserve"> This does not take other program implementation expenditure (e.g. staffing, overheads) into account.</w:t>
      </w:r>
    </w:p>
  </w:footnote>
  <w:footnote w:id="16">
    <w:p w14:paraId="632060F4" w14:textId="14B9D3FC" w:rsidR="00903282" w:rsidRDefault="00903282">
      <w:pPr>
        <w:pStyle w:val="FootnoteText"/>
      </w:pPr>
      <w:r>
        <w:rPr>
          <w:rStyle w:val="FootnoteReference"/>
        </w:rPr>
        <w:footnoteRef/>
      </w:r>
      <w:r>
        <w:t xml:space="preserve"> </w:t>
      </w:r>
      <w:r w:rsidR="00564531">
        <w:t xml:space="preserve">As agreed by members of the Donor Committee on Enterprise Development (DCED) in 2001. </w:t>
      </w:r>
      <w:hyperlink r:id="rId6" w:history="1">
        <w:r w:rsidR="00564531" w:rsidRPr="00872D2D">
          <w:rPr>
            <w:rStyle w:val="Hyperlink"/>
          </w:rPr>
          <w:t>https://www.enterprise-development.org/wp-content/uploads/BDS-Guiding-Principles-2001-English.pdf</w:t>
        </w:r>
      </w:hyperlink>
      <w:r w:rsidR="00AC74EC">
        <w:t>.</w:t>
      </w:r>
      <w:r w:rsidR="00BF6107">
        <w:t xml:space="preserve"> </w:t>
      </w:r>
      <w:r w:rsidR="00AC74EC">
        <w:t>S</w:t>
      </w:r>
      <w:r w:rsidR="00BF6107">
        <w:t xml:space="preserve">ee also DFAT Guidance Note: </w:t>
      </w:r>
      <w:hyperlink r:id="rId7" w:history="1">
        <w:r w:rsidR="00BF6107">
          <w:rPr>
            <w:rStyle w:val="Hyperlink"/>
          </w:rPr>
          <w:t>https://www.dfat.gov.au/publications/aid/guidance-note-engaging-private-sector</w:t>
        </w:r>
      </w:hyperlink>
      <w:r w:rsidR="00AC74EC">
        <w:t>.</w:t>
      </w:r>
    </w:p>
  </w:footnote>
  <w:footnote w:id="17">
    <w:p w14:paraId="676BF7CC" w14:textId="3451590C" w:rsidR="004A2B19" w:rsidRDefault="004A2B19">
      <w:pPr>
        <w:pStyle w:val="FootnoteText"/>
      </w:pPr>
      <w:r>
        <w:rPr>
          <w:rStyle w:val="FootnoteReference"/>
        </w:rPr>
        <w:footnoteRef/>
      </w:r>
      <w:r>
        <w:t xml:space="preserve"> </w:t>
      </w:r>
      <w:hyperlink r:id="rId8" w:history="1">
        <w:r>
          <w:rPr>
            <w:rStyle w:val="Hyperlink"/>
          </w:rPr>
          <w:t>https://www.dfat.gov.au/publications/aid/guidance-note-engaging-private-sector</w:t>
        </w:r>
      </w:hyperlink>
      <w:r>
        <w:t>, p. 6.</w:t>
      </w:r>
    </w:p>
  </w:footnote>
  <w:footnote w:id="18">
    <w:p w14:paraId="623BB1E2" w14:textId="15743F01" w:rsidR="00185302" w:rsidRDefault="00185302">
      <w:pPr>
        <w:pStyle w:val="FootnoteText"/>
      </w:pPr>
      <w:r>
        <w:rPr>
          <w:rStyle w:val="FootnoteReference"/>
        </w:rPr>
        <w:footnoteRef/>
      </w:r>
      <w:r>
        <w:t xml:space="preserve"> Based on investment criteria for the Solomon Islands Growth Program, of which Strongim Bisnis was initially a part.</w:t>
      </w:r>
    </w:p>
  </w:footnote>
  <w:footnote w:id="19">
    <w:p w14:paraId="785E0796" w14:textId="782FA726" w:rsidR="003D2F5E" w:rsidRDefault="003D2F5E">
      <w:pPr>
        <w:pStyle w:val="FootnoteText"/>
      </w:pPr>
      <w:r>
        <w:rPr>
          <w:rStyle w:val="FootnoteReference"/>
        </w:rPr>
        <w:footnoteRef/>
      </w:r>
      <w:r>
        <w:t xml:space="preserve"> </w:t>
      </w:r>
      <w:r>
        <w:rPr>
          <w:rFonts w:ascii="Arial" w:hAnsi="Arial" w:cs="Arial"/>
        </w:rPr>
        <w:t xml:space="preserve">The partner described </w:t>
      </w:r>
      <w:r w:rsidR="0005468B">
        <w:rPr>
          <w:rFonts w:ascii="Arial" w:hAnsi="Arial" w:cs="Arial"/>
        </w:rPr>
        <w:t xml:space="preserve">the activity </w:t>
      </w:r>
      <w:r>
        <w:rPr>
          <w:rFonts w:ascii="Arial" w:hAnsi="Arial" w:cs="Arial"/>
        </w:rPr>
        <w:t xml:space="preserve">as being ‘fully funded’ by SB, aside from his </w:t>
      </w:r>
      <w:r w:rsidR="002805FD">
        <w:rPr>
          <w:rFonts w:ascii="Arial" w:hAnsi="Arial" w:cs="Arial"/>
        </w:rPr>
        <w:t xml:space="preserve">management oversight to satisfy </w:t>
      </w:r>
      <w:r w:rsidR="00951DE4">
        <w:rPr>
          <w:rFonts w:ascii="Arial" w:hAnsi="Arial" w:cs="Arial"/>
        </w:rPr>
        <w:t>‘</w:t>
      </w:r>
      <w:r w:rsidR="0010110D">
        <w:rPr>
          <w:rFonts w:ascii="Arial" w:hAnsi="Arial" w:cs="Arial"/>
        </w:rPr>
        <w:t>corporate social responsibility</w:t>
      </w:r>
      <w:r w:rsidR="00951DE4">
        <w:rPr>
          <w:rFonts w:ascii="Arial" w:hAnsi="Arial" w:cs="Arial"/>
        </w:rPr>
        <w:t>’</w:t>
      </w:r>
      <w:r w:rsidR="002805FD">
        <w:rPr>
          <w:rFonts w:ascii="Arial" w:hAnsi="Arial" w:cs="Arial"/>
        </w:rPr>
        <w:t xml:space="preserve"> obligations</w:t>
      </w:r>
      <w:r w:rsidR="002D017F">
        <w:rPr>
          <w:rFonts w:ascii="Arial" w:hAnsi="Arial" w:cs="Arial"/>
        </w:rPr>
        <w:t xml:space="preserve">, and implied </w:t>
      </w:r>
      <w:r w:rsidR="009F60AC">
        <w:rPr>
          <w:rFonts w:ascii="Arial" w:hAnsi="Arial" w:cs="Arial"/>
        </w:rPr>
        <w:t xml:space="preserve">he </w:t>
      </w:r>
      <w:r w:rsidR="00DF31B9">
        <w:rPr>
          <w:rFonts w:ascii="Arial" w:hAnsi="Arial" w:cs="Arial"/>
        </w:rPr>
        <w:t>would have</w:t>
      </w:r>
      <w:r w:rsidR="009F60AC">
        <w:rPr>
          <w:rFonts w:ascii="Arial" w:hAnsi="Arial" w:cs="Arial"/>
        </w:rPr>
        <w:t xml:space="preserve"> no interest in continuing it without further support.</w:t>
      </w:r>
    </w:p>
  </w:footnote>
  <w:footnote w:id="20">
    <w:p w14:paraId="34B2778C" w14:textId="7BD7FBE7" w:rsidR="003875E8" w:rsidRDefault="003875E8">
      <w:pPr>
        <w:pStyle w:val="FootnoteText"/>
      </w:pPr>
      <w:r>
        <w:rPr>
          <w:rStyle w:val="FootnoteReference"/>
        </w:rPr>
        <w:footnoteRef/>
      </w:r>
      <w:r>
        <w:t xml:space="preserve"> </w:t>
      </w:r>
      <w:r w:rsidR="00204AF0">
        <w:t>On a simple 6-point rating scale, the average partner rating for inclusion objectives was 5.</w:t>
      </w:r>
    </w:p>
  </w:footnote>
  <w:footnote w:id="21">
    <w:p w14:paraId="38A18C2A" w14:textId="77777777" w:rsidR="0070307D" w:rsidRDefault="0070307D" w:rsidP="0070307D">
      <w:pPr>
        <w:pStyle w:val="FootnoteText"/>
      </w:pPr>
      <w:r>
        <w:rPr>
          <w:rStyle w:val="FootnoteReference"/>
        </w:rPr>
        <w:footnoteRef/>
      </w:r>
      <w:r>
        <w:t xml:space="preserve"> The creche has a maximum daily capacity of 60 children.</w:t>
      </w:r>
    </w:p>
  </w:footnote>
  <w:footnote w:id="22">
    <w:p w14:paraId="3F29817B" w14:textId="52CE06F9" w:rsidR="005E4BF1" w:rsidRDefault="005E4BF1">
      <w:pPr>
        <w:pStyle w:val="FootnoteText"/>
      </w:pPr>
      <w:r>
        <w:rPr>
          <w:rStyle w:val="FootnoteReference"/>
        </w:rPr>
        <w:footnoteRef/>
      </w:r>
      <w:r>
        <w:t xml:space="preserve"> These </w:t>
      </w:r>
      <w:r w:rsidR="0095043F">
        <w:t>queries</w:t>
      </w:r>
      <w:r>
        <w:t xml:space="preserve"> remained unanswered.</w:t>
      </w:r>
    </w:p>
  </w:footnote>
  <w:footnote w:id="23">
    <w:p w14:paraId="5E1590D2" w14:textId="77777777" w:rsidR="00190BEA" w:rsidRDefault="00190BEA" w:rsidP="00190BEA">
      <w:pPr>
        <w:pStyle w:val="FootnoteText"/>
      </w:pPr>
      <w:r>
        <w:rPr>
          <w:rStyle w:val="FootnoteReference"/>
        </w:rPr>
        <w:footnoteRef/>
      </w:r>
      <w:r>
        <w:t xml:space="preserve"> As was the case in at least one ‘rescue’-type intervention during the COVID-19 period.</w:t>
      </w:r>
    </w:p>
  </w:footnote>
  <w:footnote w:id="24">
    <w:p w14:paraId="7C619F47" w14:textId="77777777" w:rsidR="00190BEA" w:rsidRDefault="00190BEA" w:rsidP="00190BEA">
      <w:pPr>
        <w:pStyle w:val="FootnoteText"/>
      </w:pPr>
      <w:r>
        <w:rPr>
          <w:rStyle w:val="FootnoteReference"/>
        </w:rPr>
        <w:footnoteRef/>
      </w:r>
      <w:r>
        <w:t xml:space="preserve"> Environmental safeguard issues must of course continue to be monitored.</w:t>
      </w:r>
    </w:p>
  </w:footnote>
  <w:footnote w:id="25">
    <w:p w14:paraId="48286293" w14:textId="77777777" w:rsidR="00190BEA" w:rsidRDefault="00190BEA" w:rsidP="00190BEA">
      <w:pPr>
        <w:pStyle w:val="FootnoteText"/>
      </w:pPr>
      <w:r>
        <w:rPr>
          <w:rStyle w:val="FootnoteReference"/>
        </w:rPr>
        <w:footnoteRef/>
      </w:r>
      <w:r>
        <w:t xml:space="preserve"> Such as that recently prepared for the Waste Management sector.</w:t>
      </w:r>
    </w:p>
  </w:footnote>
  <w:footnote w:id="26">
    <w:p w14:paraId="505A7DF0" w14:textId="77777777" w:rsidR="00190BEA" w:rsidRDefault="00190BEA" w:rsidP="00190BEA">
      <w:pPr>
        <w:pStyle w:val="FootnoteText"/>
      </w:pPr>
      <w:r>
        <w:rPr>
          <w:rStyle w:val="FootnoteReference"/>
        </w:rPr>
        <w:footnoteRef/>
      </w:r>
      <w:r>
        <w:t xml:space="preserve"> MCILI and MAL expressed particular interest, but there may be others.</w:t>
      </w:r>
    </w:p>
  </w:footnote>
  <w:footnote w:id="27">
    <w:p w14:paraId="6570FD24" w14:textId="2CC78F59" w:rsidR="008A0154" w:rsidRDefault="008A0154">
      <w:pPr>
        <w:pStyle w:val="FootnoteText"/>
      </w:pPr>
      <w:r>
        <w:rPr>
          <w:rStyle w:val="FootnoteReference"/>
        </w:rPr>
        <w:footnoteRef/>
      </w:r>
      <w:r>
        <w:t xml:space="preserve"> </w:t>
      </w:r>
      <w:r w:rsidR="00DD5458">
        <w:t>Extracted from Strongim Bisnis current partnership list.</w:t>
      </w:r>
    </w:p>
  </w:footnote>
  <w:footnote w:id="28">
    <w:p w14:paraId="5FB95041" w14:textId="2E9FCE3F" w:rsidR="00F9066E" w:rsidRDefault="00F9066E">
      <w:pPr>
        <w:pStyle w:val="FootnoteText"/>
      </w:pPr>
      <w:r>
        <w:rPr>
          <w:rStyle w:val="FootnoteReference"/>
        </w:rPr>
        <w:footnoteRef/>
      </w:r>
      <w:r>
        <w:t xml:space="preserve"> Source: Strongim Bisnis M</w:t>
      </w:r>
      <w:r w:rsidR="00476B87">
        <w:t>RM</w:t>
      </w:r>
      <w:r>
        <w:t xml:space="preserve"> system, </w:t>
      </w:r>
      <w:r w:rsidR="00476B87">
        <w:t>supplied by Strongim Bisnis implementing team.</w:t>
      </w:r>
    </w:p>
  </w:footnote>
  <w:footnote w:id="29">
    <w:p w14:paraId="102DC080" w14:textId="2D309E59" w:rsidR="003C3F9F" w:rsidRDefault="003C3F9F">
      <w:pPr>
        <w:pStyle w:val="FootnoteText"/>
      </w:pPr>
      <w:r>
        <w:rPr>
          <w:rStyle w:val="FootnoteReference"/>
        </w:rPr>
        <w:footnoteRef/>
      </w:r>
      <w:r>
        <w:t xml:space="preserve"> Source: </w:t>
      </w:r>
      <w:r w:rsidR="008B7284">
        <w:t xml:space="preserve">Derived from </w:t>
      </w:r>
      <w:r>
        <w:t>Strongim Bisnis MRM system, supplied by Strongim Bisnis implementing team.</w:t>
      </w:r>
    </w:p>
  </w:footnote>
  <w:footnote w:id="30">
    <w:p w14:paraId="5B538D51" w14:textId="77777777" w:rsidR="00A90358" w:rsidRDefault="00A90358" w:rsidP="00A90358">
      <w:pPr>
        <w:pStyle w:val="FootnoteText"/>
      </w:pPr>
      <w:r>
        <w:rPr>
          <w:rStyle w:val="FootnoteReference"/>
        </w:rPr>
        <w:footnoteRef/>
      </w:r>
      <w:r>
        <w:t xml:space="preserve"> </w:t>
      </w:r>
      <w:hyperlink r:id="rId9" w:history="1">
        <w:r>
          <w:rPr>
            <w:rStyle w:val="Hyperlink"/>
          </w:rPr>
          <w:t>https://www.dfat.gov.au/about-us/publications/Pages/dfat-monitoring-and-evaluation-standards</w:t>
        </w:r>
      </w:hyperlink>
      <w:r>
        <w:t>; Standard 5 (M&amp;E); Standard 6 (Program Progress Reports).</w:t>
      </w:r>
    </w:p>
  </w:footnote>
  <w:footnote w:id="31">
    <w:p w14:paraId="2F615523" w14:textId="77777777" w:rsidR="00A90358" w:rsidRDefault="00A90358" w:rsidP="00A90358">
      <w:pPr>
        <w:pStyle w:val="FootnoteText"/>
      </w:pPr>
      <w:r>
        <w:rPr>
          <w:rStyle w:val="FootnoteReference"/>
        </w:rPr>
        <w:footnoteRef/>
      </w:r>
      <w:r>
        <w:t xml:space="preserve"> Available on DFAT Intranet or from Designmail@dfat.gov.au; internet version pending.</w:t>
      </w:r>
    </w:p>
  </w:footnote>
  <w:footnote w:id="32">
    <w:p w14:paraId="440BEB18" w14:textId="77777777" w:rsidR="00A90358" w:rsidRDefault="00A90358" w:rsidP="00A90358">
      <w:pPr>
        <w:pStyle w:val="FootnoteText"/>
      </w:pPr>
      <w:r>
        <w:rPr>
          <w:rStyle w:val="FootnoteReference"/>
        </w:rPr>
        <w:footnoteRef/>
      </w:r>
      <w:r>
        <w:t xml:space="preserve"> Pathways and </w:t>
      </w:r>
      <w:r w:rsidRPr="00E31878">
        <w:t>strategies</w:t>
      </w:r>
      <w:r>
        <w:t xml:space="preserve"> to achieve outcomes are not defined upfront and are developed during implementation; outputs and activities are largely developed during implementation; and there is usually a large pool of unallocated funds which is designed/programmed </w:t>
      </w:r>
      <w:r w:rsidRPr="00E31878">
        <w:t xml:space="preserve">during implementation. </w:t>
      </w:r>
      <w:r>
        <w:t xml:space="preserve">Investments may be planned from year to year to respond to changing needs. (DFAT Guidance Note, Facility Investments, updated March 2023).  </w:t>
      </w:r>
    </w:p>
  </w:footnote>
  <w:footnote w:id="33">
    <w:p w14:paraId="1846C738" w14:textId="77777777" w:rsidR="00A90358" w:rsidRDefault="00A90358" w:rsidP="00A90358">
      <w:pPr>
        <w:pStyle w:val="FootnoteText"/>
      </w:pPr>
      <w:r>
        <w:rPr>
          <w:rStyle w:val="FootnoteReference"/>
        </w:rPr>
        <w:footnoteRef/>
      </w:r>
      <w:r>
        <w:t xml:space="preserve"> </w:t>
      </w:r>
      <w:hyperlink r:id="rId10" w:history="1">
        <w:r>
          <w:rPr>
            <w:rStyle w:val="Hyperlink"/>
          </w:rPr>
          <w:t>https://www.dfat.gov.au/publications/aid/guidance-note-engaging-private-sector</w:t>
        </w:r>
      </w:hyperlink>
    </w:p>
  </w:footnote>
  <w:footnote w:id="34">
    <w:p w14:paraId="6E557E77" w14:textId="77777777" w:rsidR="00A90358" w:rsidRDefault="00A90358" w:rsidP="00A90358">
      <w:pPr>
        <w:pStyle w:val="FootnoteText"/>
      </w:pPr>
      <w:r>
        <w:rPr>
          <w:rStyle w:val="FootnoteReference"/>
        </w:rPr>
        <w:footnoteRef/>
      </w:r>
      <w:r>
        <w:t xml:space="preserve"> Ibid, p. 7.</w:t>
      </w:r>
    </w:p>
  </w:footnote>
  <w:footnote w:id="35">
    <w:p w14:paraId="60E1943D" w14:textId="77777777" w:rsidR="00A90358" w:rsidRPr="00D47925" w:rsidRDefault="00A90358" w:rsidP="00A90358">
      <w:pPr>
        <w:pStyle w:val="FootnoteText"/>
        <w:rPr>
          <w:vertAlign w:val="superscript"/>
        </w:rPr>
      </w:pPr>
      <w:r>
        <w:rPr>
          <w:rStyle w:val="FootnoteReference"/>
        </w:rPr>
        <w:footnoteRef/>
      </w:r>
      <w:r>
        <w:t xml:space="preserve"> </w:t>
      </w:r>
      <w:hyperlink r:id="rId11" w:history="1">
        <w:r>
          <w:rPr>
            <w:rStyle w:val="Hyperlink"/>
          </w:rPr>
          <w:t>https://beamexchange.org/resources/1406/</w:t>
        </w:r>
      </w:hyperlink>
      <w:r>
        <w:t xml:space="preserve"> (Annex E, p. 59).</w:t>
      </w:r>
    </w:p>
  </w:footnote>
  <w:footnote w:id="36">
    <w:p w14:paraId="7DE19C32" w14:textId="61F05BEC" w:rsidR="00F746D4" w:rsidRDefault="00F746D4">
      <w:pPr>
        <w:pStyle w:val="FootnoteText"/>
      </w:pPr>
      <w:r>
        <w:rPr>
          <w:rStyle w:val="FootnoteReference"/>
        </w:rPr>
        <w:footnoteRef/>
      </w:r>
      <w:r>
        <w:t xml:space="preserve"> Source: </w:t>
      </w:r>
      <w:r w:rsidR="00C67280">
        <w:t xml:space="preserve">Data supplied by Strongim Bisnis, </w:t>
      </w:r>
      <w:r w:rsidR="00274F79">
        <w:t>8 March 2023.</w:t>
      </w:r>
      <w:r>
        <w:t>.</w:t>
      </w:r>
    </w:p>
  </w:footnote>
  <w:footnote w:id="37">
    <w:p w14:paraId="5B018489" w14:textId="0512D78E" w:rsidR="003B5DC1" w:rsidRDefault="003B5DC1" w:rsidP="00A831E5">
      <w:r>
        <w:rPr>
          <w:rStyle w:val="FootnoteReference"/>
        </w:rPr>
        <w:footnoteRef/>
      </w:r>
      <w:r>
        <w:t xml:space="preserve"> </w:t>
      </w:r>
      <w:hyperlink r:id="rId12" w:history="1">
        <w:r>
          <w:rPr>
            <w:rStyle w:val="Hyperlink"/>
          </w:rPr>
          <w:t>https://www.dfat.gov.au/publications/aid/guidance-note-engaging-private-sector</w:t>
        </w:r>
      </w:hyperlink>
      <w:r w:rsidR="00CF14F1">
        <w:t>.</w:t>
      </w:r>
    </w:p>
  </w:footnote>
  <w:footnote w:id="38">
    <w:p w14:paraId="71935398" w14:textId="77777777" w:rsidR="00DF31B9" w:rsidRDefault="00DF31B9" w:rsidP="00DF31B9">
      <w:pPr>
        <w:pStyle w:val="FootnoteText"/>
      </w:pPr>
      <w:r>
        <w:rPr>
          <w:rStyle w:val="FootnoteReference"/>
        </w:rPr>
        <w:footnoteRef/>
      </w:r>
      <w:r>
        <w:t xml:space="preserve"> </w:t>
      </w:r>
      <w:hyperlink r:id="rId13" w:history="1">
        <w:r>
          <w:rPr>
            <w:rStyle w:val="Hyperlink"/>
          </w:rPr>
          <w:t>https://www.dfat.gov.au/sites/default/files/private-sector-engagement-in-australias-aid-program-operational-framework.pdf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PIck Background"/>
      <w:tag w:val="PIck Background"/>
      <w:id w:val="-691995685"/>
      <w15:color w:val="99CC00"/>
      <w:docPartList>
        <w:docPartGallery w:val="Custom 5"/>
        <w:docPartCategory w:val="Background"/>
      </w:docPartList>
    </w:sdtPr>
    <w:sdtEndPr/>
    <w:sdtContent>
      <w:p w14:paraId="6E8A4D07" w14:textId="77777777" w:rsidR="00A5739C" w:rsidRDefault="00441A8E" w:rsidP="00EE1892">
        <w:pPr>
          <w:pStyle w:val="Header"/>
          <w:jc w:val="right"/>
        </w:pPr>
        <w:r>
          <w:rPr>
            <w:noProof/>
          </w:rPr>
          <mc:AlternateContent>
            <mc:Choice Requires="wps">
              <w:drawing>
                <wp:anchor distT="0" distB="0" distL="114300" distR="114300" simplePos="0" relativeHeight="251658242" behindDoc="1" locked="0" layoutInCell="1" allowOverlap="1" wp14:anchorId="547A7C92" wp14:editId="0CDF692B">
                  <wp:simplePos x="0" y="0"/>
                  <wp:positionH relativeFrom="page">
                    <wp:posOffset>-138223</wp:posOffset>
                  </wp:positionH>
                  <wp:positionV relativeFrom="paragraph">
                    <wp:posOffset>-593547</wp:posOffset>
                  </wp:positionV>
                  <wp:extent cx="7772400" cy="10876738"/>
                  <wp:effectExtent l="0" t="0" r="0"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631D7" id="Rectangle 11" o:spid="_x0000_s1026" alt="&quot;&quot;" style="position:absolute;margin-left:-10.9pt;margin-top:-46.75pt;width:612pt;height:856.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By&#10;XdrZ4AAAAA0BAAAPAAAAZHJzL2Rvd25yZXYueG1sTI/BTsMwEETvSPyDtUjcWicGIhLiVBWCAxck&#10;Cqo4OvEmsYjXke224e9xT/Q2qxnNvK03i53YEX0wjiTk6wwYUue0oUHC1+fr6hFYiIq0mhyhhF8M&#10;sGmur2pVaXeiDzzu4sBSCYVKSRhjnCvOQzeiVWHtZqTk9c5bFdPpB669OqVyO3GRZQW3ylBaGNWM&#10;zyN2P7uDlUD9W1Ea894Hv93b/Yvov9uBS3l7s2yfgEVc4n8YzvgJHZrE1LoD6cAmCSuRJ/SYRHn3&#10;AOycEJkQwNqkiry8B97U/PKL5g8AAP//AwBQSwECLQAUAAYACAAAACEAtoM4kv4AAADhAQAAEwAA&#10;AAAAAAAAAAAAAAAAAAAAW0NvbnRlbnRfVHlwZXNdLnhtbFBLAQItABQABgAIAAAAIQA4/SH/1gAA&#10;AJQBAAALAAAAAAAAAAAAAAAAAC8BAABfcmVscy8ucmVsc1BLAQItABQABgAIAAAAIQCu6eu2fQIA&#10;AGAFAAAOAAAAAAAAAAAAAAAAAC4CAABkcnMvZTJvRG9jLnhtbFBLAQItABQABgAIAAAAIQByXdrZ&#10;4AAAAA0BAAAPAAAAAAAAAAAAAAAAANcEAABkcnMvZG93bnJldi54bWxQSwUGAAAAAAQABADzAAAA&#10;5AUAAAAA&#10;" fillcolor="#1d336d [3214]" stroked="f" strokeweight="2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1CED" w14:textId="77777777" w:rsidR="00A5739C" w:rsidRDefault="00A5739C">
    <w:pPr>
      <w:pStyle w:val="Header"/>
    </w:pPr>
    <w:r>
      <w:rPr>
        <w:noProof/>
      </w:rPr>
      <w:drawing>
        <wp:anchor distT="0" distB="0" distL="114300" distR="114300" simplePos="0" relativeHeight="251658240" behindDoc="1" locked="0" layoutInCell="1" allowOverlap="1" wp14:anchorId="1072113E" wp14:editId="2C04DFAA">
          <wp:simplePos x="0" y="0"/>
          <wp:positionH relativeFrom="page">
            <wp:posOffset>-626534</wp:posOffset>
          </wp:positionH>
          <wp:positionV relativeFrom="paragraph">
            <wp:posOffset>-540385</wp:posOffset>
          </wp:positionV>
          <wp:extent cx="9031111" cy="6773333"/>
          <wp:effectExtent l="0" t="0" r="0" b="889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9031111" cy="677333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13452" w14:textId="77777777" w:rsidR="00E33AEB" w:rsidRPr="009D07D2" w:rsidRDefault="00E33AEB" w:rsidP="009D07D2">
    <w:pPr>
      <w:pStyle w:val="Header"/>
      <w:jc w:val="right"/>
    </w:pPr>
    <w:r w:rsidRPr="008253D4">
      <w:rPr>
        <w:noProof/>
      </w:rPr>
      <w:drawing>
        <wp:inline distT="0" distB="0" distL="0" distR="0" wp14:anchorId="450614DC" wp14:editId="42BA7EE9">
          <wp:extent cx="946285" cy="343028"/>
          <wp:effectExtent l="0" t="0" r="6350" b="0"/>
          <wp:docPr id="18" name="Picture 18" descr="Ali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linea logo"/>
                  <pic:cNvPicPr/>
                </pic:nvPicPr>
                <pic:blipFill>
                  <a:blip r:embed="rId1"/>
                  <a:stretch>
                    <a:fillRect/>
                  </a:stretch>
                </pic:blipFill>
                <pic:spPr>
                  <a:xfrm>
                    <a:off x="0" y="0"/>
                    <a:ext cx="946285" cy="343028"/>
                  </a:xfrm>
                  <a:prstGeom prst="rect">
                    <a:avLst/>
                  </a:prstGeom>
                </pic:spPr>
              </pic:pic>
            </a:graphicData>
          </a:graphic>
        </wp:inline>
      </w:drawing>
    </w:r>
  </w:p>
  <w:p w14:paraId="6F711902" w14:textId="29E65628" w:rsidR="00A5739C" w:rsidRPr="008253D4" w:rsidRDefault="00F1052E" w:rsidP="00F1052E">
    <w:pPr>
      <w:pStyle w:val="Header"/>
      <w:tabs>
        <w:tab w:val="left" w:pos="6075"/>
      </w:tabs>
      <w:rPr>
        <w:noProof/>
      </w:rPr>
    </w:pPr>
    <w:r>
      <w:rPr>
        <w:noProof/>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35D5" w14:textId="77777777" w:rsidR="00A5739C" w:rsidRPr="009D07D2" w:rsidRDefault="00E33AEB" w:rsidP="009D07D2">
    <w:pPr>
      <w:pStyle w:val="Header"/>
      <w:jc w:val="right"/>
    </w:pPr>
    <w:r w:rsidRPr="008253D4">
      <w:rPr>
        <w:noProof/>
      </w:rPr>
      <w:drawing>
        <wp:inline distT="0" distB="0" distL="0" distR="0" wp14:anchorId="64F98D82" wp14:editId="108172C5">
          <wp:extent cx="946285" cy="343028"/>
          <wp:effectExtent l="0" t="0" r="6350" b="0"/>
          <wp:docPr id="22" name="Picture 22" descr="Ali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linea logo"/>
                  <pic:cNvPicPr/>
                </pic:nvPicPr>
                <pic:blipFill>
                  <a:blip r:embed="rId1"/>
                  <a:stretch>
                    <a:fillRect/>
                  </a:stretch>
                </pic:blipFill>
                <pic:spPr>
                  <a:xfrm>
                    <a:off x="0" y="0"/>
                    <a:ext cx="946285" cy="3430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13E"/>
    <w:multiLevelType w:val="multilevel"/>
    <w:tmpl w:val="06BA5B5E"/>
    <w:lvl w:ilvl="0">
      <w:start w:val="1"/>
      <w:numFmt w:val="decimal"/>
      <w:lvlText w:val="%1)"/>
      <w:lvlJc w:val="left"/>
      <w:pPr>
        <w:ind w:left="360" w:hanging="360"/>
      </w:p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474E65"/>
    <w:multiLevelType w:val="multilevel"/>
    <w:tmpl w:val="1B2E107C"/>
    <w:styleLink w:val="Headings"/>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 w15:restartNumberingAfterBreak="0">
    <w:nsid w:val="048D3742"/>
    <w:multiLevelType w:val="hybridMultilevel"/>
    <w:tmpl w:val="9B161F42"/>
    <w:lvl w:ilvl="0" w:tplc="0C09000F">
      <w:start w:val="1"/>
      <w:numFmt w:val="decimal"/>
      <w:lvlText w:val="%1."/>
      <w:lvlJc w:val="left"/>
      <w:pPr>
        <w:ind w:left="360" w:hanging="360"/>
      </w:pPr>
      <w:rPr>
        <w:rFonts w:hint="default"/>
        <w:color w:val="63D0DF"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215962"/>
    <w:multiLevelType w:val="hybridMultilevel"/>
    <w:tmpl w:val="A6662DFA"/>
    <w:lvl w:ilvl="0" w:tplc="1EE6E382">
      <w:start w:val="1"/>
      <w:numFmt w:val="bullet"/>
      <w:lvlText w:val="•"/>
      <w:lvlJc w:val="left"/>
      <w:pPr>
        <w:tabs>
          <w:tab w:val="num" w:pos="720"/>
        </w:tabs>
        <w:ind w:left="720" w:hanging="360"/>
      </w:pPr>
      <w:rPr>
        <w:rFonts w:ascii="Arial" w:hAnsi="Arial" w:hint="default"/>
      </w:rPr>
    </w:lvl>
    <w:lvl w:ilvl="1" w:tplc="A98CFA4A">
      <w:start w:val="1"/>
      <w:numFmt w:val="bullet"/>
      <w:lvlText w:val="•"/>
      <w:lvlJc w:val="left"/>
      <w:pPr>
        <w:tabs>
          <w:tab w:val="num" w:pos="1440"/>
        </w:tabs>
        <w:ind w:left="1440" w:hanging="360"/>
      </w:pPr>
      <w:rPr>
        <w:rFonts w:ascii="Arial" w:hAnsi="Arial" w:hint="default"/>
      </w:rPr>
    </w:lvl>
    <w:lvl w:ilvl="2" w:tplc="6D26D706" w:tentative="1">
      <w:start w:val="1"/>
      <w:numFmt w:val="bullet"/>
      <w:lvlText w:val="•"/>
      <w:lvlJc w:val="left"/>
      <w:pPr>
        <w:tabs>
          <w:tab w:val="num" w:pos="2160"/>
        </w:tabs>
        <w:ind w:left="2160" w:hanging="360"/>
      </w:pPr>
      <w:rPr>
        <w:rFonts w:ascii="Arial" w:hAnsi="Arial" w:hint="default"/>
      </w:rPr>
    </w:lvl>
    <w:lvl w:ilvl="3" w:tplc="94B8CF44" w:tentative="1">
      <w:start w:val="1"/>
      <w:numFmt w:val="bullet"/>
      <w:lvlText w:val="•"/>
      <w:lvlJc w:val="left"/>
      <w:pPr>
        <w:tabs>
          <w:tab w:val="num" w:pos="2880"/>
        </w:tabs>
        <w:ind w:left="2880" w:hanging="360"/>
      </w:pPr>
      <w:rPr>
        <w:rFonts w:ascii="Arial" w:hAnsi="Arial" w:hint="default"/>
      </w:rPr>
    </w:lvl>
    <w:lvl w:ilvl="4" w:tplc="DA6E6550" w:tentative="1">
      <w:start w:val="1"/>
      <w:numFmt w:val="bullet"/>
      <w:lvlText w:val="•"/>
      <w:lvlJc w:val="left"/>
      <w:pPr>
        <w:tabs>
          <w:tab w:val="num" w:pos="3600"/>
        </w:tabs>
        <w:ind w:left="3600" w:hanging="360"/>
      </w:pPr>
      <w:rPr>
        <w:rFonts w:ascii="Arial" w:hAnsi="Arial" w:hint="default"/>
      </w:rPr>
    </w:lvl>
    <w:lvl w:ilvl="5" w:tplc="02A0021E" w:tentative="1">
      <w:start w:val="1"/>
      <w:numFmt w:val="bullet"/>
      <w:lvlText w:val="•"/>
      <w:lvlJc w:val="left"/>
      <w:pPr>
        <w:tabs>
          <w:tab w:val="num" w:pos="4320"/>
        </w:tabs>
        <w:ind w:left="4320" w:hanging="360"/>
      </w:pPr>
      <w:rPr>
        <w:rFonts w:ascii="Arial" w:hAnsi="Arial" w:hint="default"/>
      </w:rPr>
    </w:lvl>
    <w:lvl w:ilvl="6" w:tplc="7C0409B0" w:tentative="1">
      <w:start w:val="1"/>
      <w:numFmt w:val="bullet"/>
      <w:lvlText w:val="•"/>
      <w:lvlJc w:val="left"/>
      <w:pPr>
        <w:tabs>
          <w:tab w:val="num" w:pos="5040"/>
        </w:tabs>
        <w:ind w:left="5040" w:hanging="360"/>
      </w:pPr>
      <w:rPr>
        <w:rFonts w:ascii="Arial" w:hAnsi="Arial" w:hint="default"/>
      </w:rPr>
    </w:lvl>
    <w:lvl w:ilvl="7" w:tplc="09F8EA6E" w:tentative="1">
      <w:start w:val="1"/>
      <w:numFmt w:val="bullet"/>
      <w:lvlText w:val="•"/>
      <w:lvlJc w:val="left"/>
      <w:pPr>
        <w:tabs>
          <w:tab w:val="num" w:pos="5760"/>
        </w:tabs>
        <w:ind w:left="5760" w:hanging="360"/>
      </w:pPr>
      <w:rPr>
        <w:rFonts w:ascii="Arial" w:hAnsi="Arial" w:hint="default"/>
      </w:rPr>
    </w:lvl>
    <w:lvl w:ilvl="8" w:tplc="0A7C78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B346E4"/>
    <w:multiLevelType w:val="multilevel"/>
    <w:tmpl w:val="0C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3C1B07"/>
    <w:multiLevelType w:val="hybridMultilevel"/>
    <w:tmpl w:val="04AC8A00"/>
    <w:lvl w:ilvl="0" w:tplc="A0EAC22C">
      <w:start w:val="1"/>
      <w:numFmt w:val="bullet"/>
      <w:lvlText w:val="•"/>
      <w:lvlJc w:val="left"/>
      <w:pPr>
        <w:tabs>
          <w:tab w:val="num" w:pos="720"/>
        </w:tabs>
        <w:ind w:left="720" w:hanging="360"/>
      </w:pPr>
      <w:rPr>
        <w:rFonts w:ascii="Arial" w:hAnsi="Arial" w:hint="default"/>
      </w:rPr>
    </w:lvl>
    <w:lvl w:ilvl="1" w:tplc="B1C8DE3C" w:tentative="1">
      <w:start w:val="1"/>
      <w:numFmt w:val="bullet"/>
      <w:lvlText w:val="•"/>
      <w:lvlJc w:val="left"/>
      <w:pPr>
        <w:tabs>
          <w:tab w:val="num" w:pos="1440"/>
        </w:tabs>
        <w:ind w:left="1440" w:hanging="360"/>
      </w:pPr>
      <w:rPr>
        <w:rFonts w:ascii="Arial" w:hAnsi="Arial" w:hint="default"/>
      </w:rPr>
    </w:lvl>
    <w:lvl w:ilvl="2" w:tplc="3C3C5E3C" w:tentative="1">
      <w:start w:val="1"/>
      <w:numFmt w:val="bullet"/>
      <w:lvlText w:val="•"/>
      <w:lvlJc w:val="left"/>
      <w:pPr>
        <w:tabs>
          <w:tab w:val="num" w:pos="2160"/>
        </w:tabs>
        <w:ind w:left="2160" w:hanging="360"/>
      </w:pPr>
      <w:rPr>
        <w:rFonts w:ascii="Arial" w:hAnsi="Arial" w:hint="default"/>
      </w:rPr>
    </w:lvl>
    <w:lvl w:ilvl="3" w:tplc="A7A025B4" w:tentative="1">
      <w:start w:val="1"/>
      <w:numFmt w:val="bullet"/>
      <w:lvlText w:val="•"/>
      <w:lvlJc w:val="left"/>
      <w:pPr>
        <w:tabs>
          <w:tab w:val="num" w:pos="2880"/>
        </w:tabs>
        <w:ind w:left="2880" w:hanging="360"/>
      </w:pPr>
      <w:rPr>
        <w:rFonts w:ascii="Arial" w:hAnsi="Arial" w:hint="default"/>
      </w:rPr>
    </w:lvl>
    <w:lvl w:ilvl="4" w:tplc="F790D16A" w:tentative="1">
      <w:start w:val="1"/>
      <w:numFmt w:val="bullet"/>
      <w:lvlText w:val="•"/>
      <w:lvlJc w:val="left"/>
      <w:pPr>
        <w:tabs>
          <w:tab w:val="num" w:pos="3600"/>
        </w:tabs>
        <w:ind w:left="3600" w:hanging="360"/>
      </w:pPr>
      <w:rPr>
        <w:rFonts w:ascii="Arial" w:hAnsi="Arial" w:hint="default"/>
      </w:rPr>
    </w:lvl>
    <w:lvl w:ilvl="5" w:tplc="7D4EBDC0" w:tentative="1">
      <w:start w:val="1"/>
      <w:numFmt w:val="bullet"/>
      <w:lvlText w:val="•"/>
      <w:lvlJc w:val="left"/>
      <w:pPr>
        <w:tabs>
          <w:tab w:val="num" w:pos="4320"/>
        </w:tabs>
        <w:ind w:left="4320" w:hanging="360"/>
      </w:pPr>
      <w:rPr>
        <w:rFonts w:ascii="Arial" w:hAnsi="Arial" w:hint="default"/>
      </w:rPr>
    </w:lvl>
    <w:lvl w:ilvl="6" w:tplc="23F85670" w:tentative="1">
      <w:start w:val="1"/>
      <w:numFmt w:val="bullet"/>
      <w:lvlText w:val="•"/>
      <w:lvlJc w:val="left"/>
      <w:pPr>
        <w:tabs>
          <w:tab w:val="num" w:pos="5040"/>
        </w:tabs>
        <w:ind w:left="5040" w:hanging="360"/>
      </w:pPr>
      <w:rPr>
        <w:rFonts w:ascii="Arial" w:hAnsi="Arial" w:hint="default"/>
      </w:rPr>
    </w:lvl>
    <w:lvl w:ilvl="7" w:tplc="77E2AD48" w:tentative="1">
      <w:start w:val="1"/>
      <w:numFmt w:val="bullet"/>
      <w:lvlText w:val="•"/>
      <w:lvlJc w:val="left"/>
      <w:pPr>
        <w:tabs>
          <w:tab w:val="num" w:pos="5760"/>
        </w:tabs>
        <w:ind w:left="5760" w:hanging="360"/>
      </w:pPr>
      <w:rPr>
        <w:rFonts w:ascii="Arial" w:hAnsi="Arial" w:hint="default"/>
      </w:rPr>
    </w:lvl>
    <w:lvl w:ilvl="8" w:tplc="2B2E03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E4809C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6D3C69"/>
    <w:multiLevelType w:val="hybridMultilevel"/>
    <w:tmpl w:val="9F0ADAF6"/>
    <w:lvl w:ilvl="0" w:tplc="BB2AEF04">
      <w:start w:val="1"/>
      <w:numFmt w:val="bullet"/>
      <w:lvlText w:val="•"/>
      <w:lvlJc w:val="left"/>
      <w:pPr>
        <w:tabs>
          <w:tab w:val="num" w:pos="720"/>
        </w:tabs>
        <w:ind w:left="720" w:hanging="360"/>
      </w:pPr>
      <w:rPr>
        <w:rFonts w:ascii="Arial" w:hAnsi="Arial" w:hint="default"/>
      </w:rPr>
    </w:lvl>
    <w:lvl w:ilvl="1" w:tplc="0D888016" w:tentative="1">
      <w:start w:val="1"/>
      <w:numFmt w:val="bullet"/>
      <w:lvlText w:val="•"/>
      <w:lvlJc w:val="left"/>
      <w:pPr>
        <w:tabs>
          <w:tab w:val="num" w:pos="1440"/>
        </w:tabs>
        <w:ind w:left="1440" w:hanging="360"/>
      </w:pPr>
      <w:rPr>
        <w:rFonts w:ascii="Arial" w:hAnsi="Arial" w:hint="default"/>
      </w:rPr>
    </w:lvl>
    <w:lvl w:ilvl="2" w:tplc="6AB4FA38" w:tentative="1">
      <w:start w:val="1"/>
      <w:numFmt w:val="bullet"/>
      <w:lvlText w:val="•"/>
      <w:lvlJc w:val="left"/>
      <w:pPr>
        <w:tabs>
          <w:tab w:val="num" w:pos="2160"/>
        </w:tabs>
        <w:ind w:left="2160" w:hanging="360"/>
      </w:pPr>
      <w:rPr>
        <w:rFonts w:ascii="Arial" w:hAnsi="Arial" w:hint="default"/>
      </w:rPr>
    </w:lvl>
    <w:lvl w:ilvl="3" w:tplc="E1645E06" w:tentative="1">
      <w:start w:val="1"/>
      <w:numFmt w:val="bullet"/>
      <w:lvlText w:val="•"/>
      <w:lvlJc w:val="left"/>
      <w:pPr>
        <w:tabs>
          <w:tab w:val="num" w:pos="2880"/>
        </w:tabs>
        <w:ind w:left="2880" w:hanging="360"/>
      </w:pPr>
      <w:rPr>
        <w:rFonts w:ascii="Arial" w:hAnsi="Arial" w:hint="default"/>
      </w:rPr>
    </w:lvl>
    <w:lvl w:ilvl="4" w:tplc="94D410EE" w:tentative="1">
      <w:start w:val="1"/>
      <w:numFmt w:val="bullet"/>
      <w:lvlText w:val="•"/>
      <w:lvlJc w:val="left"/>
      <w:pPr>
        <w:tabs>
          <w:tab w:val="num" w:pos="3600"/>
        </w:tabs>
        <w:ind w:left="3600" w:hanging="360"/>
      </w:pPr>
      <w:rPr>
        <w:rFonts w:ascii="Arial" w:hAnsi="Arial" w:hint="default"/>
      </w:rPr>
    </w:lvl>
    <w:lvl w:ilvl="5" w:tplc="F60EFDDA" w:tentative="1">
      <w:start w:val="1"/>
      <w:numFmt w:val="bullet"/>
      <w:lvlText w:val="•"/>
      <w:lvlJc w:val="left"/>
      <w:pPr>
        <w:tabs>
          <w:tab w:val="num" w:pos="4320"/>
        </w:tabs>
        <w:ind w:left="4320" w:hanging="360"/>
      </w:pPr>
      <w:rPr>
        <w:rFonts w:ascii="Arial" w:hAnsi="Arial" w:hint="default"/>
      </w:rPr>
    </w:lvl>
    <w:lvl w:ilvl="6" w:tplc="55E823EC" w:tentative="1">
      <w:start w:val="1"/>
      <w:numFmt w:val="bullet"/>
      <w:lvlText w:val="•"/>
      <w:lvlJc w:val="left"/>
      <w:pPr>
        <w:tabs>
          <w:tab w:val="num" w:pos="5040"/>
        </w:tabs>
        <w:ind w:left="5040" w:hanging="360"/>
      </w:pPr>
      <w:rPr>
        <w:rFonts w:ascii="Arial" w:hAnsi="Arial" w:hint="default"/>
      </w:rPr>
    </w:lvl>
    <w:lvl w:ilvl="7" w:tplc="93548932" w:tentative="1">
      <w:start w:val="1"/>
      <w:numFmt w:val="bullet"/>
      <w:lvlText w:val="•"/>
      <w:lvlJc w:val="left"/>
      <w:pPr>
        <w:tabs>
          <w:tab w:val="num" w:pos="5760"/>
        </w:tabs>
        <w:ind w:left="5760" w:hanging="360"/>
      </w:pPr>
      <w:rPr>
        <w:rFonts w:ascii="Arial" w:hAnsi="Arial" w:hint="default"/>
      </w:rPr>
    </w:lvl>
    <w:lvl w:ilvl="8" w:tplc="B6CC53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7A17FE"/>
    <w:multiLevelType w:val="multilevel"/>
    <w:tmpl w:val="09685C38"/>
    <w:numStyleLink w:val="MasterHeadings"/>
  </w:abstractNum>
  <w:abstractNum w:abstractNumId="11" w15:restartNumberingAfterBreak="0">
    <w:nsid w:val="13014D2B"/>
    <w:multiLevelType w:val="multilevel"/>
    <w:tmpl w:val="D3B8E568"/>
    <w:numStyleLink w:val="Bullets"/>
  </w:abstractNum>
  <w:abstractNum w:abstractNumId="12" w15:restartNumberingAfterBreak="0">
    <w:nsid w:val="14954B70"/>
    <w:multiLevelType w:val="multilevel"/>
    <w:tmpl w:val="30AED514"/>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2E6283"/>
    <w:multiLevelType w:val="hybridMultilevel"/>
    <w:tmpl w:val="0530561E"/>
    <w:lvl w:ilvl="0" w:tplc="56961EE0">
      <w:start w:val="1"/>
      <w:numFmt w:val="bullet"/>
      <w:lvlText w:val=""/>
      <w:lvlJc w:val="left"/>
      <w:pPr>
        <w:ind w:left="720" w:hanging="360"/>
      </w:pPr>
      <w:rPr>
        <w:rFonts w:ascii="Symbol" w:hAnsi="Symbol"/>
      </w:rPr>
    </w:lvl>
    <w:lvl w:ilvl="1" w:tplc="C8A63930">
      <w:start w:val="1"/>
      <w:numFmt w:val="bullet"/>
      <w:lvlText w:val=""/>
      <w:lvlJc w:val="left"/>
      <w:pPr>
        <w:ind w:left="720" w:hanging="360"/>
      </w:pPr>
      <w:rPr>
        <w:rFonts w:ascii="Symbol" w:hAnsi="Symbol"/>
      </w:rPr>
    </w:lvl>
    <w:lvl w:ilvl="2" w:tplc="5352D7D6">
      <w:start w:val="1"/>
      <w:numFmt w:val="bullet"/>
      <w:lvlText w:val=""/>
      <w:lvlJc w:val="left"/>
      <w:pPr>
        <w:ind w:left="720" w:hanging="360"/>
      </w:pPr>
      <w:rPr>
        <w:rFonts w:ascii="Symbol" w:hAnsi="Symbol"/>
      </w:rPr>
    </w:lvl>
    <w:lvl w:ilvl="3" w:tplc="D2A81F32">
      <w:start w:val="1"/>
      <w:numFmt w:val="bullet"/>
      <w:lvlText w:val=""/>
      <w:lvlJc w:val="left"/>
      <w:pPr>
        <w:ind w:left="720" w:hanging="360"/>
      </w:pPr>
      <w:rPr>
        <w:rFonts w:ascii="Symbol" w:hAnsi="Symbol"/>
      </w:rPr>
    </w:lvl>
    <w:lvl w:ilvl="4" w:tplc="42368C66">
      <w:start w:val="1"/>
      <w:numFmt w:val="bullet"/>
      <w:lvlText w:val=""/>
      <w:lvlJc w:val="left"/>
      <w:pPr>
        <w:ind w:left="720" w:hanging="360"/>
      </w:pPr>
      <w:rPr>
        <w:rFonts w:ascii="Symbol" w:hAnsi="Symbol"/>
      </w:rPr>
    </w:lvl>
    <w:lvl w:ilvl="5" w:tplc="925EC156">
      <w:start w:val="1"/>
      <w:numFmt w:val="bullet"/>
      <w:lvlText w:val=""/>
      <w:lvlJc w:val="left"/>
      <w:pPr>
        <w:ind w:left="720" w:hanging="360"/>
      </w:pPr>
      <w:rPr>
        <w:rFonts w:ascii="Symbol" w:hAnsi="Symbol"/>
      </w:rPr>
    </w:lvl>
    <w:lvl w:ilvl="6" w:tplc="A71C551E">
      <w:start w:val="1"/>
      <w:numFmt w:val="bullet"/>
      <w:lvlText w:val=""/>
      <w:lvlJc w:val="left"/>
      <w:pPr>
        <w:ind w:left="720" w:hanging="360"/>
      </w:pPr>
      <w:rPr>
        <w:rFonts w:ascii="Symbol" w:hAnsi="Symbol"/>
      </w:rPr>
    </w:lvl>
    <w:lvl w:ilvl="7" w:tplc="CEC86FEC">
      <w:start w:val="1"/>
      <w:numFmt w:val="bullet"/>
      <w:lvlText w:val=""/>
      <w:lvlJc w:val="left"/>
      <w:pPr>
        <w:ind w:left="720" w:hanging="360"/>
      </w:pPr>
      <w:rPr>
        <w:rFonts w:ascii="Symbol" w:hAnsi="Symbol"/>
      </w:rPr>
    </w:lvl>
    <w:lvl w:ilvl="8" w:tplc="36DC0C12">
      <w:start w:val="1"/>
      <w:numFmt w:val="bullet"/>
      <w:lvlText w:val=""/>
      <w:lvlJc w:val="left"/>
      <w:pPr>
        <w:ind w:left="720" w:hanging="360"/>
      </w:pPr>
      <w:rPr>
        <w:rFonts w:ascii="Symbol" w:hAnsi="Symbol"/>
      </w:rPr>
    </w:lvl>
  </w:abstractNum>
  <w:abstractNum w:abstractNumId="14" w15:restartNumberingAfterBreak="0">
    <w:nsid w:val="1A6F525E"/>
    <w:multiLevelType w:val="hybridMultilevel"/>
    <w:tmpl w:val="6E7C1344"/>
    <w:lvl w:ilvl="0" w:tplc="605629FE">
      <w:start w:val="1"/>
      <w:numFmt w:val="bullet"/>
      <w:lvlText w:val="•"/>
      <w:lvlJc w:val="left"/>
      <w:pPr>
        <w:tabs>
          <w:tab w:val="num" w:pos="720"/>
        </w:tabs>
        <w:ind w:left="720" w:hanging="360"/>
      </w:pPr>
      <w:rPr>
        <w:rFonts w:ascii="Arial" w:hAnsi="Arial" w:hint="default"/>
      </w:rPr>
    </w:lvl>
    <w:lvl w:ilvl="1" w:tplc="74D483D0" w:tentative="1">
      <w:start w:val="1"/>
      <w:numFmt w:val="bullet"/>
      <w:lvlText w:val="•"/>
      <w:lvlJc w:val="left"/>
      <w:pPr>
        <w:tabs>
          <w:tab w:val="num" w:pos="1440"/>
        </w:tabs>
        <w:ind w:left="1440" w:hanging="360"/>
      </w:pPr>
      <w:rPr>
        <w:rFonts w:ascii="Arial" w:hAnsi="Arial" w:hint="default"/>
      </w:rPr>
    </w:lvl>
    <w:lvl w:ilvl="2" w:tplc="353EFCCC" w:tentative="1">
      <w:start w:val="1"/>
      <w:numFmt w:val="bullet"/>
      <w:lvlText w:val="•"/>
      <w:lvlJc w:val="left"/>
      <w:pPr>
        <w:tabs>
          <w:tab w:val="num" w:pos="2160"/>
        </w:tabs>
        <w:ind w:left="2160" w:hanging="360"/>
      </w:pPr>
      <w:rPr>
        <w:rFonts w:ascii="Arial" w:hAnsi="Arial" w:hint="default"/>
      </w:rPr>
    </w:lvl>
    <w:lvl w:ilvl="3" w:tplc="E70A0058" w:tentative="1">
      <w:start w:val="1"/>
      <w:numFmt w:val="bullet"/>
      <w:lvlText w:val="•"/>
      <w:lvlJc w:val="left"/>
      <w:pPr>
        <w:tabs>
          <w:tab w:val="num" w:pos="2880"/>
        </w:tabs>
        <w:ind w:left="2880" w:hanging="360"/>
      </w:pPr>
      <w:rPr>
        <w:rFonts w:ascii="Arial" w:hAnsi="Arial" w:hint="default"/>
      </w:rPr>
    </w:lvl>
    <w:lvl w:ilvl="4" w:tplc="A7C27284" w:tentative="1">
      <w:start w:val="1"/>
      <w:numFmt w:val="bullet"/>
      <w:lvlText w:val="•"/>
      <w:lvlJc w:val="left"/>
      <w:pPr>
        <w:tabs>
          <w:tab w:val="num" w:pos="3600"/>
        </w:tabs>
        <w:ind w:left="3600" w:hanging="360"/>
      </w:pPr>
      <w:rPr>
        <w:rFonts w:ascii="Arial" w:hAnsi="Arial" w:hint="default"/>
      </w:rPr>
    </w:lvl>
    <w:lvl w:ilvl="5" w:tplc="CEBE0C4E" w:tentative="1">
      <w:start w:val="1"/>
      <w:numFmt w:val="bullet"/>
      <w:lvlText w:val="•"/>
      <w:lvlJc w:val="left"/>
      <w:pPr>
        <w:tabs>
          <w:tab w:val="num" w:pos="4320"/>
        </w:tabs>
        <w:ind w:left="4320" w:hanging="360"/>
      </w:pPr>
      <w:rPr>
        <w:rFonts w:ascii="Arial" w:hAnsi="Arial" w:hint="default"/>
      </w:rPr>
    </w:lvl>
    <w:lvl w:ilvl="6" w:tplc="6FA8F550" w:tentative="1">
      <w:start w:val="1"/>
      <w:numFmt w:val="bullet"/>
      <w:lvlText w:val="•"/>
      <w:lvlJc w:val="left"/>
      <w:pPr>
        <w:tabs>
          <w:tab w:val="num" w:pos="5040"/>
        </w:tabs>
        <w:ind w:left="5040" w:hanging="360"/>
      </w:pPr>
      <w:rPr>
        <w:rFonts w:ascii="Arial" w:hAnsi="Arial" w:hint="default"/>
      </w:rPr>
    </w:lvl>
    <w:lvl w:ilvl="7" w:tplc="9E14E6A0" w:tentative="1">
      <w:start w:val="1"/>
      <w:numFmt w:val="bullet"/>
      <w:lvlText w:val="•"/>
      <w:lvlJc w:val="left"/>
      <w:pPr>
        <w:tabs>
          <w:tab w:val="num" w:pos="5760"/>
        </w:tabs>
        <w:ind w:left="5760" w:hanging="360"/>
      </w:pPr>
      <w:rPr>
        <w:rFonts w:ascii="Arial" w:hAnsi="Arial" w:hint="default"/>
      </w:rPr>
    </w:lvl>
    <w:lvl w:ilvl="8" w:tplc="3918C3F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A861CE"/>
    <w:multiLevelType w:val="multilevel"/>
    <w:tmpl w:val="070A78C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F22E69"/>
    <w:multiLevelType w:val="hybridMultilevel"/>
    <w:tmpl w:val="560C8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55601A"/>
    <w:multiLevelType w:val="multilevel"/>
    <w:tmpl w:val="7A12A6F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1F60936"/>
    <w:multiLevelType w:val="hybridMultilevel"/>
    <w:tmpl w:val="6D806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20"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21" w15:restartNumberingAfterBreak="0">
    <w:nsid w:val="26CC10E8"/>
    <w:multiLevelType w:val="hybridMultilevel"/>
    <w:tmpl w:val="8FF077A0"/>
    <w:lvl w:ilvl="0" w:tplc="9EACD9CA">
      <w:start w:val="1"/>
      <w:numFmt w:val="bullet"/>
      <w:lvlText w:val="•"/>
      <w:lvlJc w:val="left"/>
      <w:pPr>
        <w:tabs>
          <w:tab w:val="num" w:pos="720"/>
        </w:tabs>
        <w:ind w:left="720" w:hanging="360"/>
      </w:pPr>
      <w:rPr>
        <w:rFonts w:ascii="Arial" w:hAnsi="Arial" w:hint="default"/>
      </w:rPr>
    </w:lvl>
    <w:lvl w:ilvl="1" w:tplc="93C67806" w:tentative="1">
      <w:start w:val="1"/>
      <w:numFmt w:val="bullet"/>
      <w:lvlText w:val="•"/>
      <w:lvlJc w:val="left"/>
      <w:pPr>
        <w:tabs>
          <w:tab w:val="num" w:pos="1440"/>
        </w:tabs>
        <w:ind w:left="1440" w:hanging="360"/>
      </w:pPr>
      <w:rPr>
        <w:rFonts w:ascii="Arial" w:hAnsi="Arial" w:hint="default"/>
      </w:rPr>
    </w:lvl>
    <w:lvl w:ilvl="2" w:tplc="FBDA8E2E" w:tentative="1">
      <w:start w:val="1"/>
      <w:numFmt w:val="bullet"/>
      <w:lvlText w:val="•"/>
      <w:lvlJc w:val="left"/>
      <w:pPr>
        <w:tabs>
          <w:tab w:val="num" w:pos="2160"/>
        </w:tabs>
        <w:ind w:left="2160" w:hanging="360"/>
      </w:pPr>
      <w:rPr>
        <w:rFonts w:ascii="Arial" w:hAnsi="Arial" w:hint="default"/>
      </w:rPr>
    </w:lvl>
    <w:lvl w:ilvl="3" w:tplc="025CBE98" w:tentative="1">
      <w:start w:val="1"/>
      <w:numFmt w:val="bullet"/>
      <w:lvlText w:val="•"/>
      <w:lvlJc w:val="left"/>
      <w:pPr>
        <w:tabs>
          <w:tab w:val="num" w:pos="2880"/>
        </w:tabs>
        <w:ind w:left="2880" w:hanging="360"/>
      </w:pPr>
      <w:rPr>
        <w:rFonts w:ascii="Arial" w:hAnsi="Arial" w:hint="default"/>
      </w:rPr>
    </w:lvl>
    <w:lvl w:ilvl="4" w:tplc="67CA1132" w:tentative="1">
      <w:start w:val="1"/>
      <w:numFmt w:val="bullet"/>
      <w:lvlText w:val="•"/>
      <w:lvlJc w:val="left"/>
      <w:pPr>
        <w:tabs>
          <w:tab w:val="num" w:pos="3600"/>
        </w:tabs>
        <w:ind w:left="3600" w:hanging="360"/>
      </w:pPr>
      <w:rPr>
        <w:rFonts w:ascii="Arial" w:hAnsi="Arial" w:hint="default"/>
      </w:rPr>
    </w:lvl>
    <w:lvl w:ilvl="5" w:tplc="261453CC" w:tentative="1">
      <w:start w:val="1"/>
      <w:numFmt w:val="bullet"/>
      <w:lvlText w:val="•"/>
      <w:lvlJc w:val="left"/>
      <w:pPr>
        <w:tabs>
          <w:tab w:val="num" w:pos="4320"/>
        </w:tabs>
        <w:ind w:left="4320" w:hanging="360"/>
      </w:pPr>
      <w:rPr>
        <w:rFonts w:ascii="Arial" w:hAnsi="Arial" w:hint="default"/>
      </w:rPr>
    </w:lvl>
    <w:lvl w:ilvl="6" w:tplc="315286B8" w:tentative="1">
      <w:start w:val="1"/>
      <w:numFmt w:val="bullet"/>
      <w:lvlText w:val="•"/>
      <w:lvlJc w:val="left"/>
      <w:pPr>
        <w:tabs>
          <w:tab w:val="num" w:pos="5040"/>
        </w:tabs>
        <w:ind w:left="5040" w:hanging="360"/>
      </w:pPr>
      <w:rPr>
        <w:rFonts w:ascii="Arial" w:hAnsi="Arial" w:hint="default"/>
      </w:rPr>
    </w:lvl>
    <w:lvl w:ilvl="7" w:tplc="DBCA5944" w:tentative="1">
      <w:start w:val="1"/>
      <w:numFmt w:val="bullet"/>
      <w:lvlText w:val="•"/>
      <w:lvlJc w:val="left"/>
      <w:pPr>
        <w:tabs>
          <w:tab w:val="num" w:pos="5760"/>
        </w:tabs>
        <w:ind w:left="5760" w:hanging="360"/>
      </w:pPr>
      <w:rPr>
        <w:rFonts w:ascii="Arial" w:hAnsi="Arial" w:hint="default"/>
      </w:rPr>
    </w:lvl>
    <w:lvl w:ilvl="8" w:tplc="FA8EC3E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9072439"/>
    <w:multiLevelType w:val="hybridMultilevel"/>
    <w:tmpl w:val="A980016E"/>
    <w:lvl w:ilvl="0" w:tplc="47029BD4">
      <w:start w:val="1"/>
      <w:numFmt w:val="bullet"/>
      <w:lvlText w:val="•"/>
      <w:lvlJc w:val="left"/>
      <w:pPr>
        <w:tabs>
          <w:tab w:val="num" w:pos="720"/>
        </w:tabs>
        <w:ind w:left="720" w:hanging="360"/>
      </w:pPr>
      <w:rPr>
        <w:rFonts w:ascii="Arial" w:hAnsi="Arial" w:hint="default"/>
      </w:rPr>
    </w:lvl>
    <w:lvl w:ilvl="1" w:tplc="8416E0D6" w:tentative="1">
      <w:start w:val="1"/>
      <w:numFmt w:val="bullet"/>
      <w:lvlText w:val="•"/>
      <w:lvlJc w:val="left"/>
      <w:pPr>
        <w:tabs>
          <w:tab w:val="num" w:pos="1440"/>
        </w:tabs>
        <w:ind w:left="1440" w:hanging="360"/>
      </w:pPr>
      <w:rPr>
        <w:rFonts w:ascii="Arial" w:hAnsi="Arial" w:hint="default"/>
      </w:rPr>
    </w:lvl>
    <w:lvl w:ilvl="2" w:tplc="FF388A06" w:tentative="1">
      <w:start w:val="1"/>
      <w:numFmt w:val="bullet"/>
      <w:lvlText w:val="•"/>
      <w:lvlJc w:val="left"/>
      <w:pPr>
        <w:tabs>
          <w:tab w:val="num" w:pos="2160"/>
        </w:tabs>
        <w:ind w:left="2160" w:hanging="360"/>
      </w:pPr>
      <w:rPr>
        <w:rFonts w:ascii="Arial" w:hAnsi="Arial" w:hint="default"/>
      </w:rPr>
    </w:lvl>
    <w:lvl w:ilvl="3" w:tplc="9358061C" w:tentative="1">
      <w:start w:val="1"/>
      <w:numFmt w:val="bullet"/>
      <w:lvlText w:val="•"/>
      <w:lvlJc w:val="left"/>
      <w:pPr>
        <w:tabs>
          <w:tab w:val="num" w:pos="2880"/>
        </w:tabs>
        <w:ind w:left="2880" w:hanging="360"/>
      </w:pPr>
      <w:rPr>
        <w:rFonts w:ascii="Arial" w:hAnsi="Arial" w:hint="default"/>
      </w:rPr>
    </w:lvl>
    <w:lvl w:ilvl="4" w:tplc="B83C440E" w:tentative="1">
      <w:start w:val="1"/>
      <w:numFmt w:val="bullet"/>
      <w:lvlText w:val="•"/>
      <w:lvlJc w:val="left"/>
      <w:pPr>
        <w:tabs>
          <w:tab w:val="num" w:pos="3600"/>
        </w:tabs>
        <w:ind w:left="3600" w:hanging="360"/>
      </w:pPr>
      <w:rPr>
        <w:rFonts w:ascii="Arial" w:hAnsi="Arial" w:hint="default"/>
      </w:rPr>
    </w:lvl>
    <w:lvl w:ilvl="5" w:tplc="4BE871F6" w:tentative="1">
      <w:start w:val="1"/>
      <w:numFmt w:val="bullet"/>
      <w:lvlText w:val="•"/>
      <w:lvlJc w:val="left"/>
      <w:pPr>
        <w:tabs>
          <w:tab w:val="num" w:pos="4320"/>
        </w:tabs>
        <w:ind w:left="4320" w:hanging="360"/>
      </w:pPr>
      <w:rPr>
        <w:rFonts w:ascii="Arial" w:hAnsi="Arial" w:hint="default"/>
      </w:rPr>
    </w:lvl>
    <w:lvl w:ilvl="6" w:tplc="5262EF84" w:tentative="1">
      <w:start w:val="1"/>
      <w:numFmt w:val="bullet"/>
      <w:lvlText w:val="•"/>
      <w:lvlJc w:val="left"/>
      <w:pPr>
        <w:tabs>
          <w:tab w:val="num" w:pos="5040"/>
        </w:tabs>
        <w:ind w:left="5040" w:hanging="360"/>
      </w:pPr>
      <w:rPr>
        <w:rFonts w:ascii="Arial" w:hAnsi="Arial" w:hint="default"/>
      </w:rPr>
    </w:lvl>
    <w:lvl w:ilvl="7" w:tplc="3DDA55E8" w:tentative="1">
      <w:start w:val="1"/>
      <w:numFmt w:val="bullet"/>
      <w:lvlText w:val="•"/>
      <w:lvlJc w:val="left"/>
      <w:pPr>
        <w:tabs>
          <w:tab w:val="num" w:pos="5760"/>
        </w:tabs>
        <w:ind w:left="5760" w:hanging="360"/>
      </w:pPr>
      <w:rPr>
        <w:rFonts w:ascii="Arial" w:hAnsi="Arial" w:hint="default"/>
      </w:rPr>
    </w:lvl>
    <w:lvl w:ilvl="8" w:tplc="2DF0D89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EC90D41"/>
    <w:multiLevelType w:val="hybridMultilevel"/>
    <w:tmpl w:val="535EB614"/>
    <w:lvl w:ilvl="0" w:tplc="93C0AF9A">
      <w:start w:val="1"/>
      <w:numFmt w:val="bullet"/>
      <w:lvlText w:val="•"/>
      <w:lvlJc w:val="left"/>
      <w:pPr>
        <w:tabs>
          <w:tab w:val="num" w:pos="720"/>
        </w:tabs>
        <w:ind w:left="720" w:hanging="360"/>
      </w:pPr>
      <w:rPr>
        <w:rFonts w:ascii="Arial" w:hAnsi="Arial" w:hint="default"/>
      </w:rPr>
    </w:lvl>
    <w:lvl w:ilvl="1" w:tplc="568EDE50" w:tentative="1">
      <w:start w:val="1"/>
      <w:numFmt w:val="bullet"/>
      <w:lvlText w:val="•"/>
      <w:lvlJc w:val="left"/>
      <w:pPr>
        <w:tabs>
          <w:tab w:val="num" w:pos="1440"/>
        </w:tabs>
        <w:ind w:left="1440" w:hanging="360"/>
      </w:pPr>
      <w:rPr>
        <w:rFonts w:ascii="Arial" w:hAnsi="Arial" w:hint="default"/>
      </w:rPr>
    </w:lvl>
    <w:lvl w:ilvl="2" w:tplc="6388F90E" w:tentative="1">
      <w:start w:val="1"/>
      <w:numFmt w:val="bullet"/>
      <w:lvlText w:val="•"/>
      <w:lvlJc w:val="left"/>
      <w:pPr>
        <w:tabs>
          <w:tab w:val="num" w:pos="2160"/>
        </w:tabs>
        <w:ind w:left="2160" w:hanging="360"/>
      </w:pPr>
      <w:rPr>
        <w:rFonts w:ascii="Arial" w:hAnsi="Arial" w:hint="default"/>
      </w:rPr>
    </w:lvl>
    <w:lvl w:ilvl="3" w:tplc="2334D2F0" w:tentative="1">
      <w:start w:val="1"/>
      <w:numFmt w:val="bullet"/>
      <w:lvlText w:val="•"/>
      <w:lvlJc w:val="left"/>
      <w:pPr>
        <w:tabs>
          <w:tab w:val="num" w:pos="2880"/>
        </w:tabs>
        <w:ind w:left="2880" w:hanging="360"/>
      </w:pPr>
      <w:rPr>
        <w:rFonts w:ascii="Arial" w:hAnsi="Arial" w:hint="default"/>
      </w:rPr>
    </w:lvl>
    <w:lvl w:ilvl="4" w:tplc="C9ECFC42" w:tentative="1">
      <w:start w:val="1"/>
      <w:numFmt w:val="bullet"/>
      <w:lvlText w:val="•"/>
      <w:lvlJc w:val="left"/>
      <w:pPr>
        <w:tabs>
          <w:tab w:val="num" w:pos="3600"/>
        </w:tabs>
        <w:ind w:left="3600" w:hanging="360"/>
      </w:pPr>
      <w:rPr>
        <w:rFonts w:ascii="Arial" w:hAnsi="Arial" w:hint="default"/>
      </w:rPr>
    </w:lvl>
    <w:lvl w:ilvl="5" w:tplc="24902B36" w:tentative="1">
      <w:start w:val="1"/>
      <w:numFmt w:val="bullet"/>
      <w:lvlText w:val="•"/>
      <w:lvlJc w:val="left"/>
      <w:pPr>
        <w:tabs>
          <w:tab w:val="num" w:pos="4320"/>
        </w:tabs>
        <w:ind w:left="4320" w:hanging="360"/>
      </w:pPr>
      <w:rPr>
        <w:rFonts w:ascii="Arial" w:hAnsi="Arial" w:hint="default"/>
      </w:rPr>
    </w:lvl>
    <w:lvl w:ilvl="6" w:tplc="3176DAD0" w:tentative="1">
      <w:start w:val="1"/>
      <w:numFmt w:val="bullet"/>
      <w:lvlText w:val="•"/>
      <w:lvlJc w:val="left"/>
      <w:pPr>
        <w:tabs>
          <w:tab w:val="num" w:pos="5040"/>
        </w:tabs>
        <w:ind w:left="5040" w:hanging="360"/>
      </w:pPr>
      <w:rPr>
        <w:rFonts w:ascii="Arial" w:hAnsi="Arial" w:hint="default"/>
      </w:rPr>
    </w:lvl>
    <w:lvl w:ilvl="7" w:tplc="F654A868" w:tentative="1">
      <w:start w:val="1"/>
      <w:numFmt w:val="bullet"/>
      <w:lvlText w:val="•"/>
      <w:lvlJc w:val="left"/>
      <w:pPr>
        <w:tabs>
          <w:tab w:val="num" w:pos="5760"/>
        </w:tabs>
        <w:ind w:left="5760" w:hanging="360"/>
      </w:pPr>
      <w:rPr>
        <w:rFonts w:ascii="Arial" w:hAnsi="Arial" w:hint="default"/>
      </w:rPr>
    </w:lvl>
    <w:lvl w:ilvl="8" w:tplc="4BCEAD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DE3394"/>
    <w:multiLevelType w:val="multilevel"/>
    <w:tmpl w:val="A9FA82B6"/>
    <w:numStyleLink w:val="AlphaList"/>
  </w:abstractNum>
  <w:abstractNum w:abstractNumId="25" w15:restartNumberingAfterBreak="0">
    <w:nsid w:val="328A0C93"/>
    <w:multiLevelType w:val="hybridMultilevel"/>
    <w:tmpl w:val="1BF87280"/>
    <w:lvl w:ilvl="0" w:tplc="830CF024">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6" w15:restartNumberingAfterBreak="0">
    <w:nsid w:val="333E085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4AE3043"/>
    <w:multiLevelType w:val="multilevel"/>
    <w:tmpl w:val="09685C38"/>
    <w:styleLink w:val="MasterHeadings"/>
    <w:lvl w:ilvl="0">
      <w:start w:val="1"/>
      <w:numFmt w:val="none"/>
      <w:pStyle w:val="CoverTitle"/>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3D8A0DA3"/>
    <w:multiLevelType w:val="multilevel"/>
    <w:tmpl w:val="D5E071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F0E4DF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FED32A9"/>
    <w:multiLevelType w:val="hybridMultilevel"/>
    <w:tmpl w:val="6D001236"/>
    <w:lvl w:ilvl="0" w:tplc="0B227FD0">
      <w:start w:val="1"/>
      <w:numFmt w:val="bullet"/>
      <w:lvlText w:val="•"/>
      <w:lvlJc w:val="left"/>
      <w:pPr>
        <w:tabs>
          <w:tab w:val="num" w:pos="720"/>
        </w:tabs>
        <w:ind w:left="720" w:hanging="360"/>
      </w:pPr>
      <w:rPr>
        <w:rFonts w:ascii="Arial" w:hAnsi="Arial" w:hint="default"/>
      </w:rPr>
    </w:lvl>
    <w:lvl w:ilvl="1" w:tplc="C450E6E8" w:tentative="1">
      <w:start w:val="1"/>
      <w:numFmt w:val="bullet"/>
      <w:lvlText w:val="•"/>
      <w:lvlJc w:val="left"/>
      <w:pPr>
        <w:tabs>
          <w:tab w:val="num" w:pos="1440"/>
        </w:tabs>
        <w:ind w:left="1440" w:hanging="360"/>
      </w:pPr>
      <w:rPr>
        <w:rFonts w:ascii="Arial" w:hAnsi="Arial" w:hint="default"/>
      </w:rPr>
    </w:lvl>
    <w:lvl w:ilvl="2" w:tplc="CFC08F5A" w:tentative="1">
      <w:start w:val="1"/>
      <w:numFmt w:val="bullet"/>
      <w:lvlText w:val="•"/>
      <w:lvlJc w:val="left"/>
      <w:pPr>
        <w:tabs>
          <w:tab w:val="num" w:pos="2160"/>
        </w:tabs>
        <w:ind w:left="2160" w:hanging="360"/>
      </w:pPr>
      <w:rPr>
        <w:rFonts w:ascii="Arial" w:hAnsi="Arial" w:hint="default"/>
      </w:rPr>
    </w:lvl>
    <w:lvl w:ilvl="3" w:tplc="FA3456EE" w:tentative="1">
      <w:start w:val="1"/>
      <w:numFmt w:val="bullet"/>
      <w:lvlText w:val="•"/>
      <w:lvlJc w:val="left"/>
      <w:pPr>
        <w:tabs>
          <w:tab w:val="num" w:pos="2880"/>
        </w:tabs>
        <w:ind w:left="2880" w:hanging="360"/>
      </w:pPr>
      <w:rPr>
        <w:rFonts w:ascii="Arial" w:hAnsi="Arial" w:hint="default"/>
      </w:rPr>
    </w:lvl>
    <w:lvl w:ilvl="4" w:tplc="74348AD8" w:tentative="1">
      <w:start w:val="1"/>
      <w:numFmt w:val="bullet"/>
      <w:lvlText w:val="•"/>
      <w:lvlJc w:val="left"/>
      <w:pPr>
        <w:tabs>
          <w:tab w:val="num" w:pos="3600"/>
        </w:tabs>
        <w:ind w:left="3600" w:hanging="360"/>
      </w:pPr>
      <w:rPr>
        <w:rFonts w:ascii="Arial" w:hAnsi="Arial" w:hint="default"/>
      </w:rPr>
    </w:lvl>
    <w:lvl w:ilvl="5" w:tplc="ED1CCAEA" w:tentative="1">
      <w:start w:val="1"/>
      <w:numFmt w:val="bullet"/>
      <w:lvlText w:val="•"/>
      <w:lvlJc w:val="left"/>
      <w:pPr>
        <w:tabs>
          <w:tab w:val="num" w:pos="4320"/>
        </w:tabs>
        <w:ind w:left="4320" w:hanging="360"/>
      </w:pPr>
      <w:rPr>
        <w:rFonts w:ascii="Arial" w:hAnsi="Arial" w:hint="default"/>
      </w:rPr>
    </w:lvl>
    <w:lvl w:ilvl="6" w:tplc="0B88ACF2" w:tentative="1">
      <w:start w:val="1"/>
      <w:numFmt w:val="bullet"/>
      <w:lvlText w:val="•"/>
      <w:lvlJc w:val="left"/>
      <w:pPr>
        <w:tabs>
          <w:tab w:val="num" w:pos="5040"/>
        </w:tabs>
        <w:ind w:left="5040" w:hanging="360"/>
      </w:pPr>
      <w:rPr>
        <w:rFonts w:ascii="Arial" w:hAnsi="Arial" w:hint="default"/>
      </w:rPr>
    </w:lvl>
    <w:lvl w:ilvl="7" w:tplc="44328888" w:tentative="1">
      <w:start w:val="1"/>
      <w:numFmt w:val="bullet"/>
      <w:lvlText w:val="•"/>
      <w:lvlJc w:val="left"/>
      <w:pPr>
        <w:tabs>
          <w:tab w:val="num" w:pos="5760"/>
        </w:tabs>
        <w:ind w:left="5760" w:hanging="360"/>
      </w:pPr>
      <w:rPr>
        <w:rFonts w:ascii="Arial" w:hAnsi="Arial" w:hint="default"/>
      </w:rPr>
    </w:lvl>
    <w:lvl w:ilvl="8" w:tplc="2DAECF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10A4BB8"/>
    <w:multiLevelType w:val="hybridMultilevel"/>
    <w:tmpl w:val="36189596"/>
    <w:lvl w:ilvl="0" w:tplc="0FD23BD0">
      <w:start w:val="1"/>
      <w:numFmt w:val="bullet"/>
      <w:lvlText w:val="•"/>
      <w:lvlJc w:val="left"/>
      <w:pPr>
        <w:tabs>
          <w:tab w:val="num" w:pos="720"/>
        </w:tabs>
        <w:ind w:left="720" w:hanging="360"/>
      </w:pPr>
      <w:rPr>
        <w:rFonts w:ascii="Arial" w:hAnsi="Arial" w:hint="default"/>
      </w:rPr>
    </w:lvl>
    <w:lvl w:ilvl="1" w:tplc="1AC0A7C6" w:tentative="1">
      <w:start w:val="1"/>
      <w:numFmt w:val="bullet"/>
      <w:lvlText w:val="•"/>
      <w:lvlJc w:val="left"/>
      <w:pPr>
        <w:tabs>
          <w:tab w:val="num" w:pos="1440"/>
        </w:tabs>
        <w:ind w:left="1440" w:hanging="360"/>
      </w:pPr>
      <w:rPr>
        <w:rFonts w:ascii="Arial" w:hAnsi="Arial" w:hint="default"/>
      </w:rPr>
    </w:lvl>
    <w:lvl w:ilvl="2" w:tplc="D59EAA32" w:tentative="1">
      <w:start w:val="1"/>
      <w:numFmt w:val="bullet"/>
      <w:lvlText w:val="•"/>
      <w:lvlJc w:val="left"/>
      <w:pPr>
        <w:tabs>
          <w:tab w:val="num" w:pos="2160"/>
        </w:tabs>
        <w:ind w:left="2160" w:hanging="360"/>
      </w:pPr>
      <w:rPr>
        <w:rFonts w:ascii="Arial" w:hAnsi="Arial" w:hint="default"/>
      </w:rPr>
    </w:lvl>
    <w:lvl w:ilvl="3" w:tplc="CADA9432" w:tentative="1">
      <w:start w:val="1"/>
      <w:numFmt w:val="bullet"/>
      <w:lvlText w:val="•"/>
      <w:lvlJc w:val="left"/>
      <w:pPr>
        <w:tabs>
          <w:tab w:val="num" w:pos="2880"/>
        </w:tabs>
        <w:ind w:left="2880" w:hanging="360"/>
      </w:pPr>
      <w:rPr>
        <w:rFonts w:ascii="Arial" w:hAnsi="Arial" w:hint="default"/>
      </w:rPr>
    </w:lvl>
    <w:lvl w:ilvl="4" w:tplc="C0809268" w:tentative="1">
      <w:start w:val="1"/>
      <w:numFmt w:val="bullet"/>
      <w:lvlText w:val="•"/>
      <w:lvlJc w:val="left"/>
      <w:pPr>
        <w:tabs>
          <w:tab w:val="num" w:pos="3600"/>
        </w:tabs>
        <w:ind w:left="3600" w:hanging="360"/>
      </w:pPr>
      <w:rPr>
        <w:rFonts w:ascii="Arial" w:hAnsi="Arial" w:hint="default"/>
      </w:rPr>
    </w:lvl>
    <w:lvl w:ilvl="5" w:tplc="1654D7F4" w:tentative="1">
      <w:start w:val="1"/>
      <w:numFmt w:val="bullet"/>
      <w:lvlText w:val="•"/>
      <w:lvlJc w:val="left"/>
      <w:pPr>
        <w:tabs>
          <w:tab w:val="num" w:pos="4320"/>
        </w:tabs>
        <w:ind w:left="4320" w:hanging="360"/>
      </w:pPr>
      <w:rPr>
        <w:rFonts w:ascii="Arial" w:hAnsi="Arial" w:hint="default"/>
      </w:rPr>
    </w:lvl>
    <w:lvl w:ilvl="6" w:tplc="5AC00D1C" w:tentative="1">
      <w:start w:val="1"/>
      <w:numFmt w:val="bullet"/>
      <w:lvlText w:val="•"/>
      <w:lvlJc w:val="left"/>
      <w:pPr>
        <w:tabs>
          <w:tab w:val="num" w:pos="5040"/>
        </w:tabs>
        <w:ind w:left="5040" w:hanging="360"/>
      </w:pPr>
      <w:rPr>
        <w:rFonts w:ascii="Arial" w:hAnsi="Arial" w:hint="default"/>
      </w:rPr>
    </w:lvl>
    <w:lvl w:ilvl="7" w:tplc="36AA6676" w:tentative="1">
      <w:start w:val="1"/>
      <w:numFmt w:val="bullet"/>
      <w:lvlText w:val="•"/>
      <w:lvlJc w:val="left"/>
      <w:pPr>
        <w:tabs>
          <w:tab w:val="num" w:pos="5760"/>
        </w:tabs>
        <w:ind w:left="5760" w:hanging="360"/>
      </w:pPr>
      <w:rPr>
        <w:rFonts w:ascii="Arial" w:hAnsi="Arial" w:hint="default"/>
      </w:rPr>
    </w:lvl>
    <w:lvl w:ilvl="8" w:tplc="4BE60F6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15E0125"/>
    <w:multiLevelType w:val="multilevel"/>
    <w:tmpl w:val="D3B8E568"/>
    <w:styleLink w:val="Bullets"/>
    <w:lvl w:ilvl="0">
      <w:start w:val="1"/>
      <w:numFmt w:val="bullet"/>
      <w:pStyle w:val="ListBullet"/>
      <w:lvlText w:val=""/>
      <w:lvlJc w:val="left"/>
      <w:pPr>
        <w:tabs>
          <w:tab w:val="num" w:pos="284"/>
        </w:tabs>
        <w:ind w:left="284" w:hanging="284"/>
      </w:pPr>
      <w:rPr>
        <w:rFonts w:ascii="Symbol" w:hAnsi="Symbol" w:hint="default"/>
        <w:color w:val="2294CD"/>
      </w:rPr>
    </w:lvl>
    <w:lvl w:ilvl="1">
      <w:start w:val="1"/>
      <w:numFmt w:val="bullet"/>
      <w:pStyle w:val="ListBullet2"/>
      <w:lvlText w:val="○"/>
      <w:lvlJc w:val="left"/>
      <w:pPr>
        <w:tabs>
          <w:tab w:val="num" w:pos="567"/>
        </w:tabs>
        <w:ind w:left="568" w:hanging="284"/>
      </w:pPr>
      <w:rPr>
        <w:rFonts w:ascii="Calibri" w:hAnsi="Calibri" w:hint="default"/>
        <w:color w:val="2294CD"/>
      </w:rPr>
    </w:lvl>
    <w:lvl w:ilvl="2">
      <w:start w:val="1"/>
      <w:numFmt w:val="bullet"/>
      <w:pStyle w:val="ListBullet3"/>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33" w15:restartNumberingAfterBreak="0">
    <w:nsid w:val="48936D4C"/>
    <w:multiLevelType w:val="multilevel"/>
    <w:tmpl w:val="1B2E107C"/>
    <w:numStyleLink w:val="Headings"/>
  </w:abstractNum>
  <w:abstractNum w:abstractNumId="34" w15:restartNumberingAfterBreak="0">
    <w:nsid w:val="48A0561F"/>
    <w:multiLevelType w:val="hybridMultilevel"/>
    <w:tmpl w:val="6A9EC56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36" w15:restartNumberingAfterBreak="0">
    <w:nsid w:val="4B804369"/>
    <w:multiLevelType w:val="hybridMultilevel"/>
    <w:tmpl w:val="BDF29F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6EE4230"/>
    <w:multiLevelType w:val="hybridMultilevel"/>
    <w:tmpl w:val="48684602"/>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71A42A9"/>
    <w:multiLevelType w:val="hybridMultilevel"/>
    <w:tmpl w:val="E2128510"/>
    <w:lvl w:ilvl="0" w:tplc="82601CE8">
      <w:start w:val="1"/>
      <w:numFmt w:val="bullet"/>
      <w:lvlText w:val=""/>
      <w:lvlJc w:val="left"/>
      <w:pPr>
        <w:ind w:left="360" w:hanging="360"/>
      </w:pPr>
      <w:rPr>
        <w:rFonts w:ascii="Symbol" w:hAnsi="Symbol" w:hint="default"/>
        <w:color w:val="63D0DF"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B0775A0"/>
    <w:multiLevelType w:val="singleLevel"/>
    <w:tmpl w:val="0C09000F"/>
    <w:lvl w:ilvl="0">
      <w:start w:val="1"/>
      <w:numFmt w:val="decimal"/>
      <w:lvlText w:val="%1."/>
      <w:lvlJc w:val="left"/>
      <w:pPr>
        <w:ind w:left="360" w:hanging="360"/>
      </w:pPr>
      <w:rPr>
        <w:rFonts w:hint="default"/>
        <w:color w:val="2294CD"/>
      </w:rPr>
    </w:lvl>
  </w:abstractNum>
  <w:abstractNum w:abstractNumId="41" w15:restartNumberingAfterBreak="0">
    <w:nsid w:val="5E716EE4"/>
    <w:multiLevelType w:val="singleLevel"/>
    <w:tmpl w:val="0C09001B"/>
    <w:lvl w:ilvl="0">
      <w:start w:val="1"/>
      <w:numFmt w:val="lowerRoman"/>
      <w:lvlText w:val="%1."/>
      <w:lvlJc w:val="right"/>
      <w:pPr>
        <w:tabs>
          <w:tab w:val="num" w:pos="284"/>
        </w:tabs>
        <w:ind w:left="284" w:hanging="284"/>
      </w:pPr>
      <w:rPr>
        <w:rFonts w:hint="default"/>
        <w:color w:val="2294CD"/>
      </w:rPr>
    </w:lvl>
  </w:abstractNum>
  <w:abstractNum w:abstractNumId="42" w15:restartNumberingAfterBreak="0">
    <w:nsid w:val="627D1F93"/>
    <w:multiLevelType w:val="multilevel"/>
    <w:tmpl w:val="A9FA82B6"/>
    <w:styleLink w:val="AlphaList"/>
    <w:lvl w:ilvl="0">
      <w:start w:val="1"/>
      <w:numFmt w:val="lowerLetter"/>
      <w:pStyle w:val="List"/>
      <w:lvlText w:val="%1."/>
      <w:lvlJc w:val="left"/>
      <w:pPr>
        <w:ind w:left="284" w:hanging="284"/>
      </w:pPr>
      <w:rPr>
        <w:rFonts w:hint="default"/>
        <w:b w:val="0"/>
        <w:color w:val="2294CD"/>
      </w:rPr>
    </w:lvl>
    <w:lvl w:ilvl="1">
      <w:start w:val="1"/>
      <w:numFmt w:val="lowerRoman"/>
      <w:pStyle w:val="List2"/>
      <w:lvlText w:val="%2."/>
      <w:lvlJc w:val="left"/>
      <w:pPr>
        <w:ind w:left="568" w:hanging="284"/>
      </w:pPr>
      <w:rPr>
        <w:rFonts w:hint="default"/>
        <w:b w:val="0"/>
        <w:color w:val="2294CD"/>
      </w:rPr>
    </w:lvl>
    <w:lvl w:ilvl="2">
      <w:start w:val="1"/>
      <w:numFmt w:val="decimal"/>
      <w:pStyle w:val="List3"/>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3" w15:restartNumberingAfterBreak="0">
    <w:nsid w:val="65165193"/>
    <w:multiLevelType w:val="hybridMultilevel"/>
    <w:tmpl w:val="F56CD948"/>
    <w:lvl w:ilvl="0" w:tplc="82601CE8">
      <w:start w:val="1"/>
      <w:numFmt w:val="bullet"/>
      <w:lvlText w:val=""/>
      <w:lvlJc w:val="left"/>
      <w:pPr>
        <w:ind w:left="360" w:hanging="360"/>
      </w:pPr>
      <w:rPr>
        <w:rFonts w:ascii="Symbol" w:hAnsi="Symbol" w:hint="default"/>
        <w:color w:val="63D0DF"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6F168F2"/>
    <w:multiLevelType w:val="multilevel"/>
    <w:tmpl w:val="E5487C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14A7984"/>
    <w:multiLevelType w:val="hybridMultilevel"/>
    <w:tmpl w:val="0BB44566"/>
    <w:lvl w:ilvl="0" w:tplc="E3D4EDCC">
      <w:start w:val="1"/>
      <w:numFmt w:val="bullet"/>
      <w:lvlText w:val="•"/>
      <w:lvlJc w:val="left"/>
      <w:pPr>
        <w:tabs>
          <w:tab w:val="num" w:pos="720"/>
        </w:tabs>
        <w:ind w:left="720" w:hanging="360"/>
      </w:pPr>
      <w:rPr>
        <w:rFonts w:ascii="Arial" w:hAnsi="Arial" w:hint="default"/>
      </w:rPr>
    </w:lvl>
    <w:lvl w:ilvl="1" w:tplc="57CA606C" w:tentative="1">
      <w:start w:val="1"/>
      <w:numFmt w:val="bullet"/>
      <w:lvlText w:val="•"/>
      <w:lvlJc w:val="left"/>
      <w:pPr>
        <w:tabs>
          <w:tab w:val="num" w:pos="1440"/>
        </w:tabs>
        <w:ind w:left="1440" w:hanging="360"/>
      </w:pPr>
      <w:rPr>
        <w:rFonts w:ascii="Arial" w:hAnsi="Arial" w:hint="default"/>
      </w:rPr>
    </w:lvl>
    <w:lvl w:ilvl="2" w:tplc="6EFC4484" w:tentative="1">
      <w:start w:val="1"/>
      <w:numFmt w:val="bullet"/>
      <w:lvlText w:val="•"/>
      <w:lvlJc w:val="left"/>
      <w:pPr>
        <w:tabs>
          <w:tab w:val="num" w:pos="2160"/>
        </w:tabs>
        <w:ind w:left="2160" w:hanging="360"/>
      </w:pPr>
      <w:rPr>
        <w:rFonts w:ascii="Arial" w:hAnsi="Arial" w:hint="default"/>
      </w:rPr>
    </w:lvl>
    <w:lvl w:ilvl="3" w:tplc="C8E237E0" w:tentative="1">
      <w:start w:val="1"/>
      <w:numFmt w:val="bullet"/>
      <w:lvlText w:val="•"/>
      <w:lvlJc w:val="left"/>
      <w:pPr>
        <w:tabs>
          <w:tab w:val="num" w:pos="2880"/>
        </w:tabs>
        <w:ind w:left="2880" w:hanging="360"/>
      </w:pPr>
      <w:rPr>
        <w:rFonts w:ascii="Arial" w:hAnsi="Arial" w:hint="default"/>
      </w:rPr>
    </w:lvl>
    <w:lvl w:ilvl="4" w:tplc="16AAF7BE" w:tentative="1">
      <w:start w:val="1"/>
      <w:numFmt w:val="bullet"/>
      <w:lvlText w:val="•"/>
      <w:lvlJc w:val="left"/>
      <w:pPr>
        <w:tabs>
          <w:tab w:val="num" w:pos="3600"/>
        </w:tabs>
        <w:ind w:left="3600" w:hanging="360"/>
      </w:pPr>
      <w:rPr>
        <w:rFonts w:ascii="Arial" w:hAnsi="Arial" w:hint="default"/>
      </w:rPr>
    </w:lvl>
    <w:lvl w:ilvl="5" w:tplc="B6DA7DCE" w:tentative="1">
      <w:start w:val="1"/>
      <w:numFmt w:val="bullet"/>
      <w:lvlText w:val="•"/>
      <w:lvlJc w:val="left"/>
      <w:pPr>
        <w:tabs>
          <w:tab w:val="num" w:pos="4320"/>
        </w:tabs>
        <w:ind w:left="4320" w:hanging="360"/>
      </w:pPr>
      <w:rPr>
        <w:rFonts w:ascii="Arial" w:hAnsi="Arial" w:hint="default"/>
      </w:rPr>
    </w:lvl>
    <w:lvl w:ilvl="6" w:tplc="C26894EE" w:tentative="1">
      <w:start w:val="1"/>
      <w:numFmt w:val="bullet"/>
      <w:lvlText w:val="•"/>
      <w:lvlJc w:val="left"/>
      <w:pPr>
        <w:tabs>
          <w:tab w:val="num" w:pos="5040"/>
        </w:tabs>
        <w:ind w:left="5040" w:hanging="360"/>
      </w:pPr>
      <w:rPr>
        <w:rFonts w:ascii="Arial" w:hAnsi="Arial" w:hint="default"/>
      </w:rPr>
    </w:lvl>
    <w:lvl w:ilvl="7" w:tplc="E4BEE6BA" w:tentative="1">
      <w:start w:val="1"/>
      <w:numFmt w:val="bullet"/>
      <w:lvlText w:val="•"/>
      <w:lvlJc w:val="left"/>
      <w:pPr>
        <w:tabs>
          <w:tab w:val="num" w:pos="5760"/>
        </w:tabs>
        <w:ind w:left="5760" w:hanging="360"/>
      </w:pPr>
      <w:rPr>
        <w:rFonts w:ascii="Arial" w:hAnsi="Arial" w:hint="default"/>
      </w:rPr>
    </w:lvl>
    <w:lvl w:ilvl="8" w:tplc="25C2DDD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4B81396"/>
    <w:multiLevelType w:val="hybridMultilevel"/>
    <w:tmpl w:val="7F988A5E"/>
    <w:lvl w:ilvl="0" w:tplc="0C09000F">
      <w:start w:val="1"/>
      <w:numFmt w:val="decimal"/>
      <w:lvlText w:val="%1."/>
      <w:lvlJc w:val="left"/>
      <w:pPr>
        <w:ind w:left="360" w:hanging="360"/>
      </w:pPr>
      <w:rPr>
        <w:rFonts w:hint="default"/>
        <w:color w:val="63D0DF"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72E66DC"/>
    <w:multiLevelType w:val="multilevel"/>
    <w:tmpl w:val="E5487C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A5C6159"/>
    <w:multiLevelType w:val="multilevel"/>
    <w:tmpl w:val="F1ACE8A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A816C44"/>
    <w:multiLevelType w:val="hybridMultilevel"/>
    <w:tmpl w:val="F9085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B1364AE"/>
    <w:multiLevelType w:val="hybridMultilevel"/>
    <w:tmpl w:val="548A8B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D5E470E"/>
    <w:multiLevelType w:val="hybridMultilevel"/>
    <w:tmpl w:val="86D4FDD6"/>
    <w:lvl w:ilvl="0" w:tplc="652A9BB2">
      <w:numFmt w:val="bullet"/>
      <w:lvlText w:val="-"/>
      <w:lvlJc w:val="left"/>
      <w:pPr>
        <w:ind w:left="720" w:hanging="360"/>
      </w:pPr>
      <w:rPr>
        <w:rFonts w:ascii="Arial" w:eastAsiaTheme="majorEastAsia"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3C28F3"/>
    <w:multiLevelType w:val="multilevel"/>
    <w:tmpl w:val="2B6A0A32"/>
    <w:lvl w:ilvl="0">
      <w:start w:val="1"/>
      <w:numFmt w:val="decimal"/>
      <w:lvlText w:val="%1)"/>
      <w:lvlJc w:val="left"/>
      <w:pPr>
        <w:ind w:left="360" w:hanging="360"/>
      </w:p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33265141">
    <w:abstractNumId w:val="42"/>
  </w:num>
  <w:num w:numId="2" w16cid:durableId="1529027513">
    <w:abstractNumId w:val="32"/>
  </w:num>
  <w:num w:numId="3" w16cid:durableId="1207834851">
    <w:abstractNumId w:val="35"/>
  </w:num>
  <w:num w:numId="4" w16cid:durableId="805241984">
    <w:abstractNumId w:val="37"/>
  </w:num>
  <w:num w:numId="5" w16cid:durableId="1815441841">
    <w:abstractNumId w:val="20"/>
  </w:num>
  <w:num w:numId="6" w16cid:durableId="1189441663">
    <w:abstractNumId w:val="1"/>
  </w:num>
  <w:num w:numId="7" w16cid:durableId="161481218">
    <w:abstractNumId w:val="27"/>
  </w:num>
  <w:num w:numId="8" w16cid:durableId="365369536">
    <w:abstractNumId w:val="19"/>
  </w:num>
  <w:num w:numId="9" w16cid:durableId="86848170">
    <w:abstractNumId w:val="10"/>
  </w:num>
  <w:num w:numId="10" w16cid:durableId="338626001">
    <w:abstractNumId w:val="8"/>
  </w:num>
  <w:num w:numId="11" w16cid:durableId="1300527645">
    <w:abstractNumId w:val="11"/>
  </w:num>
  <w:num w:numId="12" w16cid:durableId="660736480">
    <w:abstractNumId w:val="24"/>
  </w:num>
  <w:num w:numId="13" w16cid:durableId="297078222">
    <w:abstractNumId w:val="33"/>
  </w:num>
  <w:num w:numId="14" w16cid:durableId="783499420">
    <w:abstractNumId w:val="14"/>
  </w:num>
  <w:num w:numId="15" w16cid:durableId="2135709981">
    <w:abstractNumId w:val="3"/>
  </w:num>
  <w:num w:numId="16" w16cid:durableId="39938283">
    <w:abstractNumId w:val="30"/>
  </w:num>
  <w:num w:numId="17" w16cid:durableId="1689329169">
    <w:abstractNumId w:val="9"/>
  </w:num>
  <w:num w:numId="18" w16cid:durableId="1350981800">
    <w:abstractNumId w:val="45"/>
  </w:num>
  <w:num w:numId="19" w16cid:durableId="761755602">
    <w:abstractNumId w:val="22"/>
  </w:num>
  <w:num w:numId="20" w16cid:durableId="1040979494">
    <w:abstractNumId w:val="23"/>
  </w:num>
  <w:num w:numId="21" w16cid:durableId="1236015520">
    <w:abstractNumId w:val="5"/>
  </w:num>
  <w:num w:numId="22" w16cid:durableId="162087839">
    <w:abstractNumId w:val="13"/>
  </w:num>
  <w:num w:numId="23" w16cid:durableId="1112359458">
    <w:abstractNumId w:val="51"/>
  </w:num>
  <w:num w:numId="24" w16cid:durableId="246312704">
    <w:abstractNumId w:val="50"/>
  </w:num>
  <w:num w:numId="25" w16cid:durableId="177353069">
    <w:abstractNumId w:val="16"/>
  </w:num>
  <w:num w:numId="26" w16cid:durableId="509224487">
    <w:abstractNumId w:val="21"/>
  </w:num>
  <w:num w:numId="27" w16cid:durableId="1568540024">
    <w:abstractNumId w:val="41"/>
  </w:num>
  <w:num w:numId="28" w16cid:durableId="1844709616">
    <w:abstractNumId w:val="40"/>
  </w:num>
  <w:num w:numId="29" w16cid:durableId="1802386466">
    <w:abstractNumId w:val="40"/>
    <w:lvlOverride w:ilvl="0">
      <w:startOverride w:val="1"/>
    </w:lvlOverride>
  </w:num>
  <w:num w:numId="30" w16cid:durableId="1441028019">
    <w:abstractNumId w:val="38"/>
  </w:num>
  <w:num w:numId="31" w16cid:durableId="1028484481">
    <w:abstractNumId w:val="31"/>
  </w:num>
  <w:num w:numId="32" w16cid:durableId="514274057">
    <w:abstractNumId w:val="25"/>
  </w:num>
  <w:num w:numId="33" w16cid:durableId="1102871535">
    <w:abstractNumId w:val="18"/>
  </w:num>
  <w:num w:numId="34" w16cid:durableId="1664103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10058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9827293">
    <w:abstractNumId w:val="4"/>
  </w:num>
  <w:num w:numId="37" w16cid:durableId="1883323880">
    <w:abstractNumId w:val="15"/>
  </w:num>
  <w:num w:numId="38" w16cid:durableId="241373243">
    <w:abstractNumId w:val="49"/>
  </w:num>
  <w:num w:numId="39" w16cid:durableId="808786287">
    <w:abstractNumId w:val="39"/>
  </w:num>
  <w:num w:numId="40" w16cid:durableId="563372014">
    <w:abstractNumId w:val="43"/>
  </w:num>
  <w:num w:numId="41" w16cid:durableId="261497585">
    <w:abstractNumId w:val="2"/>
  </w:num>
  <w:num w:numId="42" w16cid:durableId="495923517">
    <w:abstractNumId w:val="46"/>
  </w:num>
  <w:num w:numId="43" w16cid:durableId="621494449">
    <w:abstractNumId w:val="52"/>
  </w:num>
  <w:num w:numId="44" w16cid:durableId="939332518">
    <w:abstractNumId w:val="0"/>
  </w:num>
  <w:num w:numId="45" w16cid:durableId="1741830602">
    <w:abstractNumId w:val="26"/>
  </w:num>
  <w:num w:numId="46" w16cid:durableId="1326007353">
    <w:abstractNumId w:val="47"/>
  </w:num>
  <w:num w:numId="47" w16cid:durableId="1328826476">
    <w:abstractNumId w:val="7"/>
  </w:num>
  <w:num w:numId="48" w16cid:durableId="1952008301">
    <w:abstractNumId w:val="29"/>
  </w:num>
  <w:num w:numId="49" w16cid:durableId="284897019">
    <w:abstractNumId w:val="17"/>
  </w:num>
  <w:num w:numId="50" w16cid:durableId="2106261905">
    <w:abstractNumId w:val="44"/>
  </w:num>
  <w:num w:numId="51" w16cid:durableId="620452886">
    <w:abstractNumId w:val="28"/>
  </w:num>
  <w:num w:numId="52" w16cid:durableId="233126006">
    <w:abstractNumId w:val="48"/>
  </w:num>
  <w:num w:numId="53" w16cid:durableId="989094575">
    <w:abstractNumId w:val="12"/>
  </w:num>
  <w:num w:numId="54" w16cid:durableId="1388840004">
    <w:abstractNumId w:val="36"/>
  </w:num>
  <w:num w:numId="55" w16cid:durableId="1544563045">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73E"/>
    <w:rsid w:val="000000B9"/>
    <w:rsid w:val="0000022C"/>
    <w:rsid w:val="00000266"/>
    <w:rsid w:val="000005D8"/>
    <w:rsid w:val="00000678"/>
    <w:rsid w:val="000006A1"/>
    <w:rsid w:val="00000708"/>
    <w:rsid w:val="00000BD6"/>
    <w:rsid w:val="00000BFD"/>
    <w:rsid w:val="00000FC5"/>
    <w:rsid w:val="0000108C"/>
    <w:rsid w:val="0000116E"/>
    <w:rsid w:val="000012E9"/>
    <w:rsid w:val="00001484"/>
    <w:rsid w:val="00001A53"/>
    <w:rsid w:val="00001D69"/>
    <w:rsid w:val="0000211F"/>
    <w:rsid w:val="00002187"/>
    <w:rsid w:val="000021CD"/>
    <w:rsid w:val="000021EF"/>
    <w:rsid w:val="0000247C"/>
    <w:rsid w:val="00002925"/>
    <w:rsid w:val="0000312B"/>
    <w:rsid w:val="00003191"/>
    <w:rsid w:val="00003320"/>
    <w:rsid w:val="000038C8"/>
    <w:rsid w:val="00003C65"/>
    <w:rsid w:val="00003CCD"/>
    <w:rsid w:val="00004017"/>
    <w:rsid w:val="00004309"/>
    <w:rsid w:val="0000459E"/>
    <w:rsid w:val="000048E9"/>
    <w:rsid w:val="00004AA8"/>
    <w:rsid w:val="00004E00"/>
    <w:rsid w:val="00004F2B"/>
    <w:rsid w:val="00005160"/>
    <w:rsid w:val="00005581"/>
    <w:rsid w:val="00005660"/>
    <w:rsid w:val="00005725"/>
    <w:rsid w:val="000057BD"/>
    <w:rsid w:val="0000586A"/>
    <w:rsid w:val="00005A4F"/>
    <w:rsid w:val="00006C9D"/>
    <w:rsid w:val="00006F31"/>
    <w:rsid w:val="00007076"/>
    <w:rsid w:val="00007268"/>
    <w:rsid w:val="00007328"/>
    <w:rsid w:val="000077FD"/>
    <w:rsid w:val="000078ED"/>
    <w:rsid w:val="00007A10"/>
    <w:rsid w:val="00007BD6"/>
    <w:rsid w:val="00007D89"/>
    <w:rsid w:val="00007F4D"/>
    <w:rsid w:val="00007F51"/>
    <w:rsid w:val="000101A9"/>
    <w:rsid w:val="00010332"/>
    <w:rsid w:val="00010585"/>
    <w:rsid w:val="00010638"/>
    <w:rsid w:val="00010B65"/>
    <w:rsid w:val="00011177"/>
    <w:rsid w:val="0001126F"/>
    <w:rsid w:val="00011355"/>
    <w:rsid w:val="00011735"/>
    <w:rsid w:val="00011B76"/>
    <w:rsid w:val="00012364"/>
    <w:rsid w:val="000124A8"/>
    <w:rsid w:val="000125C9"/>
    <w:rsid w:val="00012706"/>
    <w:rsid w:val="000129C0"/>
    <w:rsid w:val="00012F10"/>
    <w:rsid w:val="00013131"/>
    <w:rsid w:val="000136D5"/>
    <w:rsid w:val="00013727"/>
    <w:rsid w:val="00013A7C"/>
    <w:rsid w:val="0001444D"/>
    <w:rsid w:val="00014572"/>
    <w:rsid w:val="000145F0"/>
    <w:rsid w:val="00014616"/>
    <w:rsid w:val="00014841"/>
    <w:rsid w:val="0001486F"/>
    <w:rsid w:val="0001498F"/>
    <w:rsid w:val="000150B6"/>
    <w:rsid w:val="000150EC"/>
    <w:rsid w:val="000153BD"/>
    <w:rsid w:val="00015B84"/>
    <w:rsid w:val="00015B95"/>
    <w:rsid w:val="00015E25"/>
    <w:rsid w:val="00015F40"/>
    <w:rsid w:val="0001623C"/>
    <w:rsid w:val="00016C52"/>
    <w:rsid w:val="00016EB9"/>
    <w:rsid w:val="00017145"/>
    <w:rsid w:val="00017710"/>
    <w:rsid w:val="000177FF"/>
    <w:rsid w:val="00017B0A"/>
    <w:rsid w:val="00017E63"/>
    <w:rsid w:val="00020104"/>
    <w:rsid w:val="0002028E"/>
    <w:rsid w:val="00020350"/>
    <w:rsid w:val="0002043C"/>
    <w:rsid w:val="00020753"/>
    <w:rsid w:val="00020863"/>
    <w:rsid w:val="00020A20"/>
    <w:rsid w:val="00020AC0"/>
    <w:rsid w:val="00020AE2"/>
    <w:rsid w:val="00020ECD"/>
    <w:rsid w:val="00020EF6"/>
    <w:rsid w:val="00021066"/>
    <w:rsid w:val="000212A9"/>
    <w:rsid w:val="000212F1"/>
    <w:rsid w:val="000218C0"/>
    <w:rsid w:val="00021C11"/>
    <w:rsid w:val="00021C7B"/>
    <w:rsid w:val="00021EE4"/>
    <w:rsid w:val="00022330"/>
    <w:rsid w:val="00022768"/>
    <w:rsid w:val="00022ADD"/>
    <w:rsid w:val="00022BE9"/>
    <w:rsid w:val="00022CBF"/>
    <w:rsid w:val="00022D45"/>
    <w:rsid w:val="00022FAF"/>
    <w:rsid w:val="00023299"/>
    <w:rsid w:val="000232E6"/>
    <w:rsid w:val="000233D7"/>
    <w:rsid w:val="000233F2"/>
    <w:rsid w:val="0002350D"/>
    <w:rsid w:val="000237AF"/>
    <w:rsid w:val="00023859"/>
    <w:rsid w:val="00023C94"/>
    <w:rsid w:val="00023CFC"/>
    <w:rsid w:val="00023E8B"/>
    <w:rsid w:val="0002426F"/>
    <w:rsid w:val="0002438C"/>
    <w:rsid w:val="000244A8"/>
    <w:rsid w:val="000244D9"/>
    <w:rsid w:val="00024975"/>
    <w:rsid w:val="000249E3"/>
    <w:rsid w:val="000250A1"/>
    <w:rsid w:val="00025401"/>
    <w:rsid w:val="00025795"/>
    <w:rsid w:val="00025924"/>
    <w:rsid w:val="00025F13"/>
    <w:rsid w:val="0002641C"/>
    <w:rsid w:val="00026772"/>
    <w:rsid w:val="00026B4B"/>
    <w:rsid w:val="00026C06"/>
    <w:rsid w:val="00026C7B"/>
    <w:rsid w:val="00026E11"/>
    <w:rsid w:val="00026F36"/>
    <w:rsid w:val="000271BE"/>
    <w:rsid w:val="000271EC"/>
    <w:rsid w:val="000273BC"/>
    <w:rsid w:val="000276FF"/>
    <w:rsid w:val="00027798"/>
    <w:rsid w:val="00027AF4"/>
    <w:rsid w:val="00027CC8"/>
    <w:rsid w:val="00027D82"/>
    <w:rsid w:val="00030140"/>
    <w:rsid w:val="00030607"/>
    <w:rsid w:val="00030A3E"/>
    <w:rsid w:val="00030D48"/>
    <w:rsid w:val="00031012"/>
    <w:rsid w:val="00031292"/>
    <w:rsid w:val="000312FA"/>
    <w:rsid w:val="0003140E"/>
    <w:rsid w:val="000314DE"/>
    <w:rsid w:val="00031536"/>
    <w:rsid w:val="0003185D"/>
    <w:rsid w:val="000319A9"/>
    <w:rsid w:val="000320EE"/>
    <w:rsid w:val="0003229D"/>
    <w:rsid w:val="00032642"/>
    <w:rsid w:val="00032FF7"/>
    <w:rsid w:val="000332FD"/>
    <w:rsid w:val="000333A4"/>
    <w:rsid w:val="00033472"/>
    <w:rsid w:val="0003362B"/>
    <w:rsid w:val="00034511"/>
    <w:rsid w:val="00034524"/>
    <w:rsid w:val="000347A3"/>
    <w:rsid w:val="00034D15"/>
    <w:rsid w:val="00035351"/>
    <w:rsid w:val="00035A98"/>
    <w:rsid w:val="00035ABD"/>
    <w:rsid w:val="00035AC7"/>
    <w:rsid w:val="00035C92"/>
    <w:rsid w:val="00035CA3"/>
    <w:rsid w:val="00035F5F"/>
    <w:rsid w:val="0003625D"/>
    <w:rsid w:val="00036518"/>
    <w:rsid w:val="000365A5"/>
    <w:rsid w:val="00036705"/>
    <w:rsid w:val="0003672B"/>
    <w:rsid w:val="00036892"/>
    <w:rsid w:val="00036ADC"/>
    <w:rsid w:val="00036AE3"/>
    <w:rsid w:val="00036B48"/>
    <w:rsid w:val="00037297"/>
    <w:rsid w:val="000379AA"/>
    <w:rsid w:val="00037BA1"/>
    <w:rsid w:val="000400E8"/>
    <w:rsid w:val="0004073E"/>
    <w:rsid w:val="000407BC"/>
    <w:rsid w:val="000408C4"/>
    <w:rsid w:val="00040A2C"/>
    <w:rsid w:val="00040B61"/>
    <w:rsid w:val="00040FC5"/>
    <w:rsid w:val="00041471"/>
    <w:rsid w:val="00041746"/>
    <w:rsid w:val="00041BCA"/>
    <w:rsid w:val="0004215E"/>
    <w:rsid w:val="000422BA"/>
    <w:rsid w:val="00042416"/>
    <w:rsid w:val="000424E8"/>
    <w:rsid w:val="000427CD"/>
    <w:rsid w:val="00042E46"/>
    <w:rsid w:val="00042ECD"/>
    <w:rsid w:val="00042FFB"/>
    <w:rsid w:val="00043CB5"/>
    <w:rsid w:val="00043F38"/>
    <w:rsid w:val="0004402F"/>
    <w:rsid w:val="000441E5"/>
    <w:rsid w:val="000442F6"/>
    <w:rsid w:val="00044557"/>
    <w:rsid w:val="000447C6"/>
    <w:rsid w:val="00044AD5"/>
    <w:rsid w:val="00044DDA"/>
    <w:rsid w:val="00044EE0"/>
    <w:rsid w:val="0004564E"/>
    <w:rsid w:val="000456A7"/>
    <w:rsid w:val="00045D01"/>
    <w:rsid w:val="00045E53"/>
    <w:rsid w:val="00045FA7"/>
    <w:rsid w:val="00046159"/>
    <w:rsid w:val="000462B1"/>
    <w:rsid w:val="00046340"/>
    <w:rsid w:val="000463C7"/>
    <w:rsid w:val="00046644"/>
    <w:rsid w:val="000468D2"/>
    <w:rsid w:val="00046C07"/>
    <w:rsid w:val="00046DBA"/>
    <w:rsid w:val="00046EC3"/>
    <w:rsid w:val="0004701E"/>
    <w:rsid w:val="000470B2"/>
    <w:rsid w:val="000472C1"/>
    <w:rsid w:val="00047466"/>
    <w:rsid w:val="0004770B"/>
    <w:rsid w:val="00047B80"/>
    <w:rsid w:val="00047D1D"/>
    <w:rsid w:val="00047FD8"/>
    <w:rsid w:val="00050875"/>
    <w:rsid w:val="00050B6B"/>
    <w:rsid w:val="0005139F"/>
    <w:rsid w:val="000514AB"/>
    <w:rsid w:val="0005169D"/>
    <w:rsid w:val="000516B4"/>
    <w:rsid w:val="000518F3"/>
    <w:rsid w:val="0005199C"/>
    <w:rsid w:val="00051B12"/>
    <w:rsid w:val="00051D73"/>
    <w:rsid w:val="000521EA"/>
    <w:rsid w:val="0005225B"/>
    <w:rsid w:val="000522C3"/>
    <w:rsid w:val="0005241F"/>
    <w:rsid w:val="000525C0"/>
    <w:rsid w:val="00052643"/>
    <w:rsid w:val="000527C9"/>
    <w:rsid w:val="00052C78"/>
    <w:rsid w:val="00053188"/>
    <w:rsid w:val="00053259"/>
    <w:rsid w:val="0005326C"/>
    <w:rsid w:val="00053326"/>
    <w:rsid w:val="0005344B"/>
    <w:rsid w:val="0005353D"/>
    <w:rsid w:val="00053AAD"/>
    <w:rsid w:val="00053ADE"/>
    <w:rsid w:val="00053C97"/>
    <w:rsid w:val="00053F21"/>
    <w:rsid w:val="000540FB"/>
    <w:rsid w:val="000541C5"/>
    <w:rsid w:val="00054208"/>
    <w:rsid w:val="0005440C"/>
    <w:rsid w:val="000545E2"/>
    <w:rsid w:val="0005468B"/>
    <w:rsid w:val="00054826"/>
    <w:rsid w:val="000549C6"/>
    <w:rsid w:val="00054A35"/>
    <w:rsid w:val="00054C34"/>
    <w:rsid w:val="00054C6B"/>
    <w:rsid w:val="00054D26"/>
    <w:rsid w:val="0005516A"/>
    <w:rsid w:val="000554DF"/>
    <w:rsid w:val="000557A7"/>
    <w:rsid w:val="0005587B"/>
    <w:rsid w:val="00055A1C"/>
    <w:rsid w:val="00055B62"/>
    <w:rsid w:val="00055E6C"/>
    <w:rsid w:val="00055F54"/>
    <w:rsid w:val="000562DB"/>
    <w:rsid w:val="000564A0"/>
    <w:rsid w:val="000567AB"/>
    <w:rsid w:val="000569E1"/>
    <w:rsid w:val="00056B6B"/>
    <w:rsid w:val="00056B9F"/>
    <w:rsid w:val="00056CA2"/>
    <w:rsid w:val="00056D0A"/>
    <w:rsid w:val="00056D8C"/>
    <w:rsid w:val="00056F24"/>
    <w:rsid w:val="00056FD6"/>
    <w:rsid w:val="000572EF"/>
    <w:rsid w:val="0005758F"/>
    <w:rsid w:val="0005797F"/>
    <w:rsid w:val="000579C6"/>
    <w:rsid w:val="00057E09"/>
    <w:rsid w:val="0006001B"/>
    <w:rsid w:val="0006027B"/>
    <w:rsid w:val="000604CF"/>
    <w:rsid w:val="0006064E"/>
    <w:rsid w:val="00060B06"/>
    <w:rsid w:val="00060B8B"/>
    <w:rsid w:val="00060C6E"/>
    <w:rsid w:val="0006110E"/>
    <w:rsid w:val="000616C6"/>
    <w:rsid w:val="00061752"/>
    <w:rsid w:val="00061CDF"/>
    <w:rsid w:val="000621C0"/>
    <w:rsid w:val="000629CB"/>
    <w:rsid w:val="00062A8B"/>
    <w:rsid w:val="00062E03"/>
    <w:rsid w:val="00062E50"/>
    <w:rsid w:val="0006332A"/>
    <w:rsid w:val="000634DC"/>
    <w:rsid w:val="00063804"/>
    <w:rsid w:val="00063B59"/>
    <w:rsid w:val="00063B84"/>
    <w:rsid w:val="00063F4E"/>
    <w:rsid w:val="0006404B"/>
    <w:rsid w:val="00064158"/>
    <w:rsid w:val="0006465B"/>
    <w:rsid w:val="0006466A"/>
    <w:rsid w:val="000646C4"/>
    <w:rsid w:val="000646DF"/>
    <w:rsid w:val="0006492C"/>
    <w:rsid w:val="00064FBE"/>
    <w:rsid w:val="000655BB"/>
    <w:rsid w:val="0006576E"/>
    <w:rsid w:val="00065909"/>
    <w:rsid w:val="00065A30"/>
    <w:rsid w:val="00065E20"/>
    <w:rsid w:val="00066427"/>
    <w:rsid w:val="00066956"/>
    <w:rsid w:val="00066BB6"/>
    <w:rsid w:val="00066BCC"/>
    <w:rsid w:val="00066FCB"/>
    <w:rsid w:val="000671E5"/>
    <w:rsid w:val="00067278"/>
    <w:rsid w:val="0006753B"/>
    <w:rsid w:val="000675D6"/>
    <w:rsid w:val="0006791C"/>
    <w:rsid w:val="00070149"/>
    <w:rsid w:val="00070247"/>
    <w:rsid w:val="00070250"/>
    <w:rsid w:val="00070332"/>
    <w:rsid w:val="0007043F"/>
    <w:rsid w:val="00070577"/>
    <w:rsid w:val="000706CC"/>
    <w:rsid w:val="00070CC6"/>
    <w:rsid w:val="00070F93"/>
    <w:rsid w:val="00070FE7"/>
    <w:rsid w:val="0007110B"/>
    <w:rsid w:val="0007128B"/>
    <w:rsid w:val="000712E2"/>
    <w:rsid w:val="000714DF"/>
    <w:rsid w:val="000714F6"/>
    <w:rsid w:val="00071836"/>
    <w:rsid w:val="000718DF"/>
    <w:rsid w:val="00071B52"/>
    <w:rsid w:val="00072081"/>
    <w:rsid w:val="00072372"/>
    <w:rsid w:val="000728AB"/>
    <w:rsid w:val="000729AD"/>
    <w:rsid w:val="00072D30"/>
    <w:rsid w:val="0007302A"/>
    <w:rsid w:val="000732F8"/>
    <w:rsid w:val="0007352E"/>
    <w:rsid w:val="000738BB"/>
    <w:rsid w:val="0007393B"/>
    <w:rsid w:val="00073951"/>
    <w:rsid w:val="00073C91"/>
    <w:rsid w:val="00073D30"/>
    <w:rsid w:val="00073FA2"/>
    <w:rsid w:val="00074146"/>
    <w:rsid w:val="000742CE"/>
    <w:rsid w:val="00074C23"/>
    <w:rsid w:val="00075132"/>
    <w:rsid w:val="00075185"/>
    <w:rsid w:val="000751E5"/>
    <w:rsid w:val="000754D1"/>
    <w:rsid w:val="0007567E"/>
    <w:rsid w:val="000759FF"/>
    <w:rsid w:val="00075A78"/>
    <w:rsid w:val="00075BF4"/>
    <w:rsid w:val="000768CA"/>
    <w:rsid w:val="00076D1C"/>
    <w:rsid w:val="00077365"/>
    <w:rsid w:val="000775A1"/>
    <w:rsid w:val="000775BA"/>
    <w:rsid w:val="000775F9"/>
    <w:rsid w:val="00077A55"/>
    <w:rsid w:val="00077C5F"/>
    <w:rsid w:val="000802A5"/>
    <w:rsid w:val="000808BF"/>
    <w:rsid w:val="00080D82"/>
    <w:rsid w:val="00081047"/>
    <w:rsid w:val="00081959"/>
    <w:rsid w:val="000819EE"/>
    <w:rsid w:val="00081A44"/>
    <w:rsid w:val="00082060"/>
    <w:rsid w:val="00082288"/>
    <w:rsid w:val="0008231B"/>
    <w:rsid w:val="00082872"/>
    <w:rsid w:val="0008289F"/>
    <w:rsid w:val="000829C6"/>
    <w:rsid w:val="00082AEF"/>
    <w:rsid w:val="00082C20"/>
    <w:rsid w:val="00082DD2"/>
    <w:rsid w:val="00083071"/>
    <w:rsid w:val="0008308D"/>
    <w:rsid w:val="00083503"/>
    <w:rsid w:val="0008369D"/>
    <w:rsid w:val="000836C7"/>
    <w:rsid w:val="000839CE"/>
    <w:rsid w:val="00084003"/>
    <w:rsid w:val="00084359"/>
    <w:rsid w:val="00084500"/>
    <w:rsid w:val="000846D8"/>
    <w:rsid w:val="00084F04"/>
    <w:rsid w:val="00085024"/>
    <w:rsid w:val="000858DB"/>
    <w:rsid w:val="00085A1C"/>
    <w:rsid w:val="00085CF5"/>
    <w:rsid w:val="00085D5E"/>
    <w:rsid w:val="00085ED8"/>
    <w:rsid w:val="000861DC"/>
    <w:rsid w:val="00086362"/>
    <w:rsid w:val="000865B5"/>
    <w:rsid w:val="000866FE"/>
    <w:rsid w:val="00086974"/>
    <w:rsid w:val="000869BA"/>
    <w:rsid w:val="00086C70"/>
    <w:rsid w:val="00086D1D"/>
    <w:rsid w:val="00086DB5"/>
    <w:rsid w:val="00086F9C"/>
    <w:rsid w:val="00086FF7"/>
    <w:rsid w:val="000875C7"/>
    <w:rsid w:val="000876DC"/>
    <w:rsid w:val="000877DB"/>
    <w:rsid w:val="00087938"/>
    <w:rsid w:val="00087BD5"/>
    <w:rsid w:val="00087E48"/>
    <w:rsid w:val="0009000D"/>
    <w:rsid w:val="000908D4"/>
    <w:rsid w:val="00090C68"/>
    <w:rsid w:val="00090F75"/>
    <w:rsid w:val="0009118B"/>
    <w:rsid w:val="00091385"/>
    <w:rsid w:val="000913D0"/>
    <w:rsid w:val="000919E4"/>
    <w:rsid w:val="00091A13"/>
    <w:rsid w:val="00091A66"/>
    <w:rsid w:val="00091CB7"/>
    <w:rsid w:val="00091D50"/>
    <w:rsid w:val="000922EC"/>
    <w:rsid w:val="0009233D"/>
    <w:rsid w:val="00092CE0"/>
    <w:rsid w:val="000930B1"/>
    <w:rsid w:val="00093133"/>
    <w:rsid w:val="00093150"/>
    <w:rsid w:val="000939D4"/>
    <w:rsid w:val="00093E8C"/>
    <w:rsid w:val="000943E0"/>
    <w:rsid w:val="000947C9"/>
    <w:rsid w:val="00094A37"/>
    <w:rsid w:val="00094A45"/>
    <w:rsid w:val="00094C7D"/>
    <w:rsid w:val="00094E64"/>
    <w:rsid w:val="000953D7"/>
    <w:rsid w:val="00095419"/>
    <w:rsid w:val="00095860"/>
    <w:rsid w:val="00095891"/>
    <w:rsid w:val="00095AED"/>
    <w:rsid w:val="00095CD6"/>
    <w:rsid w:val="00096766"/>
    <w:rsid w:val="00096798"/>
    <w:rsid w:val="00096924"/>
    <w:rsid w:val="00096E9B"/>
    <w:rsid w:val="0009703F"/>
    <w:rsid w:val="000974BE"/>
    <w:rsid w:val="000977AB"/>
    <w:rsid w:val="00097A9D"/>
    <w:rsid w:val="00097B89"/>
    <w:rsid w:val="00097BC0"/>
    <w:rsid w:val="000A0851"/>
    <w:rsid w:val="000A0860"/>
    <w:rsid w:val="000A114D"/>
    <w:rsid w:val="000A1346"/>
    <w:rsid w:val="000A1864"/>
    <w:rsid w:val="000A1973"/>
    <w:rsid w:val="000A19C9"/>
    <w:rsid w:val="000A1A1E"/>
    <w:rsid w:val="000A1ADF"/>
    <w:rsid w:val="000A1C53"/>
    <w:rsid w:val="000A2181"/>
    <w:rsid w:val="000A21D2"/>
    <w:rsid w:val="000A2347"/>
    <w:rsid w:val="000A2377"/>
    <w:rsid w:val="000A30B9"/>
    <w:rsid w:val="000A341D"/>
    <w:rsid w:val="000A375B"/>
    <w:rsid w:val="000A39BB"/>
    <w:rsid w:val="000A4113"/>
    <w:rsid w:val="000A49B9"/>
    <w:rsid w:val="000A4AEA"/>
    <w:rsid w:val="000A4CB6"/>
    <w:rsid w:val="000A5358"/>
    <w:rsid w:val="000A5365"/>
    <w:rsid w:val="000A53FD"/>
    <w:rsid w:val="000A586B"/>
    <w:rsid w:val="000A5932"/>
    <w:rsid w:val="000A5984"/>
    <w:rsid w:val="000A5987"/>
    <w:rsid w:val="000A5990"/>
    <w:rsid w:val="000A5B43"/>
    <w:rsid w:val="000A5B52"/>
    <w:rsid w:val="000A5CB0"/>
    <w:rsid w:val="000A5D98"/>
    <w:rsid w:val="000A6205"/>
    <w:rsid w:val="000A6252"/>
    <w:rsid w:val="000A6269"/>
    <w:rsid w:val="000A6291"/>
    <w:rsid w:val="000A63AF"/>
    <w:rsid w:val="000A6421"/>
    <w:rsid w:val="000A649F"/>
    <w:rsid w:val="000A64EE"/>
    <w:rsid w:val="000A683B"/>
    <w:rsid w:val="000A6C1B"/>
    <w:rsid w:val="000A6F00"/>
    <w:rsid w:val="000A6FB7"/>
    <w:rsid w:val="000A725B"/>
    <w:rsid w:val="000A74D2"/>
    <w:rsid w:val="000A7554"/>
    <w:rsid w:val="000A7CD5"/>
    <w:rsid w:val="000A7EC9"/>
    <w:rsid w:val="000B0159"/>
    <w:rsid w:val="000B02FA"/>
    <w:rsid w:val="000B0449"/>
    <w:rsid w:val="000B04E0"/>
    <w:rsid w:val="000B06A5"/>
    <w:rsid w:val="000B0B79"/>
    <w:rsid w:val="000B1381"/>
    <w:rsid w:val="000B1659"/>
    <w:rsid w:val="000B168D"/>
    <w:rsid w:val="000B16B6"/>
    <w:rsid w:val="000B171B"/>
    <w:rsid w:val="000B1839"/>
    <w:rsid w:val="000B192D"/>
    <w:rsid w:val="000B1AF9"/>
    <w:rsid w:val="000B1BDF"/>
    <w:rsid w:val="000B1D14"/>
    <w:rsid w:val="000B1D8C"/>
    <w:rsid w:val="000B1DAE"/>
    <w:rsid w:val="000B2095"/>
    <w:rsid w:val="000B21A6"/>
    <w:rsid w:val="000B21A7"/>
    <w:rsid w:val="000B24EE"/>
    <w:rsid w:val="000B2578"/>
    <w:rsid w:val="000B2991"/>
    <w:rsid w:val="000B2D32"/>
    <w:rsid w:val="000B3066"/>
    <w:rsid w:val="000B3176"/>
    <w:rsid w:val="000B3284"/>
    <w:rsid w:val="000B35CF"/>
    <w:rsid w:val="000B36AF"/>
    <w:rsid w:val="000B3A78"/>
    <w:rsid w:val="000B3C13"/>
    <w:rsid w:val="000B3EAD"/>
    <w:rsid w:val="000B3EC4"/>
    <w:rsid w:val="000B3FA9"/>
    <w:rsid w:val="000B3FEF"/>
    <w:rsid w:val="000B42FD"/>
    <w:rsid w:val="000B4B24"/>
    <w:rsid w:val="000B4B59"/>
    <w:rsid w:val="000B4B8E"/>
    <w:rsid w:val="000B4CFB"/>
    <w:rsid w:val="000B4E8E"/>
    <w:rsid w:val="000B4F87"/>
    <w:rsid w:val="000B5017"/>
    <w:rsid w:val="000B50C7"/>
    <w:rsid w:val="000B5232"/>
    <w:rsid w:val="000B5443"/>
    <w:rsid w:val="000B54F3"/>
    <w:rsid w:val="000B56D6"/>
    <w:rsid w:val="000B5BB6"/>
    <w:rsid w:val="000B5FAF"/>
    <w:rsid w:val="000B5FF9"/>
    <w:rsid w:val="000B7089"/>
    <w:rsid w:val="000B726B"/>
    <w:rsid w:val="000B7688"/>
    <w:rsid w:val="000B7DDC"/>
    <w:rsid w:val="000B7DE1"/>
    <w:rsid w:val="000B7E04"/>
    <w:rsid w:val="000B7F5D"/>
    <w:rsid w:val="000B7FAB"/>
    <w:rsid w:val="000C001E"/>
    <w:rsid w:val="000C0049"/>
    <w:rsid w:val="000C00B6"/>
    <w:rsid w:val="000C060D"/>
    <w:rsid w:val="000C090C"/>
    <w:rsid w:val="000C0C0C"/>
    <w:rsid w:val="000C0D93"/>
    <w:rsid w:val="000C0E79"/>
    <w:rsid w:val="000C0EFB"/>
    <w:rsid w:val="000C0FD8"/>
    <w:rsid w:val="000C1246"/>
    <w:rsid w:val="000C13AC"/>
    <w:rsid w:val="000C14C1"/>
    <w:rsid w:val="000C19F8"/>
    <w:rsid w:val="000C2413"/>
    <w:rsid w:val="000C2616"/>
    <w:rsid w:val="000C2631"/>
    <w:rsid w:val="000C26AE"/>
    <w:rsid w:val="000C28F1"/>
    <w:rsid w:val="000C2953"/>
    <w:rsid w:val="000C2A41"/>
    <w:rsid w:val="000C2C1A"/>
    <w:rsid w:val="000C3369"/>
    <w:rsid w:val="000C3617"/>
    <w:rsid w:val="000C39A7"/>
    <w:rsid w:val="000C39B1"/>
    <w:rsid w:val="000C3B03"/>
    <w:rsid w:val="000C3DC2"/>
    <w:rsid w:val="000C3EC2"/>
    <w:rsid w:val="000C3F76"/>
    <w:rsid w:val="000C4026"/>
    <w:rsid w:val="000C40F1"/>
    <w:rsid w:val="000C434E"/>
    <w:rsid w:val="000C448A"/>
    <w:rsid w:val="000C44B3"/>
    <w:rsid w:val="000C4871"/>
    <w:rsid w:val="000C4886"/>
    <w:rsid w:val="000C48A2"/>
    <w:rsid w:val="000C4A0C"/>
    <w:rsid w:val="000C4FC7"/>
    <w:rsid w:val="000C5209"/>
    <w:rsid w:val="000C5358"/>
    <w:rsid w:val="000C54C5"/>
    <w:rsid w:val="000C5710"/>
    <w:rsid w:val="000C574A"/>
    <w:rsid w:val="000C5760"/>
    <w:rsid w:val="000C5B3E"/>
    <w:rsid w:val="000C5CD5"/>
    <w:rsid w:val="000C61DE"/>
    <w:rsid w:val="000C6252"/>
    <w:rsid w:val="000C63AA"/>
    <w:rsid w:val="000C648C"/>
    <w:rsid w:val="000C6693"/>
    <w:rsid w:val="000C6987"/>
    <w:rsid w:val="000C69D3"/>
    <w:rsid w:val="000C6CC2"/>
    <w:rsid w:val="000C7258"/>
    <w:rsid w:val="000C76E7"/>
    <w:rsid w:val="000C7740"/>
    <w:rsid w:val="000C7945"/>
    <w:rsid w:val="000C7BEE"/>
    <w:rsid w:val="000D02F1"/>
    <w:rsid w:val="000D03DE"/>
    <w:rsid w:val="000D0517"/>
    <w:rsid w:val="000D0536"/>
    <w:rsid w:val="000D0634"/>
    <w:rsid w:val="000D066E"/>
    <w:rsid w:val="000D09FA"/>
    <w:rsid w:val="000D1064"/>
    <w:rsid w:val="000D10A2"/>
    <w:rsid w:val="000D161B"/>
    <w:rsid w:val="000D1786"/>
    <w:rsid w:val="000D1940"/>
    <w:rsid w:val="000D2012"/>
    <w:rsid w:val="000D21E0"/>
    <w:rsid w:val="000D2233"/>
    <w:rsid w:val="000D26D9"/>
    <w:rsid w:val="000D278B"/>
    <w:rsid w:val="000D2924"/>
    <w:rsid w:val="000D298F"/>
    <w:rsid w:val="000D2D4C"/>
    <w:rsid w:val="000D3234"/>
    <w:rsid w:val="000D32EA"/>
    <w:rsid w:val="000D3605"/>
    <w:rsid w:val="000D375B"/>
    <w:rsid w:val="000D3D71"/>
    <w:rsid w:val="000D3E85"/>
    <w:rsid w:val="000D3F89"/>
    <w:rsid w:val="000D3F92"/>
    <w:rsid w:val="000D419B"/>
    <w:rsid w:val="000D4214"/>
    <w:rsid w:val="000D4391"/>
    <w:rsid w:val="000D4506"/>
    <w:rsid w:val="000D4C53"/>
    <w:rsid w:val="000D4D49"/>
    <w:rsid w:val="000D50B3"/>
    <w:rsid w:val="000D50CE"/>
    <w:rsid w:val="000D5198"/>
    <w:rsid w:val="000D52B5"/>
    <w:rsid w:val="000D530E"/>
    <w:rsid w:val="000D5442"/>
    <w:rsid w:val="000D57D9"/>
    <w:rsid w:val="000D5D02"/>
    <w:rsid w:val="000D612F"/>
    <w:rsid w:val="000D63CC"/>
    <w:rsid w:val="000D64A7"/>
    <w:rsid w:val="000D6573"/>
    <w:rsid w:val="000D65F3"/>
    <w:rsid w:val="000D6743"/>
    <w:rsid w:val="000D6A16"/>
    <w:rsid w:val="000D6B61"/>
    <w:rsid w:val="000D6C13"/>
    <w:rsid w:val="000D6CD4"/>
    <w:rsid w:val="000D6D6F"/>
    <w:rsid w:val="000D6F7F"/>
    <w:rsid w:val="000D6FD3"/>
    <w:rsid w:val="000D702F"/>
    <w:rsid w:val="000D72F1"/>
    <w:rsid w:val="000D7355"/>
    <w:rsid w:val="000D7620"/>
    <w:rsid w:val="000D7A61"/>
    <w:rsid w:val="000D7C24"/>
    <w:rsid w:val="000D7F4F"/>
    <w:rsid w:val="000E0792"/>
    <w:rsid w:val="000E0832"/>
    <w:rsid w:val="000E098D"/>
    <w:rsid w:val="000E0A7F"/>
    <w:rsid w:val="000E0AE5"/>
    <w:rsid w:val="000E0D9C"/>
    <w:rsid w:val="000E0FFB"/>
    <w:rsid w:val="000E104C"/>
    <w:rsid w:val="000E1364"/>
    <w:rsid w:val="000E1846"/>
    <w:rsid w:val="000E1D45"/>
    <w:rsid w:val="000E1F44"/>
    <w:rsid w:val="000E2E0F"/>
    <w:rsid w:val="000E327B"/>
    <w:rsid w:val="000E3439"/>
    <w:rsid w:val="000E35CC"/>
    <w:rsid w:val="000E3677"/>
    <w:rsid w:val="000E3939"/>
    <w:rsid w:val="000E3C4D"/>
    <w:rsid w:val="000E3CAC"/>
    <w:rsid w:val="000E3EBA"/>
    <w:rsid w:val="000E3F80"/>
    <w:rsid w:val="000E3FB0"/>
    <w:rsid w:val="000E4785"/>
    <w:rsid w:val="000E4877"/>
    <w:rsid w:val="000E4AC8"/>
    <w:rsid w:val="000E4FC0"/>
    <w:rsid w:val="000E5157"/>
    <w:rsid w:val="000E53A8"/>
    <w:rsid w:val="000E550F"/>
    <w:rsid w:val="000E558E"/>
    <w:rsid w:val="000E5AFA"/>
    <w:rsid w:val="000E5B45"/>
    <w:rsid w:val="000E5D7E"/>
    <w:rsid w:val="000E63BF"/>
    <w:rsid w:val="000E67DD"/>
    <w:rsid w:val="000E6A40"/>
    <w:rsid w:val="000E6B83"/>
    <w:rsid w:val="000E6C62"/>
    <w:rsid w:val="000E6C99"/>
    <w:rsid w:val="000E6E25"/>
    <w:rsid w:val="000E6FFE"/>
    <w:rsid w:val="000E7062"/>
    <w:rsid w:val="000E7343"/>
    <w:rsid w:val="000E7521"/>
    <w:rsid w:val="000E7A72"/>
    <w:rsid w:val="000E7DD1"/>
    <w:rsid w:val="000E7F00"/>
    <w:rsid w:val="000F00F7"/>
    <w:rsid w:val="000F0479"/>
    <w:rsid w:val="000F05F9"/>
    <w:rsid w:val="000F08D7"/>
    <w:rsid w:val="000F0AEF"/>
    <w:rsid w:val="000F0BBF"/>
    <w:rsid w:val="000F0E3D"/>
    <w:rsid w:val="000F126B"/>
    <w:rsid w:val="000F1386"/>
    <w:rsid w:val="000F14A7"/>
    <w:rsid w:val="000F167F"/>
    <w:rsid w:val="000F16A1"/>
    <w:rsid w:val="000F16FF"/>
    <w:rsid w:val="000F1D8E"/>
    <w:rsid w:val="000F1F53"/>
    <w:rsid w:val="000F236A"/>
    <w:rsid w:val="000F239D"/>
    <w:rsid w:val="000F2421"/>
    <w:rsid w:val="000F2A33"/>
    <w:rsid w:val="000F2EE4"/>
    <w:rsid w:val="000F312D"/>
    <w:rsid w:val="000F3336"/>
    <w:rsid w:val="000F3503"/>
    <w:rsid w:val="000F36C5"/>
    <w:rsid w:val="000F38A5"/>
    <w:rsid w:val="000F3BC3"/>
    <w:rsid w:val="000F3CD9"/>
    <w:rsid w:val="000F4519"/>
    <w:rsid w:val="000F451C"/>
    <w:rsid w:val="000F453D"/>
    <w:rsid w:val="000F45C0"/>
    <w:rsid w:val="000F47EA"/>
    <w:rsid w:val="000F48A0"/>
    <w:rsid w:val="000F48E6"/>
    <w:rsid w:val="000F511D"/>
    <w:rsid w:val="000F5394"/>
    <w:rsid w:val="000F5A3F"/>
    <w:rsid w:val="000F5C8A"/>
    <w:rsid w:val="000F5DAC"/>
    <w:rsid w:val="000F5E77"/>
    <w:rsid w:val="000F5F11"/>
    <w:rsid w:val="000F6054"/>
    <w:rsid w:val="000F611B"/>
    <w:rsid w:val="000F6182"/>
    <w:rsid w:val="000F6279"/>
    <w:rsid w:val="000F6CC4"/>
    <w:rsid w:val="000F7286"/>
    <w:rsid w:val="000F76B5"/>
    <w:rsid w:val="000F772D"/>
    <w:rsid w:val="000F7A93"/>
    <w:rsid w:val="000F7B1C"/>
    <w:rsid w:val="00100070"/>
    <w:rsid w:val="001000B3"/>
    <w:rsid w:val="001003C6"/>
    <w:rsid w:val="00100ADA"/>
    <w:rsid w:val="00100C9B"/>
    <w:rsid w:val="00100CB4"/>
    <w:rsid w:val="0010110D"/>
    <w:rsid w:val="001014F7"/>
    <w:rsid w:val="00101566"/>
    <w:rsid w:val="00101A30"/>
    <w:rsid w:val="0010212A"/>
    <w:rsid w:val="001021E2"/>
    <w:rsid w:val="00102727"/>
    <w:rsid w:val="00102A51"/>
    <w:rsid w:val="00102B45"/>
    <w:rsid w:val="00102E7C"/>
    <w:rsid w:val="00102F6A"/>
    <w:rsid w:val="00103013"/>
    <w:rsid w:val="00103040"/>
    <w:rsid w:val="00103173"/>
    <w:rsid w:val="0010339B"/>
    <w:rsid w:val="00103404"/>
    <w:rsid w:val="001034BC"/>
    <w:rsid w:val="00103657"/>
    <w:rsid w:val="0010375E"/>
    <w:rsid w:val="0010380A"/>
    <w:rsid w:val="001038E1"/>
    <w:rsid w:val="001038E7"/>
    <w:rsid w:val="00103A67"/>
    <w:rsid w:val="00103C38"/>
    <w:rsid w:val="00103DDF"/>
    <w:rsid w:val="00103EB9"/>
    <w:rsid w:val="00103F59"/>
    <w:rsid w:val="00104271"/>
    <w:rsid w:val="001044BE"/>
    <w:rsid w:val="00104569"/>
    <w:rsid w:val="001048A2"/>
    <w:rsid w:val="00104FA2"/>
    <w:rsid w:val="001055F0"/>
    <w:rsid w:val="001058B6"/>
    <w:rsid w:val="00105A8C"/>
    <w:rsid w:val="00105B61"/>
    <w:rsid w:val="00105BE6"/>
    <w:rsid w:val="00105C4C"/>
    <w:rsid w:val="00106106"/>
    <w:rsid w:val="0010633C"/>
    <w:rsid w:val="001064C0"/>
    <w:rsid w:val="0010662C"/>
    <w:rsid w:val="00106CF0"/>
    <w:rsid w:val="00106E82"/>
    <w:rsid w:val="0010712F"/>
    <w:rsid w:val="0010745B"/>
    <w:rsid w:val="00107829"/>
    <w:rsid w:val="001079B3"/>
    <w:rsid w:val="00107D5D"/>
    <w:rsid w:val="00107D96"/>
    <w:rsid w:val="00110062"/>
    <w:rsid w:val="001101AF"/>
    <w:rsid w:val="0011048C"/>
    <w:rsid w:val="00110FF2"/>
    <w:rsid w:val="0011106A"/>
    <w:rsid w:val="00111113"/>
    <w:rsid w:val="00111596"/>
    <w:rsid w:val="00111847"/>
    <w:rsid w:val="001118E6"/>
    <w:rsid w:val="00111BCE"/>
    <w:rsid w:val="00111F8C"/>
    <w:rsid w:val="001120AE"/>
    <w:rsid w:val="00112227"/>
    <w:rsid w:val="0011223D"/>
    <w:rsid w:val="00112863"/>
    <w:rsid w:val="00112901"/>
    <w:rsid w:val="00112B48"/>
    <w:rsid w:val="00112F27"/>
    <w:rsid w:val="0011352C"/>
    <w:rsid w:val="00113C97"/>
    <w:rsid w:val="00113F5D"/>
    <w:rsid w:val="001146FF"/>
    <w:rsid w:val="00114A52"/>
    <w:rsid w:val="00114A8A"/>
    <w:rsid w:val="00114D14"/>
    <w:rsid w:val="00114D75"/>
    <w:rsid w:val="00114F0F"/>
    <w:rsid w:val="00115139"/>
    <w:rsid w:val="001152CB"/>
    <w:rsid w:val="00115360"/>
    <w:rsid w:val="0011544A"/>
    <w:rsid w:val="001155F3"/>
    <w:rsid w:val="0011584E"/>
    <w:rsid w:val="00115C18"/>
    <w:rsid w:val="00115C4A"/>
    <w:rsid w:val="00115DC3"/>
    <w:rsid w:val="00115FE1"/>
    <w:rsid w:val="00116017"/>
    <w:rsid w:val="00116056"/>
    <w:rsid w:val="0011615F"/>
    <w:rsid w:val="00116547"/>
    <w:rsid w:val="001168BD"/>
    <w:rsid w:val="00116B55"/>
    <w:rsid w:val="00116B91"/>
    <w:rsid w:val="00116C33"/>
    <w:rsid w:val="00117274"/>
    <w:rsid w:val="00117438"/>
    <w:rsid w:val="00117492"/>
    <w:rsid w:val="0011766E"/>
    <w:rsid w:val="0011780F"/>
    <w:rsid w:val="001178CB"/>
    <w:rsid w:val="00117BE6"/>
    <w:rsid w:val="00117DFB"/>
    <w:rsid w:val="0012009C"/>
    <w:rsid w:val="001200B2"/>
    <w:rsid w:val="001200CF"/>
    <w:rsid w:val="001202AD"/>
    <w:rsid w:val="00120363"/>
    <w:rsid w:val="00120368"/>
    <w:rsid w:val="0012073B"/>
    <w:rsid w:val="001207C4"/>
    <w:rsid w:val="00120CA1"/>
    <w:rsid w:val="00120E57"/>
    <w:rsid w:val="00121116"/>
    <w:rsid w:val="00121715"/>
    <w:rsid w:val="00121ACB"/>
    <w:rsid w:val="00121DCC"/>
    <w:rsid w:val="00121DDF"/>
    <w:rsid w:val="001225E0"/>
    <w:rsid w:val="001227E9"/>
    <w:rsid w:val="0012282C"/>
    <w:rsid w:val="0012294A"/>
    <w:rsid w:val="00122A00"/>
    <w:rsid w:val="00122A7B"/>
    <w:rsid w:val="00122B59"/>
    <w:rsid w:val="00122F5C"/>
    <w:rsid w:val="001238DE"/>
    <w:rsid w:val="00123985"/>
    <w:rsid w:val="00123BFA"/>
    <w:rsid w:val="00123F07"/>
    <w:rsid w:val="001243BB"/>
    <w:rsid w:val="0012452E"/>
    <w:rsid w:val="00124804"/>
    <w:rsid w:val="00124ABA"/>
    <w:rsid w:val="00124AEE"/>
    <w:rsid w:val="00124DC9"/>
    <w:rsid w:val="001254E8"/>
    <w:rsid w:val="00125532"/>
    <w:rsid w:val="0012573E"/>
    <w:rsid w:val="00125E8E"/>
    <w:rsid w:val="00125EB5"/>
    <w:rsid w:val="00126341"/>
    <w:rsid w:val="001263FD"/>
    <w:rsid w:val="00126645"/>
    <w:rsid w:val="001267D9"/>
    <w:rsid w:val="0012682B"/>
    <w:rsid w:val="00126B97"/>
    <w:rsid w:val="00126BC7"/>
    <w:rsid w:val="00126D36"/>
    <w:rsid w:val="0012714C"/>
    <w:rsid w:val="001271BB"/>
    <w:rsid w:val="001278DF"/>
    <w:rsid w:val="0012794B"/>
    <w:rsid w:val="00127CCD"/>
    <w:rsid w:val="001300FC"/>
    <w:rsid w:val="0013044E"/>
    <w:rsid w:val="001304F3"/>
    <w:rsid w:val="0013078D"/>
    <w:rsid w:val="001308D5"/>
    <w:rsid w:val="00130914"/>
    <w:rsid w:val="00130B78"/>
    <w:rsid w:val="00130B9A"/>
    <w:rsid w:val="00130BD2"/>
    <w:rsid w:val="00130D26"/>
    <w:rsid w:val="00130DB9"/>
    <w:rsid w:val="0013114F"/>
    <w:rsid w:val="0013168F"/>
    <w:rsid w:val="00131E23"/>
    <w:rsid w:val="00132066"/>
    <w:rsid w:val="0013208E"/>
    <w:rsid w:val="00132149"/>
    <w:rsid w:val="00132329"/>
    <w:rsid w:val="0013251D"/>
    <w:rsid w:val="00132973"/>
    <w:rsid w:val="00132D61"/>
    <w:rsid w:val="00132E1C"/>
    <w:rsid w:val="0013312C"/>
    <w:rsid w:val="00133256"/>
    <w:rsid w:val="001334D7"/>
    <w:rsid w:val="00133542"/>
    <w:rsid w:val="00133651"/>
    <w:rsid w:val="00133666"/>
    <w:rsid w:val="00133696"/>
    <w:rsid w:val="00133A02"/>
    <w:rsid w:val="00133C82"/>
    <w:rsid w:val="00133D4C"/>
    <w:rsid w:val="001343CA"/>
    <w:rsid w:val="00134810"/>
    <w:rsid w:val="00134896"/>
    <w:rsid w:val="00134959"/>
    <w:rsid w:val="00134C23"/>
    <w:rsid w:val="001357BB"/>
    <w:rsid w:val="001358D8"/>
    <w:rsid w:val="00136183"/>
    <w:rsid w:val="00136ABC"/>
    <w:rsid w:val="00136BC8"/>
    <w:rsid w:val="0013720D"/>
    <w:rsid w:val="00137255"/>
    <w:rsid w:val="00137332"/>
    <w:rsid w:val="00137AE2"/>
    <w:rsid w:val="00137D5B"/>
    <w:rsid w:val="00137E46"/>
    <w:rsid w:val="00137E7D"/>
    <w:rsid w:val="00137F42"/>
    <w:rsid w:val="00140013"/>
    <w:rsid w:val="00140030"/>
    <w:rsid w:val="00140126"/>
    <w:rsid w:val="001409B4"/>
    <w:rsid w:val="001409E0"/>
    <w:rsid w:val="00140A41"/>
    <w:rsid w:val="00140EE9"/>
    <w:rsid w:val="001411B2"/>
    <w:rsid w:val="001413AF"/>
    <w:rsid w:val="0014184D"/>
    <w:rsid w:val="00141882"/>
    <w:rsid w:val="00141922"/>
    <w:rsid w:val="00141DE1"/>
    <w:rsid w:val="00141E96"/>
    <w:rsid w:val="00141FDA"/>
    <w:rsid w:val="001424E6"/>
    <w:rsid w:val="00142898"/>
    <w:rsid w:val="00142D95"/>
    <w:rsid w:val="00142EE6"/>
    <w:rsid w:val="00142F07"/>
    <w:rsid w:val="00143043"/>
    <w:rsid w:val="00143049"/>
    <w:rsid w:val="0014329C"/>
    <w:rsid w:val="00143483"/>
    <w:rsid w:val="001434CC"/>
    <w:rsid w:val="00143571"/>
    <w:rsid w:val="00143588"/>
    <w:rsid w:val="00143617"/>
    <w:rsid w:val="0014378B"/>
    <w:rsid w:val="00143A5D"/>
    <w:rsid w:val="00143DBB"/>
    <w:rsid w:val="00143DFC"/>
    <w:rsid w:val="00143EE9"/>
    <w:rsid w:val="00144A5E"/>
    <w:rsid w:val="00144D75"/>
    <w:rsid w:val="001450C1"/>
    <w:rsid w:val="00145656"/>
    <w:rsid w:val="00145772"/>
    <w:rsid w:val="00145A65"/>
    <w:rsid w:val="00145A84"/>
    <w:rsid w:val="00145B0E"/>
    <w:rsid w:val="00145BD6"/>
    <w:rsid w:val="00145C21"/>
    <w:rsid w:val="00145E9C"/>
    <w:rsid w:val="00145F91"/>
    <w:rsid w:val="00146000"/>
    <w:rsid w:val="001462E4"/>
    <w:rsid w:val="00146819"/>
    <w:rsid w:val="00146A5A"/>
    <w:rsid w:val="00146BF6"/>
    <w:rsid w:val="00146E16"/>
    <w:rsid w:val="00146E52"/>
    <w:rsid w:val="00146E56"/>
    <w:rsid w:val="00146E86"/>
    <w:rsid w:val="00146FBD"/>
    <w:rsid w:val="00147013"/>
    <w:rsid w:val="00147120"/>
    <w:rsid w:val="00147172"/>
    <w:rsid w:val="00147591"/>
    <w:rsid w:val="001475D9"/>
    <w:rsid w:val="001477E3"/>
    <w:rsid w:val="00147856"/>
    <w:rsid w:val="00147A71"/>
    <w:rsid w:val="00150613"/>
    <w:rsid w:val="00151114"/>
    <w:rsid w:val="001515F4"/>
    <w:rsid w:val="00151624"/>
    <w:rsid w:val="00151AA2"/>
    <w:rsid w:val="00151B2D"/>
    <w:rsid w:val="00151D22"/>
    <w:rsid w:val="0015205D"/>
    <w:rsid w:val="001521A2"/>
    <w:rsid w:val="00152478"/>
    <w:rsid w:val="00152685"/>
    <w:rsid w:val="0015269E"/>
    <w:rsid w:val="00152980"/>
    <w:rsid w:val="001529A9"/>
    <w:rsid w:val="00152A45"/>
    <w:rsid w:val="00152BC4"/>
    <w:rsid w:val="00152DBE"/>
    <w:rsid w:val="001531AE"/>
    <w:rsid w:val="00153538"/>
    <w:rsid w:val="001535E7"/>
    <w:rsid w:val="001536A6"/>
    <w:rsid w:val="001537B4"/>
    <w:rsid w:val="00153919"/>
    <w:rsid w:val="001539DF"/>
    <w:rsid w:val="00153CA1"/>
    <w:rsid w:val="00153F5B"/>
    <w:rsid w:val="001540A1"/>
    <w:rsid w:val="001540A8"/>
    <w:rsid w:val="001543DF"/>
    <w:rsid w:val="001545EB"/>
    <w:rsid w:val="00154681"/>
    <w:rsid w:val="001546C7"/>
    <w:rsid w:val="001547CC"/>
    <w:rsid w:val="001548EB"/>
    <w:rsid w:val="00154C6F"/>
    <w:rsid w:val="00154EFF"/>
    <w:rsid w:val="001550BF"/>
    <w:rsid w:val="0015536A"/>
    <w:rsid w:val="0015555E"/>
    <w:rsid w:val="00155636"/>
    <w:rsid w:val="00155673"/>
    <w:rsid w:val="00155B06"/>
    <w:rsid w:val="00155F6C"/>
    <w:rsid w:val="00155F98"/>
    <w:rsid w:val="00156304"/>
    <w:rsid w:val="00156520"/>
    <w:rsid w:val="001569E3"/>
    <w:rsid w:val="00156A1A"/>
    <w:rsid w:val="00156A8D"/>
    <w:rsid w:val="00156C3A"/>
    <w:rsid w:val="00156D5D"/>
    <w:rsid w:val="00156F3E"/>
    <w:rsid w:val="00157331"/>
    <w:rsid w:val="001575C4"/>
    <w:rsid w:val="00157600"/>
    <w:rsid w:val="00157678"/>
    <w:rsid w:val="001579CD"/>
    <w:rsid w:val="00157CDE"/>
    <w:rsid w:val="00157FE8"/>
    <w:rsid w:val="00160360"/>
    <w:rsid w:val="0016062D"/>
    <w:rsid w:val="00160914"/>
    <w:rsid w:val="001609F6"/>
    <w:rsid w:val="00160CA0"/>
    <w:rsid w:val="00160EAB"/>
    <w:rsid w:val="00160F3F"/>
    <w:rsid w:val="0016115F"/>
    <w:rsid w:val="00161235"/>
    <w:rsid w:val="001612CB"/>
    <w:rsid w:val="001618D4"/>
    <w:rsid w:val="00161A15"/>
    <w:rsid w:val="00161AA9"/>
    <w:rsid w:val="00161C29"/>
    <w:rsid w:val="00161EA4"/>
    <w:rsid w:val="00161F7A"/>
    <w:rsid w:val="001620A2"/>
    <w:rsid w:val="0016212C"/>
    <w:rsid w:val="00162179"/>
    <w:rsid w:val="0016222C"/>
    <w:rsid w:val="001622C8"/>
    <w:rsid w:val="00162380"/>
    <w:rsid w:val="00162553"/>
    <w:rsid w:val="00162631"/>
    <w:rsid w:val="001626BF"/>
    <w:rsid w:val="00162A9C"/>
    <w:rsid w:val="00162DE7"/>
    <w:rsid w:val="00162EF7"/>
    <w:rsid w:val="00162F47"/>
    <w:rsid w:val="00163021"/>
    <w:rsid w:val="00163027"/>
    <w:rsid w:val="001630A8"/>
    <w:rsid w:val="00163164"/>
    <w:rsid w:val="00163169"/>
    <w:rsid w:val="0016348C"/>
    <w:rsid w:val="00163607"/>
    <w:rsid w:val="0016380C"/>
    <w:rsid w:val="0016398B"/>
    <w:rsid w:val="00163AC5"/>
    <w:rsid w:val="00163EA7"/>
    <w:rsid w:val="00163EFE"/>
    <w:rsid w:val="00163F54"/>
    <w:rsid w:val="00163F63"/>
    <w:rsid w:val="0016447E"/>
    <w:rsid w:val="00164517"/>
    <w:rsid w:val="001645FE"/>
    <w:rsid w:val="00164671"/>
    <w:rsid w:val="00164FFF"/>
    <w:rsid w:val="00165304"/>
    <w:rsid w:val="00165398"/>
    <w:rsid w:val="001653D5"/>
    <w:rsid w:val="001653ED"/>
    <w:rsid w:val="00165591"/>
    <w:rsid w:val="00165A90"/>
    <w:rsid w:val="00165AB5"/>
    <w:rsid w:val="00165C67"/>
    <w:rsid w:val="001662E9"/>
    <w:rsid w:val="00166406"/>
    <w:rsid w:val="00166675"/>
    <w:rsid w:val="001666C9"/>
    <w:rsid w:val="00166705"/>
    <w:rsid w:val="00166741"/>
    <w:rsid w:val="00166B9A"/>
    <w:rsid w:val="00166F28"/>
    <w:rsid w:val="00167016"/>
    <w:rsid w:val="0016758B"/>
    <w:rsid w:val="00167713"/>
    <w:rsid w:val="001677A5"/>
    <w:rsid w:val="0017029B"/>
    <w:rsid w:val="001703BA"/>
    <w:rsid w:val="0017055B"/>
    <w:rsid w:val="00170681"/>
    <w:rsid w:val="00170774"/>
    <w:rsid w:val="00170950"/>
    <w:rsid w:val="00170D5A"/>
    <w:rsid w:val="00170D72"/>
    <w:rsid w:val="00170DCF"/>
    <w:rsid w:val="00170FE2"/>
    <w:rsid w:val="00171054"/>
    <w:rsid w:val="001710AE"/>
    <w:rsid w:val="00171412"/>
    <w:rsid w:val="0017159F"/>
    <w:rsid w:val="00171920"/>
    <w:rsid w:val="001719C3"/>
    <w:rsid w:val="0017225D"/>
    <w:rsid w:val="00172379"/>
    <w:rsid w:val="00172438"/>
    <w:rsid w:val="0017258C"/>
    <w:rsid w:val="00172646"/>
    <w:rsid w:val="001727D2"/>
    <w:rsid w:val="00172881"/>
    <w:rsid w:val="001729CB"/>
    <w:rsid w:val="00172A3C"/>
    <w:rsid w:val="00172CB1"/>
    <w:rsid w:val="0017318C"/>
    <w:rsid w:val="00173B49"/>
    <w:rsid w:val="00173B58"/>
    <w:rsid w:val="00173BD9"/>
    <w:rsid w:val="00173D90"/>
    <w:rsid w:val="00174080"/>
    <w:rsid w:val="00174153"/>
    <w:rsid w:val="00174380"/>
    <w:rsid w:val="00174541"/>
    <w:rsid w:val="001748F2"/>
    <w:rsid w:val="00174B4B"/>
    <w:rsid w:val="00174C95"/>
    <w:rsid w:val="00174C98"/>
    <w:rsid w:val="0017503F"/>
    <w:rsid w:val="001750E6"/>
    <w:rsid w:val="00175114"/>
    <w:rsid w:val="0017513E"/>
    <w:rsid w:val="00175274"/>
    <w:rsid w:val="00175352"/>
    <w:rsid w:val="00175491"/>
    <w:rsid w:val="001754EA"/>
    <w:rsid w:val="00175589"/>
    <w:rsid w:val="00175A2B"/>
    <w:rsid w:val="00175ED3"/>
    <w:rsid w:val="0017617D"/>
    <w:rsid w:val="00176574"/>
    <w:rsid w:val="0017686C"/>
    <w:rsid w:val="00176892"/>
    <w:rsid w:val="00176978"/>
    <w:rsid w:val="00176994"/>
    <w:rsid w:val="00176C27"/>
    <w:rsid w:val="00176EEF"/>
    <w:rsid w:val="00177076"/>
    <w:rsid w:val="0017709F"/>
    <w:rsid w:val="001773B7"/>
    <w:rsid w:val="0017753F"/>
    <w:rsid w:val="001776AD"/>
    <w:rsid w:val="001779DA"/>
    <w:rsid w:val="00177AD1"/>
    <w:rsid w:val="00177ADB"/>
    <w:rsid w:val="00177F15"/>
    <w:rsid w:val="001800B1"/>
    <w:rsid w:val="0018049E"/>
    <w:rsid w:val="001804BD"/>
    <w:rsid w:val="0018086D"/>
    <w:rsid w:val="00180911"/>
    <w:rsid w:val="001809D5"/>
    <w:rsid w:val="00180B6C"/>
    <w:rsid w:val="00180D3F"/>
    <w:rsid w:val="00180F3B"/>
    <w:rsid w:val="00180F57"/>
    <w:rsid w:val="00180F82"/>
    <w:rsid w:val="00181069"/>
    <w:rsid w:val="001811A4"/>
    <w:rsid w:val="001811D8"/>
    <w:rsid w:val="001813E4"/>
    <w:rsid w:val="00181B26"/>
    <w:rsid w:val="00181E08"/>
    <w:rsid w:val="00181F3C"/>
    <w:rsid w:val="001823FA"/>
    <w:rsid w:val="00182716"/>
    <w:rsid w:val="00182765"/>
    <w:rsid w:val="00182866"/>
    <w:rsid w:val="00182AEB"/>
    <w:rsid w:val="00182C93"/>
    <w:rsid w:val="00183032"/>
    <w:rsid w:val="0018319D"/>
    <w:rsid w:val="00183202"/>
    <w:rsid w:val="00183237"/>
    <w:rsid w:val="0018361B"/>
    <w:rsid w:val="001836CE"/>
    <w:rsid w:val="0018394F"/>
    <w:rsid w:val="00183EE8"/>
    <w:rsid w:val="00183F84"/>
    <w:rsid w:val="00184057"/>
    <w:rsid w:val="001846BA"/>
    <w:rsid w:val="001846E8"/>
    <w:rsid w:val="00184878"/>
    <w:rsid w:val="00184887"/>
    <w:rsid w:val="00184963"/>
    <w:rsid w:val="00184B36"/>
    <w:rsid w:val="00184C58"/>
    <w:rsid w:val="00184CD5"/>
    <w:rsid w:val="00184CF3"/>
    <w:rsid w:val="00184DEC"/>
    <w:rsid w:val="00185065"/>
    <w:rsid w:val="001852FC"/>
    <w:rsid w:val="00185302"/>
    <w:rsid w:val="001853E6"/>
    <w:rsid w:val="0018541E"/>
    <w:rsid w:val="001856D9"/>
    <w:rsid w:val="00185721"/>
    <w:rsid w:val="001857C4"/>
    <w:rsid w:val="00185BCA"/>
    <w:rsid w:val="001860A5"/>
    <w:rsid w:val="0018640F"/>
    <w:rsid w:val="00186536"/>
    <w:rsid w:val="001865BA"/>
    <w:rsid w:val="001867A6"/>
    <w:rsid w:val="00186B8F"/>
    <w:rsid w:val="001870B5"/>
    <w:rsid w:val="0018727F"/>
    <w:rsid w:val="0018741D"/>
    <w:rsid w:val="00187569"/>
    <w:rsid w:val="00187652"/>
    <w:rsid w:val="001876EE"/>
    <w:rsid w:val="00187B15"/>
    <w:rsid w:val="00187CA6"/>
    <w:rsid w:val="0019043F"/>
    <w:rsid w:val="0019047D"/>
    <w:rsid w:val="00190638"/>
    <w:rsid w:val="001907A9"/>
    <w:rsid w:val="00190855"/>
    <w:rsid w:val="00190B93"/>
    <w:rsid w:val="00190BEA"/>
    <w:rsid w:val="0019105B"/>
    <w:rsid w:val="00191184"/>
    <w:rsid w:val="00191241"/>
    <w:rsid w:val="0019143D"/>
    <w:rsid w:val="0019172B"/>
    <w:rsid w:val="00191749"/>
    <w:rsid w:val="00191784"/>
    <w:rsid w:val="001917A5"/>
    <w:rsid w:val="00191D38"/>
    <w:rsid w:val="00191E1C"/>
    <w:rsid w:val="00191EF5"/>
    <w:rsid w:val="00192398"/>
    <w:rsid w:val="0019316D"/>
    <w:rsid w:val="00193286"/>
    <w:rsid w:val="001932E4"/>
    <w:rsid w:val="00193499"/>
    <w:rsid w:val="00193B7A"/>
    <w:rsid w:val="00193C9F"/>
    <w:rsid w:val="00193E18"/>
    <w:rsid w:val="00193F21"/>
    <w:rsid w:val="001940AC"/>
    <w:rsid w:val="001940CF"/>
    <w:rsid w:val="00194321"/>
    <w:rsid w:val="00194529"/>
    <w:rsid w:val="001945A7"/>
    <w:rsid w:val="00194836"/>
    <w:rsid w:val="00194E90"/>
    <w:rsid w:val="0019504E"/>
    <w:rsid w:val="00195086"/>
    <w:rsid w:val="00195419"/>
    <w:rsid w:val="001956E1"/>
    <w:rsid w:val="00195768"/>
    <w:rsid w:val="00195915"/>
    <w:rsid w:val="001959AB"/>
    <w:rsid w:val="001959FE"/>
    <w:rsid w:val="00195DC5"/>
    <w:rsid w:val="00196012"/>
    <w:rsid w:val="00196227"/>
    <w:rsid w:val="0019627F"/>
    <w:rsid w:val="001963FE"/>
    <w:rsid w:val="0019640F"/>
    <w:rsid w:val="00196754"/>
    <w:rsid w:val="00196CF3"/>
    <w:rsid w:val="00196D6A"/>
    <w:rsid w:val="00196DAB"/>
    <w:rsid w:val="00196DF1"/>
    <w:rsid w:val="00196F82"/>
    <w:rsid w:val="0019737C"/>
    <w:rsid w:val="00197610"/>
    <w:rsid w:val="00197932"/>
    <w:rsid w:val="00197FBC"/>
    <w:rsid w:val="001A01AC"/>
    <w:rsid w:val="001A0406"/>
    <w:rsid w:val="001A0EBA"/>
    <w:rsid w:val="001A1580"/>
    <w:rsid w:val="001A165D"/>
    <w:rsid w:val="001A16BD"/>
    <w:rsid w:val="001A18AE"/>
    <w:rsid w:val="001A1BA5"/>
    <w:rsid w:val="001A1BC7"/>
    <w:rsid w:val="001A1C7B"/>
    <w:rsid w:val="001A1CF5"/>
    <w:rsid w:val="001A224E"/>
    <w:rsid w:val="001A25D6"/>
    <w:rsid w:val="001A274B"/>
    <w:rsid w:val="001A28FC"/>
    <w:rsid w:val="001A2B44"/>
    <w:rsid w:val="001A2BBA"/>
    <w:rsid w:val="001A2C98"/>
    <w:rsid w:val="001A2E76"/>
    <w:rsid w:val="001A315C"/>
    <w:rsid w:val="001A3354"/>
    <w:rsid w:val="001A338A"/>
    <w:rsid w:val="001A3550"/>
    <w:rsid w:val="001A361A"/>
    <w:rsid w:val="001A3826"/>
    <w:rsid w:val="001A39F3"/>
    <w:rsid w:val="001A4054"/>
    <w:rsid w:val="001A4106"/>
    <w:rsid w:val="001A4187"/>
    <w:rsid w:val="001A4302"/>
    <w:rsid w:val="001A44FB"/>
    <w:rsid w:val="001A45C1"/>
    <w:rsid w:val="001A48C1"/>
    <w:rsid w:val="001A4922"/>
    <w:rsid w:val="001A4A6A"/>
    <w:rsid w:val="001A4B48"/>
    <w:rsid w:val="001A4C18"/>
    <w:rsid w:val="001A4C9F"/>
    <w:rsid w:val="001A4DB9"/>
    <w:rsid w:val="001A5180"/>
    <w:rsid w:val="001A5432"/>
    <w:rsid w:val="001A5654"/>
    <w:rsid w:val="001A5677"/>
    <w:rsid w:val="001A584F"/>
    <w:rsid w:val="001A585E"/>
    <w:rsid w:val="001A589E"/>
    <w:rsid w:val="001A58AB"/>
    <w:rsid w:val="001A5A35"/>
    <w:rsid w:val="001A5B5C"/>
    <w:rsid w:val="001A5C43"/>
    <w:rsid w:val="001A5CF3"/>
    <w:rsid w:val="001A5E01"/>
    <w:rsid w:val="001A609A"/>
    <w:rsid w:val="001A6113"/>
    <w:rsid w:val="001A62FC"/>
    <w:rsid w:val="001A6993"/>
    <w:rsid w:val="001A6A86"/>
    <w:rsid w:val="001A6B4C"/>
    <w:rsid w:val="001A6C31"/>
    <w:rsid w:val="001A720E"/>
    <w:rsid w:val="001A7212"/>
    <w:rsid w:val="001A7491"/>
    <w:rsid w:val="001A7858"/>
    <w:rsid w:val="001A78E9"/>
    <w:rsid w:val="001A7A04"/>
    <w:rsid w:val="001A7C7D"/>
    <w:rsid w:val="001A7EA0"/>
    <w:rsid w:val="001A7F27"/>
    <w:rsid w:val="001A7F70"/>
    <w:rsid w:val="001B012D"/>
    <w:rsid w:val="001B0160"/>
    <w:rsid w:val="001B01CC"/>
    <w:rsid w:val="001B03A5"/>
    <w:rsid w:val="001B0897"/>
    <w:rsid w:val="001B0922"/>
    <w:rsid w:val="001B0962"/>
    <w:rsid w:val="001B0977"/>
    <w:rsid w:val="001B0B0D"/>
    <w:rsid w:val="001B0E60"/>
    <w:rsid w:val="001B1001"/>
    <w:rsid w:val="001B1321"/>
    <w:rsid w:val="001B14D9"/>
    <w:rsid w:val="001B1CE9"/>
    <w:rsid w:val="001B1E1E"/>
    <w:rsid w:val="001B1F8F"/>
    <w:rsid w:val="001B26B2"/>
    <w:rsid w:val="001B27C4"/>
    <w:rsid w:val="001B28CC"/>
    <w:rsid w:val="001B2940"/>
    <w:rsid w:val="001B2987"/>
    <w:rsid w:val="001B2A99"/>
    <w:rsid w:val="001B2E94"/>
    <w:rsid w:val="001B2EE9"/>
    <w:rsid w:val="001B30DC"/>
    <w:rsid w:val="001B31F5"/>
    <w:rsid w:val="001B31F6"/>
    <w:rsid w:val="001B35BE"/>
    <w:rsid w:val="001B3AA2"/>
    <w:rsid w:val="001B3E0A"/>
    <w:rsid w:val="001B3E7D"/>
    <w:rsid w:val="001B4027"/>
    <w:rsid w:val="001B427B"/>
    <w:rsid w:val="001B42B3"/>
    <w:rsid w:val="001B4540"/>
    <w:rsid w:val="001B46FB"/>
    <w:rsid w:val="001B4856"/>
    <w:rsid w:val="001B499E"/>
    <w:rsid w:val="001B4B5E"/>
    <w:rsid w:val="001B4C4F"/>
    <w:rsid w:val="001B4DEF"/>
    <w:rsid w:val="001B51C6"/>
    <w:rsid w:val="001B524A"/>
    <w:rsid w:val="001B52CB"/>
    <w:rsid w:val="001B5731"/>
    <w:rsid w:val="001B5788"/>
    <w:rsid w:val="001B59F8"/>
    <w:rsid w:val="001B5A4A"/>
    <w:rsid w:val="001B5F5C"/>
    <w:rsid w:val="001B5FB6"/>
    <w:rsid w:val="001B621C"/>
    <w:rsid w:val="001B62DC"/>
    <w:rsid w:val="001B6338"/>
    <w:rsid w:val="001B6580"/>
    <w:rsid w:val="001B674F"/>
    <w:rsid w:val="001B691D"/>
    <w:rsid w:val="001B6A8B"/>
    <w:rsid w:val="001B6C10"/>
    <w:rsid w:val="001B6D39"/>
    <w:rsid w:val="001B6DBC"/>
    <w:rsid w:val="001B705E"/>
    <w:rsid w:val="001B7093"/>
    <w:rsid w:val="001B7583"/>
    <w:rsid w:val="001B75FE"/>
    <w:rsid w:val="001B76B8"/>
    <w:rsid w:val="001B7736"/>
    <w:rsid w:val="001B7753"/>
    <w:rsid w:val="001B7EB1"/>
    <w:rsid w:val="001C027B"/>
    <w:rsid w:val="001C03FA"/>
    <w:rsid w:val="001C0443"/>
    <w:rsid w:val="001C0655"/>
    <w:rsid w:val="001C0C18"/>
    <w:rsid w:val="001C0DA3"/>
    <w:rsid w:val="001C0EB4"/>
    <w:rsid w:val="001C0F18"/>
    <w:rsid w:val="001C0F9C"/>
    <w:rsid w:val="001C0FC1"/>
    <w:rsid w:val="001C11DC"/>
    <w:rsid w:val="001C1277"/>
    <w:rsid w:val="001C132A"/>
    <w:rsid w:val="001C16FE"/>
    <w:rsid w:val="001C1752"/>
    <w:rsid w:val="001C17A5"/>
    <w:rsid w:val="001C18FF"/>
    <w:rsid w:val="001C1B85"/>
    <w:rsid w:val="001C1D57"/>
    <w:rsid w:val="001C1DFC"/>
    <w:rsid w:val="001C1F06"/>
    <w:rsid w:val="001C1F56"/>
    <w:rsid w:val="001C1F57"/>
    <w:rsid w:val="001C1FCA"/>
    <w:rsid w:val="001C2173"/>
    <w:rsid w:val="001C2338"/>
    <w:rsid w:val="001C2574"/>
    <w:rsid w:val="001C26CB"/>
    <w:rsid w:val="001C27A3"/>
    <w:rsid w:val="001C2887"/>
    <w:rsid w:val="001C2E30"/>
    <w:rsid w:val="001C3261"/>
    <w:rsid w:val="001C377F"/>
    <w:rsid w:val="001C38CE"/>
    <w:rsid w:val="001C3C8A"/>
    <w:rsid w:val="001C3D5A"/>
    <w:rsid w:val="001C3E3B"/>
    <w:rsid w:val="001C4075"/>
    <w:rsid w:val="001C43E8"/>
    <w:rsid w:val="001C4519"/>
    <w:rsid w:val="001C475D"/>
    <w:rsid w:val="001C4AEA"/>
    <w:rsid w:val="001C4B1F"/>
    <w:rsid w:val="001C4C3C"/>
    <w:rsid w:val="001C50D5"/>
    <w:rsid w:val="001C50E7"/>
    <w:rsid w:val="001C518D"/>
    <w:rsid w:val="001C540B"/>
    <w:rsid w:val="001C5444"/>
    <w:rsid w:val="001C5A20"/>
    <w:rsid w:val="001C61E9"/>
    <w:rsid w:val="001C63A9"/>
    <w:rsid w:val="001C679E"/>
    <w:rsid w:val="001C6831"/>
    <w:rsid w:val="001C6887"/>
    <w:rsid w:val="001C6BFB"/>
    <w:rsid w:val="001C6CB9"/>
    <w:rsid w:val="001C6DB0"/>
    <w:rsid w:val="001C7091"/>
    <w:rsid w:val="001C70F6"/>
    <w:rsid w:val="001C718A"/>
    <w:rsid w:val="001C739F"/>
    <w:rsid w:val="001C7B77"/>
    <w:rsid w:val="001C7ED8"/>
    <w:rsid w:val="001C7F5D"/>
    <w:rsid w:val="001D00CC"/>
    <w:rsid w:val="001D0110"/>
    <w:rsid w:val="001D0458"/>
    <w:rsid w:val="001D0851"/>
    <w:rsid w:val="001D0A0C"/>
    <w:rsid w:val="001D1037"/>
    <w:rsid w:val="001D110E"/>
    <w:rsid w:val="001D12D5"/>
    <w:rsid w:val="001D131F"/>
    <w:rsid w:val="001D169B"/>
    <w:rsid w:val="001D184F"/>
    <w:rsid w:val="001D1A03"/>
    <w:rsid w:val="001D1DAA"/>
    <w:rsid w:val="001D1FCA"/>
    <w:rsid w:val="001D2120"/>
    <w:rsid w:val="001D221C"/>
    <w:rsid w:val="001D22D0"/>
    <w:rsid w:val="001D22DE"/>
    <w:rsid w:val="001D2AFD"/>
    <w:rsid w:val="001D2BFE"/>
    <w:rsid w:val="001D2DE2"/>
    <w:rsid w:val="001D2F1F"/>
    <w:rsid w:val="001D2F72"/>
    <w:rsid w:val="001D32DB"/>
    <w:rsid w:val="001D35AB"/>
    <w:rsid w:val="001D3608"/>
    <w:rsid w:val="001D36DD"/>
    <w:rsid w:val="001D37AA"/>
    <w:rsid w:val="001D3845"/>
    <w:rsid w:val="001D3A81"/>
    <w:rsid w:val="001D3D8F"/>
    <w:rsid w:val="001D407F"/>
    <w:rsid w:val="001D41B3"/>
    <w:rsid w:val="001D46D0"/>
    <w:rsid w:val="001D4745"/>
    <w:rsid w:val="001D485A"/>
    <w:rsid w:val="001D4B67"/>
    <w:rsid w:val="001D4C77"/>
    <w:rsid w:val="001D541D"/>
    <w:rsid w:val="001D571B"/>
    <w:rsid w:val="001D5CF7"/>
    <w:rsid w:val="001D5F06"/>
    <w:rsid w:val="001D602C"/>
    <w:rsid w:val="001D6330"/>
    <w:rsid w:val="001D6780"/>
    <w:rsid w:val="001D6902"/>
    <w:rsid w:val="001D6914"/>
    <w:rsid w:val="001D6A2B"/>
    <w:rsid w:val="001D6C75"/>
    <w:rsid w:val="001D6D76"/>
    <w:rsid w:val="001D6E56"/>
    <w:rsid w:val="001D719C"/>
    <w:rsid w:val="001D7218"/>
    <w:rsid w:val="001D75F9"/>
    <w:rsid w:val="001D7637"/>
    <w:rsid w:val="001D7731"/>
    <w:rsid w:val="001D7B85"/>
    <w:rsid w:val="001E044D"/>
    <w:rsid w:val="001E04F0"/>
    <w:rsid w:val="001E05B7"/>
    <w:rsid w:val="001E06E0"/>
    <w:rsid w:val="001E06E7"/>
    <w:rsid w:val="001E07F5"/>
    <w:rsid w:val="001E09C7"/>
    <w:rsid w:val="001E0C41"/>
    <w:rsid w:val="001E0F6D"/>
    <w:rsid w:val="001E1589"/>
    <w:rsid w:val="001E180D"/>
    <w:rsid w:val="001E1F5F"/>
    <w:rsid w:val="001E1FCE"/>
    <w:rsid w:val="001E216D"/>
    <w:rsid w:val="001E2726"/>
    <w:rsid w:val="001E2AB3"/>
    <w:rsid w:val="001E2C69"/>
    <w:rsid w:val="001E32C0"/>
    <w:rsid w:val="001E32C8"/>
    <w:rsid w:val="001E379E"/>
    <w:rsid w:val="001E3977"/>
    <w:rsid w:val="001E3A96"/>
    <w:rsid w:val="001E3D27"/>
    <w:rsid w:val="001E4247"/>
    <w:rsid w:val="001E47A8"/>
    <w:rsid w:val="001E4D0C"/>
    <w:rsid w:val="001E4DF7"/>
    <w:rsid w:val="001E4E1F"/>
    <w:rsid w:val="001E4F77"/>
    <w:rsid w:val="001E5286"/>
    <w:rsid w:val="001E530E"/>
    <w:rsid w:val="001E5746"/>
    <w:rsid w:val="001E580C"/>
    <w:rsid w:val="001E5A40"/>
    <w:rsid w:val="001E5E8E"/>
    <w:rsid w:val="001E638A"/>
    <w:rsid w:val="001E6553"/>
    <w:rsid w:val="001E66D1"/>
    <w:rsid w:val="001E66DF"/>
    <w:rsid w:val="001E67AC"/>
    <w:rsid w:val="001E6DAC"/>
    <w:rsid w:val="001E6E15"/>
    <w:rsid w:val="001E705D"/>
    <w:rsid w:val="001E7296"/>
    <w:rsid w:val="001E745D"/>
    <w:rsid w:val="001E7502"/>
    <w:rsid w:val="001E7749"/>
    <w:rsid w:val="001E7AEA"/>
    <w:rsid w:val="001E7AF0"/>
    <w:rsid w:val="001E7D5E"/>
    <w:rsid w:val="001E7E32"/>
    <w:rsid w:val="001E7E99"/>
    <w:rsid w:val="001F0025"/>
    <w:rsid w:val="001F01F7"/>
    <w:rsid w:val="001F0434"/>
    <w:rsid w:val="001F0786"/>
    <w:rsid w:val="001F08D1"/>
    <w:rsid w:val="001F0B6F"/>
    <w:rsid w:val="001F0CB3"/>
    <w:rsid w:val="001F0CEE"/>
    <w:rsid w:val="001F0EEC"/>
    <w:rsid w:val="001F13E6"/>
    <w:rsid w:val="001F151C"/>
    <w:rsid w:val="001F1579"/>
    <w:rsid w:val="001F1593"/>
    <w:rsid w:val="001F15C5"/>
    <w:rsid w:val="001F17DB"/>
    <w:rsid w:val="001F17FA"/>
    <w:rsid w:val="001F1864"/>
    <w:rsid w:val="001F1A39"/>
    <w:rsid w:val="001F1F93"/>
    <w:rsid w:val="001F2108"/>
    <w:rsid w:val="001F21AF"/>
    <w:rsid w:val="001F2213"/>
    <w:rsid w:val="001F25AF"/>
    <w:rsid w:val="001F2762"/>
    <w:rsid w:val="001F29D4"/>
    <w:rsid w:val="001F2D0A"/>
    <w:rsid w:val="001F2D59"/>
    <w:rsid w:val="001F2D6E"/>
    <w:rsid w:val="001F2EF5"/>
    <w:rsid w:val="001F2F15"/>
    <w:rsid w:val="001F31BE"/>
    <w:rsid w:val="001F31C1"/>
    <w:rsid w:val="001F341E"/>
    <w:rsid w:val="001F3729"/>
    <w:rsid w:val="001F3C23"/>
    <w:rsid w:val="001F3D4A"/>
    <w:rsid w:val="001F3D6E"/>
    <w:rsid w:val="001F40A5"/>
    <w:rsid w:val="001F4464"/>
    <w:rsid w:val="001F4767"/>
    <w:rsid w:val="001F49EB"/>
    <w:rsid w:val="001F4AB4"/>
    <w:rsid w:val="001F4F68"/>
    <w:rsid w:val="001F53F0"/>
    <w:rsid w:val="001F553E"/>
    <w:rsid w:val="001F55E5"/>
    <w:rsid w:val="001F5700"/>
    <w:rsid w:val="001F5775"/>
    <w:rsid w:val="001F58DA"/>
    <w:rsid w:val="001F5C5D"/>
    <w:rsid w:val="001F611E"/>
    <w:rsid w:val="001F61AF"/>
    <w:rsid w:val="001F61C5"/>
    <w:rsid w:val="001F6536"/>
    <w:rsid w:val="001F6558"/>
    <w:rsid w:val="001F6634"/>
    <w:rsid w:val="001F663C"/>
    <w:rsid w:val="001F6781"/>
    <w:rsid w:val="001F6AA7"/>
    <w:rsid w:val="001F6D75"/>
    <w:rsid w:val="001F6DC1"/>
    <w:rsid w:val="001F7027"/>
    <w:rsid w:val="001F71C6"/>
    <w:rsid w:val="001F79FD"/>
    <w:rsid w:val="001F7A2B"/>
    <w:rsid w:val="001F7AC6"/>
    <w:rsid w:val="001F7B2C"/>
    <w:rsid w:val="001F7C67"/>
    <w:rsid w:val="001F7E35"/>
    <w:rsid w:val="00200058"/>
    <w:rsid w:val="00200212"/>
    <w:rsid w:val="002002BF"/>
    <w:rsid w:val="00200649"/>
    <w:rsid w:val="00200688"/>
    <w:rsid w:val="00200787"/>
    <w:rsid w:val="00200CE1"/>
    <w:rsid w:val="00201320"/>
    <w:rsid w:val="002015AA"/>
    <w:rsid w:val="002015E1"/>
    <w:rsid w:val="002016F2"/>
    <w:rsid w:val="0020182A"/>
    <w:rsid w:val="0020193D"/>
    <w:rsid w:val="00201A5F"/>
    <w:rsid w:val="00201B9B"/>
    <w:rsid w:val="00201F25"/>
    <w:rsid w:val="00202704"/>
    <w:rsid w:val="00202968"/>
    <w:rsid w:val="00202A13"/>
    <w:rsid w:val="00202ABF"/>
    <w:rsid w:val="00202B36"/>
    <w:rsid w:val="00202BC0"/>
    <w:rsid w:val="00202D90"/>
    <w:rsid w:val="00203324"/>
    <w:rsid w:val="0020335D"/>
    <w:rsid w:val="002033E7"/>
    <w:rsid w:val="00203842"/>
    <w:rsid w:val="00203966"/>
    <w:rsid w:val="00203CDF"/>
    <w:rsid w:val="00203DE6"/>
    <w:rsid w:val="00203E4A"/>
    <w:rsid w:val="00203F5B"/>
    <w:rsid w:val="00203FFE"/>
    <w:rsid w:val="0020403A"/>
    <w:rsid w:val="00204628"/>
    <w:rsid w:val="002046FF"/>
    <w:rsid w:val="002048BE"/>
    <w:rsid w:val="00204AF0"/>
    <w:rsid w:val="00204D01"/>
    <w:rsid w:val="00204FD4"/>
    <w:rsid w:val="0020509A"/>
    <w:rsid w:val="002056BA"/>
    <w:rsid w:val="00205EB1"/>
    <w:rsid w:val="00205F75"/>
    <w:rsid w:val="002063A4"/>
    <w:rsid w:val="0020650B"/>
    <w:rsid w:val="0020654B"/>
    <w:rsid w:val="002068FE"/>
    <w:rsid w:val="002069FD"/>
    <w:rsid w:val="00206A75"/>
    <w:rsid w:val="00206D4B"/>
    <w:rsid w:val="00206DB6"/>
    <w:rsid w:val="00206DBA"/>
    <w:rsid w:val="0020717A"/>
    <w:rsid w:val="002073E9"/>
    <w:rsid w:val="00207821"/>
    <w:rsid w:val="002078C2"/>
    <w:rsid w:val="00207957"/>
    <w:rsid w:val="00207D01"/>
    <w:rsid w:val="0021010F"/>
    <w:rsid w:val="002101A1"/>
    <w:rsid w:val="00210238"/>
    <w:rsid w:val="002107BB"/>
    <w:rsid w:val="00210858"/>
    <w:rsid w:val="0021099F"/>
    <w:rsid w:val="0021113B"/>
    <w:rsid w:val="00211283"/>
    <w:rsid w:val="0021139D"/>
    <w:rsid w:val="002113AF"/>
    <w:rsid w:val="00211B03"/>
    <w:rsid w:val="00211EA6"/>
    <w:rsid w:val="00212007"/>
    <w:rsid w:val="002121FD"/>
    <w:rsid w:val="002125D4"/>
    <w:rsid w:val="002126FA"/>
    <w:rsid w:val="002129E1"/>
    <w:rsid w:val="00212D2D"/>
    <w:rsid w:val="00212DC2"/>
    <w:rsid w:val="00212E73"/>
    <w:rsid w:val="00213524"/>
    <w:rsid w:val="002135A6"/>
    <w:rsid w:val="002136D5"/>
    <w:rsid w:val="0021385E"/>
    <w:rsid w:val="0021388D"/>
    <w:rsid w:val="00213930"/>
    <w:rsid w:val="002139A0"/>
    <w:rsid w:val="0021435C"/>
    <w:rsid w:val="00214615"/>
    <w:rsid w:val="002148A5"/>
    <w:rsid w:val="00214BCE"/>
    <w:rsid w:val="00214F51"/>
    <w:rsid w:val="00215147"/>
    <w:rsid w:val="00215154"/>
    <w:rsid w:val="00215497"/>
    <w:rsid w:val="0021580D"/>
    <w:rsid w:val="0021584E"/>
    <w:rsid w:val="00215B25"/>
    <w:rsid w:val="002161B2"/>
    <w:rsid w:val="002161D1"/>
    <w:rsid w:val="002165ED"/>
    <w:rsid w:val="0021694C"/>
    <w:rsid w:val="00216A2F"/>
    <w:rsid w:val="00216D30"/>
    <w:rsid w:val="002172CC"/>
    <w:rsid w:val="00217364"/>
    <w:rsid w:val="002173DB"/>
    <w:rsid w:val="00217674"/>
    <w:rsid w:val="00217920"/>
    <w:rsid w:val="00217B2F"/>
    <w:rsid w:val="00217E2C"/>
    <w:rsid w:val="00217E6A"/>
    <w:rsid w:val="00220028"/>
    <w:rsid w:val="00220146"/>
    <w:rsid w:val="002201FB"/>
    <w:rsid w:val="002203AF"/>
    <w:rsid w:val="00220935"/>
    <w:rsid w:val="00220BB8"/>
    <w:rsid w:val="00220CE1"/>
    <w:rsid w:val="002210C5"/>
    <w:rsid w:val="00221135"/>
    <w:rsid w:val="0022174F"/>
    <w:rsid w:val="00221918"/>
    <w:rsid w:val="00221A95"/>
    <w:rsid w:val="00221B2B"/>
    <w:rsid w:val="00221E5E"/>
    <w:rsid w:val="00221EDD"/>
    <w:rsid w:val="00221F18"/>
    <w:rsid w:val="00222251"/>
    <w:rsid w:val="002222EB"/>
    <w:rsid w:val="00222940"/>
    <w:rsid w:val="00222A01"/>
    <w:rsid w:val="00222B27"/>
    <w:rsid w:val="00222D2A"/>
    <w:rsid w:val="00222EA5"/>
    <w:rsid w:val="0022306A"/>
    <w:rsid w:val="002232CF"/>
    <w:rsid w:val="0022346C"/>
    <w:rsid w:val="00223590"/>
    <w:rsid w:val="00223690"/>
    <w:rsid w:val="00223830"/>
    <w:rsid w:val="00223995"/>
    <w:rsid w:val="002240F4"/>
    <w:rsid w:val="00224406"/>
    <w:rsid w:val="0022444A"/>
    <w:rsid w:val="0022452F"/>
    <w:rsid w:val="00224540"/>
    <w:rsid w:val="0022465C"/>
    <w:rsid w:val="00224AFE"/>
    <w:rsid w:val="00224E2F"/>
    <w:rsid w:val="002250B5"/>
    <w:rsid w:val="00225514"/>
    <w:rsid w:val="002255A2"/>
    <w:rsid w:val="00225721"/>
    <w:rsid w:val="00225C05"/>
    <w:rsid w:val="00225D36"/>
    <w:rsid w:val="00225E95"/>
    <w:rsid w:val="00226274"/>
    <w:rsid w:val="00226409"/>
    <w:rsid w:val="002265BF"/>
    <w:rsid w:val="0022667C"/>
    <w:rsid w:val="0022676F"/>
    <w:rsid w:val="00226B4C"/>
    <w:rsid w:val="00226D61"/>
    <w:rsid w:val="0022712C"/>
    <w:rsid w:val="002271AF"/>
    <w:rsid w:val="0022735C"/>
    <w:rsid w:val="002273D1"/>
    <w:rsid w:val="0022789E"/>
    <w:rsid w:val="00227933"/>
    <w:rsid w:val="00227A55"/>
    <w:rsid w:val="00227E43"/>
    <w:rsid w:val="00227FAA"/>
    <w:rsid w:val="00227FAF"/>
    <w:rsid w:val="002302B3"/>
    <w:rsid w:val="002309A2"/>
    <w:rsid w:val="00230B44"/>
    <w:rsid w:val="00231402"/>
    <w:rsid w:val="00231B50"/>
    <w:rsid w:val="00231CCF"/>
    <w:rsid w:val="00231D14"/>
    <w:rsid w:val="00231EE7"/>
    <w:rsid w:val="0023213C"/>
    <w:rsid w:val="00232271"/>
    <w:rsid w:val="0023233A"/>
    <w:rsid w:val="00232982"/>
    <w:rsid w:val="00232CA3"/>
    <w:rsid w:val="00232F9D"/>
    <w:rsid w:val="00232FA8"/>
    <w:rsid w:val="002331B9"/>
    <w:rsid w:val="002333AF"/>
    <w:rsid w:val="00233442"/>
    <w:rsid w:val="002334E3"/>
    <w:rsid w:val="0023397D"/>
    <w:rsid w:val="00233A56"/>
    <w:rsid w:val="00233F26"/>
    <w:rsid w:val="00233F6C"/>
    <w:rsid w:val="00234078"/>
    <w:rsid w:val="00234170"/>
    <w:rsid w:val="00234472"/>
    <w:rsid w:val="0023453A"/>
    <w:rsid w:val="00234D42"/>
    <w:rsid w:val="00234EEE"/>
    <w:rsid w:val="0023506B"/>
    <w:rsid w:val="002350D3"/>
    <w:rsid w:val="00235562"/>
    <w:rsid w:val="00235B37"/>
    <w:rsid w:val="00235B8A"/>
    <w:rsid w:val="00235F57"/>
    <w:rsid w:val="00235FC0"/>
    <w:rsid w:val="00235FD4"/>
    <w:rsid w:val="002360F1"/>
    <w:rsid w:val="002364FD"/>
    <w:rsid w:val="00236539"/>
    <w:rsid w:val="00236566"/>
    <w:rsid w:val="002365D4"/>
    <w:rsid w:val="00236A09"/>
    <w:rsid w:val="00236CD0"/>
    <w:rsid w:val="00236DDE"/>
    <w:rsid w:val="00236DEA"/>
    <w:rsid w:val="002372C0"/>
    <w:rsid w:val="002376DB"/>
    <w:rsid w:val="0023781F"/>
    <w:rsid w:val="00237EA3"/>
    <w:rsid w:val="00237FB5"/>
    <w:rsid w:val="0024008C"/>
    <w:rsid w:val="00240100"/>
    <w:rsid w:val="002402D1"/>
    <w:rsid w:val="00240367"/>
    <w:rsid w:val="002406E9"/>
    <w:rsid w:val="00240797"/>
    <w:rsid w:val="00240DF8"/>
    <w:rsid w:val="00240EEB"/>
    <w:rsid w:val="00240FCB"/>
    <w:rsid w:val="00241384"/>
    <w:rsid w:val="00241496"/>
    <w:rsid w:val="00241742"/>
    <w:rsid w:val="00241A17"/>
    <w:rsid w:val="002422D2"/>
    <w:rsid w:val="00242506"/>
    <w:rsid w:val="002426FB"/>
    <w:rsid w:val="00242789"/>
    <w:rsid w:val="00242933"/>
    <w:rsid w:val="00242B7C"/>
    <w:rsid w:val="00242E34"/>
    <w:rsid w:val="00242EEC"/>
    <w:rsid w:val="002431A6"/>
    <w:rsid w:val="00243257"/>
    <w:rsid w:val="002432A2"/>
    <w:rsid w:val="002434CB"/>
    <w:rsid w:val="0024368E"/>
    <w:rsid w:val="002437A9"/>
    <w:rsid w:val="00243E44"/>
    <w:rsid w:val="00244168"/>
    <w:rsid w:val="002444BF"/>
    <w:rsid w:val="002446DF"/>
    <w:rsid w:val="0024471B"/>
    <w:rsid w:val="00244ACF"/>
    <w:rsid w:val="00244BA6"/>
    <w:rsid w:val="00244F48"/>
    <w:rsid w:val="00245596"/>
    <w:rsid w:val="00245EB1"/>
    <w:rsid w:val="002460D3"/>
    <w:rsid w:val="002470E9"/>
    <w:rsid w:val="00247603"/>
    <w:rsid w:val="002478F1"/>
    <w:rsid w:val="00247A36"/>
    <w:rsid w:val="00247C92"/>
    <w:rsid w:val="00247FF5"/>
    <w:rsid w:val="0025035F"/>
    <w:rsid w:val="00250438"/>
    <w:rsid w:val="002504F5"/>
    <w:rsid w:val="0025085F"/>
    <w:rsid w:val="00250A67"/>
    <w:rsid w:val="00250C48"/>
    <w:rsid w:val="00250DD4"/>
    <w:rsid w:val="0025119D"/>
    <w:rsid w:val="0025121C"/>
    <w:rsid w:val="002512F2"/>
    <w:rsid w:val="002519B1"/>
    <w:rsid w:val="00251C0F"/>
    <w:rsid w:val="00251D18"/>
    <w:rsid w:val="00251EC5"/>
    <w:rsid w:val="002520A0"/>
    <w:rsid w:val="0025216E"/>
    <w:rsid w:val="002527D7"/>
    <w:rsid w:val="00252BFD"/>
    <w:rsid w:val="002530F1"/>
    <w:rsid w:val="0025363C"/>
    <w:rsid w:val="00253857"/>
    <w:rsid w:val="002539D1"/>
    <w:rsid w:val="00253AE4"/>
    <w:rsid w:val="00253BB2"/>
    <w:rsid w:val="00253BCA"/>
    <w:rsid w:val="00253CB9"/>
    <w:rsid w:val="00253D8E"/>
    <w:rsid w:val="00253E04"/>
    <w:rsid w:val="00253E7F"/>
    <w:rsid w:val="00253EF5"/>
    <w:rsid w:val="0025432A"/>
    <w:rsid w:val="0025461A"/>
    <w:rsid w:val="002548A5"/>
    <w:rsid w:val="002548AA"/>
    <w:rsid w:val="00254A85"/>
    <w:rsid w:val="00254E93"/>
    <w:rsid w:val="00255262"/>
    <w:rsid w:val="00255283"/>
    <w:rsid w:val="002554C3"/>
    <w:rsid w:val="00255682"/>
    <w:rsid w:val="0025572A"/>
    <w:rsid w:val="00255794"/>
    <w:rsid w:val="00255CAD"/>
    <w:rsid w:val="00256167"/>
    <w:rsid w:val="0025625E"/>
    <w:rsid w:val="002564EB"/>
    <w:rsid w:val="0025694E"/>
    <w:rsid w:val="00256AA0"/>
    <w:rsid w:val="00256AB4"/>
    <w:rsid w:val="00256B81"/>
    <w:rsid w:val="00256D53"/>
    <w:rsid w:val="00256EAB"/>
    <w:rsid w:val="0025787C"/>
    <w:rsid w:val="00257B79"/>
    <w:rsid w:val="00257C63"/>
    <w:rsid w:val="00257D68"/>
    <w:rsid w:val="00257DC5"/>
    <w:rsid w:val="00260013"/>
    <w:rsid w:val="00260212"/>
    <w:rsid w:val="00260291"/>
    <w:rsid w:val="00260830"/>
    <w:rsid w:val="00260B49"/>
    <w:rsid w:val="00260B56"/>
    <w:rsid w:val="00260EB2"/>
    <w:rsid w:val="00260F26"/>
    <w:rsid w:val="00261893"/>
    <w:rsid w:val="00261B46"/>
    <w:rsid w:val="00261C49"/>
    <w:rsid w:val="00261CFA"/>
    <w:rsid w:val="00262154"/>
    <w:rsid w:val="002626C4"/>
    <w:rsid w:val="00262ACF"/>
    <w:rsid w:val="00262C51"/>
    <w:rsid w:val="00262DCF"/>
    <w:rsid w:val="0026312E"/>
    <w:rsid w:val="002631F0"/>
    <w:rsid w:val="002632F9"/>
    <w:rsid w:val="002633F8"/>
    <w:rsid w:val="002634E3"/>
    <w:rsid w:val="0026356D"/>
    <w:rsid w:val="002637CE"/>
    <w:rsid w:val="00263A5F"/>
    <w:rsid w:val="00263C99"/>
    <w:rsid w:val="00263E5E"/>
    <w:rsid w:val="002648C0"/>
    <w:rsid w:val="00264C4D"/>
    <w:rsid w:val="00264D5C"/>
    <w:rsid w:val="00265042"/>
    <w:rsid w:val="002650A3"/>
    <w:rsid w:val="0026525D"/>
    <w:rsid w:val="00265607"/>
    <w:rsid w:val="002658BF"/>
    <w:rsid w:val="002658C2"/>
    <w:rsid w:val="002658E3"/>
    <w:rsid w:val="00265A9D"/>
    <w:rsid w:val="00265E06"/>
    <w:rsid w:val="0026640F"/>
    <w:rsid w:val="00266884"/>
    <w:rsid w:val="00266A61"/>
    <w:rsid w:val="00267061"/>
    <w:rsid w:val="00267545"/>
    <w:rsid w:val="0026759B"/>
    <w:rsid w:val="002678D2"/>
    <w:rsid w:val="00267900"/>
    <w:rsid w:val="00267A47"/>
    <w:rsid w:val="00267B2E"/>
    <w:rsid w:val="00270052"/>
    <w:rsid w:val="00270127"/>
    <w:rsid w:val="002703D9"/>
    <w:rsid w:val="00270674"/>
    <w:rsid w:val="00270AFF"/>
    <w:rsid w:val="00271678"/>
    <w:rsid w:val="0027210E"/>
    <w:rsid w:val="0027215D"/>
    <w:rsid w:val="00272285"/>
    <w:rsid w:val="00272CF8"/>
    <w:rsid w:val="00272DD8"/>
    <w:rsid w:val="00272F07"/>
    <w:rsid w:val="00273477"/>
    <w:rsid w:val="00273702"/>
    <w:rsid w:val="00273783"/>
    <w:rsid w:val="00273849"/>
    <w:rsid w:val="0027389B"/>
    <w:rsid w:val="00273A20"/>
    <w:rsid w:val="00273E55"/>
    <w:rsid w:val="00273FF1"/>
    <w:rsid w:val="00274058"/>
    <w:rsid w:val="002747F5"/>
    <w:rsid w:val="00274A9C"/>
    <w:rsid w:val="00274B74"/>
    <w:rsid w:val="00274E7D"/>
    <w:rsid w:val="00274E81"/>
    <w:rsid w:val="00274E8A"/>
    <w:rsid w:val="00274EBC"/>
    <w:rsid w:val="00274F79"/>
    <w:rsid w:val="00274FA6"/>
    <w:rsid w:val="00275014"/>
    <w:rsid w:val="0027553A"/>
    <w:rsid w:val="00275610"/>
    <w:rsid w:val="00275631"/>
    <w:rsid w:val="00275834"/>
    <w:rsid w:val="00275AC9"/>
    <w:rsid w:val="00275BA8"/>
    <w:rsid w:val="00275C3D"/>
    <w:rsid w:val="00275D88"/>
    <w:rsid w:val="002765BC"/>
    <w:rsid w:val="002766F0"/>
    <w:rsid w:val="0027674B"/>
    <w:rsid w:val="0027683D"/>
    <w:rsid w:val="002768B6"/>
    <w:rsid w:val="00276927"/>
    <w:rsid w:val="00276E91"/>
    <w:rsid w:val="00277014"/>
    <w:rsid w:val="0027709B"/>
    <w:rsid w:val="0027739D"/>
    <w:rsid w:val="0027752E"/>
    <w:rsid w:val="00277562"/>
    <w:rsid w:val="0027763A"/>
    <w:rsid w:val="00277757"/>
    <w:rsid w:val="00277C72"/>
    <w:rsid w:val="00277CCF"/>
    <w:rsid w:val="00277E5E"/>
    <w:rsid w:val="00280133"/>
    <w:rsid w:val="00280251"/>
    <w:rsid w:val="00280298"/>
    <w:rsid w:val="00280535"/>
    <w:rsid w:val="002805FD"/>
    <w:rsid w:val="00280608"/>
    <w:rsid w:val="00280904"/>
    <w:rsid w:val="00281876"/>
    <w:rsid w:val="00281919"/>
    <w:rsid w:val="00281B5A"/>
    <w:rsid w:val="00282140"/>
    <w:rsid w:val="00282149"/>
    <w:rsid w:val="002821B1"/>
    <w:rsid w:val="0028225C"/>
    <w:rsid w:val="00282385"/>
    <w:rsid w:val="00282622"/>
    <w:rsid w:val="002826E3"/>
    <w:rsid w:val="0028278A"/>
    <w:rsid w:val="002829B2"/>
    <w:rsid w:val="00282C32"/>
    <w:rsid w:val="00283407"/>
    <w:rsid w:val="00283614"/>
    <w:rsid w:val="002838B9"/>
    <w:rsid w:val="00283B3F"/>
    <w:rsid w:val="00283EA9"/>
    <w:rsid w:val="00283ED9"/>
    <w:rsid w:val="00284030"/>
    <w:rsid w:val="00284099"/>
    <w:rsid w:val="002843CC"/>
    <w:rsid w:val="00284610"/>
    <w:rsid w:val="002847A1"/>
    <w:rsid w:val="00284C9A"/>
    <w:rsid w:val="00284D7A"/>
    <w:rsid w:val="00284EAB"/>
    <w:rsid w:val="00285151"/>
    <w:rsid w:val="0028527A"/>
    <w:rsid w:val="0028563D"/>
    <w:rsid w:val="00285D25"/>
    <w:rsid w:val="00285E2F"/>
    <w:rsid w:val="00285FCF"/>
    <w:rsid w:val="00286192"/>
    <w:rsid w:val="002862D9"/>
    <w:rsid w:val="002862F9"/>
    <w:rsid w:val="0028680A"/>
    <w:rsid w:val="0028683D"/>
    <w:rsid w:val="00286EFC"/>
    <w:rsid w:val="00287205"/>
    <w:rsid w:val="00287316"/>
    <w:rsid w:val="002875E3"/>
    <w:rsid w:val="002877AD"/>
    <w:rsid w:val="00287827"/>
    <w:rsid w:val="002878A5"/>
    <w:rsid w:val="00287981"/>
    <w:rsid w:val="00287ABB"/>
    <w:rsid w:val="00287C4E"/>
    <w:rsid w:val="00287EB0"/>
    <w:rsid w:val="00287F49"/>
    <w:rsid w:val="0029018C"/>
    <w:rsid w:val="002902F1"/>
    <w:rsid w:val="00290427"/>
    <w:rsid w:val="002904E8"/>
    <w:rsid w:val="00290763"/>
    <w:rsid w:val="00290952"/>
    <w:rsid w:val="00290981"/>
    <w:rsid w:val="00290A40"/>
    <w:rsid w:val="00290A4F"/>
    <w:rsid w:val="00290DD3"/>
    <w:rsid w:val="00290E39"/>
    <w:rsid w:val="00290F64"/>
    <w:rsid w:val="00291017"/>
    <w:rsid w:val="00291074"/>
    <w:rsid w:val="00291313"/>
    <w:rsid w:val="002918C0"/>
    <w:rsid w:val="00291B72"/>
    <w:rsid w:val="0029211F"/>
    <w:rsid w:val="002921F5"/>
    <w:rsid w:val="00292894"/>
    <w:rsid w:val="002930D1"/>
    <w:rsid w:val="0029332F"/>
    <w:rsid w:val="002933D6"/>
    <w:rsid w:val="0029347F"/>
    <w:rsid w:val="002936C0"/>
    <w:rsid w:val="0029374A"/>
    <w:rsid w:val="00293AE2"/>
    <w:rsid w:val="00293B13"/>
    <w:rsid w:val="00293D99"/>
    <w:rsid w:val="00294110"/>
    <w:rsid w:val="00294643"/>
    <w:rsid w:val="00294656"/>
    <w:rsid w:val="0029482E"/>
    <w:rsid w:val="00294899"/>
    <w:rsid w:val="00294C01"/>
    <w:rsid w:val="00294E91"/>
    <w:rsid w:val="00294F3D"/>
    <w:rsid w:val="00294F88"/>
    <w:rsid w:val="0029582A"/>
    <w:rsid w:val="00295942"/>
    <w:rsid w:val="002959F0"/>
    <w:rsid w:val="00296082"/>
    <w:rsid w:val="0029633F"/>
    <w:rsid w:val="00296751"/>
    <w:rsid w:val="0029684A"/>
    <w:rsid w:val="00297089"/>
    <w:rsid w:val="0029712E"/>
    <w:rsid w:val="00297474"/>
    <w:rsid w:val="0029780B"/>
    <w:rsid w:val="00297904"/>
    <w:rsid w:val="00297AB5"/>
    <w:rsid w:val="00297DB1"/>
    <w:rsid w:val="002A00FC"/>
    <w:rsid w:val="002A015F"/>
    <w:rsid w:val="002A03D4"/>
    <w:rsid w:val="002A0699"/>
    <w:rsid w:val="002A0A94"/>
    <w:rsid w:val="002A0D58"/>
    <w:rsid w:val="002A0D77"/>
    <w:rsid w:val="002A0DAB"/>
    <w:rsid w:val="002A119B"/>
    <w:rsid w:val="002A15FD"/>
    <w:rsid w:val="002A1861"/>
    <w:rsid w:val="002A188A"/>
    <w:rsid w:val="002A1A35"/>
    <w:rsid w:val="002A1A41"/>
    <w:rsid w:val="002A1EC9"/>
    <w:rsid w:val="002A1EEF"/>
    <w:rsid w:val="002A2167"/>
    <w:rsid w:val="002A270B"/>
    <w:rsid w:val="002A2833"/>
    <w:rsid w:val="002A2991"/>
    <w:rsid w:val="002A2E85"/>
    <w:rsid w:val="002A2F42"/>
    <w:rsid w:val="002A304E"/>
    <w:rsid w:val="002A3053"/>
    <w:rsid w:val="002A36CD"/>
    <w:rsid w:val="002A3B9E"/>
    <w:rsid w:val="002A3D5F"/>
    <w:rsid w:val="002A3E16"/>
    <w:rsid w:val="002A401A"/>
    <w:rsid w:val="002A40EA"/>
    <w:rsid w:val="002A42CB"/>
    <w:rsid w:val="002A46B3"/>
    <w:rsid w:val="002A4743"/>
    <w:rsid w:val="002A4822"/>
    <w:rsid w:val="002A4B57"/>
    <w:rsid w:val="002A51C7"/>
    <w:rsid w:val="002A5200"/>
    <w:rsid w:val="002A52BB"/>
    <w:rsid w:val="002A580B"/>
    <w:rsid w:val="002A5AA5"/>
    <w:rsid w:val="002A5E54"/>
    <w:rsid w:val="002A5E98"/>
    <w:rsid w:val="002A62FB"/>
    <w:rsid w:val="002A66B7"/>
    <w:rsid w:val="002A67DE"/>
    <w:rsid w:val="002A6880"/>
    <w:rsid w:val="002A6F75"/>
    <w:rsid w:val="002A6F9E"/>
    <w:rsid w:val="002A7272"/>
    <w:rsid w:val="002A7344"/>
    <w:rsid w:val="002A7421"/>
    <w:rsid w:val="002A78E7"/>
    <w:rsid w:val="002A7E31"/>
    <w:rsid w:val="002A7FFE"/>
    <w:rsid w:val="002B00E4"/>
    <w:rsid w:val="002B0229"/>
    <w:rsid w:val="002B024A"/>
    <w:rsid w:val="002B0321"/>
    <w:rsid w:val="002B0428"/>
    <w:rsid w:val="002B0B55"/>
    <w:rsid w:val="002B0BA1"/>
    <w:rsid w:val="002B0FC1"/>
    <w:rsid w:val="002B0FDE"/>
    <w:rsid w:val="002B11C6"/>
    <w:rsid w:val="002B1DE3"/>
    <w:rsid w:val="002B202A"/>
    <w:rsid w:val="002B202B"/>
    <w:rsid w:val="002B2210"/>
    <w:rsid w:val="002B2513"/>
    <w:rsid w:val="002B254F"/>
    <w:rsid w:val="002B2AFB"/>
    <w:rsid w:val="002B2D10"/>
    <w:rsid w:val="002B2D96"/>
    <w:rsid w:val="002B2FCA"/>
    <w:rsid w:val="002B323D"/>
    <w:rsid w:val="002B32D9"/>
    <w:rsid w:val="002B35C1"/>
    <w:rsid w:val="002B395E"/>
    <w:rsid w:val="002B3CA8"/>
    <w:rsid w:val="002B3D5B"/>
    <w:rsid w:val="002B3D8B"/>
    <w:rsid w:val="002B3F77"/>
    <w:rsid w:val="002B44D2"/>
    <w:rsid w:val="002B4987"/>
    <w:rsid w:val="002B4A3B"/>
    <w:rsid w:val="002B4C29"/>
    <w:rsid w:val="002B5081"/>
    <w:rsid w:val="002B53E7"/>
    <w:rsid w:val="002B5470"/>
    <w:rsid w:val="002B5545"/>
    <w:rsid w:val="002B55A5"/>
    <w:rsid w:val="002B56A5"/>
    <w:rsid w:val="002B5799"/>
    <w:rsid w:val="002B5811"/>
    <w:rsid w:val="002B598D"/>
    <w:rsid w:val="002B5A9F"/>
    <w:rsid w:val="002B5B91"/>
    <w:rsid w:val="002B5B9E"/>
    <w:rsid w:val="002B5CEC"/>
    <w:rsid w:val="002B5DB0"/>
    <w:rsid w:val="002B5F54"/>
    <w:rsid w:val="002B5FFE"/>
    <w:rsid w:val="002B60AB"/>
    <w:rsid w:val="002B6194"/>
    <w:rsid w:val="002B61A7"/>
    <w:rsid w:val="002B63FA"/>
    <w:rsid w:val="002B64CE"/>
    <w:rsid w:val="002B6A24"/>
    <w:rsid w:val="002B6A57"/>
    <w:rsid w:val="002B6A82"/>
    <w:rsid w:val="002B6AF8"/>
    <w:rsid w:val="002B6D21"/>
    <w:rsid w:val="002B6EB1"/>
    <w:rsid w:val="002B71C9"/>
    <w:rsid w:val="002B732E"/>
    <w:rsid w:val="002B7363"/>
    <w:rsid w:val="002B740A"/>
    <w:rsid w:val="002B7484"/>
    <w:rsid w:val="002B7537"/>
    <w:rsid w:val="002B7549"/>
    <w:rsid w:val="002B754E"/>
    <w:rsid w:val="002B75F2"/>
    <w:rsid w:val="002B77F1"/>
    <w:rsid w:val="002B79D6"/>
    <w:rsid w:val="002C0073"/>
    <w:rsid w:val="002C0255"/>
    <w:rsid w:val="002C048F"/>
    <w:rsid w:val="002C06D5"/>
    <w:rsid w:val="002C06D7"/>
    <w:rsid w:val="002C0F83"/>
    <w:rsid w:val="002C1125"/>
    <w:rsid w:val="002C183D"/>
    <w:rsid w:val="002C1A6E"/>
    <w:rsid w:val="002C1B6A"/>
    <w:rsid w:val="002C1D59"/>
    <w:rsid w:val="002C1D93"/>
    <w:rsid w:val="002C1ED0"/>
    <w:rsid w:val="002C216E"/>
    <w:rsid w:val="002C2175"/>
    <w:rsid w:val="002C2320"/>
    <w:rsid w:val="002C2626"/>
    <w:rsid w:val="002C28B5"/>
    <w:rsid w:val="002C2C83"/>
    <w:rsid w:val="002C300E"/>
    <w:rsid w:val="002C31AF"/>
    <w:rsid w:val="002C36F9"/>
    <w:rsid w:val="002C371C"/>
    <w:rsid w:val="002C37F4"/>
    <w:rsid w:val="002C39F9"/>
    <w:rsid w:val="002C3B5D"/>
    <w:rsid w:val="002C3B75"/>
    <w:rsid w:val="002C411A"/>
    <w:rsid w:val="002C4130"/>
    <w:rsid w:val="002C4132"/>
    <w:rsid w:val="002C4607"/>
    <w:rsid w:val="002C48FF"/>
    <w:rsid w:val="002C4A69"/>
    <w:rsid w:val="002C4E76"/>
    <w:rsid w:val="002C4F18"/>
    <w:rsid w:val="002C504C"/>
    <w:rsid w:val="002C50B6"/>
    <w:rsid w:val="002C589A"/>
    <w:rsid w:val="002C5903"/>
    <w:rsid w:val="002C5C49"/>
    <w:rsid w:val="002C5C7C"/>
    <w:rsid w:val="002C60C6"/>
    <w:rsid w:val="002C617A"/>
    <w:rsid w:val="002C6738"/>
    <w:rsid w:val="002C71FA"/>
    <w:rsid w:val="002C7649"/>
    <w:rsid w:val="002C7669"/>
    <w:rsid w:val="002C766E"/>
    <w:rsid w:val="002C7690"/>
    <w:rsid w:val="002C7AF6"/>
    <w:rsid w:val="002C7B43"/>
    <w:rsid w:val="002C7C62"/>
    <w:rsid w:val="002C7E95"/>
    <w:rsid w:val="002C7EB3"/>
    <w:rsid w:val="002D00A4"/>
    <w:rsid w:val="002D012F"/>
    <w:rsid w:val="002D017F"/>
    <w:rsid w:val="002D047F"/>
    <w:rsid w:val="002D0949"/>
    <w:rsid w:val="002D0A2A"/>
    <w:rsid w:val="002D0D93"/>
    <w:rsid w:val="002D0E7A"/>
    <w:rsid w:val="002D1086"/>
    <w:rsid w:val="002D114E"/>
    <w:rsid w:val="002D11B2"/>
    <w:rsid w:val="002D1559"/>
    <w:rsid w:val="002D17CF"/>
    <w:rsid w:val="002D182B"/>
    <w:rsid w:val="002D1980"/>
    <w:rsid w:val="002D1D45"/>
    <w:rsid w:val="002D1F6C"/>
    <w:rsid w:val="002D2003"/>
    <w:rsid w:val="002D2936"/>
    <w:rsid w:val="002D2D3F"/>
    <w:rsid w:val="002D2F73"/>
    <w:rsid w:val="002D36BD"/>
    <w:rsid w:val="002D383E"/>
    <w:rsid w:val="002D3845"/>
    <w:rsid w:val="002D3BC1"/>
    <w:rsid w:val="002D3DA9"/>
    <w:rsid w:val="002D3F9E"/>
    <w:rsid w:val="002D447D"/>
    <w:rsid w:val="002D44A5"/>
    <w:rsid w:val="002D44FC"/>
    <w:rsid w:val="002D48BF"/>
    <w:rsid w:val="002D49AE"/>
    <w:rsid w:val="002D4C9B"/>
    <w:rsid w:val="002D4E55"/>
    <w:rsid w:val="002D4F97"/>
    <w:rsid w:val="002D55CC"/>
    <w:rsid w:val="002D5D67"/>
    <w:rsid w:val="002D60AF"/>
    <w:rsid w:val="002D615F"/>
    <w:rsid w:val="002D6391"/>
    <w:rsid w:val="002D69E9"/>
    <w:rsid w:val="002D6A94"/>
    <w:rsid w:val="002D6D81"/>
    <w:rsid w:val="002D6EED"/>
    <w:rsid w:val="002D7191"/>
    <w:rsid w:val="002D739B"/>
    <w:rsid w:val="002D74A9"/>
    <w:rsid w:val="002D75CE"/>
    <w:rsid w:val="002D7604"/>
    <w:rsid w:val="002D7AFB"/>
    <w:rsid w:val="002D7C57"/>
    <w:rsid w:val="002D7CEC"/>
    <w:rsid w:val="002D7FF6"/>
    <w:rsid w:val="002E0367"/>
    <w:rsid w:val="002E053A"/>
    <w:rsid w:val="002E057A"/>
    <w:rsid w:val="002E0686"/>
    <w:rsid w:val="002E0719"/>
    <w:rsid w:val="002E0832"/>
    <w:rsid w:val="002E084A"/>
    <w:rsid w:val="002E0B69"/>
    <w:rsid w:val="002E0B9B"/>
    <w:rsid w:val="002E0C02"/>
    <w:rsid w:val="002E0F42"/>
    <w:rsid w:val="002E1028"/>
    <w:rsid w:val="002E1053"/>
    <w:rsid w:val="002E1079"/>
    <w:rsid w:val="002E10B1"/>
    <w:rsid w:val="002E1119"/>
    <w:rsid w:val="002E12BE"/>
    <w:rsid w:val="002E1384"/>
    <w:rsid w:val="002E144F"/>
    <w:rsid w:val="002E16C2"/>
    <w:rsid w:val="002E1879"/>
    <w:rsid w:val="002E1906"/>
    <w:rsid w:val="002E1E7D"/>
    <w:rsid w:val="002E1EA2"/>
    <w:rsid w:val="002E2007"/>
    <w:rsid w:val="002E2293"/>
    <w:rsid w:val="002E2441"/>
    <w:rsid w:val="002E2676"/>
    <w:rsid w:val="002E2A9A"/>
    <w:rsid w:val="002E2FE0"/>
    <w:rsid w:val="002E3016"/>
    <w:rsid w:val="002E31E5"/>
    <w:rsid w:val="002E3346"/>
    <w:rsid w:val="002E3651"/>
    <w:rsid w:val="002E395D"/>
    <w:rsid w:val="002E3A93"/>
    <w:rsid w:val="002E3B20"/>
    <w:rsid w:val="002E3BFE"/>
    <w:rsid w:val="002E3E37"/>
    <w:rsid w:val="002E3FBA"/>
    <w:rsid w:val="002E3FFC"/>
    <w:rsid w:val="002E409C"/>
    <w:rsid w:val="002E4103"/>
    <w:rsid w:val="002E41BF"/>
    <w:rsid w:val="002E4409"/>
    <w:rsid w:val="002E472C"/>
    <w:rsid w:val="002E4A49"/>
    <w:rsid w:val="002E4C34"/>
    <w:rsid w:val="002E51A7"/>
    <w:rsid w:val="002E55C9"/>
    <w:rsid w:val="002E562A"/>
    <w:rsid w:val="002E5DB9"/>
    <w:rsid w:val="002E60C1"/>
    <w:rsid w:val="002E62CC"/>
    <w:rsid w:val="002E64BC"/>
    <w:rsid w:val="002E66F9"/>
    <w:rsid w:val="002E705D"/>
    <w:rsid w:val="002E7078"/>
    <w:rsid w:val="002E70D6"/>
    <w:rsid w:val="002E7698"/>
    <w:rsid w:val="002E7802"/>
    <w:rsid w:val="002E79C1"/>
    <w:rsid w:val="002E7D7E"/>
    <w:rsid w:val="002E7E67"/>
    <w:rsid w:val="002F0628"/>
    <w:rsid w:val="002F06BD"/>
    <w:rsid w:val="002F0777"/>
    <w:rsid w:val="002F083B"/>
    <w:rsid w:val="002F0A8B"/>
    <w:rsid w:val="002F1044"/>
    <w:rsid w:val="002F1377"/>
    <w:rsid w:val="002F16B6"/>
    <w:rsid w:val="002F1810"/>
    <w:rsid w:val="002F1897"/>
    <w:rsid w:val="002F1C3D"/>
    <w:rsid w:val="002F1D5D"/>
    <w:rsid w:val="002F2643"/>
    <w:rsid w:val="002F2847"/>
    <w:rsid w:val="002F28EC"/>
    <w:rsid w:val="002F29C7"/>
    <w:rsid w:val="002F2A75"/>
    <w:rsid w:val="002F2DDB"/>
    <w:rsid w:val="002F3389"/>
    <w:rsid w:val="002F385D"/>
    <w:rsid w:val="002F3B12"/>
    <w:rsid w:val="002F3B1E"/>
    <w:rsid w:val="002F3BF1"/>
    <w:rsid w:val="002F3E81"/>
    <w:rsid w:val="002F4057"/>
    <w:rsid w:val="002F41A6"/>
    <w:rsid w:val="002F42CA"/>
    <w:rsid w:val="002F493E"/>
    <w:rsid w:val="002F4FF2"/>
    <w:rsid w:val="002F53BE"/>
    <w:rsid w:val="002F56D2"/>
    <w:rsid w:val="002F5BE7"/>
    <w:rsid w:val="002F5DDD"/>
    <w:rsid w:val="002F6579"/>
    <w:rsid w:val="002F68F9"/>
    <w:rsid w:val="002F6A1E"/>
    <w:rsid w:val="002F6A37"/>
    <w:rsid w:val="002F6C73"/>
    <w:rsid w:val="002F6EBC"/>
    <w:rsid w:val="002F6FDB"/>
    <w:rsid w:val="002F7156"/>
    <w:rsid w:val="002F7183"/>
    <w:rsid w:val="002F71B3"/>
    <w:rsid w:val="002F72F0"/>
    <w:rsid w:val="002F733C"/>
    <w:rsid w:val="002F75A4"/>
    <w:rsid w:val="002F7792"/>
    <w:rsid w:val="002F7B1F"/>
    <w:rsid w:val="002F7E0E"/>
    <w:rsid w:val="002F7F0D"/>
    <w:rsid w:val="002F7F12"/>
    <w:rsid w:val="00300057"/>
    <w:rsid w:val="003002B5"/>
    <w:rsid w:val="003007BD"/>
    <w:rsid w:val="00300918"/>
    <w:rsid w:val="003009D1"/>
    <w:rsid w:val="00300A0A"/>
    <w:rsid w:val="00300A2B"/>
    <w:rsid w:val="00300C3C"/>
    <w:rsid w:val="00300C67"/>
    <w:rsid w:val="00300D99"/>
    <w:rsid w:val="003012F4"/>
    <w:rsid w:val="00301659"/>
    <w:rsid w:val="0030169C"/>
    <w:rsid w:val="00301A3A"/>
    <w:rsid w:val="00301B38"/>
    <w:rsid w:val="00301B90"/>
    <w:rsid w:val="00301EE6"/>
    <w:rsid w:val="00302159"/>
    <w:rsid w:val="00302287"/>
    <w:rsid w:val="00302D21"/>
    <w:rsid w:val="003034FE"/>
    <w:rsid w:val="00303529"/>
    <w:rsid w:val="00303598"/>
    <w:rsid w:val="003036E6"/>
    <w:rsid w:val="00303B60"/>
    <w:rsid w:val="00303C53"/>
    <w:rsid w:val="00303F1B"/>
    <w:rsid w:val="003043D1"/>
    <w:rsid w:val="003045C3"/>
    <w:rsid w:val="00304652"/>
    <w:rsid w:val="0030474A"/>
    <w:rsid w:val="003047A8"/>
    <w:rsid w:val="003051D2"/>
    <w:rsid w:val="003056BD"/>
    <w:rsid w:val="00305796"/>
    <w:rsid w:val="00305A49"/>
    <w:rsid w:val="00305C52"/>
    <w:rsid w:val="00305D90"/>
    <w:rsid w:val="00305FFE"/>
    <w:rsid w:val="003060E3"/>
    <w:rsid w:val="00306111"/>
    <w:rsid w:val="003061B3"/>
    <w:rsid w:val="003064CB"/>
    <w:rsid w:val="00306630"/>
    <w:rsid w:val="00306C76"/>
    <w:rsid w:val="0030701A"/>
    <w:rsid w:val="0030721E"/>
    <w:rsid w:val="00307220"/>
    <w:rsid w:val="00307496"/>
    <w:rsid w:val="00307546"/>
    <w:rsid w:val="003075A3"/>
    <w:rsid w:val="003075F8"/>
    <w:rsid w:val="003078D9"/>
    <w:rsid w:val="00307907"/>
    <w:rsid w:val="0030797E"/>
    <w:rsid w:val="00307A96"/>
    <w:rsid w:val="00307B75"/>
    <w:rsid w:val="00307F5B"/>
    <w:rsid w:val="00310423"/>
    <w:rsid w:val="003107CB"/>
    <w:rsid w:val="0031093C"/>
    <w:rsid w:val="00310B3A"/>
    <w:rsid w:val="00310F15"/>
    <w:rsid w:val="00310FDF"/>
    <w:rsid w:val="00311069"/>
    <w:rsid w:val="0031106D"/>
    <w:rsid w:val="003111FA"/>
    <w:rsid w:val="0031132F"/>
    <w:rsid w:val="00311337"/>
    <w:rsid w:val="00311365"/>
    <w:rsid w:val="0031150E"/>
    <w:rsid w:val="00311701"/>
    <w:rsid w:val="0031208C"/>
    <w:rsid w:val="0031226E"/>
    <w:rsid w:val="00312298"/>
    <w:rsid w:val="00312508"/>
    <w:rsid w:val="00312528"/>
    <w:rsid w:val="003126E1"/>
    <w:rsid w:val="0031278D"/>
    <w:rsid w:val="00312904"/>
    <w:rsid w:val="00312955"/>
    <w:rsid w:val="00313250"/>
    <w:rsid w:val="0031337F"/>
    <w:rsid w:val="003133CC"/>
    <w:rsid w:val="00313470"/>
    <w:rsid w:val="003136C3"/>
    <w:rsid w:val="0031374F"/>
    <w:rsid w:val="00313773"/>
    <w:rsid w:val="00313890"/>
    <w:rsid w:val="00313EB2"/>
    <w:rsid w:val="00314087"/>
    <w:rsid w:val="00314259"/>
    <w:rsid w:val="00314C97"/>
    <w:rsid w:val="00314DB6"/>
    <w:rsid w:val="00314DC5"/>
    <w:rsid w:val="00315163"/>
    <w:rsid w:val="003152CA"/>
    <w:rsid w:val="00315802"/>
    <w:rsid w:val="00315901"/>
    <w:rsid w:val="00315954"/>
    <w:rsid w:val="00315B64"/>
    <w:rsid w:val="00315C27"/>
    <w:rsid w:val="00315EBD"/>
    <w:rsid w:val="00315FCB"/>
    <w:rsid w:val="003160E2"/>
    <w:rsid w:val="0031682C"/>
    <w:rsid w:val="00316AB6"/>
    <w:rsid w:val="00316B1B"/>
    <w:rsid w:val="00316FD9"/>
    <w:rsid w:val="0031773A"/>
    <w:rsid w:val="0031779B"/>
    <w:rsid w:val="003178AC"/>
    <w:rsid w:val="00317905"/>
    <w:rsid w:val="0031796C"/>
    <w:rsid w:val="00317996"/>
    <w:rsid w:val="00317ACD"/>
    <w:rsid w:val="00317C81"/>
    <w:rsid w:val="003200CD"/>
    <w:rsid w:val="0032048C"/>
    <w:rsid w:val="00320500"/>
    <w:rsid w:val="003205A5"/>
    <w:rsid w:val="00320EB3"/>
    <w:rsid w:val="00321176"/>
    <w:rsid w:val="003215E2"/>
    <w:rsid w:val="0032164E"/>
    <w:rsid w:val="00321800"/>
    <w:rsid w:val="0032193D"/>
    <w:rsid w:val="00321951"/>
    <w:rsid w:val="003219E7"/>
    <w:rsid w:val="00321A98"/>
    <w:rsid w:val="00321C36"/>
    <w:rsid w:val="00321EF6"/>
    <w:rsid w:val="00321F6A"/>
    <w:rsid w:val="00321FB6"/>
    <w:rsid w:val="00322D36"/>
    <w:rsid w:val="00322D99"/>
    <w:rsid w:val="00322F22"/>
    <w:rsid w:val="0032377F"/>
    <w:rsid w:val="003237E0"/>
    <w:rsid w:val="00323C17"/>
    <w:rsid w:val="00323F2A"/>
    <w:rsid w:val="00323F34"/>
    <w:rsid w:val="0032468C"/>
    <w:rsid w:val="003247F7"/>
    <w:rsid w:val="00324918"/>
    <w:rsid w:val="00324AA5"/>
    <w:rsid w:val="00324B3D"/>
    <w:rsid w:val="00324E87"/>
    <w:rsid w:val="0032502E"/>
    <w:rsid w:val="00325137"/>
    <w:rsid w:val="0032536C"/>
    <w:rsid w:val="003253A9"/>
    <w:rsid w:val="00325A01"/>
    <w:rsid w:val="00325B0F"/>
    <w:rsid w:val="00325D66"/>
    <w:rsid w:val="00325DB8"/>
    <w:rsid w:val="00325DE4"/>
    <w:rsid w:val="00325E9E"/>
    <w:rsid w:val="00325FF6"/>
    <w:rsid w:val="00326ABC"/>
    <w:rsid w:val="00326E18"/>
    <w:rsid w:val="00326F06"/>
    <w:rsid w:val="003274B7"/>
    <w:rsid w:val="003276B8"/>
    <w:rsid w:val="003279B7"/>
    <w:rsid w:val="00327D92"/>
    <w:rsid w:val="00330009"/>
    <w:rsid w:val="00330204"/>
    <w:rsid w:val="003302E7"/>
    <w:rsid w:val="00330607"/>
    <w:rsid w:val="0033072E"/>
    <w:rsid w:val="00330DB7"/>
    <w:rsid w:val="0033134D"/>
    <w:rsid w:val="003319CF"/>
    <w:rsid w:val="00331A2B"/>
    <w:rsid w:val="00331ACB"/>
    <w:rsid w:val="00331C90"/>
    <w:rsid w:val="00331CE1"/>
    <w:rsid w:val="0033231A"/>
    <w:rsid w:val="003325BC"/>
    <w:rsid w:val="003328D0"/>
    <w:rsid w:val="00332916"/>
    <w:rsid w:val="00332992"/>
    <w:rsid w:val="003329C3"/>
    <w:rsid w:val="00332B44"/>
    <w:rsid w:val="003333D6"/>
    <w:rsid w:val="0033368D"/>
    <w:rsid w:val="003337B3"/>
    <w:rsid w:val="003342D3"/>
    <w:rsid w:val="00334834"/>
    <w:rsid w:val="00334933"/>
    <w:rsid w:val="00334B9E"/>
    <w:rsid w:val="00334D54"/>
    <w:rsid w:val="003352AA"/>
    <w:rsid w:val="003355F1"/>
    <w:rsid w:val="0033587A"/>
    <w:rsid w:val="00335CF1"/>
    <w:rsid w:val="00336D8A"/>
    <w:rsid w:val="003370B8"/>
    <w:rsid w:val="0033741D"/>
    <w:rsid w:val="00337522"/>
    <w:rsid w:val="00337753"/>
    <w:rsid w:val="00337BCC"/>
    <w:rsid w:val="00337C48"/>
    <w:rsid w:val="00337C6C"/>
    <w:rsid w:val="00337EC6"/>
    <w:rsid w:val="00337F86"/>
    <w:rsid w:val="00340033"/>
    <w:rsid w:val="0034009E"/>
    <w:rsid w:val="00340108"/>
    <w:rsid w:val="003406A9"/>
    <w:rsid w:val="003406FC"/>
    <w:rsid w:val="003408E1"/>
    <w:rsid w:val="00340CAF"/>
    <w:rsid w:val="00340F0A"/>
    <w:rsid w:val="0034125B"/>
    <w:rsid w:val="003415D8"/>
    <w:rsid w:val="0034168E"/>
    <w:rsid w:val="00341D7A"/>
    <w:rsid w:val="003420F0"/>
    <w:rsid w:val="003423F2"/>
    <w:rsid w:val="003425FA"/>
    <w:rsid w:val="003426BA"/>
    <w:rsid w:val="00342799"/>
    <w:rsid w:val="003427C0"/>
    <w:rsid w:val="00342D79"/>
    <w:rsid w:val="00342FBA"/>
    <w:rsid w:val="00342FED"/>
    <w:rsid w:val="0034325A"/>
    <w:rsid w:val="003432C6"/>
    <w:rsid w:val="003433AA"/>
    <w:rsid w:val="0034361B"/>
    <w:rsid w:val="00343622"/>
    <w:rsid w:val="0034376C"/>
    <w:rsid w:val="00343A6E"/>
    <w:rsid w:val="00343C53"/>
    <w:rsid w:val="00343FCA"/>
    <w:rsid w:val="00343FF9"/>
    <w:rsid w:val="0034454D"/>
    <w:rsid w:val="00344686"/>
    <w:rsid w:val="00344819"/>
    <w:rsid w:val="00344867"/>
    <w:rsid w:val="003449B0"/>
    <w:rsid w:val="00344BD0"/>
    <w:rsid w:val="00344D8E"/>
    <w:rsid w:val="00344DC7"/>
    <w:rsid w:val="003459FE"/>
    <w:rsid w:val="00346138"/>
    <w:rsid w:val="00346316"/>
    <w:rsid w:val="00346555"/>
    <w:rsid w:val="00346651"/>
    <w:rsid w:val="003466B2"/>
    <w:rsid w:val="00346C23"/>
    <w:rsid w:val="00346EEC"/>
    <w:rsid w:val="0034760E"/>
    <w:rsid w:val="003476D9"/>
    <w:rsid w:val="003478C6"/>
    <w:rsid w:val="00347E44"/>
    <w:rsid w:val="00347ED1"/>
    <w:rsid w:val="00347F1E"/>
    <w:rsid w:val="0035004B"/>
    <w:rsid w:val="00350149"/>
    <w:rsid w:val="0035069C"/>
    <w:rsid w:val="003509E7"/>
    <w:rsid w:val="00350A79"/>
    <w:rsid w:val="00350CB2"/>
    <w:rsid w:val="00350CBA"/>
    <w:rsid w:val="00350E9A"/>
    <w:rsid w:val="00351A1F"/>
    <w:rsid w:val="00351BE5"/>
    <w:rsid w:val="00351FAC"/>
    <w:rsid w:val="0035221E"/>
    <w:rsid w:val="003527FC"/>
    <w:rsid w:val="00352891"/>
    <w:rsid w:val="00352A55"/>
    <w:rsid w:val="00352CB6"/>
    <w:rsid w:val="00352ECD"/>
    <w:rsid w:val="0035313C"/>
    <w:rsid w:val="003531FB"/>
    <w:rsid w:val="0035338B"/>
    <w:rsid w:val="003536B2"/>
    <w:rsid w:val="00353D3D"/>
    <w:rsid w:val="00353ECA"/>
    <w:rsid w:val="003543FA"/>
    <w:rsid w:val="0035468C"/>
    <w:rsid w:val="00354876"/>
    <w:rsid w:val="00354A6B"/>
    <w:rsid w:val="00354AE4"/>
    <w:rsid w:val="00354C20"/>
    <w:rsid w:val="00354D29"/>
    <w:rsid w:val="003552FE"/>
    <w:rsid w:val="003553ED"/>
    <w:rsid w:val="0035559F"/>
    <w:rsid w:val="003555CB"/>
    <w:rsid w:val="00355C23"/>
    <w:rsid w:val="00356078"/>
    <w:rsid w:val="003560DE"/>
    <w:rsid w:val="00356500"/>
    <w:rsid w:val="00356522"/>
    <w:rsid w:val="0035674E"/>
    <w:rsid w:val="003567F5"/>
    <w:rsid w:val="0035689C"/>
    <w:rsid w:val="00356AB3"/>
    <w:rsid w:val="00356AF3"/>
    <w:rsid w:val="00356EC0"/>
    <w:rsid w:val="00356ED4"/>
    <w:rsid w:val="00356FC6"/>
    <w:rsid w:val="00357074"/>
    <w:rsid w:val="00357317"/>
    <w:rsid w:val="00357461"/>
    <w:rsid w:val="0035754A"/>
    <w:rsid w:val="003575E3"/>
    <w:rsid w:val="00357F89"/>
    <w:rsid w:val="0036011A"/>
    <w:rsid w:val="00360165"/>
    <w:rsid w:val="00360527"/>
    <w:rsid w:val="003608F5"/>
    <w:rsid w:val="00360BBF"/>
    <w:rsid w:val="00360C8A"/>
    <w:rsid w:val="00360DE8"/>
    <w:rsid w:val="00360F58"/>
    <w:rsid w:val="003612D2"/>
    <w:rsid w:val="003614DC"/>
    <w:rsid w:val="00361CA0"/>
    <w:rsid w:val="00361F7C"/>
    <w:rsid w:val="00362042"/>
    <w:rsid w:val="003621BD"/>
    <w:rsid w:val="0036221F"/>
    <w:rsid w:val="00362609"/>
    <w:rsid w:val="0036297E"/>
    <w:rsid w:val="00362A3F"/>
    <w:rsid w:val="00362A76"/>
    <w:rsid w:val="00362B02"/>
    <w:rsid w:val="00362B49"/>
    <w:rsid w:val="00362B6B"/>
    <w:rsid w:val="00362B90"/>
    <w:rsid w:val="003632C0"/>
    <w:rsid w:val="003633D7"/>
    <w:rsid w:val="0036360A"/>
    <w:rsid w:val="00363963"/>
    <w:rsid w:val="00363BE4"/>
    <w:rsid w:val="00363D2B"/>
    <w:rsid w:val="00363E4C"/>
    <w:rsid w:val="003640FA"/>
    <w:rsid w:val="0036410B"/>
    <w:rsid w:val="003644A2"/>
    <w:rsid w:val="0036472C"/>
    <w:rsid w:val="00365122"/>
    <w:rsid w:val="00365310"/>
    <w:rsid w:val="0036548A"/>
    <w:rsid w:val="00365983"/>
    <w:rsid w:val="00365A39"/>
    <w:rsid w:val="00365D89"/>
    <w:rsid w:val="00365F4C"/>
    <w:rsid w:val="00365FC5"/>
    <w:rsid w:val="003661BB"/>
    <w:rsid w:val="00366412"/>
    <w:rsid w:val="00366568"/>
    <w:rsid w:val="003665DC"/>
    <w:rsid w:val="003669C5"/>
    <w:rsid w:val="00366B59"/>
    <w:rsid w:val="00366BEF"/>
    <w:rsid w:val="003670FE"/>
    <w:rsid w:val="0036715B"/>
    <w:rsid w:val="003671B0"/>
    <w:rsid w:val="003672CE"/>
    <w:rsid w:val="00367D71"/>
    <w:rsid w:val="00367DF4"/>
    <w:rsid w:val="00370386"/>
    <w:rsid w:val="003703F3"/>
    <w:rsid w:val="00370449"/>
    <w:rsid w:val="003705B4"/>
    <w:rsid w:val="003705BA"/>
    <w:rsid w:val="003708C0"/>
    <w:rsid w:val="00370945"/>
    <w:rsid w:val="00370991"/>
    <w:rsid w:val="00371030"/>
    <w:rsid w:val="003710C5"/>
    <w:rsid w:val="003712B6"/>
    <w:rsid w:val="00371451"/>
    <w:rsid w:val="003714CA"/>
    <w:rsid w:val="003718F4"/>
    <w:rsid w:val="00371996"/>
    <w:rsid w:val="00371CE3"/>
    <w:rsid w:val="00371D58"/>
    <w:rsid w:val="00371D8D"/>
    <w:rsid w:val="00371EDD"/>
    <w:rsid w:val="003720C7"/>
    <w:rsid w:val="003720C8"/>
    <w:rsid w:val="00372820"/>
    <w:rsid w:val="00372947"/>
    <w:rsid w:val="00372A78"/>
    <w:rsid w:val="00372B18"/>
    <w:rsid w:val="00373092"/>
    <w:rsid w:val="003733C0"/>
    <w:rsid w:val="00373457"/>
    <w:rsid w:val="003735C1"/>
    <w:rsid w:val="003735CD"/>
    <w:rsid w:val="003737D0"/>
    <w:rsid w:val="00373B67"/>
    <w:rsid w:val="00373D9E"/>
    <w:rsid w:val="003742A2"/>
    <w:rsid w:val="0037432C"/>
    <w:rsid w:val="003745FF"/>
    <w:rsid w:val="00374756"/>
    <w:rsid w:val="0037494A"/>
    <w:rsid w:val="00374A00"/>
    <w:rsid w:val="00374E8E"/>
    <w:rsid w:val="0037507C"/>
    <w:rsid w:val="003751EA"/>
    <w:rsid w:val="00375262"/>
    <w:rsid w:val="00375332"/>
    <w:rsid w:val="0037551A"/>
    <w:rsid w:val="00375596"/>
    <w:rsid w:val="00375895"/>
    <w:rsid w:val="003759E8"/>
    <w:rsid w:val="00375A52"/>
    <w:rsid w:val="00375A58"/>
    <w:rsid w:val="00375D84"/>
    <w:rsid w:val="003760B6"/>
    <w:rsid w:val="00376115"/>
    <w:rsid w:val="003763E8"/>
    <w:rsid w:val="0037681C"/>
    <w:rsid w:val="003768CD"/>
    <w:rsid w:val="003774CD"/>
    <w:rsid w:val="003774F3"/>
    <w:rsid w:val="00377C2E"/>
    <w:rsid w:val="00377CDD"/>
    <w:rsid w:val="00377F3B"/>
    <w:rsid w:val="00377F68"/>
    <w:rsid w:val="00380369"/>
    <w:rsid w:val="00380667"/>
    <w:rsid w:val="00380861"/>
    <w:rsid w:val="00380878"/>
    <w:rsid w:val="003809CA"/>
    <w:rsid w:val="00380C3F"/>
    <w:rsid w:val="00380E9F"/>
    <w:rsid w:val="003811A3"/>
    <w:rsid w:val="003812B1"/>
    <w:rsid w:val="0038144C"/>
    <w:rsid w:val="00381472"/>
    <w:rsid w:val="003815F9"/>
    <w:rsid w:val="0038170A"/>
    <w:rsid w:val="00381951"/>
    <w:rsid w:val="00381B11"/>
    <w:rsid w:val="00381B7A"/>
    <w:rsid w:val="00381BE8"/>
    <w:rsid w:val="00381D26"/>
    <w:rsid w:val="00382092"/>
    <w:rsid w:val="00382123"/>
    <w:rsid w:val="003825BE"/>
    <w:rsid w:val="003826AC"/>
    <w:rsid w:val="003828E3"/>
    <w:rsid w:val="00382981"/>
    <w:rsid w:val="00382D83"/>
    <w:rsid w:val="00383132"/>
    <w:rsid w:val="003834F3"/>
    <w:rsid w:val="003835EC"/>
    <w:rsid w:val="003836A9"/>
    <w:rsid w:val="00383780"/>
    <w:rsid w:val="0038392D"/>
    <w:rsid w:val="0038396F"/>
    <w:rsid w:val="00383CAC"/>
    <w:rsid w:val="00383EB1"/>
    <w:rsid w:val="003844FB"/>
    <w:rsid w:val="003845FF"/>
    <w:rsid w:val="00384689"/>
    <w:rsid w:val="003847DB"/>
    <w:rsid w:val="00384954"/>
    <w:rsid w:val="00384D2E"/>
    <w:rsid w:val="00384D93"/>
    <w:rsid w:val="0038585A"/>
    <w:rsid w:val="00385A72"/>
    <w:rsid w:val="00385EA8"/>
    <w:rsid w:val="00386737"/>
    <w:rsid w:val="00386A14"/>
    <w:rsid w:val="00386D6C"/>
    <w:rsid w:val="003870A0"/>
    <w:rsid w:val="003870A7"/>
    <w:rsid w:val="0038711D"/>
    <w:rsid w:val="003872CA"/>
    <w:rsid w:val="003875E8"/>
    <w:rsid w:val="0038762D"/>
    <w:rsid w:val="00387967"/>
    <w:rsid w:val="00387ADF"/>
    <w:rsid w:val="00387CAD"/>
    <w:rsid w:val="00387DC7"/>
    <w:rsid w:val="00390370"/>
    <w:rsid w:val="00390521"/>
    <w:rsid w:val="00390E36"/>
    <w:rsid w:val="0039109B"/>
    <w:rsid w:val="00391339"/>
    <w:rsid w:val="003916F3"/>
    <w:rsid w:val="00391825"/>
    <w:rsid w:val="0039194C"/>
    <w:rsid w:val="00391CCD"/>
    <w:rsid w:val="00391E08"/>
    <w:rsid w:val="0039236E"/>
    <w:rsid w:val="003923A9"/>
    <w:rsid w:val="00392610"/>
    <w:rsid w:val="003927D0"/>
    <w:rsid w:val="00392816"/>
    <w:rsid w:val="003929E1"/>
    <w:rsid w:val="00392A61"/>
    <w:rsid w:val="00392E7B"/>
    <w:rsid w:val="00392EBE"/>
    <w:rsid w:val="0039349F"/>
    <w:rsid w:val="003936B1"/>
    <w:rsid w:val="003936BD"/>
    <w:rsid w:val="003938FC"/>
    <w:rsid w:val="00394345"/>
    <w:rsid w:val="003943CC"/>
    <w:rsid w:val="00394523"/>
    <w:rsid w:val="00394556"/>
    <w:rsid w:val="00394577"/>
    <w:rsid w:val="003945F3"/>
    <w:rsid w:val="00394676"/>
    <w:rsid w:val="003946EF"/>
    <w:rsid w:val="0039471C"/>
    <w:rsid w:val="00394797"/>
    <w:rsid w:val="00394A37"/>
    <w:rsid w:val="00394B14"/>
    <w:rsid w:val="00394D23"/>
    <w:rsid w:val="00395061"/>
    <w:rsid w:val="003950A2"/>
    <w:rsid w:val="00395324"/>
    <w:rsid w:val="0039545D"/>
    <w:rsid w:val="00395622"/>
    <w:rsid w:val="0039562B"/>
    <w:rsid w:val="0039591C"/>
    <w:rsid w:val="003959F3"/>
    <w:rsid w:val="00395D06"/>
    <w:rsid w:val="00395D66"/>
    <w:rsid w:val="003963D6"/>
    <w:rsid w:val="003967B8"/>
    <w:rsid w:val="00396CBF"/>
    <w:rsid w:val="00396E1B"/>
    <w:rsid w:val="00397383"/>
    <w:rsid w:val="00397BD8"/>
    <w:rsid w:val="00397C35"/>
    <w:rsid w:val="003A02D0"/>
    <w:rsid w:val="003A04C2"/>
    <w:rsid w:val="003A0834"/>
    <w:rsid w:val="003A084D"/>
    <w:rsid w:val="003A08D5"/>
    <w:rsid w:val="003A0976"/>
    <w:rsid w:val="003A0BD7"/>
    <w:rsid w:val="003A0CDB"/>
    <w:rsid w:val="003A0D2B"/>
    <w:rsid w:val="003A0E27"/>
    <w:rsid w:val="003A1159"/>
    <w:rsid w:val="003A128B"/>
    <w:rsid w:val="003A146F"/>
    <w:rsid w:val="003A15BD"/>
    <w:rsid w:val="003A1EA6"/>
    <w:rsid w:val="003A2056"/>
    <w:rsid w:val="003A20C6"/>
    <w:rsid w:val="003A2231"/>
    <w:rsid w:val="003A2737"/>
    <w:rsid w:val="003A280B"/>
    <w:rsid w:val="003A2AA0"/>
    <w:rsid w:val="003A2C2C"/>
    <w:rsid w:val="003A2D42"/>
    <w:rsid w:val="003A310D"/>
    <w:rsid w:val="003A333C"/>
    <w:rsid w:val="003A363B"/>
    <w:rsid w:val="003A3686"/>
    <w:rsid w:val="003A37AB"/>
    <w:rsid w:val="003A3952"/>
    <w:rsid w:val="003A3972"/>
    <w:rsid w:val="003A3A7D"/>
    <w:rsid w:val="003A3B2A"/>
    <w:rsid w:val="003A3D44"/>
    <w:rsid w:val="003A40AA"/>
    <w:rsid w:val="003A4639"/>
    <w:rsid w:val="003A4731"/>
    <w:rsid w:val="003A49DD"/>
    <w:rsid w:val="003A4BBB"/>
    <w:rsid w:val="003A4BCA"/>
    <w:rsid w:val="003A4BCC"/>
    <w:rsid w:val="003A4F59"/>
    <w:rsid w:val="003A5064"/>
    <w:rsid w:val="003A5075"/>
    <w:rsid w:val="003A50C0"/>
    <w:rsid w:val="003A522F"/>
    <w:rsid w:val="003A5288"/>
    <w:rsid w:val="003A52F9"/>
    <w:rsid w:val="003A5319"/>
    <w:rsid w:val="003A55C7"/>
    <w:rsid w:val="003A58A5"/>
    <w:rsid w:val="003A6BD7"/>
    <w:rsid w:val="003A6FD2"/>
    <w:rsid w:val="003A708E"/>
    <w:rsid w:val="003A72FE"/>
    <w:rsid w:val="003A73C5"/>
    <w:rsid w:val="003A75EF"/>
    <w:rsid w:val="003A7635"/>
    <w:rsid w:val="003A79E7"/>
    <w:rsid w:val="003A7C36"/>
    <w:rsid w:val="003A7D02"/>
    <w:rsid w:val="003A7E59"/>
    <w:rsid w:val="003A7E89"/>
    <w:rsid w:val="003B00EF"/>
    <w:rsid w:val="003B0177"/>
    <w:rsid w:val="003B058D"/>
    <w:rsid w:val="003B131F"/>
    <w:rsid w:val="003B1336"/>
    <w:rsid w:val="003B1470"/>
    <w:rsid w:val="003B153E"/>
    <w:rsid w:val="003B16AE"/>
    <w:rsid w:val="003B1D0F"/>
    <w:rsid w:val="003B1D6B"/>
    <w:rsid w:val="003B1D7B"/>
    <w:rsid w:val="003B1D9A"/>
    <w:rsid w:val="003B1DAF"/>
    <w:rsid w:val="003B1FAA"/>
    <w:rsid w:val="003B2212"/>
    <w:rsid w:val="003B2DF2"/>
    <w:rsid w:val="003B3073"/>
    <w:rsid w:val="003B3312"/>
    <w:rsid w:val="003B336F"/>
    <w:rsid w:val="003B343F"/>
    <w:rsid w:val="003B354A"/>
    <w:rsid w:val="003B3692"/>
    <w:rsid w:val="003B36CB"/>
    <w:rsid w:val="003B3870"/>
    <w:rsid w:val="003B3FB0"/>
    <w:rsid w:val="003B41C6"/>
    <w:rsid w:val="003B42AE"/>
    <w:rsid w:val="003B4B2B"/>
    <w:rsid w:val="003B4CED"/>
    <w:rsid w:val="003B4EBC"/>
    <w:rsid w:val="003B5383"/>
    <w:rsid w:val="003B55FD"/>
    <w:rsid w:val="003B5C43"/>
    <w:rsid w:val="003B5DC1"/>
    <w:rsid w:val="003B60E2"/>
    <w:rsid w:val="003B6181"/>
    <w:rsid w:val="003B620D"/>
    <w:rsid w:val="003B639A"/>
    <w:rsid w:val="003B657B"/>
    <w:rsid w:val="003B67CD"/>
    <w:rsid w:val="003B68C4"/>
    <w:rsid w:val="003B6D4E"/>
    <w:rsid w:val="003B6DDD"/>
    <w:rsid w:val="003B71A3"/>
    <w:rsid w:val="003B72A3"/>
    <w:rsid w:val="003B74F6"/>
    <w:rsid w:val="003B784C"/>
    <w:rsid w:val="003B7EC4"/>
    <w:rsid w:val="003C0533"/>
    <w:rsid w:val="003C056B"/>
    <w:rsid w:val="003C0575"/>
    <w:rsid w:val="003C05ED"/>
    <w:rsid w:val="003C0622"/>
    <w:rsid w:val="003C08C1"/>
    <w:rsid w:val="003C0A43"/>
    <w:rsid w:val="003C0ACF"/>
    <w:rsid w:val="003C0C93"/>
    <w:rsid w:val="003C0EAD"/>
    <w:rsid w:val="003C0EE7"/>
    <w:rsid w:val="003C0F2C"/>
    <w:rsid w:val="003C13DE"/>
    <w:rsid w:val="003C13F6"/>
    <w:rsid w:val="003C15F2"/>
    <w:rsid w:val="003C1640"/>
    <w:rsid w:val="003C18BC"/>
    <w:rsid w:val="003C1BEF"/>
    <w:rsid w:val="003C1DEB"/>
    <w:rsid w:val="003C1F44"/>
    <w:rsid w:val="003C1F90"/>
    <w:rsid w:val="003C209A"/>
    <w:rsid w:val="003C21CD"/>
    <w:rsid w:val="003C2235"/>
    <w:rsid w:val="003C324C"/>
    <w:rsid w:val="003C37DC"/>
    <w:rsid w:val="003C3DAF"/>
    <w:rsid w:val="003C3F54"/>
    <w:rsid w:val="003C3F9F"/>
    <w:rsid w:val="003C4177"/>
    <w:rsid w:val="003C41A9"/>
    <w:rsid w:val="003C42E3"/>
    <w:rsid w:val="003C43A8"/>
    <w:rsid w:val="003C4573"/>
    <w:rsid w:val="003C4793"/>
    <w:rsid w:val="003C48DC"/>
    <w:rsid w:val="003C4B3C"/>
    <w:rsid w:val="003C4BF6"/>
    <w:rsid w:val="003C5169"/>
    <w:rsid w:val="003C51C9"/>
    <w:rsid w:val="003C56F9"/>
    <w:rsid w:val="003C5782"/>
    <w:rsid w:val="003C57E2"/>
    <w:rsid w:val="003C57E3"/>
    <w:rsid w:val="003C5F15"/>
    <w:rsid w:val="003C612B"/>
    <w:rsid w:val="003C6628"/>
    <w:rsid w:val="003C667B"/>
    <w:rsid w:val="003C6A01"/>
    <w:rsid w:val="003C6A5E"/>
    <w:rsid w:val="003C6D2A"/>
    <w:rsid w:val="003C6F1C"/>
    <w:rsid w:val="003C6F6B"/>
    <w:rsid w:val="003C74B9"/>
    <w:rsid w:val="003D01B4"/>
    <w:rsid w:val="003D08D2"/>
    <w:rsid w:val="003D0EFF"/>
    <w:rsid w:val="003D12CA"/>
    <w:rsid w:val="003D165A"/>
    <w:rsid w:val="003D186A"/>
    <w:rsid w:val="003D1B59"/>
    <w:rsid w:val="003D1E88"/>
    <w:rsid w:val="003D1EB8"/>
    <w:rsid w:val="003D2051"/>
    <w:rsid w:val="003D29E1"/>
    <w:rsid w:val="003D2D4D"/>
    <w:rsid w:val="003D2F5E"/>
    <w:rsid w:val="003D2FC0"/>
    <w:rsid w:val="003D3118"/>
    <w:rsid w:val="003D3601"/>
    <w:rsid w:val="003D3667"/>
    <w:rsid w:val="003D3723"/>
    <w:rsid w:val="003D37C7"/>
    <w:rsid w:val="003D38F2"/>
    <w:rsid w:val="003D3F10"/>
    <w:rsid w:val="003D4290"/>
    <w:rsid w:val="003D42B8"/>
    <w:rsid w:val="003D4301"/>
    <w:rsid w:val="003D44D3"/>
    <w:rsid w:val="003D48E6"/>
    <w:rsid w:val="003D49AB"/>
    <w:rsid w:val="003D4D0D"/>
    <w:rsid w:val="003D4EE8"/>
    <w:rsid w:val="003D5545"/>
    <w:rsid w:val="003D5574"/>
    <w:rsid w:val="003D5C12"/>
    <w:rsid w:val="003D5D3B"/>
    <w:rsid w:val="003D5E8E"/>
    <w:rsid w:val="003D5F0D"/>
    <w:rsid w:val="003D6049"/>
    <w:rsid w:val="003D63A4"/>
    <w:rsid w:val="003D642C"/>
    <w:rsid w:val="003D6954"/>
    <w:rsid w:val="003D705A"/>
    <w:rsid w:val="003D708A"/>
    <w:rsid w:val="003D70AA"/>
    <w:rsid w:val="003D7158"/>
    <w:rsid w:val="003D77FE"/>
    <w:rsid w:val="003D7D95"/>
    <w:rsid w:val="003E0064"/>
    <w:rsid w:val="003E0066"/>
    <w:rsid w:val="003E0367"/>
    <w:rsid w:val="003E04EB"/>
    <w:rsid w:val="003E0607"/>
    <w:rsid w:val="003E0EFB"/>
    <w:rsid w:val="003E0FBF"/>
    <w:rsid w:val="003E0FCB"/>
    <w:rsid w:val="003E10DE"/>
    <w:rsid w:val="003E12E7"/>
    <w:rsid w:val="003E1526"/>
    <w:rsid w:val="003E1740"/>
    <w:rsid w:val="003E182B"/>
    <w:rsid w:val="003E1C32"/>
    <w:rsid w:val="003E2030"/>
    <w:rsid w:val="003E20A1"/>
    <w:rsid w:val="003E22D4"/>
    <w:rsid w:val="003E2811"/>
    <w:rsid w:val="003E2915"/>
    <w:rsid w:val="003E2D02"/>
    <w:rsid w:val="003E331E"/>
    <w:rsid w:val="003E3504"/>
    <w:rsid w:val="003E36D1"/>
    <w:rsid w:val="003E3988"/>
    <w:rsid w:val="003E39D0"/>
    <w:rsid w:val="003E3ABA"/>
    <w:rsid w:val="003E3D16"/>
    <w:rsid w:val="003E3D88"/>
    <w:rsid w:val="003E3DA7"/>
    <w:rsid w:val="003E3DD1"/>
    <w:rsid w:val="003E4415"/>
    <w:rsid w:val="003E4623"/>
    <w:rsid w:val="003E49EB"/>
    <w:rsid w:val="003E4AD8"/>
    <w:rsid w:val="003E4B23"/>
    <w:rsid w:val="003E4D0D"/>
    <w:rsid w:val="003E5092"/>
    <w:rsid w:val="003E52E5"/>
    <w:rsid w:val="003E55BA"/>
    <w:rsid w:val="003E5CE7"/>
    <w:rsid w:val="003E5D0A"/>
    <w:rsid w:val="003E5D72"/>
    <w:rsid w:val="003E5F74"/>
    <w:rsid w:val="003E637A"/>
    <w:rsid w:val="003E64A2"/>
    <w:rsid w:val="003E6507"/>
    <w:rsid w:val="003E6AFE"/>
    <w:rsid w:val="003E6B02"/>
    <w:rsid w:val="003E6DB1"/>
    <w:rsid w:val="003E6F13"/>
    <w:rsid w:val="003E71BE"/>
    <w:rsid w:val="003E7207"/>
    <w:rsid w:val="003E748E"/>
    <w:rsid w:val="003E7504"/>
    <w:rsid w:val="003E75D3"/>
    <w:rsid w:val="003E7608"/>
    <w:rsid w:val="003E76BA"/>
    <w:rsid w:val="003E796D"/>
    <w:rsid w:val="003E7A3E"/>
    <w:rsid w:val="003E7AB5"/>
    <w:rsid w:val="003E7CE5"/>
    <w:rsid w:val="003E7EA1"/>
    <w:rsid w:val="003F00CA"/>
    <w:rsid w:val="003F01F3"/>
    <w:rsid w:val="003F0303"/>
    <w:rsid w:val="003F079C"/>
    <w:rsid w:val="003F0829"/>
    <w:rsid w:val="003F0D12"/>
    <w:rsid w:val="003F0D6D"/>
    <w:rsid w:val="003F0E85"/>
    <w:rsid w:val="003F1C08"/>
    <w:rsid w:val="003F1DFF"/>
    <w:rsid w:val="003F22E7"/>
    <w:rsid w:val="003F2601"/>
    <w:rsid w:val="003F283A"/>
    <w:rsid w:val="003F2996"/>
    <w:rsid w:val="003F29BF"/>
    <w:rsid w:val="003F2A42"/>
    <w:rsid w:val="003F2C3C"/>
    <w:rsid w:val="003F2C9F"/>
    <w:rsid w:val="003F2D96"/>
    <w:rsid w:val="003F3339"/>
    <w:rsid w:val="003F335F"/>
    <w:rsid w:val="003F36B3"/>
    <w:rsid w:val="003F37DE"/>
    <w:rsid w:val="003F3869"/>
    <w:rsid w:val="003F3E10"/>
    <w:rsid w:val="003F3E23"/>
    <w:rsid w:val="003F3FCB"/>
    <w:rsid w:val="003F414D"/>
    <w:rsid w:val="003F42DE"/>
    <w:rsid w:val="003F4426"/>
    <w:rsid w:val="003F4442"/>
    <w:rsid w:val="003F451C"/>
    <w:rsid w:val="003F4606"/>
    <w:rsid w:val="003F47EF"/>
    <w:rsid w:val="003F492E"/>
    <w:rsid w:val="003F4B95"/>
    <w:rsid w:val="003F4E22"/>
    <w:rsid w:val="003F4FAF"/>
    <w:rsid w:val="003F50B1"/>
    <w:rsid w:val="003F53E7"/>
    <w:rsid w:val="003F543B"/>
    <w:rsid w:val="003F590C"/>
    <w:rsid w:val="003F5C0C"/>
    <w:rsid w:val="003F5F85"/>
    <w:rsid w:val="003F6028"/>
    <w:rsid w:val="003F633F"/>
    <w:rsid w:val="003F66BC"/>
    <w:rsid w:val="003F6A8F"/>
    <w:rsid w:val="003F6B55"/>
    <w:rsid w:val="003F710C"/>
    <w:rsid w:val="003F711C"/>
    <w:rsid w:val="003F7240"/>
    <w:rsid w:val="003F7704"/>
    <w:rsid w:val="003F7B6A"/>
    <w:rsid w:val="003F7B6D"/>
    <w:rsid w:val="003F7DBE"/>
    <w:rsid w:val="003F7F17"/>
    <w:rsid w:val="003F7F30"/>
    <w:rsid w:val="00400245"/>
    <w:rsid w:val="00400296"/>
    <w:rsid w:val="004003B4"/>
    <w:rsid w:val="0040055D"/>
    <w:rsid w:val="0040094A"/>
    <w:rsid w:val="00400E70"/>
    <w:rsid w:val="004010B3"/>
    <w:rsid w:val="004010C6"/>
    <w:rsid w:val="004010F7"/>
    <w:rsid w:val="0040118B"/>
    <w:rsid w:val="00401206"/>
    <w:rsid w:val="004018D2"/>
    <w:rsid w:val="004019B7"/>
    <w:rsid w:val="004024AC"/>
    <w:rsid w:val="004029D0"/>
    <w:rsid w:val="00402ABE"/>
    <w:rsid w:val="00402F99"/>
    <w:rsid w:val="00403072"/>
    <w:rsid w:val="004030C2"/>
    <w:rsid w:val="004033AA"/>
    <w:rsid w:val="00403494"/>
    <w:rsid w:val="00403530"/>
    <w:rsid w:val="00403801"/>
    <w:rsid w:val="00403AD4"/>
    <w:rsid w:val="00403D3B"/>
    <w:rsid w:val="00403ECE"/>
    <w:rsid w:val="004040AA"/>
    <w:rsid w:val="00404198"/>
    <w:rsid w:val="00404408"/>
    <w:rsid w:val="0040469A"/>
    <w:rsid w:val="00404714"/>
    <w:rsid w:val="00404723"/>
    <w:rsid w:val="00404A54"/>
    <w:rsid w:val="00404B21"/>
    <w:rsid w:val="00404B94"/>
    <w:rsid w:val="00404D88"/>
    <w:rsid w:val="00404E71"/>
    <w:rsid w:val="004050BB"/>
    <w:rsid w:val="004051EC"/>
    <w:rsid w:val="0040542D"/>
    <w:rsid w:val="00405775"/>
    <w:rsid w:val="0040596F"/>
    <w:rsid w:val="00405BE1"/>
    <w:rsid w:val="00405C3F"/>
    <w:rsid w:val="0040632F"/>
    <w:rsid w:val="0040661C"/>
    <w:rsid w:val="00406C0A"/>
    <w:rsid w:val="00406C74"/>
    <w:rsid w:val="00406F43"/>
    <w:rsid w:val="00407039"/>
    <w:rsid w:val="0040704B"/>
    <w:rsid w:val="004075B9"/>
    <w:rsid w:val="0040783E"/>
    <w:rsid w:val="00407984"/>
    <w:rsid w:val="00410040"/>
    <w:rsid w:val="0041020A"/>
    <w:rsid w:val="00410666"/>
    <w:rsid w:val="00410C73"/>
    <w:rsid w:val="00410FBB"/>
    <w:rsid w:val="00411210"/>
    <w:rsid w:val="00411A98"/>
    <w:rsid w:val="00411B42"/>
    <w:rsid w:val="00411DBD"/>
    <w:rsid w:val="004121B7"/>
    <w:rsid w:val="0041221A"/>
    <w:rsid w:val="0041251F"/>
    <w:rsid w:val="00412609"/>
    <w:rsid w:val="00412FC5"/>
    <w:rsid w:val="0041359D"/>
    <w:rsid w:val="00413700"/>
    <w:rsid w:val="004138B7"/>
    <w:rsid w:val="0041397C"/>
    <w:rsid w:val="004139D2"/>
    <w:rsid w:val="00413ABD"/>
    <w:rsid w:val="00413AFD"/>
    <w:rsid w:val="00414737"/>
    <w:rsid w:val="00414935"/>
    <w:rsid w:val="00414A58"/>
    <w:rsid w:val="00414FF9"/>
    <w:rsid w:val="004150C1"/>
    <w:rsid w:val="0041517B"/>
    <w:rsid w:val="00415206"/>
    <w:rsid w:val="0041528F"/>
    <w:rsid w:val="004152BF"/>
    <w:rsid w:val="004152C7"/>
    <w:rsid w:val="004153BA"/>
    <w:rsid w:val="004154B4"/>
    <w:rsid w:val="00415697"/>
    <w:rsid w:val="00415739"/>
    <w:rsid w:val="00415976"/>
    <w:rsid w:val="00415A76"/>
    <w:rsid w:val="00415BAC"/>
    <w:rsid w:val="00415CFA"/>
    <w:rsid w:val="00415F79"/>
    <w:rsid w:val="00416644"/>
    <w:rsid w:val="00416A1A"/>
    <w:rsid w:val="00416E14"/>
    <w:rsid w:val="00416E34"/>
    <w:rsid w:val="00416E59"/>
    <w:rsid w:val="00416EA5"/>
    <w:rsid w:val="00417051"/>
    <w:rsid w:val="004172A9"/>
    <w:rsid w:val="0041768D"/>
    <w:rsid w:val="00417705"/>
    <w:rsid w:val="00417944"/>
    <w:rsid w:val="00417973"/>
    <w:rsid w:val="0041797E"/>
    <w:rsid w:val="00417E75"/>
    <w:rsid w:val="00420281"/>
    <w:rsid w:val="004202C9"/>
    <w:rsid w:val="004202E5"/>
    <w:rsid w:val="00420770"/>
    <w:rsid w:val="0042127A"/>
    <w:rsid w:val="00421650"/>
    <w:rsid w:val="004219D5"/>
    <w:rsid w:val="00421D52"/>
    <w:rsid w:val="00421D68"/>
    <w:rsid w:val="00421EBA"/>
    <w:rsid w:val="004226D6"/>
    <w:rsid w:val="004227AD"/>
    <w:rsid w:val="004228D5"/>
    <w:rsid w:val="00422C50"/>
    <w:rsid w:val="00422D22"/>
    <w:rsid w:val="00422E8E"/>
    <w:rsid w:val="004230B1"/>
    <w:rsid w:val="00423545"/>
    <w:rsid w:val="00423A42"/>
    <w:rsid w:val="00423A69"/>
    <w:rsid w:val="00423C84"/>
    <w:rsid w:val="00423CED"/>
    <w:rsid w:val="00423E94"/>
    <w:rsid w:val="00423EBE"/>
    <w:rsid w:val="004243F2"/>
    <w:rsid w:val="0042456F"/>
    <w:rsid w:val="00424981"/>
    <w:rsid w:val="00424AC5"/>
    <w:rsid w:val="00424D13"/>
    <w:rsid w:val="00424D69"/>
    <w:rsid w:val="00424F23"/>
    <w:rsid w:val="00425582"/>
    <w:rsid w:val="004257F0"/>
    <w:rsid w:val="00425850"/>
    <w:rsid w:val="00425881"/>
    <w:rsid w:val="00425BB0"/>
    <w:rsid w:val="00425CA6"/>
    <w:rsid w:val="00426062"/>
    <w:rsid w:val="004267DD"/>
    <w:rsid w:val="00426840"/>
    <w:rsid w:val="00426A14"/>
    <w:rsid w:val="00426AC0"/>
    <w:rsid w:val="00426B0B"/>
    <w:rsid w:val="0042728F"/>
    <w:rsid w:val="00427483"/>
    <w:rsid w:val="00427711"/>
    <w:rsid w:val="00427B55"/>
    <w:rsid w:val="00427BE0"/>
    <w:rsid w:val="00427C6D"/>
    <w:rsid w:val="00427CBF"/>
    <w:rsid w:val="00430514"/>
    <w:rsid w:val="0043067D"/>
    <w:rsid w:val="00430708"/>
    <w:rsid w:val="00430756"/>
    <w:rsid w:val="004307CF"/>
    <w:rsid w:val="00430A5F"/>
    <w:rsid w:val="00430C54"/>
    <w:rsid w:val="00430E46"/>
    <w:rsid w:val="00430E6A"/>
    <w:rsid w:val="00430F4B"/>
    <w:rsid w:val="004315EE"/>
    <w:rsid w:val="00431813"/>
    <w:rsid w:val="00431A5D"/>
    <w:rsid w:val="00431A61"/>
    <w:rsid w:val="00431A8C"/>
    <w:rsid w:val="00431C21"/>
    <w:rsid w:val="00431F80"/>
    <w:rsid w:val="00431F85"/>
    <w:rsid w:val="0043211F"/>
    <w:rsid w:val="0043233D"/>
    <w:rsid w:val="004323ED"/>
    <w:rsid w:val="004325F4"/>
    <w:rsid w:val="00432660"/>
    <w:rsid w:val="00432D1D"/>
    <w:rsid w:val="00432D93"/>
    <w:rsid w:val="00432E31"/>
    <w:rsid w:val="00432EF0"/>
    <w:rsid w:val="00433375"/>
    <w:rsid w:val="00433635"/>
    <w:rsid w:val="004339D8"/>
    <w:rsid w:val="00433DBD"/>
    <w:rsid w:val="00433E90"/>
    <w:rsid w:val="00434271"/>
    <w:rsid w:val="004343AB"/>
    <w:rsid w:val="0043453E"/>
    <w:rsid w:val="004345B2"/>
    <w:rsid w:val="004345C1"/>
    <w:rsid w:val="0043462F"/>
    <w:rsid w:val="00434699"/>
    <w:rsid w:val="004346AF"/>
    <w:rsid w:val="004351C4"/>
    <w:rsid w:val="004353CD"/>
    <w:rsid w:val="00435649"/>
    <w:rsid w:val="00435913"/>
    <w:rsid w:val="00435B37"/>
    <w:rsid w:val="00435BF5"/>
    <w:rsid w:val="00435DD7"/>
    <w:rsid w:val="00435FB3"/>
    <w:rsid w:val="00435FDE"/>
    <w:rsid w:val="0043633E"/>
    <w:rsid w:val="00436A81"/>
    <w:rsid w:val="00436C8A"/>
    <w:rsid w:val="00436D15"/>
    <w:rsid w:val="00436F54"/>
    <w:rsid w:val="00436FC3"/>
    <w:rsid w:val="004376BA"/>
    <w:rsid w:val="004377DB"/>
    <w:rsid w:val="00437A98"/>
    <w:rsid w:val="00437BF9"/>
    <w:rsid w:val="00437C34"/>
    <w:rsid w:val="00437CB2"/>
    <w:rsid w:val="00437DD6"/>
    <w:rsid w:val="00437E9F"/>
    <w:rsid w:val="00437F9C"/>
    <w:rsid w:val="004400C6"/>
    <w:rsid w:val="00440113"/>
    <w:rsid w:val="004406C5"/>
    <w:rsid w:val="004409B6"/>
    <w:rsid w:val="00440B32"/>
    <w:rsid w:val="00440C8B"/>
    <w:rsid w:val="00440D2A"/>
    <w:rsid w:val="0044124E"/>
    <w:rsid w:val="004412DF"/>
    <w:rsid w:val="0044132D"/>
    <w:rsid w:val="0044189C"/>
    <w:rsid w:val="00441A8E"/>
    <w:rsid w:val="00441BBB"/>
    <w:rsid w:val="00441D80"/>
    <w:rsid w:val="004423DB"/>
    <w:rsid w:val="004423F7"/>
    <w:rsid w:val="004424DB"/>
    <w:rsid w:val="00442B5A"/>
    <w:rsid w:val="00442BA4"/>
    <w:rsid w:val="00442E85"/>
    <w:rsid w:val="0044305B"/>
    <w:rsid w:val="0044307F"/>
    <w:rsid w:val="00443233"/>
    <w:rsid w:val="0044325A"/>
    <w:rsid w:val="0044461E"/>
    <w:rsid w:val="0044463B"/>
    <w:rsid w:val="00444942"/>
    <w:rsid w:val="00444EE6"/>
    <w:rsid w:val="004453F1"/>
    <w:rsid w:val="0044574A"/>
    <w:rsid w:val="00446094"/>
    <w:rsid w:val="00446172"/>
    <w:rsid w:val="00446572"/>
    <w:rsid w:val="004465B7"/>
    <w:rsid w:val="004467EA"/>
    <w:rsid w:val="004467F1"/>
    <w:rsid w:val="0044698A"/>
    <w:rsid w:val="004470E2"/>
    <w:rsid w:val="0044722F"/>
    <w:rsid w:val="00447696"/>
    <w:rsid w:val="0044782C"/>
    <w:rsid w:val="004479C0"/>
    <w:rsid w:val="00447FE5"/>
    <w:rsid w:val="00450045"/>
    <w:rsid w:val="004503E6"/>
    <w:rsid w:val="004505E8"/>
    <w:rsid w:val="00450625"/>
    <w:rsid w:val="0045071F"/>
    <w:rsid w:val="004507FE"/>
    <w:rsid w:val="00450CC7"/>
    <w:rsid w:val="00450E0B"/>
    <w:rsid w:val="00451336"/>
    <w:rsid w:val="00451512"/>
    <w:rsid w:val="004515E2"/>
    <w:rsid w:val="0045162D"/>
    <w:rsid w:val="004516A5"/>
    <w:rsid w:val="0045188D"/>
    <w:rsid w:val="004518AA"/>
    <w:rsid w:val="004519B8"/>
    <w:rsid w:val="00452531"/>
    <w:rsid w:val="00452642"/>
    <w:rsid w:val="00452AF6"/>
    <w:rsid w:val="00452D93"/>
    <w:rsid w:val="0045300E"/>
    <w:rsid w:val="00453523"/>
    <w:rsid w:val="00453AA8"/>
    <w:rsid w:val="00453CA1"/>
    <w:rsid w:val="00454052"/>
    <w:rsid w:val="00454302"/>
    <w:rsid w:val="004544E0"/>
    <w:rsid w:val="0045457A"/>
    <w:rsid w:val="004546B0"/>
    <w:rsid w:val="00454A0E"/>
    <w:rsid w:val="00454B93"/>
    <w:rsid w:val="00454C05"/>
    <w:rsid w:val="00454EAB"/>
    <w:rsid w:val="004555FC"/>
    <w:rsid w:val="00455A23"/>
    <w:rsid w:val="00455AEB"/>
    <w:rsid w:val="00455C54"/>
    <w:rsid w:val="00455EED"/>
    <w:rsid w:val="00456034"/>
    <w:rsid w:val="00456146"/>
    <w:rsid w:val="004561EB"/>
    <w:rsid w:val="00456289"/>
    <w:rsid w:val="004562D7"/>
    <w:rsid w:val="00456368"/>
    <w:rsid w:val="004565F8"/>
    <w:rsid w:val="004569A7"/>
    <w:rsid w:val="004569C1"/>
    <w:rsid w:val="00456D18"/>
    <w:rsid w:val="00456EBE"/>
    <w:rsid w:val="004571C1"/>
    <w:rsid w:val="00457359"/>
    <w:rsid w:val="00457377"/>
    <w:rsid w:val="004573AC"/>
    <w:rsid w:val="00457ACC"/>
    <w:rsid w:val="00457CFA"/>
    <w:rsid w:val="00457D6F"/>
    <w:rsid w:val="00457EBA"/>
    <w:rsid w:val="0046010F"/>
    <w:rsid w:val="0046013A"/>
    <w:rsid w:val="00460373"/>
    <w:rsid w:val="0046043A"/>
    <w:rsid w:val="00460717"/>
    <w:rsid w:val="00460B47"/>
    <w:rsid w:val="00461198"/>
    <w:rsid w:val="004611A4"/>
    <w:rsid w:val="00461260"/>
    <w:rsid w:val="00461664"/>
    <w:rsid w:val="00461CA0"/>
    <w:rsid w:val="004623C8"/>
    <w:rsid w:val="004623F4"/>
    <w:rsid w:val="00462485"/>
    <w:rsid w:val="004627D4"/>
    <w:rsid w:val="004627D6"/>
    <w:rsid w:val="00462A11"/>
    <w:rsid w:val="00462B1F"/>
    <w:rsid w:val="00462D5C"/>
    <w:rsid w:val="00462DB4"/>
    <w:rsid w:val="00462F6D"/>
    <w:rsid w:val="00462F9F"/>
    <w:rsid w:val="00462FC3"/>
    <w:rsid w:val="00462FED"/>
    <w:rsid w:val="00463107"/>
    <w:rsid w:val="00463599"/>
    <w:rsid w:val="00463C87"/>
    <w:rsid w:val="00463D6D"/>
    <w:rsid w:val="00463DDC"/>
    <w:rsid w:val="00464546"/>
    <w:rsid w:val="004646FF"/>
    <w:rsid w:val="00464748"/>
    <w:rsid w:val="00464752"/>
    <w:rsid w:val="00464B00"/>
    <w:rsid w:val="00465378"/>
    <w:rsid w:val="004659D9"/>
    <w:rsid w:val="00465BA4"/>
    <w:rsid w:val="004662EB"/>
    <w:rsid w:val="00466430"/>
    <w:rsid w:val="004666E9"/>
    <w:rsid w:val="00466861"/>
    <w:rsid w:val="00466C8A"/>
    <w:rsid w:val="00466EAB"/>
    <w:rsid w:val="00466EF8"/>
    <w:rsid w:val="00466FC9"/>
    <w:rsid w:val="0046701F"/>
    <w:rsid w:val="0046706D"/>
    <w:rsid w:val="004670C4"/>
    <w:rsid w:val="00467181"/>
    <w:rsid w:val="0046727D"/>
    <w:rsid w:val="00467285"/>
    <w:rsid w:val="00467606"/>
    <w:rsid w:val="0046769F"/>
    <w:rsid w:val="004676E0"/>
    <w:rsid w:val="00467847"/>
    <w:rsid w:val="004679C1"/>
    <w:rsid w:val="00467B6C"/>
    <w:rsid w:val="004700C9"/>
    <w:rsid w:val="0047018F"/>
    <w:rsid w:val="004701B8"/>
    <w:rsid w:val="00470524"/>
    <w:rsid w:val="0047097B"/>
    <w:rsid w:val="00470B48"/>
    <w:rsid w:val="00470ED9"/>
    <w:rsid w:val="00471357"/>
    <w:rsid w:val="00471429"/>
    <w:rsid w:val="004718DE"/>
    <w:rsid w:val="00471B47"/>
    <w:rsid w:val="00471CE2"/>
    <w:rsid w:val="00471FBD"/>
    <w:rsid w:val="0047220F"/>
    <w:rsid w:val="00472313"/>
    <w:rsid w:val="00472A3B"/>
    <w:rsid w:val="00472DC8"/>
    <w:rsid w:val="00473290"/>
    <w:rsid w:val="00473439"/>
    <w:rsid w:val="004735DC"/>
    <w:rsid w:val="00473618"/>
    <w:rsid w:val="00473AE6"/>
    <w:rsid w:val="00473B0E"/>
    <w:rsid w:val="00473B4F"/>
    <w:rsid w:val="00473BC9"/>
    <w:rsid w:val="00473C40"/>
    <w:rsid w:val="00473D1F"/>
    <w:rsid w:val="00473E0C"/>
    <w:rsid w:val="00474023"/>
    <w:rsid w:val="0047404D"/>
    <w:rsid w:val="00474510"/>
    <w:rsid w:val="00474D91"/>
    <w:rsid w:val="00475090"/>
    <w:rsid w:val="00475214"/>
    <w:rsid w:val="00475261"/>
    <w:rsid w:val="00475500"/>
    <w:rsid w:val="00475594"/>
    <w:rsid w:val="00475713"/>
    <w:rsid w:val="00475814"/>
    <w:rsid w:val="0047582A"/>
    <w:rsid w:val="0047585F"/>
    <w:rsid w:val="004758CB"/>
    <w:rsid w:val="00475BEB"/>
    <w:rsid w:val="00475EDD"/>
    <w:rsid w:val="00476049"/>
    <w:rsid w:val="0047604E"/>
    <w:rsid w:val="00476120"/>
    <w:rsid w:val="00476145"/>
    <w:rsid w:val="0047642C"/>
    <w:rsid w:val="00476440"/>
    <w:rsid w:val="004764A3"/>
    <w:rsid w:val="004764CB"/>
    <w:rsid w:val="00476516"/>
    <w:rsid w:val="00476766"/>
    <w:rsid w:val="004767BD"/>
    <w:rsid w:val="00476B29"/>
    <w:rsid w:val="00476B87"/>
    <w:rsid w:val="00476D12"/>
    <w:rsid w:val="00476E9A"/>
    <w:rsid w:val="004770A5"/>
    <w:rsid w:val="0047726D"/>
    <w:rsid w:val="00477B21"/>
    <w:rsid w:val="00477D44"/>
    <w:rsid w:val="00477D48"/>
    <w:rsid w:val="004805A3"/>
    <w:rsid w:val="004806FE"/>
    <w:rsid w:val="0048127E"/>
    <w:rsid w:val="00481AF8"/>
    <w:rsid w:val="00481B48"/>
    <w:rsid w:val="00481CE9"/>
    <w:rsid w:val="00481D2B"/>
    <w:rsid w:val="00482323"/>
    <w:rsid w:val="004823C3"/>
    <w:rsid w:val="004826F4"/>
    <w:rsid w:val="00482733"/>
    <w:rsid w:val="0048288E"/>
    <w:rsid w:val="004828E9"/>
    <w:rsid w:val="004828F7"/>
    <w:rsid w:val="004829A5"/>
    <w:rsid w:val="00482CA2"/>
    <w:rsid w:val="00483217"/>
    <w:rsid w:val="00483821"/>
    <w:rsid w:val="00483900"/>
    <w:rsid w:val="00483CA4"/>
    <w:rsid w:val="00484518"/>
    <w:rsid w:val="00484EB3"/>
    <w:rsid w:val="00485031"/>
    <w:rsid w:val="004856C8"/>
    <w:rsid w:val="004857D8"/>
    <w:rsid w:val="004858BB"/>
    <w:rsid w:val="004859E0"/>
    <w:rsid w:val="00485CA0"/>
    <w:rsid w:val="004860B6"/>
    <w:rsid w:val="004860FB"/>
    <w:rsid w:val="00486867"/>
    <w:rsid w:val="00486B50"/>
    <w:rsid w:val="00486C63"/>
    <w:rsid w:val="00487192"/>
    <w:rsid w:val="0048763E"/>
    <w:rsid w:val="004877E0"/>
    <w:rsid w:val="00487CC1"/>
    <w:rsid w:val="00487D93"/>
    <w:rsid w:val="00487E88"/>
    <w:rsid w:val="00487F55"/>
    <w:rsid w:val="0049001F"/>
    <w:rsid w:val="00490028"/>
    <w:rsid w:val="00490149"/>
    <w:rsid w:val="00490219"/>
    <w:rsid w:val="00490A25"/>
    <w:rsid w:val="00490A5A"/>
    <w:rsid w:val="0049103C"/>
    <w:rsid w:val="00491187"/>
    <w:rsid w:val="00491441"/>
    <w:rsid w:val="00491748"/>
    <w:rsid w:val="00491CEE"/>
    <w:rsid w:val="00492111"/>
    <w:rsid w:val="00492289"/>
    <w:rsid w:val="004922AE"/>
    <w:rsid w:val="004922F2"/>
    <w:rsid w:val="00492C15"/>
    <w:rsid w:val="004933AF"/>
    <w:rsid w:val="0049361F"/>
    <w:rsid w:val="00493892"/>
    <w:rsid w:val="00493E63"/>
    <w:rsid w:val="00493E84"/>
    <w:rsid w:val="004940A4"/>
    <w:rsid w:val="00494317"/>
    <w:rsid w:val="0049444C"/>
    <w:rsid w:val="0049446D"/>
    <w:rsid w:val="00494758"/>
    <w:rsid w:val="00494789"/>
    <w:rsid w:val="004948F7"/>
    <w:rsid w:val="00494AA9"/>
    <w:rsid w:val="00494C4E"/>
    <w:rsid w:val="004950CB"/>
    <w:rsid w:val="004950CC"/>
    <w:rsid w:val="00495157"/>
    <w:rsid w:val="00495362"/>
    <w:rsid w:val="00495C47"/>
    <w:rsid w:val="00496184"/>
    <w:rsid w:val="00496355"/>
    <w:rsid w:val="00496754"/>
    <w:rsid w:val="00496988"/>
    <w:rsid w:val="004969D5"/>
    <w:rsid w:val="00496D8D"/>
    <w:rsid w:val="00496E6E"/>
    <w:rsid w:val="00497478"/>
    <w:rsid w:val="004974AE"/>
    <w:rsid w:val="004974FC"/>
    <w:rsid w:val="004978FA"/>
    <w:rsid w:val="0049795A"/>
    <w:rsid w:val="00497C97"/>
    <w:rsid w:val="00497EF5"/>
    <w:rsid w:val="004A0077"/>
    <w:rsid w:val="004A00C0"/>
    <w:rsid w:val="004A065B"/>
    <w:rsid w:val="004A06F9"/>
    <w:rsid w:val="004A0718"/>
    <w:rsid w:val="004A0856"/>
    <w:rsid w:val="004A0DED"/>
    <w:rsid w:val="004A107C"/>
    <w:rsid w:val="004A108E"/>
    <w:rsid w:val="004A12D1"/>
    <w:rsid w:val="004A14E9"/>
    <w:rsid w:val="004A174A"/>
    <w:rsid w:val="004A1837"/>
    <w:rsid w:val="004A1ACC"/>
    <w:rsid w:val="004A1B6B"/>
    <w:rsid w:val="004A1B76"/>
    <w:rsid w:val="004A1F10"/>
    <w:rsid w:val="004A20F4"/>
    <w:rsid w:val="004A2341"/>
    <w:rsid w:val="004A24FD"/>
    <w:rsid w:val="004A26A5"/>
    <w:rsid w:val="004A26D4"/>
    <w:rsid w:val="004A2971"/>
    <w:rsid w:val="004A2A9D"/>
    <w:rsid w:val="004A2B19"/>
    <w:rsid w:val="004A36C1"/>
    <w:rsid w:val="004A38AD"/>
    <w:rsid w:val="004A3A35"/>
    <w:rsid w:val="004A4416"/>
    <w:rsid w:val="004A449F"/>
    <w:rsid w:val="004A464D"/>
    <w:rsid w:val="004A464F"/>
    <w:rsid w:val="004A474E"/>
    <w:rsid w:val="004A4BEB"/>
    <w:rsid w:val="004A4C78"/>
    <w:rsid w:val="004A4C99"/>
    <w:rsid w:val="004A51C2"/>
    <w:rsid w:val="004A5698"/>
    <w:rsid w:val="004A56E9"/>
    <w:rsid w:val="004A5C31"/>
    <w:rsid w:val="004A5F38"/>
    <w:rsid w:val="004A61F5"/>
    <w:rsid w:val="004A638B"/>
    <w:rsid w:val="004A6505"/>
    <w:rsid w:val="004A654F"/>
    <w:rsid w:val="004A6A41"/>
    <w:rsid w:val="004A6A67"/>
    <w:rsid w:val="004A6C5F"/>
    <w:rsid w:val="004A6FC2"/>
    <w:rsid w:val="004A7357"/>
    <w:rsid w:val="004A7A47"/>
    <w:rsid w:val="004A7AA5"/>
    <w:rsid w:val="004A7C84"/>
    <w:rsid w:val="004A7D0D"/>
    <w:rsid w:val="004B0582"/>
    <w:rsid w:val="004B0B15"/>
    <w:rsid w:val="004B0B91"/>
    <w:rsid w:val="004B0E83"/>
    <w:rsid w:val="004B10DE"/>
    <w:rsid w:val="004B1446"/>
    <w:rsid w:val="004B1469"/>
    <w:rsid w:val="004B15A6"/>
    <w:rsid w:val="004B163C"/>
    <w:rsid w:val="004B1E04"/>
    <w:rsid w:val="004B1E2D"/>
    <w:rsid w:val="004B1FFE"/>
    <w:rsid w:val="004B219A"/>
    <w:rsid w:val="004B2747"/>
    <w:rsid w:val="004B2E75"/>
    <w:rsid w:val="004B2EDE"/>
    <w:rsid w:val="004B3033"/>
    <w:rsid w:val="004B30E8"/>
    <w:rsid w:val="004B318A"/>
    <w:rsid w:val="004B37CA"/>
    <w:rsid w:val="004B3981"/>
    <w:rsid w:val="004B3A1C"/>
    <w:rsid w:val="004B3F57"/>
    <w:rsid w:val="004B3F67"/>
    <w:rsid w:val="004B4499"/>
    <w:rsid w:val="004B44EC"/>
    <w:rsid w:val="004B4859"/>
    <w:rsid w:val="004B4A7C"/>
    <w:rsid w:val="004B51E8"/>
    <w:rsid w:val="004B5257"/>
    <w:rsid w:val="004B52DC"/>
    <w:rsid w:val="004B5453"/>
    <w:rsid w:val="004B56F1"/>
    <w:rsid w:val="004B5774"/>
    <w:rsid w:val="004B5905"/>
    <w:rsid w:val="004B5C57"/>
    <w:rsid w:val="004B5D52"/>
    <w:rsid w:val="004B5F8A"/>
    <w:rsid w:val="004B60C9"/>
    <w:rsid w:val="004B67E0"/>
    <w:rsid w:val="004B6872"/>
    <w:rsid w:val="004B6908"/>
    <w:rsid w:val="004B6948"/>
    <w:rsid w:val="004B6A06"/>
    <w:rsid w:val="004B6A64"/>
    <w:rsid w:val="004B7071"/>
    <w:rsid w:val="004B723D"/>
    <w:rsid w:val="004B73AB"/>
    <w:rsid w:val="004B754A"/>
    <w:rsid w:val="004B76A6"/>
    <w:rsid w:val="004B76F2"/>
    <w:rsid w:val="004B77E9"/>
    <w:rsid w:val="004B7810"/>
    <w:rsid w:val="004B7E99"/>
    <w:rsid w:val="004B7F4F"/>
    <w:rsid w:val="004B7FB3"/>
    <w:rsid w:val="004C043F"/>
    <w:rsid w:val="004C0B05"/>
    <w:rsid w:val="004C13C5"/>
    <w:rsid w:val="004C1588"/>
    <w:rsid w:val="004C15DD"/>
    <w:rsid w:val="004C15EC"/>
    <w:rsid w:val="004C18E7"/>
    <w:rsid w:val="004C18EA"/>
    <w:rsid w:val="004C1BE8"/>
    <w:rsid w:val="004C1BF7"/>
    <w:rsid w:val="004C1C24"/>
    <w:rsid w:val="004C1DDA"/>
    <w:rsid w:val="004C1E78"/>
    <w:rsid w:val="004C1F82"/>
    <w:rsid w:val="004C1F89"/>
    <w:rsid w:val="004C2633"/>
    <w:rsid w:val="004C2A58"/>
    <w:rsid w:val="004C2C6F"/>
    <w:rsid w:val="004C3121"/>
    <w:rsid w:val="004C31E6"/>
    <w:rsid w:val="004C3205"/>
    <w:rsid w:val="004C329E"/>
    <w:rsid w:val="004C3364"/>
    <w:rsid w:val="004C3401"/>
    <w:rsid w:val="004C3425"/>
    <w:rsid w:val="004C36BE"/>
    <w:rsid w:val="004C3711"/>
    <w:rsid w:val="004C375C"/>
    <w:rsid w:val="004C3D75"/>
    <w:rsid w:val="004C4291"/>
    <w:rsid w:val="004C435F"/>
    <w:rsid w:val="004C4411"/>
    <w:rsid w:val="004C48A0"/>
    <w:rsid w:val="004C4C8B"/>
    <w:rsid w:val="004C4DA7"/>
    <w:rsid w:val="004C5078"/>
    <w:rsid w:val="004C5167"/>
    <w:rsid w:val="004C543A"/>
    <w:rsid w:val="004C563A"/>
    <w:rsid w:val="004C5D98"/>
    <w:rsid w:val="004C6131"/>
    <w:rsid w:val="004C63D8"/>
    <w:rsid w:val="004C657F"/>
    <w:rsid w:val="004C6D47"/>
    <w:rsid w:val="004C725F"/>
    <w:rsid w:val="004C728A"/>
    <w:rsid w:val="004C7A76"/>
    <w:rsid w:val="004C7ADF"/>
    <w:rsid w:val="004C7BDF"/>
    <w:rsid w:val="004C7F5B"/>
    <w:rsid w:val="004D02BC"/>
    <w:rsid w:val="004D065C"/>
    <w:rsid w:val="004D06E7"/>
    <w:rsid w:val="004D0737"/>
    <w:rsid w:val="004D0DAA"/>
    <w:rsid w:val="004D10F7"/>
    <w:rsid w:val="004D1268"/>
    <w:rsid w:val="004D13C2"/>
    <w:rsid w:val="004D1407"/>
    <w:rsid w:val="004D18D9"/>
    <w:rsid w:val="004D199A"/>
    <w:rsid w:val="004D19E4"/>
    <w:rsid w:val="004D1A09"/>
    <w:rsid w:val="004D1EFF"/>
    <w:rsid w:val="004D2333"/>
    <w:rsid w:val="004D2477"/>
    <w:rsid w:val="004D24A6"/>
    <w:rsid w:val="004D294B"/>
    <w:rsid w:val="004D2A20"/>
    <w:rsid w:val="004D2BD1"/>
    <w:rsid w:val="004D2ED0"/>
    <w:rsid w:val="004D3927"/>
    <w:rsid w:val="004D39D8"/>
    <w:rsid w:val="004D3B15"/>
    <w:rsid w:val="004D3CEC"/>
    <w:rsid w:val="004D41B0"/>
    <w:rsid w:val="004D4340"/>
    <w:rsid w:val="004D4542"/>
    <w:rsid w:val="004D4C59"/>
    <w:rsid w:val="004D51D2"/>
    <w:rsid w:val="004D5334"/>
    <w:rsid w:val="004D539C"/>
    <w:rsid w:val="004D5463"/>
    <w:rsid w:val="004D55C4"/>
    <w:rsid w:val="004D5AE4"/>
    <w:rsid w:val="004D5B25"/>
    <w:rsid w:val="004D5EFA"/>
    <w:rsid w:val="004D5F3C"/>
    <w:rsid w:val="004D5F40"/>
    <w:rsid w:val="004D60E6"/>
    <w:rsid w:val="004D63EE"/>
    <w:rsid w:val="004D6869"/>
    <w:rsid w:val="004D717D"/>
    <w:rsid w:val="004D7279"/>
    <w:rsid w:val="004D78F1"/>
    <w:rsid w:val="004D79AA"/>
    <w:rsid w:val="004D7B59"/>
    <w:rsid w:val="004D7BAD"/>
    <w:rsid w:val="004D7EDB"/>
    <w:rsid w:val="004E0188"/>
    <w:rsid w:val="004E0191"/>
    <w:rsid w:val="004E068E"/>
    <w:rsid w:val="004E0916"/>
    <w:rsid w:val="004E0CAA"/>
    <w:rsid w:val="004E1173"/>
    <w:rsid w:val="004E11A7"/>
    <w:rsid w:val="004E11E3"/>
    <w:rsid w:val="004E11ED"/>
    <w:rsid w:val="004E145B"/>
    <w:rsid w:val="004E199B"/>
    <w:rsid w:val="004E1C7E"/>
    <w:rsid w:val="004E1EA7"/>
    <w:rsid w:val="004E2588"/>
    <w:rsid w:val="004E2D90"/>
    <w:rsid w:val="004E3438"/>
    <w:rsid w:val="004E35B4"/>
    <w:rsid w:val="004E363E"/>
    <w:rsid w:val="004E3914"/>
    <w:rsid w:val="004E3A54"/>
    <w:rsid w:val="004E3DBB"/>
    <w:rsid w:val="004E436F"/>
    <w:rsid w:val="004E4848"/>
    <w:rsid w:val="004E48A9"/>
    <w:rsid w:val="004E4C2C"/>
    <w:rsid w:val="004E4EED"/>
    <w:rsid w:val="004E506B"/>
    <w:rsid w:val="004E545B"/>
    <w:rsid w:val="004E54F7"/>
    <w:rsid w:val="004E5990"/>
    <w:rsid w:val="004E5EA3"/>
    <w:rsid w:val="004E5F10"/>
    <w:rsid w:val="004E620A"/>
    <w:rsid w:val="004E62BE"/>
    <w:rsid w:val="004E6567"/>
    <w:rsid w:val="004E6626"/>
    <w:rsid w:val="004E6887"/>
    <w:rsid w:val="004E6962"/>
    <w:rsid w:val="004E69DA"/>
    <w:rsid w:val="004E6A77"/>
    <w:rsid w:val="004E6B4B"/>
    <w:rsid w:val="004E6BA2"/>
    <w:rsid w:val="004E6C21"/>
    <w:rsid w:val="004E6CFD"/>
    <w:rsid w:val="004E728F"/>
    <w:rsid w:val="004E73C8"/>
    <w:rsid w:val="004E747B"/>
    <w:rsid w:val="004E765D"/>
    <w:rsid w:val="004E77A9"/>
    <w:rsid w:val="004E7ADD"/>
    <w:rsid w:val="004E7C3D"/>
    <w:rsid w:val="004E7CAA"/>
    <w:rsid w:val="004E7F66"/>
    <w:rsid w:val="004F0006"/>
    <w:rsid w:val="004F007F"/>
    <w:rsid w:val="004F0B1D"/>
    <w:rsid w:val="004F0B1E"/>
    <w:rsid w:val="004F0F9E"/>
    <w:rsid w:val="004F129F"/>
    <w:rsid w:val="004F15BA"/>
    <w:rsid w:val="004F2000"/>
    <w:rsid w:val="004F2176"/>
    <w:rsid w:val="004F2418"/>
    <w:rsid w:val="004F2432"/>
    <w:rsid w:val="004F26CC"/>
    <w:rsid w:val="004F28F4"/>
    <w:rsid w:val="004F2C7D"/>
    <w:rsid w:val="004F2D8C"/>
    <w:rsid w:val="004F2EFD"/>
    <w:rsid w:val="004F310C"/>
    <w:rsid w:val="004F3628"/>
    <w:rsid w:val="004F3B27"/>
    <w:rsid w:val="004F3B29"/>
    <w:rsid w:val="004F3CF4"/>
    <w:rsid w:val="004F41CF"/>
    <w:rsid w:val="004F424C"/>
    <w:rsid w:val="004F45A1"/>
    <w:rsid w:val="004F4637"/>
    <w:rsid w:val="004F4671"/>
    <w:rsid w:val="004F4A9C"/>
    <w:rsid w:val="004F4E2A"/>
    <w:rsid w:val="004F4FEF"/>
    <w:rsid w:val="004F515C"/>
    <w:rsid w:val="004F51B0"/>
    <w:rsid w:val="004F580A"/>
    <w:rsid w:val="004F592C"/>
    <w:rsid w:val="004F5991"/>
    <w:rsid w:val="004F5ABC"/>
    <w:rsid w:val="004F5AF4"/>
    <w:rsid w:val="004F5C64"/>
    <w:rsid w:val="004F5C94"/>
    <w:rsid w:val="004F5CEA"/>
    <w:rsid w:val="004F5E56"/>
    <w:rsid w:val="004F626A"/>
    <w:rsid w:val="004F6381"/>
    <w:rsid w:val="004F6463"/>
    <w:rsid w:val="004F664A"/>
    <w:rsid w:val="004F6906"/>
    <w:rsid w:val="004F6A11"/>
    <w:rsid w:val="004F6A90"/>
    <w:rsid w:val="004F6F25"/>
    <w:rsid w:val="004F7156"/>
    <w:rsid w:val="004F76AD"/>
    <w:rsid w:val="004F76D5"/>
    <w:rsid w:val="004F7EAA"/>
    <w:rsid w:val="005000BE"/>
    <w:rsid w:val="005002D0"/>
    <w:rsid w:val="0050080F"/>
    <w:rsid w:val="005008AD"/>
    <w:rsid w:val="00500930"/>
    <w:rsid w:val="00500A00"/>
    <w:rsid w:val="00500BAB"/>
    <w:rsid w:val="00500F2E"/>
    <w:rsid w:val="005011FA"/>
    <w:rsid w:val="00501439"/>
    <w:rsid w:val="0050144A"/>
    <w:rsid w:val="005018F9"/>
    <w:rsid w:val="00501944"/>
    <w:rsid w:val="00501BE5"/>
    <w:rsid w:val="00501DD2"/>
    <w:rsid w:val="0050201F"/>
    <w:rsid w:val="0050205B"/>
    <w:rsid w:val="00502766"/>
    <w:rsid w:val="00502A09"/>
    <w:rsid w:val="00502DF7"/>
    <w:rsid w:val="00502F15"/>
    <w:rsid w:val="00502F75"/>
    <w:rsid w:val="00502F78"/>
    <w:rsid w:val="005031EB"/>
    <w:rsid w:val="0050327E"/>
    <w:rsid w:val="0050347C"/>
    <w:rsid w:val="005034A7"/>
    <w:rsid w:val="00503521"/>
    <w:rsid w:val="00503571"/>
    <w:rsid w:val="005035D8"/>
    <w:rsid w:val="00503815"/>
    <w:rsid w:val="00503CEC"/>
    <w:rsid w:val="00503FB3"/>
    <w:rsid w:val="0050423B"/>
    <w:rsid w:val="00504268"/>
    <w:rsid w:val="005042EB"/>
    <w:rsid w:val="00504CCA"/>
    <w:rsid w:val="00504FD8"/>
    <w:rsid w:val="005050F1"/>
    <w:rsid w:val="005051FD"/>
    <w:rsid w:val="00505396"/>
    <w:rsid w:val="00505A3B"/>
    <w:rsid w:val="005060CB"/>
    <w:rsid w:val="005065A8"/>
    <w:rsid w:val="0050674A"/>
    <w:rsid w:val="00506856"/>
    <w:rsid w:val="00506CBB"/>
    <w:rsid w:val="00506CDF"/>
    <w:rsid w:val="00506DB6"/>
    <w:rsid w:val="0050721B"/>
    <w:rsid w:val="005073B3"/>
    <w:rsid w:val="005077BC"/>
    <w:rsid w:val="00507906"/>
    <w:rsid w:val="0050796A"/>
    <w:rsid w:val="00507A95"/>
    <w:rsid w:val="00507C7A"/>
    <w:rsid w:val="00507DA1"/>
    <w:rsid w:val="0051004D"/>
    <w:rsid w:val="005104F6"/>
    <w:rsid w:val="0051073E"/>
    <w:rsid w:val="00510808"/>
    <w:rsid w:val="0051089D"/>
    <w:rsid w:val="00510C40"/>
    <w:rsid w:val="00510F1E"/>
    <w:rsid w:val="00511835"/>
    <w:rsid w:val="00511896"/>
    <w:rsid w:val="00511A37"/>
    <w:rsid w:val="00511FC7"/>
    <w:rsid w:val="0051249C"/>
    <w:rsid w:val="00512A9E"/>
    <w:rsid w:val="00512AF7"/>
    <w:rsid w:val="00512CE2"/>
    <w:rsid w:val="00512DAA"/>
    <w:rsid w:val="00512E53"/>
    <w:rsid w:val="00513190"/>
    <w:rsid w:val="005131CC"/>
    <w:rsid w:val="00513301"/>
    <w:rsid w:val="005133E3"/>
    <w:rsid w:val="00513538"/>
    <w:rsid w:val="00513D0E"/>
    <w:rsid w:val="00513D43"/>
    <w:rsid w:val="00513E0E"/>
    <w:rsid w:val="00513E77"/>
    <w:rsid w:val="005142DC"/>
    <w:rsid w:val="00514528"/>
    <w:rsid w:val="00514785"/>
    <w:rsid w:val="0051480F"/>
    <w:rsid w:val="00514838"/>
    <w:rsid w:val="0051522D"/>
    <w:rsid w:val="0051528B"/>
    <w:rsid w:val="005154D7"/>
    <w:rsid w:val="00515524"/>
    <w:rsid w:val="0051560A"/>
    <w:rsid w:val="0051594E"/>
    <w:rsid w:val="00515B4E"/>
    <w:rsid w:val="005161DB"/>
    <w:rsid w:val="005162A0"/>
    <w:rsid w:val="00516481"/>
    <w:rsid w:val="0051658F"/>
    <w:rsid w:val="00516590"/>
    <w:rsid w:val="00516757"/>
    <w:rsid w:val="005168F5"/>
    <w:rsid w:val="00516AA7"/>
    <w:rsid w:val="00516DBC"/>
    <w:rsid w:val="0051737B"/>
    <w:rsid w:val="00517421"/>
    <w:rsid w:val="005174C8"/>
    <w:rsid w:val="00517CC8"/>
    <w:rsid w:val="00517E30"/>
    <w:rsid w:val="00517F60"/>
    <w:rsid w:val="00517FA2"/>
    <w:rsid w:val="005208DA"/>
    <w:rsid w:val="00520B8F"/>
    <w:rsid w:val="00520EDF"/>
    <w:rsid w:val="0052131E"/>
    <w:rsid w:val="0052147A"/>
    <w:rsid w:val="00521483"/>
    <w:rsid w:val="00521DAF"/>
    <w:rsid w:val="00522182"/>
    <w:rsid w:val="0052297E"/>
    <w:rsid w:val="0052348F"/>
    <w:rsid w:val="005234DD"/>
    <w:rsid w:val="0052368F"/>
    <w:rsid w:val="005237EC"/>
    <w:rsid w:val="005237EF"/>
    <w:rsid w:val="0052387F"/>
    <w:rsid w:val="00523A9C"/>
    <w:rsid w:val="00524020"/>
    <w:rsid w:val="00524084"/>
    <w:rsid w:val="0052426B"/>
    <w:rsid w:val="00524887"/>
    <w:rsid w:val="00524A4A"/>
    <w:rsid w:val="00524D57"/>
    <w:rsid w:val="00525404"/>
    <w:rsid w:val="005254E3"/>
    <w:rsid w:val="005256AF"/>
    <w:rsid w:val="005257F9"/>
    <w:rsid w:val="00525BC7"/>
    <w:rsid w:val="00525D0C"/>
    <w:rsid w:val="00525E98"/>
    <w:rsid w:val="00526643"/>
    <w:rsid w:val="005268E3"/>
    <w:rsid w:val="00526934"/>
    <w:rsid w:val="00526F72"/>
    <w:rsid w:val="0052705E"/>
    <w:rsid w:val="005270DB"/>
    <w:rsid w:val="0052747E"/>
    <w:rsid w:val="00527510"/>
    <w:rsid w:val="00527880"/>
    <w:rsid w:val="00527950"/>
    <w:rsid w:val="00527A44"/>
    <w:rsid w:val="00527E25"/>
    <w:rsid w:val="00527F82"/>
    <w:rsid w:val="00530650"/>
    <w:rsid w:val="005306D7"/>
    <w:rsid w:val="0053080B"/>
    <w:rsid w:val="005308E7"/>
    <w:rsid w:val="0053094C"/>
    <w:rsid w:val="00530A5D"/>
    <w:rsid w:val="00530D4D"/>
    <w:rsid w:val="00530EEC"/>
    <w:rsid w:val="0053150D"/>
    <w:rsid w:val="005315A9"/>
    <w:rsid w:val="0053187C"/>
    <w:rsid w:val="00531D1A"/>
    <w:rsid w:val="00531D4E"/>
    <w:rsid w:val="00531FA8"/>
    <w:rsid w:val="0053219A"/>
    <w:rsid w:val="0053256D"/>
    <w:rsid w:val="005326DE"/>
    <w:rsid w:val="00532837"/>
    <w:rsid w:val="00532985"/>
    <w:rsid w:val="00532D82"/>
    <w:rsid w:val="00532E2C"/>
    <w:rsid w:val="00533012"/>
    <w:rsid w:val="005332AD"/>
    <w:rsid w:val="00533495"/>
    <w:rsid w:val="00533ABE"/>
    <w:rsid w:val="00533E12"/>
    <w:rsid w:val="00533F6E"/>
    <w:rsid w:val="00533FE1"/>
    <w:rsid w:val="0053408A"/>
    <w:rsid w:val="005343FA"/>
    <w:rsid w:val="0053455A"/>
    <w:rsid w:val="00534B3C"/>
    <w:rsid w:val="00534D6B"/>
    <w:rsid w:val="00534D72"/>
    <w:rsid w:val="00534D7F"/>
    <w:rsid w:val="00534E3F"/>
    <w:rsid w:val="00534F9E"/>
    <w:rsid w:val="0053563A"/>
    <w:rsid w:val="005358BA"/>
    <w:rsid w:val="00535AAE"/>
    <w:rsid w:val="00535AF4"/>
    <w:rsid w:val="00535B1B"/>
    <w:rsid w:val="00535C3D"/>
    <w:rsid w:val="00535CC6"/>
    <w:rsid w:val="00535FE4"/>
    <w:rsid w:val="005361D1"/>
    <w:rsid w:val="0053661F"/>
    <w:rsid w:val="00536983"/>
    <w:rsid w:val="00536AE4"/>
    <w:rsid w:val="0053723D"/>
    <w:rsid w:val="00537383"/>
    <w:rsid w:val="005373DA"/>
    <w:rsid w:val="00537612"/>
    <w:rsid w:val="0053769F"/>
    <w:rsid w:val="005377F3"/>
    <w:rsid w:val="00537967"/>
    <w:rsid w:val="00537DEB"/>
    <w:rsid w:val="00537E0E"/>
    <w:rsid w:val="00537F5C"/>
    <w:rsid w:val="005401B0"/>
    <w:rsid w:val="00540378"/>
    <w:rsid w:val="00540738"/>
    <w:rsid w:val="00540D27"/>
    <w:rsid w:val="005410C8"/>
    <w:rsid w:val="00541414"/>
    <w:rsid w:val="005415E2"/>
    <w:rsid w:val="00541703"/>
    <w:rsid w:val="005417FE"/>
    <w:rsid w:val="00541B5D"/>
    <w:rsid w:val="0054202A"/>
    <w:rsid w:val="005422C0"/>
    <w:rsid w:val="00542407"/>
    <w:rsid w:val="005424B2"/>
    <w:rsid w:val="00542B18"/>
    <w:rsid w:val="00542C12"/>
    <w:rsid w:val="00542C98"/>
    <w:rsid w:val="00542D3F"/>
    <w:rsid w:val="00542D76"/>
    <w:rsid w:val="00543114"/>
    <w:rsid w:val="0054321B"/>
    <w:rsid w:val="005434BD"/>
    <w:rsid w:val="0054365D"/>
    <w:rsid w:val="00543B19"/>
    <w:rsid w:val="00543E04"/>
    <w:rsid w:val="005443B2"/>
    <w:rsid w:val="00544D87"/>
    <w:rsid w:val="00544E6D"/>
    <w:rsid w:val="005454D9"/>
    <w:rsid w:val="005455AC"/>
    <w:rsid w:val="005457BE"/>
    <w:rsid w:val="00545878"/>
    <w:rsid w:val="00545915"/>
    <w:rsid w:val="00545B18"/>
    <w:rsid w:val="005460A5"/>
    <w:rsid w:val="00546279"/>
    <w:rsid w:val="00546364"/>
    <w:rsid w:val="00546888"/>
    <w:rsid w:val="00546B1A"/>
    <w:rsid w:val="00546C63"/>
    <w:rsid w:val="00546FFB"/>
    <w:rsid w:val="00547105"/>
    <w:rsid w:val="0054710E"/>
    <w:rsid w:val="005473B1"/>
    <w:rsid w:val="00547410"/>
    <w:rsid w:val="00547417"/>
    <w:rsid w:val="00547895"/>
    <w:rsid w:val="005478A8"/>
    <w:rsid w:val="00547A08"/>
    <w:rsid w:val="00547B5B"/>
    <w:rsid w:val="005500C4"/>
    <w:rsid w:val="0055015D"/>
    <w:rsid w:val="0055019F"/>
    <w:rsid w:val="0055044A"/>
    <w:rsid w:val="00550507"/>
    <w:rsid w:val="005505CD"/>
    <w:rsid w:val="00550708"/>
    <w:rsid w:val="00550ABE"/>
    <w:rsid w:val="00550B15"/>
    <w:rsid w:val="00550B58"/>
    <w:rsid w:val="00550C2F"/>
    <w:rsid w:val="00550DAA"/>
    <w:rsid w:val="00550F11"/>
    <w:rsid w:val="00550F8D"/>
    <w:rsid w:val="0055100C"/>
    <w:rsid w:val="00551268"/>
    <w:rsid w:val="005513F3"/>
    <w:rsid w:val="00551423"/>
    <w:rsid w:val="0055150B"/>
    <w:rsid w:val="00551538"/>
    <w:rsid w:val="0055191A"/>
    <w:rsid w:val="00551CF9"/>
    <w:rsid w:val="00552136"/>
    <w:rsid w:val="0055215F"/>
    <w:rsid w:val="00552240"/>
    <w:rsid w:val="00552415"/>
    <w:rsid w:val="0055242E"/>
    <w:rsid w:val="00552434"/>
    <w:rsid w:val="00552868"/>
    <w:rsid w:val="00552E43"/>
    <w:rsid w:val="00553030"/>
    <w:rsid w:val="00553510"/>
    <w:rsid w:val="00553545"/>
    <w:rsid w:val="00553573"/>
    <w:rsid w:val="00553CEB"/>
    <w:rsid w:val="00553E81"/>
    <w:rsid w:val="00553EF1"/>
    <w:rsid w:val="00554089"/>
    <w:rsid w:val="0055413E"/>
    <w:rsid w:val="00554773"/>
    <w:rsid w:val="00554887"/>
    <w:rsid w:val="00554B05"/>
    <w:rsid w:val="00554CB7"/>
    <w:rsid w:val="00555262"/>
    <w:rsid w:val="0055554C"/>
    <w:rsid w:val="0055555C"/>
    <w:rsid w:val="00555719"/>
    <w:rsid w:val="00555898"/>
    <w:rsid w:val="00555D27"/>
    <w:rsid w:val="00555E9F"/>
    <w:rsid w:val="00555EAB"/>
    <w:rsid w:val="00555FAA"/>
    <w:rsid w:val="00556107"/>
    <w:rsid w:val="00556388"/>
    <w:rsid w:val="005565FB"/>
    <w:rsid w:val="00556749"/>
    <w:rsid w:val="00556B73"/>
    <w:rsid w:val="005570CA"/>
    <w:rsid w:val="005571DD"/>
    <w:rsid w:val="0055744B"/>
    <w:rsid w:val="005574E0"/>
    <w:rsid w:val="005575C0"/>
    <w:rsid w:val="0055786E"/>
    <w:rsid w:val="005578B4"/>
    <w:rsid w:val="005578D4"/>
    <w:rsid w:val="005578F8"/>
    <w:rsid w:val="0055790B"/>
    <w:rsid w:val="00557C85"/>
    <w:rsid w:val="00557F13"/>
    <w:rsid w:val="00557F98"/>
    <w:rsid w:val="005604A7"/>
    <w:rsid w:val="005605DB"/>
    <w:rsid w:val="0056061D"/>
    <w:rsid w:val="00560660"/>
    <w:rsid w:val="00560BCE"/>
    <w:rsid w:val="00560DFE"/>
    <w:rsid w:val="00561255"/>
    <w:rsid w:val="005613B2"/>
    <w:rsid w:val="005613D2"/>
    <w:rsid w:val="00561466"/>
    <w:rsid w:val="00561533"/>
    <w:rsid w:val="00561811"/>
    <w:rsid w:val="0056181E"/>
    <w:rsid w:val="005619E9"/>
    <w:rsid w:val="00561ABB"/>
    <w:rsid w:val="00561AF0"/>
    <w:rsid w:val="00561B2B"/>
    <w:rsid w:val="00561B39"/>
    <w:rsid w:val="00561C81"/>
    <w:rsid w:val="0056221A"/>
    <w:rsid w:val="005623C7"/>
    <w:rsid w:val="00562930"/>
    <w:rsid w:val="005629F3"/>
    <w:rsid w:val="00562AE4"/>
    <w:rsid w:val="00562B16"/>
    <w:rsid w:val="00562E41"/>
    <w:rsid w:val="00563480"/>
    <w:rsid w:val="005637F3"/>
    <w:rsid w:val="005638AB"/>
    <w:rsid w:val="005638B1"/>
    <w:rsid w:val="005641F3"/>
    <w:rsid w:val="005642B5"/>
    <w:rsid w:val="00564512"/>
    <w:rsid w:val="00564531"/>
    <w:rsid w:val="00564CCF"/>
    <w:rsid w:val="00566130"/>
    <w:rsid w:val="00566268"/>
    <w:rsid w:val="00566527"/>
    <w:rsid w:val="00566931"/>
    <w:rsid w:val="0056698F"/>
    <w:rsid w:val="005669FB"/>
    <w:rsid w:val="00566B5D"/>
    <w:rsid w:val="00567225"/>
    <w:rsid w:val="00567632"/>
    <w:rsid w:val="00567637"/>
    <w:rsid w:val="005676C7"/>
    <w:rsid w:val="00567BBC"/>
    <w:rsid w:val="00570060"/>
    <w:rsid w:val="0057025A"/>
    <w:rsid w:val="00570474"/>
    <w:rsid w:val="00570759"/>
    <w:rsid w:val="00570C5A"/>
    <w:rsid w:val="00570CF9"/>
    <w:rsid w:val="00570EA9"/>
    <w:rsid w:val="005713A6"/>
    <w:rsid w:val="00571603"/>
    <w:rsid w:val="00572571"/>
    <w:rsid w:val="00572A07"/>
    <w:rsid w:val="00572CCB"/>
    <w:rsid w:val="00572F45"/>
    <w:rsid w:val="00572FAA"/>
    <w:rsid w:val="005733CA"/>
    <w:rsid w:val="00573428"/>
    <w:rsid w:val="005734F6"/>
    <w:rsid w:val="00573783"/>
    <w:rsid w:val="005738A6"/>
    <w:rsid w:val="00573A15"/>
    <w:rsid w:val="00573C15"/>
    <w:rsid w:val="00573CEF"/>
    <w:rsid w:val="00573D6B"/>
    <w:rsid w:val="00573D8D"/>
    <w:rsid w:val="00573E23"/>
    <w:rsid w:val="00573E9B"/>
    <w:rsid w:val="00573EC9"/>
    <w:rsid w:val="0057438D"/>
    <w:rsid w:val="0057448A"/>
    <w:rsid w:val="005746D2"/>
    <w:rsid w:val="005746FF"/>
    <w:rsid w:val="0057487C"/>
    <w:rsid w:val="00574945"/>
    <w:rsid w:val="00574C20"/>
    <w:rsid w:val="00574C54"/>
    <w:rsid w:val="00574D5D"/>
    <w:rsid w:val="00574E25"/>
    <w:rsid w:val="00574E5E"/>
    <w:rsid w:val="0057517D"/>
    <w:rsid w:val="005754E5"/>
    <w:rsid w:val="00575673"/>
    <w:rsid w:val="0057598B"/>
    <w:rsid w:val="00575A4D"/>
    <w:rsid w:val="00575B6C"/>
    <w:rsid w:val="00575DF2"/>
    <w:rsid w:val="00575F79"/>
    <w:rsid w:val="0057632C"/>
    <w:rsid w:val="0057648B"/>
    <w:rsid w:val="005766B3"/>
    <w:rsid w:val="00576A3C"/>
    <w:rsid w:val="00576A75"/>
    <w:rsid w:val="00576C98"/>
    <w:rsid w:val="00576D66"/>
    <w:rsid w:val="00576DBB"/>
    <w:rsid w:val="0057780C"/>
    <w:rsid w:val="00577AC6"/>
    <w:rsid w:val="00577BE3"/>
    <w:rsid w:val="00577C54"/>
    <w:rsid w:val="00577F6A"/>
    <w:rsid w:val="00580088"/>
    <w:rsid w:val="005800EA"/>
    <w:rsid w:val="00580246"/>
    <w:rsid w:val="00580545"/>
    <w:rsid w:val="005808DD"/>
    <w:rsid w:val="00580EBD"/>
    <w:rsid w:val="00581069"/>
    <w:rsid w:val="00581230"/>
    <w:rsid w:val="005814A1"/>
    <w:rsid w:val="0058176D"/>
    <w:rsid w:val="00581C86"/>
    <w:rsid w:val="00581D7A"/>
    <w:rsid w:val="00581E8C"/>
    <w:rsid w:val="005821D2"/>
    <w:rsid w:val="00582361"/>
    <w:rsid w:val="005823AF"/>
    <w:rsid w:val="0058260B"/>
    <w:rsid w:val="005826BE"/>
    <w:rsid w:val="00582811"/>
    <w:rsid w:val="0058291F"/>
    <w:rsid w:val="00582B54"/>
    <w:rsid w:val="0058309C"/>
    <w:rsid w:val="00583166"/>
    <w:rsid w:val="00583224"/>
    <w:rsid w:val="005838FC"/>
    <w:rsid w:val="00583A58"/>
    <w:rsid w:val="00583D2F"/>
    <w:rsid w:val="00583DE4"/>
    <w:rsid w:val="00583FEA"/>
    <w:rsid w:val="005840E9"/>
    <w:rsid w:val="005846F0"/>
    <w:rsid w:val="00584795"/>
    <w:rsid w:val="00584A45"/>
    <w:rsid w:val="00584F91"/>
    <w:rsid w:val="005851FF"/>
    <w:rsid w:val="005852DE"/>
    <w:rsid w:val="0058553C"/>
    <w:rsid w:val="00585C0A"/>
    <w:rsid w:val="00585CEE"/>
    <w:rsid w:val="00585E3C"/>
    <w:rsid w:val="00586311"/>
    <w:rsid w:val="0058653A"/>
    <w:rsid w:val="005868FB"/>
    <w:rsid w:val="005869EC"/>
    <w:rsid w:val="00586B4C"/>
    <w:rsid w:val="00586CF1"/>
    <w:rsid w:val="00586EAE"/>
    <w:rsid w:val="00586FB7"/>
    <w:rsid w:val="00587548"/>
    <w:rsid w:val="00587A61"/>
    <w:rsid w:val="00587ABB"/>
    <w:rsid w:val="00587C39"/>
    <w:rsid w:val="00587D19"/>
    <w:rsid w:val="00590356"/>
    <w:rsid w:val="005903AF"/>
    <w:rsid w:val="005905E9"/>
    <w:rsid w:val="00590689"/>
    <w:rsid w:val="005906E8"/>
    <w:rsid w:val="0059087B"/>
    <w:rsid w:val="005908A3"/>
    <w:rsid w:val="00590B6E"/>
    <w:rsid w:val="00590D49"/>
    <w:rsid w:val="00590DB3"/>
    <w:rsid w:val="00590FA6"/>
    <w:rsid w:val="00591079"/>
    <w:rsid w:val="00591619"/>
    <w:rsid w:val="005916BF"/>
    <w:rsid w:val="005916D9"/>
    <w:rsid w:val="00591726"/>
    <w:rsid w:val="005917B1"/>
    <w:rsid w:val="005917BF"/>
    <w:rsid w:val="005917EE"/>
    <w:rsid w:val="0059187B"/>
    <w:rsid w:val="00591942"/>
    <w:rsid w:val="00591AAA"/>
    <w:rsid w:val="00592043"/>
    <w:rsid w:val="00592199"/>
    <w:rsid w:val="0059230B"/>
    <w:rsid w:val="005925CE"/>
    <w:rsid w:val="00592C5F"/>
    <w:rsid w:val="00592F72"/>
    <w:rsid w:val="005932D4"/>
    <w:rsid w:val="005933B4"/>
    <w:rsid w:val="005936B9"/>
    <w:rsid w:val="005936F3"/>
    <w:rsid w:val="005937F9"/>
    <w:rsid w:val="005938DD"/>
    <w:rsid w:val="00593A3B"/>
    <w:rsid w:val="00593A61"/>
    <w:rsid w:val="00593B58"/>
    <w:rsid w:val="00593C56"/>
    <w:rsid w:val="005945B3"/>
    <w:rsid w:val="00594763"/>
    <w:rsid w:val="005947EA"/>
    <w:rsid w:val="005948CC"/>
    <w:rsid w:val="00594971"/>
    <w:rsid w:val="00594D0F"/>
    <w:rsid w:val="005950AD"/>
    <w:rsid w:val="005954AC"/>
    <w:rsid w:val="00595732"/>
    <w:rsid w:val="00595A56"/>
    <w:rsid w:val="00595AEA"/>
    <w:rsid w:val="00596082"/>
    <w:rsid w:val="00596177"/>
    <w:rsid w:val="005962F8"/>
    <w:rsid w:val="00596304"/>
    <w:rsid w:val="00596C39"/>
    <w:rsid w:val="00596F34"/>
    <w:rsid w:val="00597140"/>
    <w:rsid w:val="00597B30"/>
    <w:rsid w:val="00597F84"/>
    <w:rsid w:val="005A0086"/>
    <w:rsid w:val="005A02F7"/>
    <w:rsid w:val="005A05E5"/>
    <w:rsid w:val="005A0619"/>
    <w:rsid w:val="005A07BD"/>
    <w:rsid w:val="005A0816"/>
    <w:rsid w:val="005A0A58"/>
    <w:rsid w:val="005A0EDF"/>
    <w:rsid w:val="005A0EE1"/>
    <w:rsid w:val="005A1034"/>
    <w:rsid w:val="005A1440"/>
    <w:rsid w:val="005A1737"/>
    <w:rsid w:val="005A1A4D"/>
    <w:rsid w:val="005A1EEE"/>
    <w:rsid w:val="005A2659"/>
    <w:rsid w:val="005A2C2E"/>
    <w:rsid w:val="005A2CA1"/>
    <w:rsid w:val="005A2E5F"/>
    <w:rsid w:val="005A305C"/>
    <w:rsid w:val="005A3166"/>
    <w:rsid w:val="005A31C3"/>
    <w:rsid w:val="005A341C"/>
    <w:rsid w:val="005A343F"/>
    <w:rsid w:val="005A3510"/>
    <w:rsid w:val="005A3914"/>
    <w:rsid w:val="005A3A21"/>
    <w:rsid w:val="005A3A70"/>
    <w:rsid w:val="005A3AC0"/>
    <w:rsid w:val="005A3BC9"/>
    <w:rsid w:val="005A3CD0"/>
    <w:rsid w:val="005A3E41"/>
    <w:rsid w:val="005A42F2"/>
    <w:rsid w:val="005A435C"/>
    <w:rsid w:val="005A44C4"/>
    <w:rsid w:val="005A4663"/>
    <w:rsid w:val="005A4E69"/>
    <w:rsid w:val="005A5186"/>
    <w:rsid w:val="005A5209"/>
    <w:rsid w:val="005A52A2"/>
    <w:rsid w:val="005A54A5"/>
    <w:rsid w:val="005A54D6"/>
    <w:rsid w:val="005A5784"/>
    <w:rsid w:val="005A57D9"/>
    <w:rsid w:val="005A5917"/>
    <w:rsid w:val="005A5923"/>
    <w:rsid w:val="005A5A64"/>
    <w:rsid w:val="005A5C11"/>
    <w:rsid w:val="005A6168"/>
    <w:rsid w:val="005A6625"/>
    <w:rsid w:val="005A662B"/>
    <w:rsid w:val="005A6C48"/>
    <w:rsid w:val="005A6CF4"/>
    <w:rsid w:val="005A6E62"/>
    <w:rsid w:val="005A7103"/>
    <w:rsid w:val="005A7298"/>
    <w:rsid w:val="005A7419"/>
    <w:rsid w:val="005A74F8"/>
    <w:rsid w:val="005A7523"/>
    <w:rsid w:val="005A7645"/>
    <w:rsid w:val="005A79C5"/>
    <w:rsid w:val="005A7C56"/>
    <w:rsid w:val="005A7FA9"/>
    <w:rsid w:val="005B0119"/>
    <w:rsid w:val="005B01E7"/>
    <w:rsid w:val="005B0371"/>
    <w:rsid w:val="005B05CE"/>
    <w:rsid w:val="005B08B4"/>
    <w:rsid w:val="005B0C0C"/>
    <w:rsid w:val="005B0C79"/>
    <w:rsid w:val="005B0CA9"/>
    <w:rsid w:val="005B11B7"/>
    <w:rsid w:val="005B138F"/>
    <w:rsid w:val="005B13B3"/>
    <w:rsid w:val="005B1419"/>
    <w:rsid w:val="005B14B6"/>
    <w:rsid w:val="005B16EE"/>
    <w:rsid w:val="005B172B"/>
    <w:rsid w:val="005B1941"/>
    <w:rsid w:val="005B1BC8"/>
    <w:rsid w:val="005B1C72"/>
    <w:rsid w:val="005B1E9E"/>
    <w:rsid w:val="005B203D"/>
    <w:rsid w:val="005B2772"/>
    <w:rsid w:val="005B2BE7"/>
    <w:rsid w:val="005B2D73"/>
    <w:rsid w:val="005B2FAF"/>
    <w:rsid w:val="005B30FE"/>
    <w:rsid w:val="005B31B2"/>
    <w:rsid w:val="005B341E"/>
    <w:rsid w:val="005B35F3"/>
    <w:rsid w:val="005B3862"/>
    <w:rsid w:val="005B3B59"/>
    <w:rsid w:val="005B4364"/>
    <w:rsid w:val="005B4672"/>
    <w:rsid w:val="005B46F8"/>
    <w:rsid w:val="005B485A"/>
    <w:rsid w:val="005B4C7B"/>
    <w:rsid w:val="005B4F74"/>
    <w:rsid w:val="005B500B"/>
    <w:rsid w:val="005B5070"/>
    <w:rsid w:val="005B52BA"/>
    <w:rsid w:val="005B54D6"/>
    <w:rsid w:val="005B5659"/>
    <w:rsid w:val="005B56D9"/>
    <w:rsid w:val="005B56EF"/>
    <w:rsid w:val="005B5D64"/>
    <w:rsid w:val="005B5E83"/>
    <w:rsid w:val="005B6268"/>
    <w:rsid w:val="005B63C2"/>
    <w:rsid w:val="005B6661"/>
    <w:rsid w:val="005B6C09"/>
    <w:rsid w:val="005B7068"/>
    <w:rsid w:val="005B7140"/>
    <w:rsid w:val="005B7392"/>
    <w:rsid w:val="005B7643"/>
    <w:rsid w:val="005B766C"/>
    <w:rsid w:val="005B77B3"/>
    <w:rsid w:val="005B788B"/>
    <w:rsid w:val="005B79C4"/>
    <w:rsid w:val="005B7A18"/>
    <w:rsid w:val="005B7F24"/>
    <w:rsid w:val="005C02F5"/>
    <w:rsid w:val="005C0499"/>
    <w:rsid w:val="005C0B81"/>
    <w:rsid w:val="005C0FE5"/>
    <w:rsid w:val="005C110F"/>
    <w:rsid w:val="005C1403"/>
    <w:rsid w:val="005C159E"/>
    <w:rsid w:val="005C172E"/>
    <w:rsid w:val="005C1912"/>
    <w:rsid w:val="005C19B7"/>
    <w:rsid w:val="005C1A34"/>
    <w:rsid w:val="005C24B2"/>
    <w:rsid w:val="005C272B"/>
    <w:rsid w:val="005C27C5"/>
    <w:rsid w:val="005C2829"/>
    <w:rsid w:val="005C293B"/>
    <w:rsid w:val="005C2F08"/>
    <w:rsid w:val="005C3174"/>
    <w:rsid w:val="005C32FD"/>
    <w:rsid w:val="005C3593"/>
    <w:rsid w:val="005C35DE"/>
    <w:rsid w:val="005C3697"/>
    <w:rsid w:val="005C373F"/>
    <w:rsid w:val="005C3745"/>
    <w:rsid w:val="005C376D"/>
    <w:rsid w:val="005C37B7"/>
    <w:rsid w:val="005C37C4"/>
    <w:rsid w:val="005C3AB3"/>
    <w:rsid w:val="005C3B81"/>
    <w:rsid w:val="005C3CA4"/>
    <w:rsid w:val="005C3D5A"/>
    <w:rsid w:val="005C3E6D"/>
    <w:rsid w:val="005C4006"/>
    <w:rsid w:val="005C4033"/>
    <w:rsid w:val="005C40C1"/>
    <w:rsid w:val="005C4237"/>
    <w:rsid w:val="005C429F"/>
    <w:rsid w:val="005C48BA"/>
    <w:rsid w:val="005C492B"/>
    <w:rsid w:val="005C4B3D"/>
    <w:rsid w:val="005C4B6A"/>
    <w:rsid w:val="005C545A"/>
    <w:rsid w:val="005C5914"/>
    <w:rsid w:val="005C5A01"/>
    <w:rsid w:val="005C5C1B"/>
    <w:rsid w:val="005C600D"/>
    <w:rsid w:val="005C6261"/>
    <w:rsid w:val="005C6908"/>
    <w:rsid w:val="005C6C42"/>
    <w:rsid w:val="005C6C89"/>
    <w:rsid w:val="005C735C"/>
    <w:rsid w:val="005C7664"/>
    <w:rsid w:val="005C783F"/>
    <w:rsid w:val="005C78E1"/>
    <w:rsid w:val="005C7B75"/>
    <w:rsid w:val="005D01E1"/>
    <w:rsid w:val="005D02B3"/>
    <w:rsid w:val="005D04B3"/>
    <w:rsid w:val="005D0BA4"/>
    <w:rsid w:val="005D0C67"/>
    <w:rsid w:val="005D0EAD"/>
    <w:rsid w:val="005D1072"/>
    <w:rsid w:val="005D1486"/>
    <w:rsid w:val="005D14E2"/>
    <w:rsid w:val="005D158D"/>
    <w:rsid w:val="005D169E"/>
    <w:rsid w:val="005D16CE"/>
    <w:rsid w:val="005D18F5"/>
    <w:rsid w:val="005D1945"/>
    <w:rsid w:val="005D19EF"/>
    <w:rsid w:val="005D1BFE"/>
    <w:rsid w:val="005D1DE3"/>
    <w:rsid w:val="005D24EF"/>
    <w:rsid w:val="005D2523"/>
    <w:rsid w:val="005D2663"/>
    <w:rsid w:val="005D320A"/>
    <w:rsid w:val="005D3461"/>
    <w:rsid w:val="005D37BA"/>
    <w:rsid w:val="005D3B6F"/>
    <w:rsid w:val="005D3C0C"/>
    <w:rsid w:val="005D3DB2"/>
    <w:rsid w:val="005D3F72"/>
    <w:rsid w:val="005D40AF"/>
    <w:rsid w:val="005D417E"/>
    <w:rsid w:val="005D427A"/>
    <w:rsid w:val="005D45A2"/>
    <w:rsid w:val="005D4827"/>
    <w:rsid w:val="005D4ACB"/>
    <w:rsid w:val="005D4B85"/>
    <w:rsid w:val="005D4F6B"/>
    <w:rsid w:val="005D5109"/>
    <w:rsid w:val="005D5234"/>
    <w:rsid w:val="005D572B"/>
    <w:rsid w:val="005D5A32"/>
    <w:rsid w:val="005D5E43"/>
    <w:rsid w:val="005D6081"/>
    <w:rsid w:val="005D6173"/>
    <w:rsid w:val="005D68AB"/>
    <w:rsid w:val="005D6946"/>
    <w:rsid w:val="005D6984"/>
    <w:rsid w:val="005D6C97"/>
    <w:rsid w:val="005D6F28"/>
    <w:rsid w:val="005D6F6B"/>
    <w:rsid w:val="005D6FE4"/>
    <w:rsid w:val="005D7911"/>
    <w:rsid w:val="005D7C8B"/>
    <w:rsid w:val="005E0346"/>
    <w:rsid w:val="005E0490"/>
    <w:rsid w:val="005E0579"/>
    <w:rsid w:val="005E05C5"/>
    <w:rsid w:val="005E06F4"/>
    <w:rsid w:val="005E0B72"/>
    <w:rsid w:val="005E0F1D"/>
    <w:rsid w:val="005E11BA"/>
    <w:rsid w:val="005E12A8"/>
    <w:rsid w:val="005E12BB"/>
    <w:rsid w:val="005E1960"/>
    <w:rsid w:val="005E1A69"/>
    <w:rsid w:val="005E1BD3"/>
    <w:rsid w:val="005E1F78"/>
    <w:rsid w:val="005E21A6"/>
    <w:rsid w:val="005E2658"/>
    <w:rsid w:val="005E2803"/>
    <w:rsid w:val="005E2918"/>
    <w:rsid w:val="005E2B58"/>
    <w:rsid w:val="005E2EC3"/>
    <w:rsid w:val="005E3003"/>
    <w:rsid w:val="005E301D"/>
    <w:rsid w:val="005E355A"/>
    <w:rsid w:val="005E35E6"/>
    <w:rsid w:val="005E377E"/>
    <w:rsid w:val="005E3A2E"/>
    <w:rsid w:val="005E3A36"/>
    <w:rsid w:val="005E3DA2"/>
    <w:rsid w:val="005E46FA"/>
    <w:rsid w:val="005E4BF1"/>
    <w:rsid w:val="005E4C8C"/>
    <w:rsid w:val="005E4D0D"/>
    <w:rsid w:val="005E530D"/>
    <w:rsid w:val="005E5742"/>
    <w:rsid w:val="005E5820"/>
    <w:rsid w:val="005E588A"/>
    <w:rsid w:val="005E5BC7"/>
    <w:rsid w:val="005E5CBC"/>
    <w:rsid w:val="005E5CFD"/>
    <w:rsid w:val="005E5DA1"/>
    <w:rsid w:val="005E5F59"/>
    <w:rsid w:val="005E5FA5"/>
    <w:rsid w:val="005E6176"/>
    <w:rsid w:val="005E654A"/>
    <w:rsid w:val="005E673E"/>
    <w:rsid w:val="005E6947"/>
    <w:rsid w:val="005E69CA"/>
    <w:rsid w:val="005E6A03"/>
    <w:rsid w:val="005E6A82"/>
    <w:rsid w:val="005E6B2B"/>
    <w:rsid w:val="005E6F9D"/>
    <w:rsid w:val="005E70CC"/>
    <w:rsid w:val="005E7250"/>
    <w:rsid w:val="005E7557"/>
    <w:rsid w:val="005E759E"/>
    <w:rsid w:val="005E765E"/>
    <w:rsid w:val="005E769A"/>
    <w:rsid w:val="005E76C2"/>
    <w:rsid w:val="005E76EF"/>
    <w:rsid w:val="005E7EAD"/>
    <w:rsid w:val="005F0070"/>
    <w:rsid w:val="005F02FF"/>
    <w:rsid w:val="005F0444"/>
    <w:rsid w:val="005F1010"/>
    <w:rsid w:val="005F1E0B"/>
    <w:rsid w:val="005F2155"/>
    <w:rsid w:val="005F2256"/>
    <w:rsid w:val="005F24BB"/>
    <w:rsid w:val="005F2507"/>
    <w:rsid w:val="005F259A"/>
    <w:rsid w:val="005F274E"/>
    <w:rsid w:val="005F29A4"/>
    <w:rsid w:val="005F2B4E"/>
    <w:rsid w:val="005F2BE9"/>
    <w:rsid w:val="005F3200"/>
    <w:rsid w:val="005F32BB"/>
    <w:rsid w:val="005F3385"/>
    <w:rsid w:val="005F33A2"/>
    <w:rsid w:val="005F36C7"/>
    <w:rsid w:val="005F3855"/>
    <w:rsid w:val="005F3943"/>
    <w:rsid w:val="005F3AB4"/>
    <w:rsid w:val="005F40AA"/>
    <w:rsid w:val="005F43C4"/>
    <w:rsid w:val="005F4A41"/>
    <w:rsid w:val="005F4BA4"/>
    <w:rsid w:val="005F5232"/>
    <w:rsid w:val="005F540C"/>
    <w:rsid w:val="005F5584"/>
    <w:rsid w:val="005F597A"/>
    <w:rsid w:val="005F59DF"/>
    <w:rsid w:val="005F5A76"/>
    <w:rsid w:val="005F5BCA"/>
    <w:rsid w:val="005F6455"/>
    <w:rsid w:val="005F6492"/>
    <w:rsid w:val="005F64ED"/>
    <w:rsid w:val="005F69AB"/>
    <w:rsid w:val="005F6A0C"/>
    <w:rsid w:val="005F6CC5"/>
    <w:rsid w:val="005F6D3F"/>
    <w:rsid w:val="005F6F27"/>
    <w:rsid w:val="005F7141"/>
    <w:rsid w:val="005F7260"/>
    <w:rsid w:val="005F7400"/>
    <w:rsid w:val="005F76CF"/>
    <w:rsid w:val="005F7757"/>
    <w:rsid w:val="005F7AF1"/>
    <w:rsid w:val="005F7C32"/>
    <w:rsid w:val="00600067"/>
    <w:rsid w:val="0060048B"/>
    <w:rsid w:val="00600549"/>
    <w:rsid w:val="006005C0"/>
    <w:rsid w:val="006005F7"/>
    <w:rsid w:val="00600696"/>
    <w:rsid w:val="006006DF"/>
    <w:rsid w:val="00600FA4"/>
    <w:rsid w:val="0060134D"/>
    <w:rsid w:val="00601370"/>
    <w:rsid w:val="006016E1"/>
    <w:rsid w:val="00601A00"/>
    <w:rsid w:val="00601B11"/>
    <w:rsid w:val="00601CC2"/>
    <w:rsid w:val="00601CF1"/>
    <w:rsid w:val="00601E5D"/>
    <w:rsid w:val="00601F79"/>
    <w:rsid w:val="00602582"/>
    <w:rsid w:val="006027E2"/>
    <w:rsid w:val="0060291D"/>
    <w:rsid w:val="00602A6D"/>
    <w:rsid w:val="00602BA0"/>
    <w:rsid w:val="00602DC7"/>
    <w:rsid w:val="0060304D"/>
    <w:rsid w:val="0060314E"/>
    <w:rsid w:val="00603A72"/>
    <w:rsid w:val="00603B76"/>
    <w:rsid w:val="00603F43"/>
    <w:rsid w:val="00604189"/>
    <w:rsid w:val="006043F3"/>
    <w:rsid w:val="00604563"/>
    <w:rsid w:val="00604B42"/>
    <w:rsid w:val="00604F67"/>
    <w:rsid w:val="00605000"/>
    <w:rsid w:val="0060528D"/>
    <w:rsid w:val="006057E1"/>
    <w:rsid w:val="006057E4"/>
    <w:rsid w:val="0060599C"/>
    <w:rsid w:val="00605DDC"/>
    <w:rsid w:val="00605EB2"/>
    <w:rsid w:val="00605EBA"/>
    <w:rsid w:val="00605F38"/>
    <w:rsid w:val="006061C2"/>
    <w:rsid w:val="006069E9"/>
    <w:rsid w:val="00606C6D"/>
    <w:rsid w:val="00606DBE"/>
    <w:rsid w:val="00606EBC"/>
    <w:rsid w:val="00607077"/>
    <w:rsid w:val="006070F7"/>
    <w:rsid w:val="006072A4"/>
    <w:rsid w:val="00607308"/>
    <w:rsid w:val="00607744"/>
    <w:rsid w:val="006078E2"/>
    <w:rsid w:val="006079FF"/>
    <w:rsid w:val="00607A14"/>
    <w:rsid w:val="00607A4B"/>
    <w:rsid w:val="00607B84"/>
    <w:rsid w:val="00610362"/>
    <w:rsid w:val="00610923"/>
    <w:rsid w:val="006109DD"/>
    <w:rsid w:val="00610EC8"/>
    <w:rsid w:val="00610FE4"/>
    <w:rsid w:val="00611064"/>
    <w:rsid w:val="006111E1"/>
    <w:rsid w:val="0061172C"/>
    <w:rsid w:val="0061179D"/>
    <w:rsid w:val="006118B2"/>
    <w:rsid w:val="00612534"/>
    <w:rsid w:val="00612641"/>
    <w:rsid w:val="0061276F"/>
    <w:rsid w:val="00612A33"/>
    <w:rsid w:val="00612BF7"/>
    <w:rsid w:val="00612C6C"/>
    <w:rsid w:val="00612E2B"/>
    <w:rsid w:val="006131BF"/>
    <w:rsid w:val="0061349D"/>
    <w:rsid w:val="00613985"/>
    <w:rsid w:val="00613AC5"/>
    <w:rsid w:val="00613BE8"/>
    <w:rsid w:val="00613C05"/>
    <w:rsid w:val="00613E30"/>
    <w:rsid w:val="00613FBD"/>
    <w:rsid w:val="00614312"/>
    <w:rsid w:val="006145FE"/>
    <w:rsid w:val="006146B9"/>
    <w:rsid w:val="00614826"/>
    <w:rsid w:val="00614890"/>
    <w:rsid w:val="0061502A"/>
    <w:rsid w:val="006154AD"/>
    <w:rsid w:val="00615627"/>
    <w:rsid w:val="00615642"/>
    <w:rsid w:val="00615714"/>
    <w:rsid w:val="00615742"/>
    <w:rsid w:val="006157E2"/>
    <w:rsid w:val="00615FC8"/>
    <w:rsid w:val="006161FE"/>
    <w:rsid w:val="006162FE"/>
    <w:rsid w:val="00616337"/>
    <w:rsid w:val="0061640C"/>
    <w:rsid w:val="00616482"/>
    <w:rsid w:val="0061663F"/>
    <w:rsid w:val="006167D3"/>
    <w:rsid w:val="00616848"/>
    <w:rsid w:val="006169B9"/>
    <w:rsid w:val="006169FA"/>
    <w:rsid w:val="00616FC5"/>
    <w:rsid w:val="00617127"/>
    <w:rsid w:val="006171B0"/>
    <w:rsid w:val="00617222"/>
    <w:rsid w:val="00617411"/>
    <w:rsid w:val="0061754B"/>
    <w:rsid w:val="00617836"/>
    <w:rsid w:val="00617A7C"/>
    <w:rsid w:val="00617BC3"/>
    <w:rsid w:val="00617CC8"/>
    <w:rsid w:val="00620279"/>
    <w:rsid w:val="006203AD"/>
    <w:rsid w:val="00620562"/>
    <w:rsid w:val="0062085E"/>
    <w:rsid w:val="00620A8C"/>
    <w:rsid w:val="00620F84"/>
    <w:rsid w:val="006210E7"/>
    <w:rsid w:val="006218AB"/>
    <w:rsid w:val="006219A5"/>
    <w:rsid w:val="00621B13"/>
    <w:rsid w:val="00621BCC"/>
    <w:rsid w:val="00621DAF"/>
    <w:rsid w:val="0062206B"/>
    <w:rsid w:val="0062228D"/>
    <w:rsid w:val="00622B72"/>
    <w:rsid w:val="00622B97"/>
    <w:rsid w:val="00622BCF"/>
    <w:rsid w:val="00622D27"/>
    <w:rsid w:val="00622E4E"/>
    <w:rsid w:val="006232CB"/>
    <w:rsid w:val="0062343A"/>
    <w:rsid w:val="00623489"/>
    <w:rsid w:val="0062348B"/>
    <w:rsid w:val="00623490"/>
    <w:rsid w:val="006234D6"/>
    <w:rsid w:val="00623503"/>
    <w:rsid w:val="0062350E"/>
    <w:rsid w:val="00623B40"/>
    <w:rsid w:val="00623DCF"/>
    <w:rsid w:val="00623E62"/>
    <w:rsid w:val="0062401F"/>
    <w:rsid w:val="0062431E"/>
    <w:rsid w:val="006244B9"/>
    <w:rsid w:val="00624601"/>
    <w:rsid w:val="00624952"/>
    <w:rsid w:val="00624E70"/>
    <w:rsid w:val="00624FA1"/>
    <w:rsid w:val="00625194"/>
    <w:rsid w:val="0062546B"/>
    <w:rsid w:val="00625547"/>
    <w:rsid w:val="00625BD6"/>
    <w:rsid w:val="00625F90"/>
    <w:rsid w:val="00626049"/>
    <w:rsid w:val="006260B4"/>
    <w:rsid w:val="00626152"/>
    <w:rsid w:val="006264EE"/>
    <w:rsid w:val="006265F5"/>
    <w:rsid w:val="00626679"/>
    <w:rsid w:val="00626704"/>
    <w:rsid w:val="0062676A"/>
    <w:rsid w:val="00626A8A"/>
    <w:rsid w:val="00626BE2"/>
    <w:rsid w:val="00626EE7"/>
    <w:rsid w:val="006270A0"/>
    <w:rsid w:val="0062716D"/>
    <w:rsid w:val="00627555"/>
    <w:rsid w:val="006275B4"/>
    <w:rsid w:val="006275BD"/>
    <w:rsid w:val="0062784F"/>
    <w:rsid w:val="00627A2F"/>
    <w:rsid w:val="00627C19"/>
    <w:rsid w:val="006300A4"/>
    <w:rsid w:val="00630373"/>
    <w:rsid w:val="00630407"/>
    <w:rsid w:val="006307C8"/>
    <w:rsid w:val="006309F4"/>
    <w:rsid w:val="00630B5C"/>
    <w:rsid w:val="00630C17"/>
    <w:rsid w:val="00630FA3"/>
    <w:rsid w:val="00631026"/>
    <w:rsid w:val="006310C9"/>
    <w:rsid w:val="006312CF"/>
    <w:rsid w:val="006314E8"/>
    <w:rsid w:val="00631961"/>
    <w:rsid w:val="00631A46"/>
    <w:rsid w:val="00631C11"/>
    <w:rsid w:val="00631ED6"/>
    <w:rsid w:val="00631FD3"/>
    <w:rsid w:val="006325AA"/>
    <w:rsid w:val="00632625"/>
    <w:rsid w:val="00632682"/>
    <w:rsid w:val="00632D72"/>
    <w:rsid w:val="00633012"/>
    <w:rsid w:val="006332BB"/>
    <w:rsid w:val="0063332F"/>
    <w:rsid w:val="006333A1"/>
    <w:rsid w:val="006333C1"/>
    <w:rsid w:val="006333F4"/>
    <w:rsid w:val="006335CF"/>
    <w:rsid w:val="006336BE"/>
    <w:rsid w:val="006339CF"/>
    <w:rsid w:val="00633E65"/>
    <w:rsid w:val="00634558"/>
    <w:rsid w:val="00634602"/>
    <w:rsid w:val="00634779"/>
    <w:rsid w:val="0063493A"/>
    <w:rsid w:val="00634E24"/>
    <w:rsid w:val="00634FF8"/>
    <w:rsid w:val="00635098"/>
    <w:rsid w:val="00635195"/>
    <w:rsid w:val="00635200"/>
    <w:rsid w:val="0063579F"/>
    <w:rsid w:val="0063580A"/>
    <w:rsid w:val="006359EF"/>
    <w:rsid w:val="00635BCD"/>
    <w:rsid w:val="00635C95"/>
    <w:rsid w:val="00635FB3"/>
    <w:rsid w:val="00635FDC"/>
    <w:rsid w:val="0063625B"/>
    <w:rsid w:val="0063647E"/>
    <w:rsid w:val="006364D9"/>
    <w:rsid w:val="00636545"/>
    <w:rsid w:val="0063691E"/>
    <w:rsid w:val="00636ACF"/>
    <w:rsid w:val="00636BD7"/>
    <w:rsid w:val="00637220"/>
    <w:rsid w:val="0063741B"/>
    <w:rsid w:val="0063746D"/>
    <w:rsid w:val="006376EE"/>
    <w:rsid w:val="00637AC4"/>
    <w:rsid w:val="00637BD3"/>
    <w:rsid w:val="00637CFC"/>
    <w:rsid w:val="00637D4F"/>
    <w:rsid w:val="00637D67"/>
    <w:rsid w:val="0064002D"/>
    <w:rsid w:val="006406E8"/>
    <w:rsid w:val="00640787"/>
    <w:rsid w:val="0064087C"/>
    <w:rsid w:val="00640A2B"/>
    <w:rsid w:val="00640A7D"/>
    <w:rsid w:val="00640F4F"/>
    <w:rsid w:val="006410AF"/>
    <w:rsid w:val="006413D5"/>
    <w:rsid w:val="00641504"/>
    <w:rsid w:val="00641775"/>
    <w:rsid w:val="0064181C"/>
    <w:rsid w:val="00641A31"/>
    <w:rsid w:val="00641C1A"/>
    <w:rsid w:val="0064210C"/>
    <w:rsid w:val="006428A4"/>
    <w:rsid w:val="006428C1"/>
    <w:rsid w:val="00642E41"/>
    <w:rsid w:val="00642EDF"/>
    <w:rsid w:val="00643149"/>
    <w:rsid w:val="0064360B"/>
    <w:rsid w:val="00643702"/>
    <w:rsid w:val="0064394D"/>
    <w:rsid w:val="00643A97"/>
    <w:rsid w:val="00643D40"/>
    <w:rsid w:val="00643DCB"/>
    <w:rsid w:val="0064427E"/>
    <w:rsid w:val="00644A19"/>
    <w:rsid w:val="00644C6C"/>
    <w:rsid w:val="00644C9C"/>
    <w:rsid w:val="00644CCA"/>
    <w:rsid w:val="00644FD0"/>
    <w:rsid w:val="0064515D"/>
    <w:rsid w:val="00645258"/>
    <w:rsid w:val="006453A5"/>
    <w:rsid w:val="00645D4F"/>
    <w:rsid w:val="00646396"/>
    <w:rsid w:val="006464B9"/>
    <w:rsid w:val="0064655E"/>
    <w:rsid w:val="00646581"/>
    <w:rsid w:val="00646952"/>
    <w:rsid w:val="006469AB"/>
    <w:rsid w:val="00646A03"/>
    <w:rsid w:val="00646EB3"/>
    <w:rsid w:val="006474D1"/>
    <w:rsid w:val="006474F4"/>
    <w:rsid w:val="006478B8"/>
    <w:rsid w:val="00647A5A"/>
    <w:rsid w:val="00647B5A"/>
    <w:rsid w:val="00647DF4"/>
    <w:rsid w:val="006501EF"/>
    <w:rsid w:val="0065039F"/>
    <w:rsid w:val="006508D5"/>
    <w:rsid w:val="006509DF"/>
    <w:rsid w:val="006509FD"/>
    <w:rsid w:val="00650A65"/>
    <w:rsid w:val="00650CDC"/>
    <w:rsid w:val="00650D3F"/>
    <w:rsid w:val="00650E24"/>
    <w:rsid w:val="00650FAC"/>
    <w:rsid w:val="00651B70"/>
    <w:rsid w:val="00651DD9"/>
    <w:rsid w:val="00651F9C"/>
    <w:rsid w:val="006520CB"/>
    <w:rsid w:val="00652128"/>
    <w:rsid w:val="00652A33"/>
    <w:rsid w:val="00652B0D"/>
    <w:rsid w:val="00652E00"/>
    <w:rsid w:val="00652FB4"/>
    <w:rsid w:val="0065315D"/>
    <w:rsid w:val="0065342B"/>
    <w:rsid w:val="00653462"/>
    <w:rsid w:val="00653564"/>
    <w:rsid w:val="00653582"/>
    <w:rsid w:val="006535F9"/>
    <w:rsid w:val="0065375A"/>
    <w:rsid w:val="0065377C"/>
    <w:rsid w:val="00653AC0"/>
    <w:rsid w:val="00653CBD"/>
    <w:rsid w:val="00653CE5"/>
    <w:rsid w:val="00653D38"/>
    <w:rsid w:val="00654172"/>
    <w:rsid w:val="00654290"/>
    <w:rsid w:val="006549AE"/>
    <w:rsid w:val="00654C94"/>
    <w:rsid w:val="0065561F"/>
    <w:rsid w:val="0065566F"/>
    <w:rsid w:val="006558D4"/>
    <w:rsid w:val="00655A39"/>
    <w:rsid w:val="00655BAC"/>
    <w:rsid w:val="00655D7B"/>
    <w:rsid w:val="00655DC5"/>
    <w:rsid w:val="006562FE"/>
    <w:rsid w:val="006568C6"/>
    <w:rsid w:val="006569E5"/>
    <w:rsid w:val="00656CA2"/>
    <w:rsid w:val="00656CBE"/>
    <w:rsid w:val="00656E55"/>
    <w:rsid w:val="00657001"/>
    <w:rsid w:val="00657155"/>
    <w:rsid w:val="006571BF"/>
    <w:rsid w:val="006573B3"/>
    <w:rsid w:val="00657787"/>
    <w:rsid w:val="0065792A"/>
    <w:rsid w:val="00657989"/>
    <w:rsid w:val="00657EE9"/>
    <w:rsid w:val="00660225"/>
    <w:rsid w:val="006602D8"/>
    <w:rsid w:val="006603DF"/>
    <w:rsid w:val="00660494"/>
    <w:rsid w:val="0066064C"/>
    <w:rsid w:val="006607DD"/>
    <w:rsid w:val="0066086B"/>
    <w:rsid w:val="00660BA6"/>
    <w:rsid w:val="00660FC3"/>
    <w:rsid w:val="00661256"/>
    <w:rsid w:val="0066148F"/>
    <w:rsid w:val="006614F3"/>
    <w:rsid w:val="00661709"/>
    <w:rsid w:val="0066176D"/>
    <w:rsid w:val="006617C5"/>
    <w:rsid w:val="0066199D"/>
    <w:rsid w:val="00661BCF"/>
    <w:rsid w:val="00661C02"/>
    <w:rsid w:val="00661CF1"/>
    <w:rsid w:val="00661D38"/>
    <w:rsid w:val="00661D72"/>
    <w:rsid w:val="0066215F"/>
    <w:rsid w:val="00662772"/>
    <w:rsid w:val="0066282C"/>
    <w:rsid w:val="006628D0"/>
    <w:rsid w:val="00662BD8"/>
    <w:rsid w:val="00662F0A"/>
    <w:rsid w:val="00663315"/>
    <w:rsid w:val="00663AD2"/>
    <w:rsid w:val="00663B57"/>
    <w:rsid w:val="00663BF7"/>
    <w:rsid w:val="0066448F"/>
    <w:rsid w:val="006644B7"/>
    <w:rsid w:val="00664518"/>
    <w:rsid w:val="00664582"/>
    <w:rsid w:val="006646E0"/>
    <w:rsid w:val="00664734"/>
    <w:rsid w:val="00664BDB"/>
    <w:rsid w:val="006653EE"/>
    <w:rsid w:val="00665597"/>
    <w:rsid w:val="00665714"/>
    <w:rsid w:val="0066574A"/>
    <w:rsid w:val="00665976"/>
    <w:rsid w:val="00665ACE"/>
    <w:rsid w:val="006660DB"/>
    <w:rsid w:val="00666103"/>
    <w:rsid w:val="0066654D"/>
    <w:rsid w:val="006665E4"/>
    <w:rsid w:val="006666FA"/>
    <w:rsid w:val="00666714"/>
    <w:rsid w:val="00666767"/>
    <w:rsid w:val="006669F4"/>
    <w:rsid w:val="00666C3D"/>
    <w:rsid w:val="00666EBD"/>
    <w:rsid w:val="00666F99"/>
    <w:rsid w:val="00667099"/>
    <w:rsid w:val="0066713D"/>
    <w:rsid w:val="006673CE"/>
    <w:rsid w:val="0066785E"/>
    <w:rsid w:val="006679D6"/>
    <w:rsid w:val="00667F17"/>
    <w:rsid w:val="00670142"/>
    <w:rsid w:val="00670289"/>
    <w:rsid w:val="006703E3"/>
    <w:rsid w:val="00670B34"/>
    <w:rsid w:val="00670C7D"/>
    <w:rsid w:val="00670D7B"/>
    <w:rsid w:val="00670F8D"/>
    <w:rsid w:val="00671220"/>
    <w:rsid w:val="00671625"/>
    <w:rsid w:val="00671735"/>
    <w:rsid w:val="0067178C"/>
    <w:rsid w:val="00671942"/>
    <w:rsid w:val="00671A1B"/>
    <w:rsid w:val="00671C86"/>
    <w:rsid w:val="00671D1D"/>
    <w:rsid w:val="00671DDF"/>
    <w:rsid w:val="00671E8F"/>
    <w:rsid w:val="006721FC"/>
    <w:rsid w:val="006725D3"/>
    <w:rsid w:val="006726F9"/>
    <w:rsid w:val="00672897"/>
    <w:rsid w:val="006728D1"/>
    <w:rsid w:val="00672956"/>
    <w:rsid w:val="006729E5"/>
    <w:rsid w:val="00672FE9"/>
    <w:rsid w:val="006735C8"/>
    <w:rsid w:val="006737B8"/>
    <w:rsid w:val="00673ABA"/>
    <w:rsid w:val="00673E87"/>
    <w:rsid w:val="00674009"/>
    <w:rsid w:val="0067414E"/>
    <w:rsid w:val="0067418E"/>
    <w:rsid w:val="006741E2"/>
    <w:rsid w:val="00674736"/>
    <w:rsid w:val="00674A0F"/>
    <w:rsid w:val="00674CEF"/>
    <w:rsid w:val="00674ECC"/>
    <w:rsid w:val="00674F1E"/>
    <w:rsid w:val="0067531A"/>
    <w:rsid w:val="006753FE"/>
    <w:rsid w:val="00675405"/>
    <w:rsid w:val="00675605"/>
    <w:rsid w:val="00675725"/>
    <w:rsid w:val="00675A0D"/>
    <w:rsid w:val="00675AA3"/>
    <w:rsid w:val="00675F11"/>
    <w:rsid w:val="0067670E"/>
    <w:rsid w:val="00676E7C"/>
    <w:rsid w:val="006770D3"/>
    <w:rsid w:val="00677925"/>
    <w:rsid w:val="006779AF"/>
    <w:rsid w:val="00677AA1"/>
    <w:rsid w:val="00677ACD"/>
    <w:rsid w:val="00677B59"/>
    <w:rsid w:val="00677F81"/>
    <w:rsid w:val="0068007E"/>
    <w:rsid w:val="0068027B"/>
    <w:rsid w:val="0068045F"/>
    <w:rsid w:val="006804C6"/>
    <w:rsid w:val="00680831"/>
    <w:rsid w:val="0068090D"/>
    <w:rsid w:val="00680B0E"/>
    <w:rsid w:val="00680E0D"/>
    <w:rsid w:val="006812C2"/>
    <w:rsid w:val="00681303"/>
    <w:rsid w:val="006815F4"/>
    <w:rsid w:val="0068169F"/>
    <w:rsid w:val="00681C64"/>
    <w:rsid w:val="00682154"/>
    <w:rsid w:val="006821DB"/>
    <w:rsid w:val="006828BE"/>
    <w:rsid w:val="00682B18"/>
    <w:rsid w:val="00683163"/>
    <w:rsid w:val="00683976"/>
    <w:rsid w:val="00683CA4"/>
    <w:rsid w:val="00685500"/>
    <w:rsid w:val="0068559C"/>
    <w:rsid w:val="00685766"/>
    <w:rsid w:val="00685AA7"/>
    <w:rsid w:val="00686215"/>
    <w:rsid w:val="006866F2"/>
    <w:rsid w:val="0068680C"/>
    <w:rsid w:val="00686A7A"/>
    <w:rsid w:val="00686CD9"/>
    <w:rsid w:val="00686EC5"/>
    <w:rsid w:val="00686FA3"/>
    <w:rsid w:val="00687040"/>
    <w:rsid w:val="0068726F"/>
    <w:rsid w:val="00687463"/>
    <w:rsid w:val="00687855"/>
    <w:rsid w:val="00687B41"/>
    <w:rsid w:val="00687C37"/>
    <w:rsid w:val="0069006C"/>
    <w:rsid w:val="006904AC"/>
    <w:rsid w:val="00690684"/>
    <w:rsid w:val="0069093B"/>
    <w:rsid w:val="00690B87"/>
    <w:rsid w:val="006915F1"/>
    <w:rsid w:val="006917F2"/>
    <w:rsid w:val="00691A3F"/>
    <w:rsid w:val="00692232"/>
    <w:rsid w:val="00692385"/>
    <w:rsid w:val="00692441"/>
    <w:rsid w:val="006924AC"/>
    <w:rsid w:val="00692C32"/>
    <w:rsid w:val="00692E69"/>
    <w:rsid w:val="006933C3"/>
    <w:rsid w:val="006934FC"/>
    <w:rsid w:val="006935E5"/>
    <w:rsid w:val="00693621"/>
    <w:rsid w:val="00693A69"/>
    <w:rsid w:val="00693CBD"/>
    <w:rsid w:val="00693DE2"/>
    <w:rsid w:val="00693F02"/>
    <w:rsid w:val="006940AA"/>
    <w:rsid w:val="0069414F"/>
    <w:rsid w:val="00694308"/>
    <w:rsid w:val="006943DD"/>
    <w:rsid w:val="00694431"/>
    <w:rsid w:val="0069464A"/>
    <w:rsid w:val="0069487F"/>
    <w:rsid w:val="006948C2"/>
    <w:rsid w:val="00694A17"/>
    <w:rsid w:val="00694B4A"/>
    <w:rsid w:val="00694CEF"/>
    <w:rsid w:val="00694D53"/>
    <w:rsid w:val="00694EF1"/>
    <w:rsid w:val="006950DA"/>
    <w:rsid w:val="00695293"/>
    <w:rsid w:val="00695373"/>
    <w:rsid w:val="00695424"/>
    <w:rsid w:val="00695E0F"/>
    <w:rsid w:val="00695E2A"/>
    <w:rsid w:val="00695E78"/>
    <w:rsid w:val="00695F6B"/>
    <w:rsid w:val="00696104"/>
    <w:rsid w:val="006962E3"/>
    <w:rsid w:val="0069638A"/>
    <w:rsid w:val="006965C6"/>
    <w:rsid w:val="006968C7"/>
    <w:rsid w:val="00696A79"/>
    <w:rsid w:val="00696B95"/>
    <w:rsid w:val="00696E09"/>
    <w:rsid w:val="00696E94"/>
    <w:rsid w:val="00696EA3"/>
    <w:rsid w:val="00697216"/>
    <w:rsid w:val="00697217"/>
    <w:rsid w:val="00697920"/>
    <w:rsid w:val="00697B87"/>
    <w:rsid w:val="00697FD5"/>
    <w:rsid w:val="006A0035"/>
    <w:rsid w:val="006A03F1"/>
    <w:rsid w:val="006A044D"/>
    <w:rsid w:val="006A05B0"/>
    <w:rsid w:val="006A062C"/>
    <w:rsid w:val="006A07F8"/>
    <w:rsid w:val="006A0C84"/>
    <w:rsid w:val="006A0FFA"/>
    <w:rsid w:val="006A1082"/>
    <w:rsid w:val="006A1347"/>
    <w:rsid w:val="006A18BF"/>
    <w:rsid w:val="006A1E7B"/>
    <w:rsid w:val="006A2490"/>
    <w:rsid w:val="006A26CF"/>
    <w:rsid w:val="006A2B92"/>
    <w:rsid w:val="006A2C96"/>
    <w:rsid w:val="006A2F24"/>
    <w:rsid w:val="006A3079"/>
    <w:rsid w:val="006A3222"/>
    <w:rsid w:val="006A3394"/>
    <w:rsid w:val="006A3676"/>
    <w:rsid w:val="006A3995"/>
    <w:rsid w:val="006A3B88"/>
    <w:rsid w:val="006A3C83"/>
    <w:rsid w:val="006A3EDB"/>
    <w:rsid w:val="006A3FF9"/>
    <w:rsid w:val="006A4018"/>
    <w:rsid w:val="006A4170"/>
    <w:rsid w:val="006A41BF"/>
    <w:rsid w:val="006A4244"/>
    <w:rsid w:val="006A4344"/>
    <w:rsid w:val="006A4725"/>
    <w:rsid w:val="006A4984"/>
    <w:rsid w:val="006A5027"/>
    <w:rsid w:val="006A52F4"/>
    <w:rsid w:val="006A5561"/>
    <w:rsid w:val="006A5CC2"/>
    <w:rsid w:val="006A5FC3"/>
    <w:rsid w:val="006A6A21"/>
    <w:rsid w:val="006A766C"/>
    <w:rsid w:val="006A7A13"/>
    <w:rsid w:val="006A7A46"/>
    <w:rsid w:val="006A7A9A"/>
    <w:rsid w:val="006A7B10"/>
    <w:rsid w:val="006A7E2B"/>
    <w:rsid w:val="006B00DD"/>
    <w:rsid w:val="006B01C9"/>
    <w:rsid w:val="006B0235"/>
    <w:rsid w:val="006B02B6"/>
    <w:rsid w:val="006B02D8"/>
    <w:rsid w:val="006B040C"/>
    <w:rsid w:val="006B0499"/>
    <w:rsid w:val="006B04A6"/>
    <w:rsid w:val="006B0518"/>
    <w:rsid w:val="006B05BC"/>
    <w:rsid w:val="006B07BE"/>
    <w:rsid w:val="006B0908"/>
    <w:rsid w:val="006B09D7"/>
    <w:rsid w:val="006B0B0C"/>
    <w:rsid w:val="006B0BD6"/>
    <w:rsid w:val="006B0BFC"/>
    <w:rsid w:val="006B0CEF"/>
    <w:rsid w:val="006B0F35"/>
    <w:rsid w:val="006B101A"/>
    <w:rsid w:val="006B18CC"/>
    <w:rsid w:val="006B1B9B"/>
    <w:rsid w:val="006B1DE2"/>
    <w:rsid w:val="006B1EC3"/>
    <w:rsid w:val="006B1F63"/>
    <w:rsid w:val="006B1FC1"/>
    <w:rsid w:val="006B2053"/>
    <w:rsid w:val="006B20D3"/>
    <w:rsid w:val="006B22CA"/>
    <w:rsid w:val="006B22DE"/>
    <w:rsid w:val="006B2633"/>
    <w:rsid w:val="006B2AE5"/>
    <w:rsid w:val="006B2B4E"/>
    <w:rsid w:val="006B2B62"/>
    <w:rsid w:val="006B2D55"/>
    <w:rsid w:val="006B2DDB"/>
    <w:rsid w:val="006B30F8"/>
    <w:rsid w:val="006B3122"/>
    <w:rsid w:val="006B321D"/>
    <w:rsid w:val="006B3672"/>
    <w:rsid w:val="006B3BD9"/>
    <w:rsid w:val="006B3E50"/>
    <w:rsid w:val="006B3F9E"/>
    <w:rsid w:val="006B44E6"/>
    <w:rsid w:val="006B4590"/>
    <w:rsid w:val="006B48C9"/>
    <w:rsid w:val="006B4C7F"/>
    <w:rsid w:val="006B5275"/>
    <w:rsid w:val="006B5311"/>
    <w:rsid w:val="006B5665"/>
    <w:rsid w:val="006B5842"/>
    <w:rsid w:val="006B58B8"/>
    <w:rsid w:val="006B599F"/>
    <w:rsid w:val="006B59E2"/>
    <w:rsid w:val="006B5C40"/>
    <w:rsid w:val="006B5D14"/>
    <w:rsid w:val="006B5E7A"/>
    <w:rsid w:val="006B5EF7"/>
    <w:rsid w:val="006B6216"/>
    <w:rsid w:val="006B6609"/>
    <w:rsid w:val="006B686E"/>
    <w:rsid w:val="006B6E53"/>
    <w:rsid w:val="006B6E57"/>
    <w:rsid w:val="006B6EA5"/>
    <w:rsid w:val="006B7018"/>
    <w:rsid w:val="006B707D"/>
    <w:rsid w:val="006B783C"/>
    <w:rsid w:val="006B79D1"/>
    <w:rsid w:val="006B7B32"/>
    <w:rsid w:val="006B7C81"/>
    <w:rsid w:val="006B7CCC"/>
    <w:rsid w:val="006B7D71"/>
    <w:rsid w:val="006C052B"/>
    <w:rsid w:val="006C056B"/>
    <w:rsid w:val="006C06AD"/>
    <w:rsid w:val="006C0706"/>
    <w:rsid w:val="006C081C"/>
    <w:rsid w:val="006C13AD"/>
    <w:rsid w:val="006C14E6"/>
    <w:rsid w:val="006C1798"/>
    <w:rsid w:val="006C1848"/>
    <w:rsid w:val="006C18BB"/>
    <w:rsid w:val="006C1EAE"/>
    <w:rsid w:val="006C1EFA"/>
    <w:rsid w:val="006C23B4"/>
    <w:rsid w:val="006C276E"/>
    <w:rsid w:val="006C28F8"/>
    <w:rsid w:val="006C2A6B"/>
    <w:rsid w:val="006C2BBA"/>
    <w:rsid w:val="006C2C28"/>
    <w:rsid w:val="006C2E2E"/>
    <w:rsid w:val="006C30C4"/>
    <w:rsid w:val="006C32BE"/>
    <w:rsid w:val="006C346B"/>
    <w:rsid w:val="006C34A4"/>
    <w:rsid w:val="006C388B"/>
    <w:rsid w:val="006C3944"/>
    <w:rsid w:val="006C3958"/>
    <w:rsid w:val="006C3A6B"/>
    <w:rsid w:val="006C3AC5"/>
    <w:rsid w:val="006C3B57"/>
    <w:rsid w:val="006C3B71"/>
    <w:rsid w:val="006C3E8E"/>
    <w:rsid w:val="006C44C3"/>
    <w:rsid w:val="006C44CC"/>
    <w:rsid w:val="006C4DC6"/>
    <w:rsid w:val="006C4FF8"/>
    <w:rsid w:val="006C509C"/>
    <w:rsid w:val="006C517C"/>
    <w:rsid w:val="006C562D"/>
    <w:rsid w:val="006C59B9"/>
    <w:rsid w:val="006C5FDB"/>
    <w:rsid w:val="006C64AB"/>
    <w:rsid w:val="006C653B"/>
    <w:rsid w:val="006C6CB2"/>
    <w:rsid w:val="006C6DE6"/>
    <w:rsid w:val="006C6E9E"/>
    <w:rsid w:val="006C7041"/>
    <w:rsid w:val="006C74F6"/>
    <w:rsid w:val="006C78A0"/>
    <w:rsid w:val="006C790B"/>
    <w:rsid w:val="006C7A6C"/>
    <w:rsid w:val="006C7B4E"/>
    <w:rsid w:val="006C7C3D"/>
    <w:rsid w:val="006C7D0D"/>
    <w:rsid w:val="006C7D94"/>
    <w:rsid w:val="006C7E58"/>
    <w:rsid w:val="006D02E3"/>
    <w:rsid w:val="006D0354"/>
    <w:rsid w:val="006D040C"/>
    <w:rsid w:val="006D0492"/>
    <w:rsid w:val="006D08C3"/>
    <w:rsid w:val="006D0908"/>
    <w:rsid w:val="006D0AC4"/>
    <w:rsid w:val="006D0ADC"/>
    <w:rsid w:val="006D11C9"/>
    <w:rsid w:val="006D1269"/>
    <w:rsid w:val="006D1329"/>
    <w:rsid w:val="006D1332"/>
    <w:rsid w:val="006D1357"/>
    <w:rsid w:val="006D15DE"/>
    <w:rsid w:val="006D175E"/>
    <w:rsid w:val="006D1C16"/>
    <w:rsid w:val="006D1F61"/>
    <w:rsid w:val="006D2420"/>
    <w:rsid w:val="006D271F"/>
    <w:rsid w:val="006D275D"/>
    <w:rsid w:val="006D2AF3"/>
    <w:rsid w:val="006D2B75"/>
    <w:rsid w:val="006D2D73"/>
    <w:rsid w:val="006D2DE2"/>
    <w:rsid w:val="006D303F"/>
    <w:rsid w:val="006D3104"/>
    <w:rsid w:val="006D3188"/>
    <w:rsid w:val="006D32A6"/>
    <w:rsid w:val="006D32C2"/>
    <w:rsid w:val="006D3337"/>
    <w:rsid w:val="006D33B9"/>
    <w:rsid w:val="006D383A"/>
    <w:rsid w:val="006D3A48"/>
    <w:rsid w:val="006D3BB3"/>
    <w:rsid w:val="006D3BBF"/>
    <w:rsid w:val="006D3CF7"/>
    <w:rsid w:val="006D3EEF"/>
    <w:rsid w:val="006D40A7"/>
    <w:rsid w:val="006D4A37"/>
    <w:rsid w:val="006D4B89"/>
    <w:rsid w:val="006D501A"/>
    <w:rsid w:val="006D5299"/>
    <w:rsid w:val="006D5334"/>
    <w:rsid w:val="006D53A6"/>
    <w:rsid w:val="006D5415"/>
    <w:rsid w:val="006D56FC"/>
    <w:rsid w:val="006D5824"/>
    <w:rsid w:val="006D590B"/>
    <w:rsid w:val="006D59E8"/>
    <w:rsid w:val="006D5A96"/>
    <w:rsid w:val="006D5AAC"/>
    <w:rsid w:val="006D5E19"/>
    <w:rsid w:val="006D6531"/>
    <w:rsid w:val="006D670E"/>
    <w:rsid w:val="006D6ED3"/>
    <w:rsid w:val="006D700E"/>
    <w:rsid w:val="006D71D9"/>
    <w:rsid w:val="006D71F8"/>
    <w:rsid w:val="006D7298"/>
    <w:rsid w:val="006D7B31"/>
    <w:rsid w:val="006D7C14"/>
    <w:rsid w:val="006D7EB7"/>
    <w:rsid w:val="006D7F15"/>
    <w:rsid w:val="006E0007"/>
    <w:rsid w:val="006E00AC"/>
    <w:rsid w:val="006E0416"/>
    <w:rsid w:val="006E06C6"/>
    <w:rsid w:val="006E0861"/>
    <w:rsid w:val="006E0885"/>
    <w:rsid w:val="006E0A43"/>
    <w:rsid w:val="006E0E7C"/>
    <w:rsid w:val="006E0F4D"/>
    <w:rsid w:val="006E1319"/>
    <w:rsid w:val="006E138F"/>
    <w:rsid w:val="006E1F5C"/>
    <w:rsid w:val="006E2201"/>
    <w:rsid w:val="006E23B8"/>
    <w:rsid w:val="006E2420"/>
    <w:rsid w:val="006E280D"/>
    <w:rsid w:val="006E28F6"/>
    <w:rsid w:val="006E2B4B"/>
    <w:rsid w:val="006E2BD4"/>
    <w:rsid w:val="006E2E5A"/>
    <w:rsid w:val="006E2EDD"/>
    <w:rsid w:val="006E3169"/>
    <w:rsid w:val="006E32CE"/>
    <w:rsid w:val="006E37D2"/>
    <w:rsid w:val="006E3FB2"/>
    <w:rsid w:val="006E44D6"/>
    <w:rsid w:val="006E4680"/>
    <w:rsid w:val="006E475F"/>
    <w:rsid w:val="006E4CE9"/>
    <w:rsid w:val="006E4EAD"/>
    <w:rsid w:val="006E51E1"/>
    <w:rsid w:val="006E5253"/>
    <w:rsid w:val="006E5276"/>
    <w:rsid w:val="006E52ED"/>
    <w:rsid w:val="006E5438"/>
    <w:rsid w:val="006E5C00"/>
    <w:rsid w:val="006E5F5F"/>
    <w:rsid w:val="006E6B8C"/>
    <w:rsid w:val="006E6C2D"/>
    <w:rsid w:val="006E710D"/>
    <w:rsid w:val="006E79C5"/>
    <w:rsid w:val="006E7B2C"/>
    <w:rsid w:val="006E7BE5"/>
    <w:rsid w:val="006F024B"/>
    <w:rsid w:val="006F0450"/>
    <w:rsid w:val="006F0CD4"/>
    <w:rsid w:val="006F0D14"/>
    <w:rsid w:val="006F0D47"/>
    <w:rsid w:val="006F0D55"/>
    <w:rsid w:val="006F114E"/>
    <w:rsid w:val="006F14D2"/>
    <w:rsid w:val="006F1A5C"/>
    <w:rsid w:val="006F1E63"/>
    <w:rsid w:val="006F1FFE"/>
    <w:rsid w:val="006F2203"/>
    <w:rsid w:val="006F2479"/>
    <w:rsid w:val="006F24EE"/>
    <w:rsid w:val="006F2CE7"/>
    <w:rsid w:val="006F2F26"/>
    <w:rsid w:val="006F32ED"/>
    <w:rsid w:val="006F35DB"/>
    <w:rsid w:val="006F35FA"/>
    <w:rsid w:val="006F3745"/>
    <w:rsid w:val="006F39DB"/>
    <w:rsid w:val="006F3ADF"/>
    <w:rsid w:val="006F3B59"/>
    <w:rsid w:val="006F3BC2"/>
    <w:rsid w:val="006F3EEE"/>
    <w:rsid w:val="006F4251"/>
    <w:rsid w:val="006F4540"/>
    <w:rsid w:val="006F4684"/>
    <w:rsid w:val="006F4948"/>
    <w:rsid w:val="006F4B04"/>
    <w:rsid w:val="006F4C3A"/>
    <w:rsid w:val="006F569D"/>
    <w:rsid w:val="006F5A63"/>
    <w:rsid w:val="006F5EE6"/>
    <w:rsid w:val="006F6169"/>
    <w:rsid w:val="006F635C"/>
    <w:rsid w:val="006F640D"/>
    <w:rsid w:val="006F64A3"/>
    <w:rsid w:val="006F6583"/>
    <w:rsid w:val="006F6690"/>
    <w:rsid w:val="006F66EF"/>
    <w:rsid w:val="006F6D3A"/>
    <w:rsid w:val="006F74E8"/>
    <w:rsid w:val="006F76AF"/>
    <w:rsid w:val="006F79D8"/>
    <w:rsid w:val="006F7E2F"/>
    <w:rsid w:val="006F7FC1"/>
    <w:rsid w:val="007003F8"/>
    <w:rsid w:val="007005CC"/>
    <w:rsid w:val="007006A0"/>
    <w:rsid w:val="007007C5"/>
    <w:rsid w:val="0070083C"/>
    <w:rsid w:val="007010BE"/>
    <w:rsid w:val="007010D8"/>
    <w:rsid w:val="0070122F"/>
    <w:rsid w:val="00701394"/>
    <w:rsid w:val="007013A0"/>
    <w:rsid w:val="00701891"/>
    <w:rsid w:val="00701AD6"/>
    <w:rsid w:val="00701C8C"/>
    <w:rsid w:val="00702845"/>
    <w:rsid w:val="00702C92"/>
    <w:rsid w:val="00702C97"/>
    <w:rsid w:val="00702D35"/>
    <w:rsid w:val="00702D55"/>
    <w:rsid w:val="00702DA1"/>
    <w:rsid w:val="00702F58"/>
    <w:rsid w:val="0070307D"/>
    <w:rsid w:val="007037B0"/>
    <w:rsid w:val="00703857"/>
    <w:rsid w:val="00703CB1"/>
    <w:rsid w:val="00703EAF"/>
    <w:rsid w:val="0070440C"/>
    <w:rsid w:val="00704904"/>
    <w:rsid w:val="00704F8D"/>
    <w:rsid w:val="00704FA6"/>
    <w:rsid w:val="00704FBB"/>
    <w:rsid w:val="00705021"/>
    <w:rsid w:val="007052DA"/>
    <w:rsid w:val="00705419"/>
    <w:rsid w:val="0070541F"/>
    <w:rsid w:val="007059DA"/>
    <w:rsid w:val="00705C8E"/>
    <w:rsid w:val="00706006"/>
    <w:rsid w:val="0070601D"/>
    <w:rsid w:val="007063BE"/>
    <w:rsid w:val="007067FE"/>
    <w:rsid w:val="00706F93"/>
    <w:rsid w:val="00706FAD"/>
    <w:rsid w:val="0070712C"/>
    <w:rsid w:val="007076A3"/>
    <w:rsid w:val="007077E8"/>
    <w:rsid w:val="0070796E"/>
    <w:rsid w:val="007079F5"/>
    <w:rsid w:val="00707A32"/>
    <w:rsid w:val="00707AEB"/>
    <w:rsid w:val="007101BF"/>
    <w:rsid w:val="00710514"/>
    <w:rsid w:val="0071070F"/>
    <w:rsid w:val="00710830"/>
    <w:rsid w:val="00710896"/>
    <w:rsid w:val="00710AED"/>
    <w:rsid w:val="00710EBC"/>
    <w:rsid w:val="0071103C"/>
    <w:rsid w:val="007110FD"/>
    <w:rsid w:val="0071144E"/>
    <w:rsid w:val="00711622"/>
    <w:rsid w:val="0071170E"/>
    <w:rsid w:val="00711A24"/>
    <w:rsid w:val="00711F13"/>
    <w:rsid w:val="00711F46"/>
    <w:rsid w:val="0071204C"/>
    <w:rsid w:val="007122C8"/>
    <w:rsid w:val="00712778"/>
    <w:rsid w:val="00712A11"/>
    <w:rsid w:val="00712A28"/>
    <w:rsid w:val="00712AFB"/>
    <w:rsid w:val="00712BF0"/>
    <w:rsid w:val="00712C3B"/>
    <w:rsid w:val="00712F0D"/>
    <w:rsid w:val="00712FF5"/>
    <w:rsid w:val="007132A7"/>
    <w:rsid w:val="00713C09"/>
    <w:rsid w:val="00713E12"/>
    <w:rsid w:val="00713FA4"/>
    <w:rsid w:val="00714127"/>
    <w:rsid w:val="007141EC"/>
    <w:rsid w:val="0071433C"/>
    <w:rsid w:val="007145D9"/>
    <w:rsid w:val="00714622"/>
    <w:rsid w:val="00714649"/>
    <w:rsid w:val="007146AC"/>
    <w:rsid w:val="00714E92"/>
    <w:rsid w:val="00714FD8"/>
    <w:rsid w:val="007151A8"/>
    <w:rsid w:val="00715357"/>
    <w:rsid w:val="007154AE"/>
    <w:rsid w:val="00715A2C"/>
    <w:rsid w:val="00716144"/>
    <w:rsid w:val="0071657D"/>
    <w:rsid w:val="0071663F"/>
    <w:rsid w:val="007166E2"/>
    <w:rsid w:val="0071686B"/>
    <w:rsid w:val="00716B24"/>
    <w:rsid w:val="00716E6F"/>
    <w:rsid w:val="00717122"/>
    <w:rsid w:val="00717305"/>
    <w:rsid w:val="007174A7"/>
    <w:rsid w:val="0071786F"/>
    <w:rsid w:val="0071788D"/>
    <w:rsid w:val="00717B85"/>
    <w:rsid w:val="00720172"/>
    <w:rsid w:val="00720184"/>
    <w:rsid w:val="0072021C"/>
    <w:rsid w:val="007202BE"/>
    <w:rsid w:val="00720358"/>
    <w:rsid w:val="007204B5"/>
    <w:rsid w:val="0072053B"/>
    <w:rsid w:val="0072062E"/>
    <w:rsid w:val="00720762"/>
    <w:rsid w:val="0072081C"/>
    <w:rsid w:val="00720BF0"/>
    <w:rsid w:val="00720CBE"/>
    <w:rsid w:val="00720F6F"/>
    <w:rsid w:val="00721082"/>
    <w:rsid w:val="00721427"/>
    <w:rsid w:val="00721498"/>
    <w:rsid w:val="00721AD3"/>
    <w:rsid w:val="00721F0E"/>
    <w:rsid w:val="0072201D"/>
    <w:rsid w:val="00722360"/>
    <w:rsid w:val="00722A82"/>
    <w:rsid w:val="00722E4E"/>
    <w:rsid w:val="00722FD5"/>
    <w:rsid w:val="00723314"/>
    <w:rsid w:val="007233AC"/>
    <w:rsid w:val="007235F4"/>
    <w:rsid w:val="00723751"/>
    <w:rsid w:val="00723A83"/>
    <w:rsid w:val="00723DE9"/>
    <w:rsid w:val="00723F14"/>
    <w:rsid w:val="00724058"/>
    <w:rsid w:val="00724119"/>
    <w:rsid w:val="00724643"/>
    <w:rsid w:val="00724B94"/>
    <w:rsid w:val="007250C1"/>
    <w:rsid w:val="00725158"/>
    <w:rsid w:val="00725214"/>
    <w:rsid w:val="00725231"/>
    <w:rsid w:val="00725362"/>
    <w:rsid w:val="00725765"/>
    <w:rsid w:val="007259CA"/>
    <w:rsid w:val="00726092"/>
    <w:rsid w:val="007260A4"/>
    <w:rsid w:val="007267E1"/>
    <w:rsid w:val="00726B41"/>
    <w:rsid w:val="00726D77"/>
    <w:rsid w:val="00726DB1"/>
    <w:rsid w:val="00727052"/>
    <w:rsid w:val="0072708C"/>
    <w:rsid w:val="00727760"/>
    <w:rsid w:val="00727E3E"/>
    <w:rsid w:val="00727F8F"/>
    <w:rsid w:val="0073037B"/>
    <w:rsid w:val="00730389"/>
    <w:rsid w:val="007304B2"/>
    <w:rsid w:val="00730C61"/>
    <w:rsid w:val="0073121A"/>
    <w:rsid w:val="00731489"/>
    <w:rsid w:val="00731B2E"/>
    <w:rsid w:val="00731D49"/>
    <w:rsid w:val="00731F07"/>
    <w:rsid w:val="0073218C"/>
    <w:rsid w:val="00732190"/>
    <w:rsid w:val="00732241"/>
    <w:rsid w:val="00732A41"/>
    <w:rsid w:val="00732AAD"/>
    <w:rsid w:val="00732CD0"/>
    <w:rsid w:val="00732DC1"/>
    <w:rsid w:val="007335FE"/>
    <w:rsid w:val="00733629"/>
    <w:rsid w:val="00733CC4"/>
    <w:rsid w:val="0073441E"/>
    <w:rsid w:val="00734429"/>
    <w:rsid w:val="007344BA"/>
    <w:rsid w:val="00734691"/>
    <w:rsid w:val="007346DC"/>
    <w:rsid w:val="007348D5"/>
    <w:rsid w:val="0073492C"/>
    <w:rsid w:val="00734AEF"/>
    <w:rsid w:val="00734E27"/>
    <w:rsid w:val="007350C3"/>
    <w:rsid w:val="007351AD"/>
    <w:rsid w:val="0073541F"/>
    <w:rsid w:val="007354CA"/>
    <w:rsid w:val="00735723"/>
    <w:rsid w:val="0073597D"/>
    <w:rsid w:val="00735AC3"/>
    <w:rsid w:val="00735F60"/>
    <w:rsid w:val="00735FD3"/>
    <w:rsid w:val="00735FF1"/>
    <w:rsid w:val="00736201"/>
    <w:rsid w:val="00736B62"/>
    <w:rsid w:val="00736D29"/>
    <w:rsid w:val="00736EE8"/>
    <w:rsid w:val="00737023"/>
    <w:rsid w:val="007372EC"/>
    <w:rsid w:val="00737F6A"/>
    <w:rsid w:val="00740006"/>
    <w:rsid w:val="00740285"/>
    <w:rsid w:val="007405D5"/>
    <w:rsid w:val="00740837"/>
    <w:rsid w:val="00740C28"/>
    <w:rsid w:val="00740C3C"/>
    <w:rsid w:val="0074150D"/>
    <w:rsid w:val="007415A5"/>
    <w:rsid w:val="0074177C"/>
    <w:rsid w:val="007417C8"/>
    <w:rsid w:val="0074190F"/>
    <w:rsid w:val="00741B95"/>
    <w:rsid w:val="00741DF6"/>
    <w:rsid w:val="0074234A"/>
    <w:rsid w:val="00742F40"/>
    <w:rsid w:val="007431AE"/>
    <w:rsid w:val="007435FE"/>
    <w:rsid w:val="00743A8C"/>
    <w:rsid w:val="00743C5C"/>
    <w:rsid w:val="007442AC"/>
    <w:rsid w:val="00744881"/>
    <w:rsid w:val="00744921"/>
    <w:rsid w:val="007449A4"/>
    <w:rsid w:val="00744A8B"/>
    <w:rsid w:val="00744DA6"/>
    <w:rsid w:val="00744DED"/>
    <w:rsid w:val="007451F5"/>
    <w:rsid w:val="007454F7"/>
    <w:rsid w:val="00745660"/>
    <w:rsid w:val="00745A96"/>
    <w:rsid w:val="00745EFA"/>
    <w:rsid w:val="00746304"/>
    <w:rsid w:val="0074636E"/>
    <w:rsid w:val="00746642"/>
    <w:rsid w:val="0074672D"/>
    <w:rsid w:val="007471D8"/>
    <w:rsid w:val="00747434"/>
    <w:rsid w:val="007475E4"/>
    <w:rsid w:val="0074769F"/>
    <w:rsid w:val="007476E9"/>
    <w:rsid w:val="007476F4"/>
    <w:rsid w:val="00747D7C"/>
    <w:rsid w:val="00747EEC"/>
    <w:rsid w:val="00747F18"/>
    <w:rsid w:val="00750011"/>
    <w:rsid w:val="00750171"/>
    <w:rsid w:val="0075037B"/>
    <w:rsid w:val="00750843"/>
    <w:rsid w:val="00750CB7"/>
    <w:rsid w:val="00750DC8"/>
    <w:rsid w:val="00751299"/>
    <w:rsid w:val="00751353"/>
    <w:rsid w:val="007513A9"/>
    <w:rsid w:val="0075173A"/>
    <w:rsid w:val="007518EE"/>
    <w:rsid w:val="0075194D"/>
    <w:rsid w:val="00751F79"/>
    <w:rsid w:val="00751FD3"/>
    <w:rsid w:val="00752238"/>
    <w:rsid w:val="007523A6"/>
    <w:rsid w:val="007525B7"/>
    <w:rsid w:val="007526CF"/>
    <w:rsid w:val="00752771"/>
    <w:rsid w:val="00752CBB"/>
    <w:rsid w:val="00752E3B"/>
    <w:rsid w:val="00752F33"/>
    <w:rsid w:val="0075309E"/>
    <w:rsid w:val="00753182"/>
    <w:rsid w:val="00753288"/>
    <w:rsid w:val="007535AE"/>
    <w:rsid w:val="007536E7"/>
    <w:rsid w:val="00753726"/>
    <w:rsid w:val="00753A71"/>
    <w:rsid w:val="00753A8F"/>
    <w:rsid w:val="00753CDE"/>
    <w:rsid w:val="0075470D"/>
    <w:rsid w:val="00754A28"/>
    <w:rsid w:val="00754CA5"/>
    <w:rsid w:val="00754DA1"/>
    <w:rsid w:val="00755070"/>
    <w:rsid w:val="0075513C"/>
    <w:rsid w:val="007551C1"/>
    <w:rsid w:val="007552CF"/>
    <w:rsid w:val="0075548C"/>
    <w:rsid w:val="00755519"/>
    <w:rsid w:val="007557A3"/>
    <w:rsid w:val="00755B47"/>
    <w:rsid w:val="00755C36"/>
    <w:rsid w:val="00755E21"/>
    <w:rsid w:val="007563B5"/>
    <w:rsid w:val="007564A2"/>
    <w:rsid w:val="007565FB"/>
    <w:rsid w:val="00756695"/>
    <w:rsid w:val="0075688A"/>
    <w:rsid w:val="007568EA"/>
    <w:rsid w:val="00756921"/>
    <w:rsid w:val="00756BC4"/>
    <w:rsid w:val="00756E90"/>
    <w:rsid w:val="00756F0F"/>
    <w:rsid w:val="00756F3D"/>
    <w:rsid w:val="00756F53"/>
    <w:rsid w:val="00756FE3"/>
    <w:rsid w:val="007574DF"/>
    <w:rsid w:val="007577AB"/>
    <w:rsid w:val="00757859"/>
    <w:rsid w:val="007578A5"/>
    <w:rsid w:val="00757D23"/>
    <w:rsid w:val="007601A4"/>
    <w:rsid w:val="00760280"/>
    <w:rsid w:val="0076053B"/>
    <w:rsid w:val="007606D2"/>
    <w:rsid w:val="007608CC"/>
    <w:rsid w:val="00760933"/>
    <w:rsid w:val="00760A6A"/>
    <w:rsid w:val="00760DFC"/>
    <w:rsid w:val="00760F59"/>
    <w:rsid w:val="00761119"/>
    <w:rsid w:val="00761143"/>
    <w:rsid w:val="00761366"/>
    <w:rsid w:val="007613AF"/>
    <w:rsid w:val="007621F5"/>
    <w:rsid w:val="00762283"/>
    <w:rsid w:val="0076240F"/>
    <w:rsid w:val="00762928"/>
    <w:rsid w:val="00762EAC"/>
    <w:rsid w:val="00762F89"/>
    <w:rsid w:val="00763154"/>
    <w:rsid w:val="007631D7"/>
    <w:rsid w:val="007633F3"/>
    <w:rsid w:val="007633FE"/>
    <w:rsid w:val="007635B4"/>
    <w:rsid w:val="007638C8"/>
    <w:rsid w:val="00763E4C"/>
    <w:rsid w:val="007640CE"/>
    <w:rsid w:val="007642CF"/>
    <w:rsid w:val="0076439E"/>
    <w:rsid w:val="007643DC"/>
    <w:rsid w:val="007645E9"/>
    <w:rsid w:val="00764961"/>
    <w:rsid w:val="00764BE1"/>
    <w:rsid w:val="00764BF0"/>
    <w:rsid w:val="00764ED5"/>
    <w:rsid w:val="00765010"/>
    <w:rsid w:val="00765061"/>
    <w:rsid w:val="00765068"/>
    <w:rsid w:val="0076514E"/>
    <w:rsid w:val="007651A8"/>
    <w:rsid w:val="00765223"/>
    <w:rsid w:val="00765291"/>
    <w:rsid w:val="0076562C"/>
    <w:rsid w:val="00765633"/>
    <w:rsid w:val="007657D1"/>
    <w:rsid w:val="007658AA"/>
    <w:rsid w:val="007658E4"/>
    <w:rsid w:val="00765F50"/>
    <w:rsid w:val="00765F98"/>
    <w:rsid w:val="007660E5"/>
    <w:rsid w:val="007660E9"/>
    <w:rsid w:val="00766348"/>
    <w:rsid w:val="0076659F"/>
    <w:rsid w:val="00766A8D"/>
    <w:rsid w:val="00766B4D"/>
    <w:rsid w:val="00766F9C"/>
    <w:rsid w:val="00767855"/>
    <w:rsid w:val="00767A2D"/>
    <w:rsid w:val="00767B91"/>
    <w:rsid w:val="00767CC0"/>
    <w:rsid w:val="00767DC3"/>
    <w:rsid w:val="00767ECE"/>
    <w:rsid w:val="00767FBD"/>
    <w:rsid w:val="00770195"/>
    <w:rsid w:val="00770464"/>
    <w:rsid w:val="007707B6"/>
    <w:rsid w:val="00770DFF"/>
    <w:rsid w:val="00770E08"/>
    <w:rsid w:val="0077118D"/>
    <w:rsid w:val="00771326"/>
    <w:rsid w:val="00771A8D"/>
    <w:rsid w:val="00772500"/>
    <w:rsid w:val="0077264A"/>
    <w:rsid w:val="00772A15"/>
    <w:rsid w:val="00772A34"/>
    <w:rsid w:val="00772A96"/>
    <w:rsid w:val="00773130"/>
    <w:rsid w:val="007735BF"/>
    <w:rsid w:val="00773955"/>
    <w:rsid w:val="00773BAE"/>
    <w:rsid w:val="00773D6F"/>
    <w:rsid w:val="00773FC8"/>
    <w:rsid w:val="007740EB"/>
    <w:rsid w:val="007743E9"/>
    <w:rsid w:val="007744CE"/>
    <w:rsid w:val="0077455B"/>
    <w:rsid w:val="00774837"/>
    <w:rsid w:val="00774E1E"/>
    <w:rsid w:val="00774EE3"/>
    <w:rsid w:val="007754AE"/>
    <w:rsid w:val="007756D6"/>
    <w:rsid w:val="00775830"/>
    <w:rsid w:val="00775973"/>
    <w:rsid w:val="00775A97"/>
    <w:rsid w:val="00775CEF"/>
    <w:rsid w:val="00775E1F"/>
    <w:rsid w:val="007763F2"/>
    <w:rsid w:val="00776485"/>
    <w:rsid w:val="007766A4"/>
    <w:rsid w:val="00776A30"/>
    <w:rsid w:val="00776A81"/>
    <w:rsid w:val="00776DE1"/>
    <w:rsid w:val="00776F60"/>
    <w:rsid w:val="00777137"/>
    <w:rsid w:val="00777249"/>
    <w:rsid w:val="007772C6"/>
    <w:rsid w:val="00777591"/>
    <w:rsid w:val="00777671"/>
    <w:rsid w:val="00777985"/>
    <w:rsid w:val="00777D96"/>
    <w:rsid w:val="00780121"/>
    <w:rsid w:val="007805AE"/>
    <w:rsid w:val="007807FA"/>
    <w:rsid w:val="00780C99"/>
    <w:rsid w:val="00780E3A"/>
    <w:rsid w:val="00780E4B"/>
    <w:rsid w:val="00780F1A"/>
    <w:rsid w:val="007810A5"/>
    <w:rsid w:val="00781884"/>
    <w:rsid w:val="0078198F"/>
    <w:rsid w:val="00781B9F"/>
    <w:rsid w:val="00781EB9"/>
    <w:rsid w:val="00781FE0"/>
    <w:rsid w:val="00782086"/>
    <w:rsid w:val="0078213A"/>
    <w:rsid w:val="007821E7"/>
    <w:rsid w:val="007825EA"/>
    <w:rsid w:val="00782753"/>
    <w:rsid w:val="007828A3"/>
    <w:rsid w:val="00782A1D"/>
    <w:rsid w:val="00782DE3"/>
    <w:rsid w:val="00783512"/>
    <w:rsid w:val="00783557"/>
    <w:rsid w:val="00783822"/>
    <w:rsid w:val="00783BF9"/>
    <w:rsid w:val="00783FF1"/>
    <w:rsid w:val="00784050"/>
    <w:rsid w:val="0078432E"/>
    <w:rsid w:val="00784357"/>
    <w:rsid w:val="007843CA"/>
    <w:rsid w:val="00784455"/>
    <w:rsid w:val="00784B78"/>
    <w:rsid w:val="0078505D"/>
    <w:rsid w:val="007851C7"/>
    <w:rsid w:val="007853F8"/>
    <w:rsid w:val="007857CB"/>
    <w:rsid w:val="007857DB"/>
    <w:rsid w:val="007858E5"/>
    <w:rsid w:val="00785A78"/>
    <w:rsid w:val="00785B2B"/>
    <w:rsid w:val="00785EC6"/>
    <w:rsid w:val="0078614E"/>
    <w:rsid w:val="0078615D"/>
    <w:rsid w:val="00786425"/>
    <w:rsid w:val="0078671C"/>
    <w:rsid w:val="0078687A"/>
    <w:rsid w:val="007869EE"/>
    <w:rsid w:val="00786A78"/>
    <w:rsid w:val="00786C7C"/>
    <w:rsid w:val="00786C9A"/>
    <w:rsid w:val="00786E08"/>
    <w:rsid w:val="00786E7E"/>
    <w:rsid w:val="00786F0C"/>
    <w:rsid w:val="007870E4"/>
    <w:rsid w:val="0078723C"/>
    <w:rsid w:val="0078724A"/>
    <w:rsid w:val="0078727E"/>
    <w:rsid w:val="0078755E"/>
    <w:rsid w:val="007875B8"/>
    <w:rsid w:val="0078775A"/>
    <w:rsid w:val="00787783"/>
    <w:rsid w:val="00787A0A"/>
    <w:rsid w:val="00787CA2"/>
    <w:rsid w:val="0079089F"/>
    <w:rsid w:val="00790CB0"/>
    <w:rsid w:val="00790DBC"/>
    <w:rsid w:val="00791015"/>
    <w:rsid w:val="0079116F"/>
    <w:rsid w:val="00791435"/>
    <w:rsid w:val="007914AD"/>
    <w:rsid w:val="007914CF"/>
    <w:rsid w:val="00791521"/>
    <w:rsid w:val="007918A4"/>
    <w:rsid w:val="00791979"/>
    <w:rsid w:val="00791EB7"/>
    <w:rsid w:val="00791EF3"/>
    <w:rsid w:val="0079207A"/>
    <w:rsid w:val="007922F0"/>
    <w:rsid w:val="00792333"/>
    <w:rsid w:val="00792379"/>
    <w:rsid w:val="00792955"/>
    <w:rsid w:val="00792DBC"/>
    <w:rsid w:val="00792F39"/>
    <w:rsid w:val="00793134"/>
    <w:rsid w:val="007933E4"/>
    <w:rsid w:val="0079350E"/>
    <w:rsid w:val="00793C01"/>
    <w:rsid w:val="00793C38"/>
    <w:rsid w:val="00793E80"/>
    <w:rsid w:val="00794860"/>
    <w:rsid w:val="00794C62"/>
    <w:rsid w:val="00794EC6"/>
    <w:rsid w:val="00794F0F"/>
    <w:rsid w:val="00795212"/>
    <w:rsid w:val="00795285"/>
    <w:rsid w:val="00795309"/>
    <w:rsid w:val="007955E0"/>
    <w:rsid w:val="0079574B"/>
    <w:rsid w:val="007957C4"/>
    <w:rsid w:val="00795C43"/>
    <w:rsid w:val="00795DEB"/>
    <w:rsid w:val="0079634F"/>
    <w:rsid w:val="0079665B"/>
    <w:rsid w:val="0079673B"/>
    <w:rsid w:val="007968CB"/>
    <w:rsid w:val="0079699F"/>
    <w:rsid w:val="00796DBE"/>
    <w:rsid w:val="00796FEE"/>
    <w:rsid w:val="00797063"/>
    <w:rsid w:val="0079708C"/>
    <w:rsid w:val="007970D4"/>
    <w:rsid w:val="007979C9"/>
    <w:rsid w:val="00797A2D"/>
    <w:rsid w:val="00797B09"/>
    <w:rsid w:val="007A0051"/>
    <w:rsid w:val="007A065C"/>
    <w:rsid w:val="007A0792"/>
    <w:rsid w:val="007A08DD"/>
    <w:rsid w:val="007A09B9"/>
    <w:rsid w:val="007A0A30"/>
    <w:rsid w:val="007A0AA7"/>
    <w:rsid w:val="007A0AB2"/>
    <w:rsid w:val="007A0B35"/>
    <w:rsid w:val="007A0BDD"/>
    <w:rsid w:val="007A1019"/>
    <w:rsid w:val="007A1210"/>
    <w:rsid w:val="007A1266"/>
    <w:rsid w:val="007A132C"/>
    <w:rsid w:val="007A139A"/>
    <w:rsid w:val="007A14F4"/>
    <w:rsid w:val="007A1CFF"/>
    <w:rsid w:val="007A1D50"/>
    <w:rsid w:val="007A1EE9"/>
    <w:rsid w:val="007A241B"/>
    <w:rsid w:val="007A2690"/>
    <w:rsid w:val="007A2710"/>
    <w:rsid w:val="007A316D"/>
    <w:rsid w:val="007A358D"/>
    <w:rsid w:val="007A3707"/>
    <w:rsid w:val="007A3A90"/>
    <w:rsid w:val="007A3BFF"/>
    <w:rsid w:val="007A3C06"/>
    <w:rsid w:val="007A3E0E"/>
    <w:rsid w:val="007A41F7"/>
    <w:rsid w:val="007A43B1"/>
    <w:rsid w:val="007A43C0"/>
    <w:rsid w:val="007A4717"/>
    <w:rsid w:val="007A4718"/>
    <w:rsid w:val="007A476F"/>
    <w:rsid w:val="007A4904"/>
    <w:rsid w:val="007A4AE5"/>
    <w:rsid w:val="007A4BF9"/>
    <w:rsid w:val="007A4C61"/>
    <w:rsid w:val="007A4DFB"/>
    <w:rsid w:val="007A4ED0"/>
    <w:rsid w:val="007A5029"/>
    <w:rsid w:val="007A5262"/>
    <w:rsid w:val="007A562D"/>
    <w:rsid w:val="007A56E8"/>
    <w:rsid w:val="007A58D0"/>
    <w:rsid w:val="007A599E"/>
    <w:rsid w:val="007A5EAB"/>
    <w:rsid w:val="007A61BC"/>
    <w:rsid w:val="007A629B"/>
    <w:rsid w:val="007A6440"/>
    <w:rsid w:val="007A6447"/>
    <w:rsid w:val="007A6ADC"/>
    <w:rsid w:val="007A6CD4"/>
    <w:rsid w:val="007A6E2A"/>
    <w:rsid w:val="007A6EDD"/>
    <w:rsid w:val="007A7340"/>
    <w:rsid w:val="007A770E"/>
    <w:rsid w:val="007A7774"/>
    <w:rsid w:val="007A7ABD"/>
    <w:rsid w:val="007A7DF4"/>
    <w:rsid w:val="007A7FE1"/>
    <w:rsid w:val="007B0227"/>
    <w:rsid w:val="007B0783"/>
    <w:rsid w:val="007B0EBA"/>
    <w:rsid w:val="007B11DE"/>
    <w:rsid w:val="007B1364"/>
    <w:rsid w:val="007B197F"/>
    <w:rsid w:val="007B1A49"/>
    <w:rsid w:val="007B1A54"/>
    <w:rsid w:val="007B1BB6"/>
    <w:rsid w:val="007B1E73"/>
    <w:rsid w:val="007B2255"/>
    <w:rsid w:val="007B2A1A"/>
    <w:rsid w:val="007B2A2A"/>
    <w:rsid w:val="007B2B55"/>
    <w:rsid w:val="007B2E49"/>
    <w:rsid w:val="007B320D"/>
    <w:rsid w:val="007B32A0"/>
    <w:rsid w:val="007B3374"/>
    <w:rsid w:val="007B385F"/>
    <w:rsid w:val="007B3F26"/>
    <w:rsid w:val="007B401D"/>
    <w:rsid w:val="007B4364"/>
    <w:rsid w:val="007B46A4"/>
    <w:rsid w:val="007B4913"/>
    <w:rsid w:val="007B4CFF"/>
    <w:rsid w:val="007B4D90"/>
    <w:rsid w:val="007B4DA3"/>
    <w:rsid w:val="007B501E"/>
    <w:rsid w:val="007B5179"/>
    <w:rsid w:val="007B56D5"/>
    <w:rsid w:val="007B5E0B"/>
    <w:rsid w:val="007B5FE1"/>
    <w:rsid w:val="007B60E9"/>
    <w:rsid w:val="007B6405"/>
    <w:rsid w:val="007B67B0"/>
    <w:rsid w:val="007B6948"/>
    <w:rsid w:val="007B6B40"/>
    <w:rsid w:val="007B6C8F"/>
    <w:rsid w:val="007B7234"/>
    <w:rsid w:val="007B7294"/>
    <w:rsid w:val="007B79C3"/>
    <w:rsid w:val="007B7F4E"/>
    <w:rsid w:val="007B7FEF"/>
    <w:rsid w:val="007C00FD"/>
    <w:rsid w:val="007C0526"/>
    <w:rsid w:val="007C072D"/>
    <w:rsid w:val="007C0C77"/>
    <w:rsid w:val="007C0CA9"/>
    <w:rsid w:val="007C0D01"/>
    <w:rsid w:val="007C0D26"/>
    <w:rsid w:val="007C11BB"/>
    <w:rsid w:val="007C1281"/>
    <w:rsid w:val="007C1838"/>
    <w:rsid w:val="007C18F7"/>
    <w:rsid w:val="007C19E1"/>
    <w:rsid w:val="007C1A2B"/>
    <w:rsid w:val="007C1BA4"/>
    <w:rsid w:val="007C1D3D"/>
    <w:rsid w:val="007C1D7C"/>
    <w:rsid w:val="007C1F90"/>
    <w:rsid w:val="007C2008"/>
    <w:rsid w:val="007C205A"/>
    <w:rsid w:val="007C2219"/>
    <w:rsid w:val="007C24C0"/>
    <w:rsid w:val="007C2503"/>
    <w:rsid w:val="007C250E"/>
    <w:rsid w:val="007C2A03"/>
    <w:rsid w:val="007C2AAB"/>
    <w:rsid w:val="007C2AD9"/>
    <w:rsid w:val="007C2DC1"/>
    <w:rsid w:val="007C301D"/>
    <w:rsid w:val="007C308D"/>
    <w:rsid w:val="007C30DF"/>
    <w:rsid w:val="007C32A8"/>
    <w:rsid w:val="007C3561"/>
    <w:rsid w:val="007C3FF6"/>
    <w:rsid w:val="007C4001"/>
    <w:rsid w:val="007C402F"/>
    <w:rsid w:val="007C4460"/>
    <w:rsid w:val="007C448A"/>
    <w:rsid w:val="007C450B"/>
    <w:rsid w:val="007C4531"/>
    <w:rsid w:val="007C4A20"/>
    <w:rsid w:val="007C4E48"/>
    <w:rsid w:val="007C4F72"/>
    <w:rsid w:val="007C55A7"/>
    <w:rsid w:val="007C5B1A"/>
    <w:rsid w:val="007C5BB8"/>
    <w:rsid w:val="007C5D07"/>
    <w:rsid w:val="007C5D1C"/>
    <w:rsid w:val="007C61C8"/>
    <w:rsid w:val="007C63F0"/>
    <w:rsid w:val="007C67FD"/>
    <w:rsid w:val="007C6962"/>
    <w:rsid w:val="007C7119"/>
    <w:rsid w:val="007C72B7"/>
    <w:rsid w:val="007C7353"/>
    <w:rsid w:val="007C7771"/>
    <w:rsid w:val="007C7967"/>
    <w:rsid w:val="007C7DED"/>
    <w:rsid w:val="007C7F2C"/>
    <w:rsid w:val="007D047A"/>
    <w:rsid w:val="007D047D"/>
    <w:rsid w:val="007D04C0"/>
    <w:rsid w:val="007D0971"/>
    <w:rsid w:val="007D09CC"/>
    <w:rsid w:val="007D1066"/>
    <w:rsid w:val="007D11C0"/>
    <w:rsid w:val="007D164A"/>
    <w:rsid w:val="007D173E"/>
    <w:rsid w:val="007D174E"/>
    <w:rsid w:val="007D1808"/>
    <w:rsid w:val="007D1AA9"/>
    <w:rsid w:val="007D1AEC"/>
    <w:rsid w:val="007D1B3D"/>
    <w:rsid w:val="007D2282"/>
    <w:rsid w:val="007D25DC"/>
    <w:rsid w:val="007D2716"/>
    <w:rsid w:val="007D27B3"/>
    <w:rsid w:val="007D2D79"/>
    <w:rsid w:val="007D33A3"/>
    <w:rsid w:val="007D3AAB"/>
    <w:rsid w:val="007D3BC1"/>
    <w:rsid w:val="007D3C26"/>
    <w:rsid w:val="007D3C4C"/>
    <w:rsid w:val="007D3D63"/>
    <w:rsid w:val="007D3DE6"/>
    <w:rsid w:val="007D405A"/>
    <w:rsid w:val="007D44F2"/>
    <w:rsid w:val="007D4847"/>
    <w:rsid w:val="007D5291"/>
    <w:rsid w:val="007D5596"/>
    <w:rsid w:val="007D560A"/>
    <w:rsid w:val="007D5631"/>
    <w:rsid w:val="007D5662"/>
    <w:rsid w:val="007D59F0"/>
    <w:rsid w:val="007D5BDD"/>
    <w:rsid w:val="007D624E"/>
    <w:rsid w:val="007D64EB"/>
    <w:rsid w:val="007D6559"/>
    <w:rsid w:val="007D65E5"/>
    <w:rsid w:val="007D6992"/>
    <w:rsid w:val="007D6E06"/>
    <w:rsid w:val="007D6FB1"/>
    <w:rsid w:val="007D70A6"/>
    <w:rsid w:val="007D70B3"/>
    <w:rsid w:val="007D749D"/>
    <w:rsid w:val="007D7511"/>
    <w:rsid w:val="007D770B"/>
    <w:rsid w:val="007D7915"/>
    <w:rsid w:val="007D7D72"/>
    <w:rsid w:val="007D7EFE"/>
    <w:rsid w:val="007E015F"/>
    <w:rsid w:val="007E01F1"/>
    <w:rsid w:val="007E0383"/>
    <w:rsid w:val="007E0483"/>
    <w:rsid w:val="007E05B6"/>
    <w:rsid w:val="007E0AEE"/>
    <w:rsid w:val="007E0E22"/>
    <w:rsid w:val="007E0E8F"/>
    <w:rsid w:val="007E0E96"/>
    <w:rsid w:val="007E10E4"/>
    <w:rsid w:val="007E110C"/>
    <w:rsid w:val="007E14A3"/>
    <w:rsid w:val="007E1542"/>
    <w:rsid w:val="007E1755"/>
    <w:rsid w:val="007E187F"/>
    <w:rsid w:val="007E2464"/>
    <w:rsid w:val="007E2923"/>
    <w:rsid w:val="007E2AA6"/>
    <w:rsid w:val="007E2B6A"/>
    <w:rsid w:val="007E2DBC"/>
    <w:rsid w:val="007E3737"/>
    <w:rsid w:val="007E385A"/>
    <w:rsid w:val="007E38CE"/>
    <w:rsid w:val="007E3912"/>
    <w:rsid w:val="007E3E14"/>
    <w:rsid w:val="007E3F1B"/>
    <w:rsid w:val="007E4141"/>
    <w:rsid w:val="007E4144"/>
    <w:rsid w:val="007E4AA3"/>
    <w:rsid w:val="007E4CF2"/>
    <w:rsid w:val="007E4D00"/>
    <w:rsid w:val="007E4F49"/>
    <w:rsid w:val="007E4F6C"/>
    <w:rsid w:val="007E5318"/>
    <w:rsid w:val="007E596E"/>
    <w:rsid w:val="007E59A9"/>
    <w:rsid w:val="007E5D0E"/>
    <w:rsid w:val="007E604A"/>
    <w:rsid w:val="007E630D"/>
    <w:rsid w:val="007E6566"/>
    <w:rsid w:val="007E697B"/>
    <w:rsid w:val="007E69F1"/>
    <w:rsid w:val="007E6AEC"/>
    <w:rsid w:val="007E735B"/>
    <w:rsid w:val="007E73BF"/>
    <w:rsid w:val="007E747B"/>
    <w:rsid w:val="007E753E"/>
    <w:rsid w:val="007E761D"/>
    <w:rsid w:val="007E7A84"/>
    <w:rsid w:val="007E7BD9"/>
    <w:rsid w:val="007E7D74"/>
    <w:rsid w:val="007E7EDE"/>
    <w:rsid w:val="007F038E"/>
    <w:rsid w:val="007F0AC3"/>
    <w:rsid w:val="007F0B16"/>
    <w:rsid w:val="007F0C98"/>
    <w:rsid w:val="007F104C"/>
    <w:rsid w:val="007F1103"/>
    <w:rsid w:val="007F11F7"/>
    <w:rsid w:val="007F1432"/>
    <w:rsid w:val="007F169B"/>
    <w:rsid w:val="007F17E7"/>
    <w:rsid w:val="007F1833"/>
    <w:rsid w:val="007F18C6"/>
    <w:rsid w:val="007F18CD"/>
    <w:rsid w:val="007F1FA8"/>
    <w:rsid w:val="007F2010"/>
    <w:rsid w:val="007F2299"/>
    <w:rsid w:val="007F236E"/>
    <w:rsid w:val="007F237D"/>
    <w:rsid w:val="007F251D"/>
    <w:rsid w:val="007F25DD"/>
    <w:rsid w:val="007F2680"/>
    <w:rsid w:val="007F2AB1"/>
    <w:rsid w:val="007F2BDC"/>
    <w:rsid w:val="007F2D57"/>
    <w:rsid w:val="007F2E63"/>
    <w:rsid w:val="007F3081"/>
    <w:rsid w:val="007F345D"/>
    <w:rsid w:val="007F363A"/>
    <w:rsid w:val="007F36B4"/>
    <w:rsid w:val="007F396F"/>
    <w:rsid w:val="007F448B"/>
    <w:rsid w:val="007F482F"/>
    <w:rsid w:val="007F4868"/>
    <w:rsid w:val="007F4949"/>
    <w:rsid w:val="007F49EA"/>
    <w:rsid w:val="007F4A23"/>
    <w:rsid w:val="007F4EE2"/>
    <w:rsid w:val="007F507E"/>
    <w:rsid w:val="007F541B"/>
    <w:rsid w:val="007F5681"/>
    <w:rsid w:val="007F580C"/>
    <w:rsid w:val="007F5D40"/>
    <w:rsid w:val="007F5E7E"/>
    <w:rsid w:val="007F5E9C"/>
    <w:rsid w:val="007F60A3"/>
    <w:rsid w:val="007F6544"/>
    <w:rsid w:val="007F6556"/>
    <w:rsid w:val="007F66AD"/>
    <w:rsid w:val="007F682A"/>
    <w:rsid w:val="007F6EB9"/>
    <w:rsid w:val="007F748D"/>
    <w:rsid w:val="007F7821"/>
    <w:rsid w:val="007F7BAA"/>
    <w:rsid w:val="007F7ECC"/>
    <w:rsid w:val="007F7F36"/>
    <w:rsid w:val="008007A9"/>
    <w:rsid w:val="00800835"/>
    <w:rsid w:val="0080097A"/>
    <w:rsid w:val="00800B0F"/>
    <w:rsid w:val="00800BFF"/>
    <w:rsid w:val="00800C95"/>
    <w:rsid w:val="00800E4E"/>
    <w:rsid w:val="00800E4F"/>
    <w:rsid w:val="00800F8D"/>
    <w:rsid w:val="00800FD9"/>
    <w:rsid w:val="008011B6"/>
    <w:rsid w:val="008012E8"/>
    <w:rsid w:val="00801A4F"/>
    <w:rsid w:val="00801CA6"/>
    <w:rsid w:val="00802397"/>
    <w:rsid w:val="00802502"/>
    <w:rsid w:val="008025A8"/>
    <w:rsid w:val="00802752"/>
    <w:rsid w:val="00802A4E"/>
    <w:rsid w:val="00802B31"/>
    <w:rsid w:val="00802C69"/>
    <w:rsid w:val="008031CC"/>
    <w:rsid w:val="00803322"/>
    <w:rsid w:val="00803844"/>
    <w:rsid w:val="00803BE3"/>
    <w:rsid w:val="00803CBE"/>
    <w:rsid w:val="00803E61"/>
    <w:rsid w:val="008040F2"/>
    <w:rsid w:val="00804366"/>
    <w:rsid w:val="00804532"/>
    <w:rsid w:val="008048F5"/>
    <w:rsid w:val="00804A3C"/>
    <w:rsid w:val="00804F69"/>
    <w:rsid w:val="0080518F"/>
    <w:rsid w:val="008054D4"/>
    <w:rsid w:val="008059E4"/>
    <w:rsid w:val="00805DD4"/>
    <w:rsid w:val="00805F79"/>
    <w:rsid w:val="00806D40"/>
    <w:rsid w:val="008072B1"/>
    <w:rsid w:val="008079C5"/>
    <w:rsid w:val="00807D58"/>
    <w:rsid w:val="00810625"/>
    <w:rsid w:val="00810B44"/>
    <w:rsid w:val="00810B90"/>
    <w:rsid w:val="00810F4C"/>
    <w:rsid w:val="00811255"/>
    <w:rsid w:val="00811893"/>
    <w:rsid w:val="00811907"/>
    <w:rsid w:val="00811980"/>
    <w:rsid w:val="00811CEF"/>
    <w:rsid w:val="00811DE8"/>
    <w:rsid w:val="0081223D"/>
    <w:rsid w:val="00812997"/>
    <w:rsid w:val="00812BFA"/>
    <w:rsid w:val="00813488"/>
    <w:rsid w:val="00813738"/>
    <w:rsid w:val="00813BD6"/>
    <w:rsid w:val="00813DAC"/>
    <w:rsid w:val="00814039"/>
    <w:rsid w:val="0081412E"/>
    <w:rsid w:val="008141FE"/>
    <w:rsid w:val="008146B2"/>
    <w:rsid w:val="00814956"/>
    <w:rsid w:val="0081495C"/>
    <w:rsid w:val="00814B2F"/>
    <w:rsid w:val="00814E72"/>
    <w:rsid w:val="0081503E"/>
    <w:rsid w:val="008158C0"/>
    <w:rsid w:val="0081595C"/>
    <w:rsid w:val="00815D73"/>
    <w:rsid w:val="00815E55"/>
    <w:rsid w:val="00815FFA"/>
    <w:rsid w:val="00816344"/>
    <w:rsid w:val="008164CB"/>
    <w:rsid w:val="0081676C"/>
    <w:rsid w:val="0081677F"/>
    <w:rsid w:val="00816B1C"/>
    <w:rsid w:val="00816C81"/>
    <w:rsid w:val="008176BA"/>
    <w:rsid w:val="00817741"/>
    <w:rsid w:val="00817767"/>
    <w:rsid w:val="0081781E"/>
    <w:rsid w:val="00817A8E"/>
    <w:rsid w:val="00817B51"/>
    <w:rsid w:val="00817F64"/>
    <w:rsid w:val="008200FA"/>
    <w:rsid w:val="008203A1"/>
    <w:rsid w:val="008203BE"/>
    <w:rsid w:val="008204E2"/>
    <w:rsid w:val="0082092B"/>
    <w:rsid w:val="00820938"/>
    <w:rsid w:val="00820B36"/>
    <w:rsid w:val="00820C56"/>
    <w:rsid w:val="00820CF4"/>
    <w:rsid w:val="00820CFA"/>
    <w:rsid w:val="00820DF7"/>
    <w:rsid w:val="00821276"/>
    <w:rsid w:val="00821377"/>
    <w:rsid w:val="00821728"/>
    <w:rsid w:val="00821AAA"/>
    <w:rsid w:val="00821C5D"/>
    <w:rsid w:val="00821C9A"/>
    <w:rsid w:val="0082204C"/>
    <w:rsid w:val="00822410"/>
    <w:rsid w:val="00822428"/>
    <w:rsid w:val="0082276E"/>
    <w:rsid w:val="0082282D"/>
    <w:rsid w:val="00822AC7"/>
    <w:rsid w:val="00822AD1"/>
    <w:rsid w:val="00823000"/>
    <w:rsid w:val="008232E5"/>
    <w:rsid w:val="008233B8"/>
    <w:rsid w:val="008233F8"/>
    <w:rsid w:val="008234DF"/>
    <w:rsid w:val="00823C37"/>
    <w:rsid w:val="00823FCE"/>
    <w:rsid w:val="008242CB"/>
    <w:rsid w:val="00824ABA"/>
    <w:rsid w:val="00824E15"/>
    <w:rsid w:val="00824F85"/>
    <w:rsid w:val="008252A1"/>
    <w:rsid w:val="008253D4"/>
    <w:rsid w:val="00825ECB"/>
    <w:rsid w:val="00825EE4"/>
    <w:rsid w:val="00826625"/>
    <w:rsid w:val="00826699"/>
    <w:rsid w:val="00826805"/>
    <w:rsid w:val="0082700C"/>
    <w:rsid w:val="008272E1"/>
    <w:rsid w:val="008273BF"/>
    <w:rsid w:val="00827C04"/>
    <w:rsid w:val="0083078D"/>
    <w:rsid w:val="00830965"/>
    <w:rsid w:val="00830C06"/>
    <w:rsid w:val="00830E5F"/>
    <w:rsid w:val="00830FAA"/>
    <w:rsid w:val="00830FBE"/>
    <w:rsid w:val="00831729"/>
    <w:rsid w:val="0083177C"/>
    <w:rsid w:val="008318D7"/>
    <w:rsid w:val="00831B92"/>
    <w:rsid w:val="008321B6"/>
    <w:rsid w:val="00832422"/>
    <w:rsid w:val="008329E4"/>
    <w:rsid w:val="00832E8C"/>
    <w:rsid w:val="0083307C"/>
    <w:rsid w:val="00833107"/>
    <w:rsid w:val="0083311C"/>
    <w:rsid w:val="00833529"/>
    <w:rsid w:val="008336EF"/>
    <w:rsid w:val="0083390E"/>
    <w:rsid w:val="00833BDC"/>
    <w:rsid w:val="00833D4F"/>
    <w:rsid w:val="00834B43"/>
    <w:rsid w:val="00834B6B"/>
    <w:rsid w:val="00834D99"/>
    <w:rsid w:val="00834FE0"/>
    <w:rsid w:val="0083540E"/>
    <w:rsid w:val="00835652"/>
    <w:rsid w:val="0083584E"/>
    <w:rsid w:val="00835892"/>
    <w:rsid w:val="008362B6"/>
    <w:rsid w:val="00836631"/>
    <w:rsid w:val="008366D2"/>
    <w:rsid w:val="008366F6"/>
    <w:rsid w:val="00836741"/>
    <w:rsid w:val="008368CA"/>
    <w:rsid w:val="00836A10"/>
    <w:rsid w:val="008377B1"/>
    <w:rsid w:val="00837891"/>
    <w:rsid w:val="00837FAC"/>
    <w:rsid w:val="008406D3"/>
    <w:rsid w:val="008407E3"/>
    <w:rsid w:val="008407F3"/>
    <w:rsid w:val="008409DE"/>
    <w:rsid w:val="00840D39"/>
    <w:rsid w:val="00840DAA"/>
    <w:rsid w:val="00840DC7"/>
    <w:rsid w:val="008412C0"/>
    <w:rsid w:val="008412F7"/>
    <w:rsid w:val="00841304"/>
    <w:rsid w:val="00841645"/>
    <w:rsid w:val="0084191E"/>
    <w:rsid w:val="00841962"/>
    <w:rsid w:val="00841BC1"/>
    <w:rsid w:val="00841F6C"/>
    <w:rsid w:val="0084201E"/>
    <w:rsid w:val="0084208C"/>
    <w:rsid w:val="008420CB"/>
    <w:rsid w:val="00842508"/>
    <w:rsid w:val="008425AF"/>
    <w:rsid w:val="008425CB"/>
    <w:rsid w:val="0084280A"/>
    <w:rsid w:val="0084289B"/>
    <w:rsid w:val="00842AE4"/>
    <w:rsid w:val="00842BFE"/>
    <w:rsid w:val="0084324D"/>
    <w:rsid w:val="008435F6"/>
    <w:rsid w:val="0084364B"/>
    <w:rsid w:val="008436AE"/>
    <w:rsid w:val="008437C9"/>
    <w:rsid w:val="00843B15"/>
    <w:rsid w:val="00843DBC"/>
    <w:rsid w:val="008440A4"/>
    <w:rsid w:val="0084410B"/>
    <w:rsid w:val="0084420C"/>
    <w:rsid w:val="0084424B"/>
    <w:rsid w:val="0084442E"/>
    <w:rsid w:val="00844A00"/>
    <w:rsid w:val="00844D60"/>
    <w:rsid w:val="00844E9E"/>
    <w:rsid w:val="00844F1E"/>
    <w:rsid w:val="00844F83"/>
    <w:rsid w:val="0084513B"/>
    <w:rsid w:val="0084516E"/>
    <w:rsid w:val="00845216"/>
    <w:rsid w:val="008452CC"/>
    <w:rsid w:val="008453BF"/>
    <w:rsid w:val="008456DE"/>
    <w:rsid w:val="00845ABE"/>
    <w:rsid w:val="00845BBE"/>
    <w:rsid w:val="00845C2A"/>
    <w:rsid w:val="00845E59"/>
    <w:rsid w:val="00846026"/>
    <w:rsid w:val="0084607D"/>
    <w:rsid w:val="008460EB"/>
    <w:rsid w:val="0084680C"/>
    <w:rsid w:val="008469FA"/>
    <w:rsid w:val="00846AF4"/>
    <w:rsid w:val="00846E40"/>
    <w:rsid w:val="00847029"/>
    <w:rsid w:val="008472AF"/>
    <w:rsid w:val="00847686"/>
    <w:rsid w:val="008476A5"/>
    <w:rsid w:val="008476F5"/>
    <w:rsid w:val="00847893"/>
    <w:rsid w:val="00847B57"/>
    <w:rsid w:val="00847BE9"/>
    <w:rsid w:val="00847C73"/>
    <w:rsid w:val="00847D8B"/>
    <w:rsid w:val="00847E08"/>
    <w:rsid w:val="00847E29"/>
    <w:rsid w:val="00850318"/>
    <w:rsid w:val="00850376"/>
    <w:rsid w:val="008503A6"/>
    <w:rsid w:val="008505F3"/>
    <w:rsid w:val="00850ABE"/>
    <w:rsid w:val="00850C49"/>
    <w:rsid w:val="00850CC8"/>
    <w:rsid w:val="00851150"/>
    <w:rsid w:val="008511BB"/>
    <w:rsid w:val="00851671"/>
    <w:rsid w:val="0085199E"/>
    <w:rsid w:val="00851D7E"/>
    <w:rsid w:val="00851F09"/>
    <w:rsid w:val="008520F6"/>
    <w:rsid w:val="00852308"/>
    <w:rsid w:val="008524E1"/>
    <w:rsid w:val="008525B4"/>
    <w:rsid w:val="008526B2"/>
    <w:rsid w:val="008526F8"/>
    <w:rsid w:val="008526F9"/>
    <w:rsid w:val="008527D6"/>
    <w:rsid w:val="00852BE3"/>
    <w:rsid w:val="00852FBA"/>
    <w:rsid w:val="00852FE2"/>
    <w:rsid w:val="00853026"/>
    <w:rsid w:val="0085315D"/>
    <w:rsid w:val="008535FC"/>
    <w:rsid w:val="008536AC"/>
    <w:rsid w:val="008536DB"/>
    <w:rsid w:val="0085393C"/>
    <w:rsid w:val="00853B63"/>
    <w:rsid w:val="00853CD9"/>
    <w:rsid w:val="00853F46"/>
    <w:rsid w:val="00853FF0"/>
    <w:rsid w:val="00854076"/>
    <w:rsid w:val="00854165"/>
    <w:rsid w:val="00854A1E"/>
    <w:rsid w:val="00854B7C"/>
    <w:rsid w:val="00854F16"/>
    <w:rsid w:val="00854F2E"/>
    <w:rsid w:val="0085505E"/>
    <w:rsid w:val="00855AB3"/>
    <w:rsid w:val="008566B3"/>
    <w:rsid w:val="0085680F"/>
    <w:rsid w:val="008568C4"/>
    <w:rsid w:val="008569F3"/>
    <w:rsid w:val="00857040"/>
    <w:rsid w:val="00857292"/>
    <w:rsid w:val="00857B32"/>
    <w:rsid w:val="00857B39"/>
    <w:rsid w:val="00857CF8"/>
    <w:rsid w:val="00857D2B"/>
    <w:rsid w:val="00857E72"/>
    <w:rsid w:val="00860043"/>
    <w:rsid w:val="008602D1"/>
    <w:rsid w:val="00860425"/>
    <w:rsid w:val="008607AE"/>
    <w:rsid w:val="00860B25"/>
    <w:rsid w:val="00860D15"/>
    <w:rsid w:val="0086127B"/>
    <w:rsid w:val="00861492"/>
    <w:rsid w:val="008614D8"/>
    <w:rsid w:val="0086179A"/>
    <w:rsid w:val="00861A12"/>
    <w:rsid w:val="00861B9C"/>
    <w:rsid w:val="00861BD1"/>
    <w:rsid w:val="00861CF0"/>
    <w:rsid w:val="00861E17"/>
    <w:rsid w:val="00861FCC"/>
    <w:rsid w:val="00862046"/>
    <w:rsid w:val="00862427"/>
    <w:rsid w:val="00862860"/>
    <w:rsid w:val="00862B07"/>
    <w:rsid w:val="00862B19"/>
    <w:rsid w:val="00862F60"/>
    <w:rsid w:val="00862FDD"/>
    <w:rsid w:val="00863088"/>
    <w:rsid w:val="008631E7"/>
    <w:rsid w:val="00863351"/>
    <w:rsid w:val="008636E3"/>
    <w:rsid w:val="00863839"/>
    <w:rsid w:val="008639D4"/>
    <w:rsid w:val="00863BE8"/>
    <w:rsid w:val="00863C6C"/>
    <w:rsid w:val="00863D28"/>
    <w:rsid w:val="00863D98"/>
    <w:rsid w:val="00863DE7"/>
    <w:rsid w:val="00863F65"/>
    <w:rsid w:val="008643A0"/>
    <w:rsid w:val="008643C8"/>
    <w:rsid w:val="008645D8"/>
    <w:rsid w:val="008647DB"/>
    <w:rsid w:val="0086491E"/>
    <w:rsid w:val="00864A27"/>
    <w:rsid w:val="00864E2E"/>
    <w:rsid w:val="00865028"/>
    <w:rsid w:val="008654C1"/>
    <w:rsid w:val="00865886"/>
    <w:rsid w:val="00865CEE"/>
    <w:rsid w:val="00865EE0"/>
    <w:rsid w:val="00865F47"/>
    <w:rsid w:val="00865F5C"/>
    <w:rsid w:val="008660E1"/>
    <w:rsid w:val="008661A8"/>
    <w:rsid w:val="0086635C"/>
    <w:rsid w:val="008666A2"/>
    <w:rsid w:val="0086675D"/>
    <w:rsid w:val="00866C14"/>
    <w:rsid w:val="00866F2F"/>
    <w:rsid w:val="0086718B"/>
    <w:rsid w:val="008671B6"/>
    <w:rsid w:val="00867686"/>
    <w:rsid w:val="0086787B"/>
    <w:rsid w:val="00870313"/>
    <w:rsid w:val="008703FF"/>
    <w:rsid w:val="00870942"/>
    <w:rsid w:val="0087097E"/>
    <w:rsid w:val="00870E8A"/>
    <w:rsid w:val="00871095"/>
    <w:rsid w:val="008712A6"/>
    <w:rsid w:val="00871332"/>
    <w:rsid w:val="0087168F"/>
    <w:rsid w:val="008718BD"/>
    <w:rsid w:val="00871C10"/>
    <w:rsid w:val="00871EF5"/>
    <w:rsid w:val="00871F37"/>
    <w:rsid w:val="00872482"/>
    <w:rsid w:val="0087255D"/>
    <w:rsid w:val="0087290A"/>
    <w:rsid w:val="00872B86"/>
    <w:rsid w:val="00872D04"/>
    <w:rsid w:val="00872E70"/>
    <w:rsid w:val="00872F7F"/>
    <w:rsid w:val="008731FE"/>
    <w:rsid w:val="00873371"/>
    <w:rsid w:val="00873AB4"/>
    <w:rsid w:val="00874162"/>
    <w:rsid w:val="008741CC"/>
    <w:rsid w:val="008743CC"/>
    <w:rsid w:val="008746ED"/>
    <w:rsid w:val="008749E6"/>
    <w:rsid w:val="00874EC0"/>
    <w:rsid w:val="008750A5"/>
    <w:rsid w:val="008750E6"/>
    <w:rsid w:val="00875131"/>
    <w:rsid w:val="008754C0"/>
    <w:rsid w:val="0087561B"/>
    <w:rsid w:val="0087564B"/>
    <w:rsid w:val="008756C6"/>
    <w:rsid w:val="008759EA"/>
    <w:rsid w:val="008759ED"/>
    <w:rsid w:val="00875AFA"/>
    <w:rsid w:val="00875B00"/>
    <w:rsid w:val="00875C15"/>
    <w:rsid w:val="00875CE3"/>
    <w:rsid w:val="00875D74"/>
    <w:rsid w:val="00875FE3"/>
    <w:rsid w:val="0087604F"/>
    <w:rsid w:val="00876242"/>
    <w:rsid w:val="00876732"/>
    <w:rsid w:val="00876D93"/>
    <w:rsid w:val="00877209"/>
    <w:rsid w:val="008776E2"/>
    <w:rsid w:val="00877804"/>
    <w:rsid w:val="00877B7E"/>
    <w:rsid w:val="008800F5"/>
    <w:rsid w:val="008808B6"/>
    <w:rsid w:val="008809DF"/>
    <w:rsid w:val="00880F6E"/>
    <w:rsid w:val="0088117D"/>
    <w:rsid w:val="008811D1"/>
    <w:rsid w:val="008812AB"/>
    <w:rsid w:val="0088162E"/>
    <w:rsid w:val="00881660"/>
    <w:rsid w:val="00881868"/>
    <w:rsid w:val="00881D54"/>
    <w:rsid w:val="00881D65"/>
    <w:rsid w:val="00881FEC"/>
    <w:rsid w:val="008829FE"/>
    <w:rsid w:val="00882D19"/>
    <w:rsid w:val="00882EDB"/>
    <w:rsid w:val="00882FBC"/>
    <w:rsid w:val="008831CC"/>
    <w:rsid w:val="008831F9"/>
    <w:rsid w:val="0088337A"/>
    <w:rsid w:val="00883C82"/>
    <w:rsid w:val="00883D0C"/>
    <w:rsid w:val="00883E02"/>
    <w:rsid w:val="008840D7"/>
    <w:rsid w:val="00884487"/>
    <w:rsid w:val="00884532"/>
    <w:rsid w:val="008845C2"/>
    <w:rsid w:val="0088469B"/>
    <w:rsid w:val="0088473C"/>
    <w:rsid w:val="0088485D"/>
    <w:rsid w:val="00884F14"/>
    <w:rsid w:val="008851DE"/>
    <w:rsid w:val="00885228"/>
    <w:rsid w:val="0088552D"/>
    <w:rsid w:val="008858CA"/>
    <w:rsid w:val="00885AF8"/>
    <w:rsid w:val="00885B8F"/>
    <w:rsid w:val="00885C33"/>
    <w:rsid w:val="00885F53"/>
    <w:rsid w:val="008861F2"/>
    <w:rsid w:val="00886306"/>
    <w:rsid w:val="008863A2"/>
    <w:rsid w:val="00886538"/>
    <w:rsid w:val="008869A5"/>
    <w:rsid w:val="0088709D"/>
    <w:rsid w:val="0088732A"/>
    <w:rsid w:val="00887495"/>
    <w:rsid w:val="0088795D"/>
    <w:rsid w:val="00887E66"/>
    <w:rsid w:val="00887EC4"/>
    <w:rsid w:val="0089025D"/>
    <w:rsid w:val="00890C19"/>
    <w:rsid w:val="00890CC5"/>
    <w:rsid w:val="00890CE5"/>
    <w:rsid w:val="00890D4B"/>
    <w:rsid w:val="00890E45"/>
    <w:rsid w:val="00891000"/>
    <w:rsid w:val="008910F0"/>
    <w:rsid w:val="00891647"/>
    <w:rsid w:val="00891B75"/>
    <w:rsid w:val="00891C52"/>
    <w:rsid w:val="00891CB8"/>
    <w:rsid w:val="00891DAE"/>
    <w:rsid w:val="00891DEE"/>
    <w:rsid w:val="0089201E"/>
    <w:rsid w:val="008922CA"/>
    <w:rsid w:val="008925E0"/>
    <w:rsid w:val="00892804"/>
    <w:rsid w:val="0089297F"/>
    <w:rsid w:val="00892A35"/>
    <w:rsid w:val="00892A74"/>
    <w:rsid w:val="00892A93"/>
    <w:rsid w:val="00892AE7"/>
    <w:rsid w:val="0089327E"/>
    <w:rsid w:val="00893350"/>
    <w:rsid w:val="008933CE"/>
    <w:rsid w:val="00893525"/>
    <w:rsid w:val="008936AC"/>
    <w:rsid w:val="0089396F"/>
    <w:rsid w:val="00893995"/>
    <w:rsid w:val="00893B05"/>
    <w:rsid w:val="00893D35"/>
    <w:rsid w:val="00893DEF"/>
    <w:rsid w:val="00893E6E"/>
    <w:rsid w:val="00894D4C"/>
    <w:rsid w:val="008951CD"/>
    <w:rsid w:val="008951DA"/>
    <w:rsid w:val="00895290"/>
    <w:rsid w:val="0089582A"/>
    <w:rsid w:val="0089588F"/>
    <w:rsid w:val="00895DA0"/>
    <w:rsid w:val="00895E16"/>
    <w:rsid w:val="00896043"/>
    <w:rsid w:val="008960B8"/>
    <w:rsid w:val="008960BD"/>
    <w:rsid w:val="008960FD"/>
    <w:rsid w:val="00896147"/>
    <w:rsid w:val="0089615D"/>
    <w:rsid w:val="0089629B"/>
    <w:rsid w:val="0089648B"/>
    <w:rsid w:val="00896718"/>
    <w:rsid w:val="00896DDA"/>
    <w:rsid w:val="00896F2E"/>
    <w:rsid w:val="008971D6"/>
    <w:rsid w:val="008972DF"/>
    <w:rsid w:val="00897D09"/>
    <w:rsid w:val="00897DC7"/>
    <w:rsid w:val="008A0154"/>
    <w:rsid w:val="008A03A9"/>
    <w:rsid w:val="008A091B"/>
    <w:rsid w:val="008A0949"/>
    <w:rsid w:val="008A0ADF"/>
    <w:rsid w:val="008A0C20"/>
    <w:rsid w:val="008A0D0A"/>
    <w:rsid w:val="008A0D62"/>
    <w:rsid w:val="008A0D7D"/>
    <w:rsid w:val="008A0ECC"/>
    <w:rsid w:val="008A0FD8"/>
    <w:rsid w:val="008A1499"/>
    <w:rsid w:val="008A16BF"/>
    <w:rsid w:val="008A1C77"/>
    <w:rsid w:val="008A1DCE"/>
    <w:rsid w:val="008A1E91"/>
    <w:rsid w:val="008A21DE"/>
    <w:rsid w:val="008A264F"/>
    <w:rsid w:val="008A2989"/>
    <w:rsid w:val="008A2C7C"/>
    <w:rsid w:val="008A2D39"/>
    <w:rsid w:val="008A30AC"/>
    <w:rsid w:val="008A328B"/>
    <w:rsid w:val="008A32BD"/>
    <w:rsid w:val="008A33A5"/>
    <w:rsid w:val="008A3579"/>
    <w:rsid w:val="008A35FB"/>
    <w:rsid w:val="008A3737"/>
    <w:rsid w:val="008A3A5B"/>
    <w:rsid w:val="008A3A5E"/>
    <w:rsid w:val="008A3ACC"/>
    <w:rsid w:val="008A3D7C"/>
    <w:rsid w:val="008A4161"/>
    <w:rsid w:val="008A4203"/>
    <w:rsid w:val="008A446C"/>
    <w:rsid w:val="008A4523"/>
    <w:rsid w:val="008A46A3"/>
    <w:rsid w:val="008A48B3"/>
    <w:rsid w:val="008A49FB"/>
    <w:rsid w:val="008A4A79"/>
    <w:rsid w:val="008A4A81"/>
    <w:rsid w:val="008A4C80"/>
    <w:rsid w:val="008A4D17"/>
    <w:rsid w:val="008A52C1"/>
    <w:rsid w:val="008A5441"/>
    <w:rsid w:val="008A5760"/>
    <w:rsid w:val="008A5AC6"/>
    <w:rsid w:val="008A601B"/>
    <w:rsid w:val="008A6213"/>
    <w:rsid w:val="008A67D9"/>
    <w:rsid w:val="008A692A"/>
    <w:rsid w:val="008A695D"/>
    <w:rsid w:val="008A69DA"/>
    <w:rsid w:val="008A6B81"/>
    <w:rsid w:val="008A6D56"/>
    <w:rsid w:val="008A735F"/>
    <w:rsid w:val="008A7439"/>
    <w:rsid w:val="008A7584"/>
    <w:rsid w:val="008A77B0"/>
    <w:rsid w:val="008A7A07"/>
    <w:rsid w:val="008A7C37"/>
    <w:rsid w:val="008B0021"/>
    <w:rsid w:val="008B0242"/>
    <w:rsid w:val="008B056E"/>
    <w:rsid w:val="008B05C4"/>
    <w:rsid w:val="008B07CC"/>
    <w:rsid w:val="008B0D2F"/>
    <w:rsid w:val="008B0D6D"/>
    <w:rsid w:val="008B0DD5"/>
    <w:rsid w:val="008B0DE5"/>
    <w:rsid w:val="008B12BF"/>
    <w:rsid w:val="008B14E3"/>
    <w:rsid w:val="008B1615"/>
    <w:rsid w:val="008B1683"/>
    <w:rsid w:val="008B169D"/>
    <w:rsid w:val="008B185E"/>
    <w:rsid w:val="008B1A1B"/>
    <w:rsid w:val="008B1DFB"/>
    <w:rsid w:val="008B1E1B"/>
    <w:rsid w:val="008B1EF8"/>
    <w:rsid w:val="008B2529"/>
    <w:rsid w:val="008B266E"/>
    <w:rsid w:val="008B26F0"/>
    <w:rsid w:val="008B27F9"/>
    <w:rsid w:val="008B2878"/>
    <w:rsid w:val="008B2B8E"/>
    <w:rsid w:val="008B2DB1"/>
    <w:rsid w:val="008B2F37"/>
    <w:rsid w:val="008B3686"/>
    <w:rsid w:val="008B3815"/>
    <w:rsid w:val="008B3FE5"/>
    <w:rsid w:val="008B40C6"/>
    <w:rsid w:val="008B41AC"/>
    <w:rsid w:val="008B43D9"/>
    <w:rsid w:val="008B4499"/>
    <w:rsid w:val="008B48BD"/>
    <w:rsid w:val="008B4ACE"/>
    <w:rsid w:val="008B4C47"/>
    <w:rsid w:val="008B4D0F"/>
    <w:rsid w:val="008B557C"/>
    <w:rsid w:val="008B5596"/>
    <w:rsid w:val="008B5619"/>
    <w:rsid w:val="008B56CD"/>
    <w:rsid w:val="008B5889"/>
    <w:rsid w:val="008B5AE7"/>
    <w:rsid w:val="008B5CA0"/>
    <w:rsid w:val="008B5E3A"/>
    <w:rsid w:val="008B62CB"/>
    <w:rsid w:val="008B6410"/>
    <w:rsid w:val="008B6AAD"/>
    <w:rsid w:val="008B6CDC"/>
    <w:rsid w:val="008B6EA9"/>
    <w:rsid w:val="008B6EB2"/>
    <w:rsid w:val="008B724C"/>
    <w:rsid w:val="008B7284"/>
    <w:rsid w:val="008B72B3"/>
    <w:rsid w:val="008B746F"/>
    <w:rsid w:val="008B74D3"/>
    <w:rsid w:val="008B74FF"/>
    <w:rsid w:val="008B787E"/>
    <w:rsid w:val="008B79D1"/>
    <w:rsid w:val="008C011F"/>
    <w:rsid w:val="008C0161"/>
    <w:rsid w:val="008C01E6"/>
    <w:rsid w:val="008C02C2"/>
    <w:rsid w:val="008C0435"/>
    <w:rsid w:val="008C05FD"/>
    <w:rsid w:val="008C0834"/>
    <w:rsid w:val="008C0C72"/>
    <w:rsid w:val="008C0D95"/>
    <w:rsid w:val="008C0E5E"/>
    <w:rsid w:val="008C1700"/>
    <w:rsid w:val="008C1DBC"/>
    <w:rsid w:val="008C2034"/>
    <w:rsid w:val="008C20AE"/>
    <w:rsid w:val="008C21CF"/>
    <w:rsid w:val="008C237C"/>
    <w:rsid w:val="008C250B"/>
    <w:rsid w:val="008C257C"/>
    <w:rsid w:val="008C25B9"/>
    <w:rsid w:val="008C264F"/>
    <w:rsid w:val="008C26B3"/>
    <w:rsid w:val="008C27D4"/>
    <w:rsid w:val="008C3120"/>
    <w:rsid w:val="008C3182"/>
    <w:rsid w:val="008C383A"/>
    <w:rsid w:val="008C384A"/>
    <w:rsid w:val="008C39C0"/>
    <w:rsid w:val="008C48C9"/>
    <w:rsid w:val="008C490C"/>
    <w:rsid w:val="008C4A38"/>
    <w:rsid w:val="008C4B2F"/>
    <w:rsid w:val="008C4B6F"/>
    <w:rsid w:val="008C4DB7"/>
    <w:rsid w:val="008C519F"/>
    <w:rsid w:val="008C53D4"/>
    <w:rsid w:val="008C555C"/>
    <w:rsid w:val="008C55CF"/>
    <w:rsid w:val="008C57E1"/>
    <w:rsid w:val="008C585E"/>
    <w:rsid w:val="008C589D"/>
    <w:rsid w:val="008C5949"/>
    <w:rsid w:val="008C5EEA"/>
    <w:rsid w:val="008C5F6F"/>
    <w:rsid w:val="008C604C"/>
    <w:rsid w:val="008C607C"/>
    <w:rsid w:val="008C60B1"/>
    <w:rsid w:val="008C60EF"/>
    <w:rsid w:val="008C61B4"/>
    <w:rsid w:val="008C64CE"/>
    <w:rsid w:val="008C6A2D"/>
    <w:rsid w:val="008C6A43"/>
    <w:rsid w:val="008C6AC6"/>
    <w:rsid w:val="008C6C17"/>
    <w:rsid w:val="008C6C83"/>
    <w:rsid w:val="008C6E6C"/>
    <w:rsid w:val="008C6E75"/>
    <w:rsid w:val="008C6FB1"/>
    <w:rsid w:val="008C706D"/>
    <w:rsid w:val="008C758B"/>
    <w:rsid w:val="008C78DC"/>
    <w:rsid w:val="008C7B95"/>
    <w:rsid w:val="008C7E7A"/>
    <w:rsid w:val="008D00F9"/>
    <w:rsid w:val="008D012A"/>
    <w:rsid w:val="008D0182"/>
    <w:rsid w:val="008D03C2"/>
    <w:rsid w:val="008D042F"/>
    <w:rsid w:val="008D048D"/>
    <w:rsid w:val="008D04FC"/>
    <w:rsid w:val="008D0CD9"/>
    <w:rsid w:val="008D1261"/>
    <w:rsid w:val="008D13AB"/>
    <w:rsid w:val="008D18BA"/>
    <w:rsid w:val="008D18F1"/>
    <w:rsid w:val="008D1A40"/>
    <w:rsid w:val="008D1B4F"/>
    <w:rsid w:val="008D1B70"/>
    <w:rsid w:val="008D1C1C"/>
    <w:rsid w:val="008D1D67"/>
    <w:rsid w:val="008D1E36"/>
    <w:rsid w:val="008D2026"/>
    <w:rsid w:val="008D2210"/>
    <w:rsid w:val="008D26CB"/>
    <w:rsid w:val="008D272C"/>
    <w:rsid w:val="008D28C2"/>
    <w:rsid w:val="008D28D0"/>
    <w:rsid w:val="008D2CB9"/>
    <w:rsid w:val="008D3924"/>
    <w:rsid w:val="008D395E"/>
    <w:rsid w:val="008D3969"/>
    <w:rsid w:val="008D3AA0"/>
    <w:rsid w:val="008D3D1B"/>
    <w:rsid w:val="008D3D99"/>
    <w:rsid w:val="008D3E56"/>
    <w:rsid w:val="008D3FD1"/>
    <w:rsid w:val="008D413C"/>
    <w:rsid w:val="008D47B0"/>
    <w:rsid w:val="008D488D"/>
    <w:rsid w:val="008D49CE"/>
    <w:rsid w:val="008D4F8E"/>
    <w:rsid w:val="008D5188"/>
    <w:rsid w:val="008D5323"/>
    <w:rsid w:val="008D5664"/>
    <w:rsid w:val="008D566E"/>
    <w:rsid w:val="008D63D4"/>
    <w:rsid w:val="008D685B"/>
    <w:rsid w:val="008D6ACC"/>
    <w:rsid w:val="008D6EB0"/>
    <w:rsid w:val="008D71FB"/>
    <w:rsid w:val="008D7241"/>
    <w:rsid w:val="008D753A"/>
    <w:rsid w:val="008D7658"/>
    <w:rsid w:val="008D76A0"/>
    <w:rsid w:val="008D7797"/>
    <w:rsid w:val="008D78D2"/>
    <w:rsid w:val="008D79EF"/>
    <w:rsid w:val="008D7E00"/>
    <w:rsid w:val="008D7E93"/>
    <w:rsid w:val="008E02A4"/>
    <w:rsid w:val="008E0357"/>
    <w:rsid w:val="008E03C0"/>
    <w:rsid w:val="008E067E"/>
    <w:rsid w:val="008E06AC"/>
    <w:rsid w:val="008E08BC"/>
    <w:rsid w:val="008E0906"/>
    <w:rsid w:val="008E0946"/>
    <w:rsid w:val="008E098F"/>
    <w:rsid w:val="008E0B89"/>
    <w:rsid w:val="008E0D27"/>
    <w:rsid w:val="008E0D89"/>
    <w:rsid w:val="008E1229"/>
    <w:rsid w:val="008E138E"/>
    <w:rsid w:val="008E14BE"/>
    <w:rsid w:val="008E1542"/>
    <w:rsid w:val="008E156F"/>
    <w:rsid w:val="008E1789"/>
    <w:rsid w:val="008E17BA"/>
    <w:rsid w:val="008E180C"/>
    <w:rsid w:val="008E18D1"/>
    <w:rsid w:val="008E1904"/>
    <w:rsid w:val="008E196B"/>
    <w:rsid w:val="008E1A17"/>
    <w:rsid w:val="008E1D1E"/>
    <w:rsid w:val="008E20BD"/>
    <w:rsid w:val="008E21CA"/>
    <w:rsid w:val="008E2577"/>
    <w:rsid w:val="008E280E"/>
    <w:rsid w:val="008E2B4B"/>
    <w:rsid w:val="008E2CC6"/>
    <w:rsid w:val="008E2FBF"/>
    <w:rsid w:val="008E30AF"/>
    <w:rsid w:val="008E337D"/>
    <w:rsid w:val="008E3548"/>
    <w:rsid w:val="008E35DA"/>
    <w:rsid w:val="008E398E"/>
    <w:rsid w:val="008E3C64"/>
    <w:rsid w:val="008E3D25"/>
    <w:rsid w:val="008E3EE5"/>
    <w:rsid w:val="008E3F73"/>
    <w:rsid w:val="008E406A"/>
    <w:rsid w:val="008E4B12"/>
    <w:rsid w:val="008E4BF1"/>
    <w:rsid w:val="008E4D39"/>
    <w:rsid w:val="008E4F55"/>
    <w:rsid w:val="008E4FEA"/>
    <w:rsid w:val="008E513E"/>
    <w:rsid w:val="008E5431"/>
    <w:rsid w:val="008E54B6"/>
    <w:rsid w:val="008E5557"/>
    <w:rsid w:val="008E57C5"/>
    <w:rsid w:val="008E5849"/>
    <w:rsid w:val="008E5863"/>
    <w:rsid w:val="008E5E26"/>
    <w:rsid w:val="008E60AC"/>
    <w:rsid w:val="008E62F5"/>
    <w:rsid w:val="008E63C3"/>
    <w:rsid w:val="008E67A2"/>
    <w:rsid w:val="008E6D42"/>
    <w:rsid w:val="008E73C2"/>
    <w:rsid w:val="008E7417"/>
    <w:rsid w:val="008E7698"/>
    <w:rsid w:val="008E7CD5"/>
    <w:rsid w:val="008E7D2A"/>
    <w:rsid w:val="008E7E09"/>
    <w:rsid w:val="008E7E59"/>
    <w:rsid w:val="008F0151"/>
    <w:rsid w:val="008F04BC"/>
    <w:rsid w:val="008F06FC"/>
    <w:rsid w:val="008F0720"/>
    <w:rsid w:val="008F158A"/>
    <w:rsid w:val="008F1815"/>
    <w:rsid w:val="008F182B"/>
    <w:rsid w:val="008F18FE"/>
    <w:rsid w:val="008F1F94"/>
    <w:rsid w:val="008F22A2"/>
    <w:rsid w:val="008F2335"/>
    <w:rsid w:val="008F27CF"/>
    <w:rsid w:val="008F2876"/>
    <w:rsid w:val="008F28DC"/>
    <w:rsid w:val="008F29BD"/>
    <w:rsid w:val="008F2E7E"/>
    <w:rsid w:val="008F392D"/>
    <w:rsid w:val="008F3946"/>
    <w:rsid w:val="008F3BB9"/>
    <w:rsid w:val="008F3ED6"/>
    <w:rsid w:val="008F3EEE"/>
    <w:rsid w:val="008F3F08"/>
    <w:rsid w:val="008F4192"/>
    <w:rsid w:val="008F4393"/>
    <w:rsid w:val="008F4728"/>
    <w:rsid w:val="008F4931"/>
    <w:rsid w:val="008F4DA1"/>
    <w:rsid w:val="008F51E9"/>
    <w:rsid w:val="008F59C7"/>
    <w:rsid w:val="008F5CA5"/>
    <w:rsid w:val="008F5E60"/>
    <w:rsid w:val="008F5F1D"/>
    <w:rsid w:val="008F60CF"/>
    <w:rsid w:val="008F61BF"/>
    <w:rsid w:val="008F6739"/>
    <w:rsid w:val="008F67DA"/>
    <w:rsid w:val="008F67EA"/>
    <w:rsid w:val="008F69CA"/>
    <w:rsid w:val="008F6DAE"/>
    <w:rsid w:val="008F6FFA"/>
    <w:rsid w:val="008F7131"/>
    <w:rsid w:val="008F72D2"/>
    <w:rsid w:val="008F7368"/>
    <w:rsid w:val="008F7638"/>
    <w:rsid w:val="008F7F9B"/>
    <w:rsid w:val="0090048D"/>
    <w:rsid w:val="009004B7"/>
    <w:rsid w:val="0090077A"/>
    <w:rsid w:val="00900A58"/>
    <w:rsid w:val="00900BCB"/>
    <w:rsid w:val="009013FE"/>
    <w:rsid w:val="00901808"/>
    <w:rsid w:val="00901875"/>
    <w:rsid w:val="00901997"/>
    <w:rsid w:val="00901998"/>
    <w:rsid w:val="00901A96"/>
    <w:rsid w:val="00901B70"/>
    <w:rsid w:val="00901D2D"/>
    <w:rsid w:val="00901E3D"/>
    <w:rsid w:val="00902294"/>
    <w:rsid w:val="00902A49"/>
    <w:rsid w:val="00902BF2"/>
    <w:rsid w:val="00903282"/>
    <w:rsid w:val="00903345"/>
    <w:rsid w:val="0090356F"/>
    <w:rsid w:val="00903772"/>
    <w:rsid w:val="009037DC"/>
    <w:rsid w:val="009038DD"/>
    <w:rsid w:val="009038FB"/>
    <w:rsid w:val="00903ABB"/>
    <w:rsid w:val="00903EEE"/>
    <w:rsid w:val="009041C4"/>
    <w:rsid w:val="009041DF"/>
    <w:rsid w:val="009045A6"/>
    <w:rsid w:val="00904631"/>
    <w:rsid w:val="00904690"/>
    <w:rsid w:val="0090471A"/>
    <w:rsid w:val="009047C7"/>
    <w:rsid w:val="0090482F"/>
    <w:rsid w:val="00904903"/>
    <w:rsid w:val="00904C5A"/>
    <w:rsid w:val="00904DD6"/>
    <w:rsid w:val="00905030"/>
    <w:rsid w:val="0090508C"/>
    <w:rsid w:val="00905145"/>
    <w:rsid w:val="00905255"/>
    <w:rsid w:val="009054E5"/>
    <w:rsid w:val="0090561E"/>
    <w:rsid w:val="0090562A"/>
    <w:rsid w:val="00905951"/>
    <w:rsid w:val="00905DA9"/>
    <w:rsid w:val="009060B9"/>
    <w:rsid w:val="009063E5"/>
    <w:rsid w:val="00906454"/>
    <w:rsid w:val="009064B6"/>
    <w:rsid w:val="00906575"/>
    <w:rsid w:val="009065C9"/>
    <w:rsid w:val="009066AF"/>
    <w:rsid w:val="00906CB3"/>
    <w:rsid w:val="00906CF3"/>
    <w:rsid w:val="00906F7A"/>
    <w:rsid w:val="00907028"/>
    <w:rsid w:val="0090727A"/>
    <w:rsid w:val="009073AF"/>
    <w:rsid w:val="0090758E"/>
    <w:rsid w:val="009075DE"/>
    <w:rsid w:val="00907717"/>
    <w:rsid w:val="009078AC"/>
    <w:rsid w:val="00907DA9"/>
    <w:rsid w:val="00907F2B"/>
    <w:rsid w:val="0091001C"/>
    <w:rsid w:val="00910119"/>
    <w:rsid w:val="00910190"/>
    <w:rsid w:val="009105DC"/>
    <w:rsid w:val="00910A93"/>
    <w:rsid w:val="009111CB"/>
    <w:rsid w:val="00911616"/>
    <w:rsid w:val="0091178F"/>
    <w:rsid w:val="00911B49"/>
    <w:rsid w:val="00911D0A"/>
    <w:rsid w:val="00911E1C"/>
    <w:rsid w:val="00911EB5"/>
    <w:rsid w:val="00911EC4"/>
    <w:rsid w:val="00912042"/>
    <w:rsid w:val="00912497"/>
    <w:rsid w:val="009125C5"/>
    <w:rsid w:val="009126C8"/>
    <w:rsid w:val="009127D6"/>
    <w:rsid w:val="009128AC"/>
    <w:rsid w:val="00912B55"/>
    <w:rsid w:val="00912CF9"/>
    <w:rsid w:val="00912DA7"/>
    <w:rsid w:val="00912F07"/>
    <w:rsid w:val="0091347E"/>
    <w:rsid w:val="0091406C"/>
    <w:rsid w:val="00914150"/>
    <w:rsid w:val="009141A6"/>
    <w:rsid w:val="009142A5"/>
    <w:rsid w:val="00914349"/>
    <w:rsid w:val="0091441E"/>
    <w:rsid w:val="00914448"/>
    <w:rsid w:val="009145BA"/>
    <w:rsid w:val="00914CFA"/>
    <w:rsid w:val="00914FF8"/>
    <w:rsid w:val="00915387"/>
    <w:rsid w:val="009154B1"/>
    <w:rsid w:val="00915635"/>
    <w:rsid w:val="0091567C"/>
    <w:rsid w:val="00915849"/>
    <w:rsid w:val="00915897"/>
    <w:rsid w:val="00915A72"/>
    <w:rsid w:val="00915FB4"/>
    <w:rsid w:val="00916199"/>
    <w:rsid w:val="009162B4"/>
    <w:rsid w:val="0091637C"/>
    <w:rsid w:val="00916C6A"/>
    <w:rsid w:val="0091700F"/>
    <w:rsid w:val="00917039"/>
    <w:rsid w:val="009171EE"/>
    <w:rsid w:val="00917207"/>
    <w:rsid w:val="0091772B"/>
    <w:rsid w:val="00917736"/>
    <w:rsid w:val="00917890"/>
    <w:rsid w:val="009179A2"/>
    <w:rsid w:val="00917B2F"/>
    <w:rsid w:val="00917BF1"/>
    <w:rsid w:val="00917E75"/>
    <w:rsid w:val="00917FA0"/>
    <w:rsid w:val="00917FAC"/>
    <w:rsid w:val="00920086"/>
    <w:rsid w:val="00920629"/>
    <w:rsid w:val="00920677"/>
    <w:rsid w:val="0092079A"/>
    <w:rsid w:val="00920AE9"/>
    <w:rsid w:val="00920D89"/>
    <w:rsid w:val="00920F26"/>
    <w:rsid w:val="009210F0"/>
    <w:rsid w:val="009211CE"/>
    <w:rsid w:val="009211FA"/>
    <w:rsid w:val="00921401"/>
    <w:rsid w:val="009214A7"/>
    <w:rsid w:val="009214AF"/>
    <w:rsid w:val="00921632"/>
    <w:rsid w:val="009216C5"/>
    <w:rsid w:val="0092187A"/>
    <w:rsid w:val="00921A39"/>
    <w:rsid w:val="00921CE7"/>
    <w:rsid w:val="00921E4F"/>
    <w:rsid w:val="00921EDB"/>
    <w:rsid w:val="009221B5"/>
    <w:rsid w:val="00922352"/>
    <w:rsid w:val="00922AEE"/>
    <w:rsid w:val="00922C94"/>
    <w:rsid w:val="00922CF2"/>
    <w:rsid w:val="00922FDB"/>
    <w:rsid w:val="00923316"/>
    <w:rsid w:val="00923367"/>
    <w:rsid w:val="0092337C"/>
    <w:rsid w:val="009236AC"/>
    <w:rsid w:val="00923718"/>
    <w:rsid w:val="00923911"/>
    <w:rsid w:val="0092393C"/>
    <w:rsid w:val="00923A1B"/>
    <w:rsid w:val="00923A51"/>
    <w:rsid w:val="00923E79"/>
    <w:rsid w:val="00923F1B"/>
    <w:rsid w:val="0092410D"/>
    <w:rsid w:val="009242B4"/>
    <w:rsid w:val="00924415"/>
    <w:rsid w:val="009247B2"/>
    <w:rsid w:val="009248BF"/>
    <w:rsid w:val="00924A45"/>
    <w:rsid w:val="00924CB8"/>
    <w:rsid w:val="00924EB4"/>
    <w:rsid w:val="009252D5"/>
    <w:rsid w:val="009255E0"/>
    <w:rsid w:val="00925803"/>
    <w:rsid w:val="00925EC7"/>
    <w:rsid w:val="00926158"/>
    <w:rsid w:val="00926336"/>
    <w:rsid w:val="0092637A"/>
    <w:rsid w:val="00926659"/>
    <w:rsid w:val="00926704"/>
    <w:rsid w:val="009269BF"/>
    <w:rsid w:val="00926A2D"/>
    <w:rsid w:val="00926CC1"/>
    <w:rsid w:val="00927108"/>
    <w:rsid w:val="00927131"/>
    <w:rsid w:val="0092736B"/>
    <w:rsid w:val="0092738E"/>
    <w:rsid w:val="0092750E"/>
    <w:rsid w:val="009278C5"/>
    <w:rsid w:val="00927963"/>
    <w:rsid w:val="00927A6A"/>
    <w:rsid w:val="00927B2F"/>
    <w:rsid w:val="00927B7C"/>
    <w:rsid w:val="00927CEB"/>
    <w:rsid w:val="009302B5"/>
    <w:rsid w:val="009305E8"/>
    <w:rsid w:val="009307B2"/>
    <w:rsid w:val="00930E32"/>
    <w:rsid w:val="00930FD0"/>
    <w:rsid w:val="00930FE7"/>
    <w:rsid w:val="00931526"/>
    <w:rsid w:val="00931619"/>
    <w:rsid w:val="00931784"/>
    <w:rsid w:val="00931954"/>
    <w:rsid w:val="00931CFC"/>
    <w:rsid w:val="00931D62"/>
    <w:rsid w:val="00931D7D"/>
    <w:rsid w:val="00931F90"/>
    <w:rsid w:val="009326F9"/>
    <w:rsid w:val="009328C8"/>
    <w:rsid w:val="0093295B"/>
    <w:rsid w:val="00932B4E"/>
    <w:rsid w:val="00933367"/>
    <w:rsid w:val="0093342A"/>
    <w:rsid w:val="009335EE"/>
    <w:rsid w:val="009337A8"/>
    <w:rsid w:val="009337EB"/>
    <w:rsid w:val="00933BAD"/>
    <w:rsid w:val="0093418A"/>
    <w:rsid w:val="0093493F"/>
    <w:rsid w:val="009349DA"/>
    <w:rsid w:val="00934BDB"/>
    <w:rsid w:val="00934C78"/>
    <w:rsid w:val="00934D32"/>
    <w:rsid w:val="00934F5A"/>
    <w:rsid w:val="00935734"/>
    <w:rsid w:val="00935C95"/>
    <w:rsid w:val="00935E99"/>
    <w:rsid w:val="00935EEB"/>
    <w:rsid w:val="00935EF3"/>
    <w:rsid w:val="00935FCE"/>
    <w:rsid w:val="0093641C"/>
    <w:rsid w:val="00936431"/>
    <w:rsid w:val="0093659B"/>
    <w:rsid w:val="00936968"/>
    <w:rsid w:val="00936A6B"/>
    <w:rsid w:val="00936C80"/>
    <w:rsid w:val="00936D78"/>
    <w:rsid w:val="00936F53"/>
    <w:rsid w:val="00937079"/>
    <w:rsid w:val="009370DF"/>
    <w:rsid w:val="00937253"/>
    <w:rsid w:val="009374A3"/>
    <w:rsid w:val="0093763A"/>
    <w:rsid w:val="00937882"/>
    <w:rsid w:val="009378FA"/>
    <w:rsid w:val="00937A9E"/>
    <w:rsid w:val="00937AF6"/>
    <w:rsid w:val="00937C77"/>
    <w:rsid w:val="00937DE3"/>
    <w:rsid w:val="00937F27"/>
    <w:rsid w:val="00940065"/>
    <w:rsid w:val="0094006A"/>
    <w:rsid w:val="009404EF"/>
    <w:rsid w:val="0094051D"/>
    <w:rsid w:val="00940587"/>
    <w:rsid w:val="009407E5"/>
    <w:rsid w:val="0094087C"/>
    <w:rsid w:val="00940C92"/>
    <w:rsid w:val="00940E18"/>
    <w:rsid w:val="00940E32"/>
    <w:rsid w:val="009410D7"/>
    <w:rsid w:val="009411D1"/>
    <w:rsid w:val="0094169F"/>
    <w:rsid w:val="009419C1"/>
    <w:rsid w:val="00941C29"/>
    <w:rsid w:val="0094227B"/>
    <w:rsid w:val="009428B7"/>
    <w:rsid w:val="009428E3"/>
    <w:rsid w:val="00943019"/>
    <w:rsid w:val="0094318E"/>
    <w:rsid w:val="00943748"/>
    <w:rsid w:val="00943885"/>
    <w:rsid w:val="0094392D"/>
    <w:rsid w:val="00943C44"/>
    <w:rsid w:val="00943C86"/>
    <w:rsid w:val="00943E6E"/>
    <w:rsid w:val="00944134"/>
    <w:rsid w:val="009441FC"/>
    <w:rsid w:val="00944238"/>
    <w:rsid w:val="00944281"/>
    <w:rsid w:val="009442D8"/>
    <w:rsid w:val="00944498"/>
    <w:rsid w:val="00944C35"/>
    <w:rsid w:val="00944C55"/>
    <w:rsid w:val="00944CDD"/>
    <w:rsid w:val="00944F13"/>
    <w:rsid w:val="009452D0"/>
    <w:rsid w:val="009458C2"/>
    <w:rsid w:val="00945A97"/>
    <w:rsid w:val="00945B71"/>
    <w:rsid w:val="00945E07"/>
    <w:rsid w:val="0094608B"/>
    <w:rsid w:val="0094618B"/>
    <w:rsid w:val="009462E2"/>
    <w:rsid w:val="0094636A"/>
    <w:rsid w:val="009463DD"/>
    <w:rsid w:val="0094658F"/>
    <w:rsid w:val="00946CDC"/>
    <w:rsid w:val="00946F2F"/>
    <w:rsid w:val="00947312"/>
    <w:rsid w:val="009473BB"/>
    <w:rsid w:val="0094746B"/>
    <w:rsid w:val="009474F1"/>
    <w:rsid w:val="00947567"/>
    <w:rsid w:val="00947614"/>
    <w:rsid w:val="0094778D"/>
    <w:rsid w:val="00947D6C"/>
    <w:rsid w:val="00947F7F"/>
    <w:rsid w:val="009500A8"/>
    <w:rsid w:val="009500F4"/>
    <w:rsid w:val="00950344"/>
    <w:rsid w:val="009503DE"/>
    <w:rsid w:val="0095043F"/>
    <w:rsid w:val="00950440"/>
    <w:rsid w:val="00950AB6"/>
    <w:rsid w:val="00950C7B"/>
    <w:rsid w:val="00950F97"/>
    <w:rsid w:val="009510A2"/>
    <w:rsid w:val="009512B7"/>
    <w:rsid w:val="00951357"/>
    <w:rsid w:val="009513E6"/>
    <w:rsid w:val="00951557"/>
    <w:rsid w:val="00951693"/>
    <w:rsid w:val="00951761"/>
    <w:rsid w:val="00951BDB"/>
    <w:rsid w:val="00951DE4"/>
    <w:rsid w:val="00951FCB"/>
    <w:rsid w:val="00952060"/>
    <w:rsid w:val="009520CE"/>
    <w:rsid w:val="009523F3"/>
    <w:rsid w:val="009526DE"/>
    <w:rsid w:val="009529D4"/>
    <w:rsid w:val="00952E76"/>
    <w:rsid w:val="009531A3"/>
    <w:rsid w:val="009532AD"/>
    <w:rsid w:val="009532FD"/>
    <w:rsid w:val="00953633"/>
    <w:rsid w:val="0095393F"/>
    <w:rsid w:val="00953BFC"/>
    <w:rsid w:val="00953D3A"/>
    <w:rsid w:val="00953EAE"/>
    <w:rsid w:val="00953F97"/>
    <w:rsid w:val="009549D7"/>
    <w:rsid w:val="00954C57"/>
    <w:rsid w:val="00954F4F"/>
    <w:rsid w:val="009550FF"/>
    <w:rsid w:val="009552AD"/>
    <w:rsid w:val="009554BE"/>
    <w:rsid w:val="00955BB1"/>
    <w:rsid w:val="00956190"/>
    <w:rsid w:val="009566A5"/>
    <w:rsid w:val="009568A7"/>
    <w:rsid w:val="0095696D"/>
    <w:rsid w:val="00956AAD"/>
    <w:rsid w:val="00956ADE"/>
    <w:rsid w:val="00956BD7"/>
    <w:rsid w:val="00956C1B"/>
    <w:rsid w:val="00956C2F"/>
    <w:rsid w:val="00956EAE"/>
    <w:rsid w:val="009570F9"/>
    <w:rsid w:val="00957796"/>
    <w:rsid w:val="0095792C"/>
    <w:rsid w:val="00957AD0"/>
    <w:rsid w:val="0096021C"/>
    <w:rsid w:val="00960365"/>
    <w:rsid w:val="00960833"/>
    <w:rsid w:val="00960901"/>
    <w:rsid w:val="00960BD6"/>
    <w:rsid w:val="00960F3A"/>
    <w:rsid w:val="00961140"/>
    <w:rsid w:val="00961769"/>
    <w:rsid w:val="009617B8"/>
    <w:rsid w:val="009618B6"/>
    <w:rsid w:val="00961AFE"/>
    <w:rsid w:val="00961FAA"/>
    <w:rsid w:val="00962054"/>
    <w:rsid w:val="00962218"/>
    <w:rsid w:val="00962811"/>
    <w:rsid w:val="00962BA8"/>
    <w:rsid w:val="00962BB4"/>
    <w:rsid w:val="00962BB9"/>
    <w:rsid w:val="00962DF2"/>
    <w:rsid w:val="00962E22"/>
    <w:rsid w:val="00963597"/>
    <w:rsid w:val="00963701"/>
    <w:rsid w:val="009638CB"/>
    <w:rsid w:val="00963923"/>
    <w:rsid w:val="0096395B"/>
    <w:rsid w:val="00963A3D"/>
    <w:rsid w:val="00964011"/>
    <w:rsid w:val="0096406F"/>
    <w:rsid w:val="00964486"/>
    <w:rsid w:val="00964856"/>
    <w:rsid w:val="00964AEB"/>
    <w:rsid w:val="00964AFE"/>
    <w:rsid w:val="00964E3A"/>
    <w:rsid w:val="00964EEB"/>
    <w:rsid w:val="0096524C"/>
    <w:rsid w:val="0096536D"/>
    <w:rsid w:val="00965A10"/>
    <w:rsid w:val="00965B72"/>
    <w:rsid w:val="00965CB5"/>
    <w:rsid w:val="00966390"/>
    <w:rsid w:val="009665AC"/>
    <w:rsid w:val="009665BC"/>
    <w:rsid w:val="00966712"/>
    <w:rsid w:val="0096692A"/>
    <w:rsid w:val="00966F3E"/>
    <w:rsid w:val="0096705D"/>
    <w:rsid w:val="00967168"/>
    <w:rsid w:val="00967333"/>
    <w:rsid w:val="009673F9"/>
    <w:rsid w:val="0096740B"/>
    <w:rsid w:val="009674C4"/>
    <w:rsid w:val="0096759E"/>
    <w:rsid w:val="009675F7"/>
    <w:rsid w:val="009678CE"/>
    <w:rsid w:val="00967B42"/>
    <w:rsid w:val="0097052D"/>
    <w:rsid w:val="00970607"/>
    <w:rsid w:val="00970794"/>
    <w:rsid w:val="0097088C"/>
    <w:rsid w:val="00970D8D"/>
    <w:rsid w:val="00971AC9"/>
    <w:rsid w:val="00971B55"/>
    <w:rsid w:val="00971BA0"/>
    <w:rsid w:val="00971EF4"/>
    <w:rsid w:val="009724A2"/>
    <w:rsid w:val="00972926"/>
    <w:rsid w:val="00972A16"/>
    <w:rsid w:val="00972C78"/>
    <w:rsid w:val="00972EB4"/>
    <w:rsid w:val="0097315C"/>
    <w:rsid w:val="0097329C"/>
    <w:rsid w:val="00973720"/>
    <w:rsid w:val="00973CF6"/>
    <w:rsid w:val="00973D92"/>
    <w:rsid w:val="00973EA9"/>
    <w:rsid w:val="00973F08"/>
    <w:rsid w:val="009742B1"/>
    <w:rsid w:val="00974593"/>
    <w:rsid w:val="009746AA"/>
    <w:rsid w:val="009747FC"/>
    <w:rsid w:val="00975438"/>
    <w:rsid w:val="00975468"/>
    <w:rsid w:val="00975714"/>
    <w:rsid w:val="009757F8"/>
    <w:rsid w:val="00975C69"/>
    <w:rsid w:val="00975D35"/>
    <w:rsid w:val="009761FA"/>
    <w:rsid w:val="00976512"/>
    <w:rsid w:val="0097662D"/>
    <w:rsid w:val="00976995"/>
    <w:rsid w:val="00976A38"/>
    <w:rsid w:val="00976B12"/>
    <w:rsid w:val="00977118"/>
    <w:rsid w:val="00977123"/>
    <w:rsid w:val="009771BE"/>
    <w:rsid w:val="00977722"/>
    <w:rsid w:val="00977731"/>
    <w:rsid w:val="00977787"/>
    <w:rsid w:val="00977B15"/>
    <w:rsid w:val="00977B8E"/>
    <w:rsid w:val="00977D7C"/>
    <w:rsid w:val="00977F18"/>
    <w:rsid w:val="00980279"/>
    <w:rsid w:val="0098053B"/>
    <w:rsid w:val="009807B3"/>
    <w:rsid w:val="00980B38"/>
    <w:rsid w:val="00980BD9"/>
    <w:rsid w:val="00980E0F"/>
    <w:rsid w:val="00980FCF"/>
    <w:rsid w:val="0098121F"/>
    <w:rsid w:val="009812BE"/>
    <w:rsid w:val="00981374"/>
    <w:rsid w:val="0098159E"/>
    <w:rsid w:val="009817C2"/>
    <w:rsid w:val="00981A82"/>
    <w:rsid w:val="00981DCF"/>
    <w:rsid w:val="0098226B"/>
    <w:rsid w:val="009822AB"/>
    <w:rsid w:val="009826B3"/>
    <w:rsid w:val="00982A9C"/>
    <w:rsid w:val="00982EBB"/>
    <w:rsid w:val="00982FF9"/>
    <w:rsid w:val="009834F6"/>
    <w:rsid w:val="00983520"/>
    <w:rsid w:val="00983781"/>
    <w:rsid w:val="009848F2"/>
    <w:rsid w:val="00984D91"/>
    <w:rsid w:val="00984E57"/>
    <w:rsid w:val="009850B8"/>
    <w:rsid w:val="009854DA"/>
    <w:rsid w:val="00985898"/>
    <w:rsid w:val="00985BFA"/>
    <w:rsid w:val="00985D63"/>
    <w:rsid w:val="00985FB9"/>
    <w:rsid w:val="00986022"/>
    <w:rsid w:val="009860AC"/>
    <w:rsid w:val="00986379"/>
    <w:rsid w:val="00986577"/>
    <w:rsid w:val="009865EE"/>
    <w:rsid w:val="00986731"/>
    <w:rsid w:val="00986794"/>
    <w:rsid w:val="009867C5"/>
    <w:rsid w:val="009867C6"/>
    <w:rsid w:val="00986940"/>
    <w:rsid w:val="00986A0B"/>
    <w:rsid w:val="00986B53"/>
    <w:rsid w:val="00986D55"/>
    <w:rsid w:val="00986D94"/>
    <w:rsid w:val="00986F86"/>
    <w:rsid w:val="009873DC"/>
    <w:rsid w:val="0098741C"/>
    <w:rsid w:val="0098757E"/>
    <w:rsid w:val="00987607"/>
    <w:rsid w:val="00987B23"/>
    <w:rsid w:val="00987D8E"/>
    <w:rsid w:val="00987F35"/>
    <w:rsid w:val="00990492"/>
    <w:rsid w:val="009909AC"/>
    <w:rsid w:val="00990C15"/>
    <w:rsid w:val="00990E8D"/>
    <w:rsid w:val="009910DA"/>
    <w:rsid w:val="00991221"/>
    <w:rsid w:val="009912B1"/>
    <w:rsid w:val="00991607"/>
    <w:rsid w:val="009917DA"/>
    <w:rsid w:val="009917FC"/>
    <w:rsid w:val="00991EA3"/>
    <w:rsid w:val="00992055"/>
    <w:rsid w:val="00992234"/>
    <w:rsid w:val="00992327"/>
    <w:rsid w:val="00992561"/>
    <w:rsid w:val="009927E8"/>
    <w:rsid w:val="00992A0E"/>
    <w:rsid w:val="00992D94"/>
    <w:rsid w:val="00993008"/>
    <w:rsid w:val="0099305A"/>
    <w:rsid w:val="009931FB"/>
    <w:rsid w:val="009936D1"/>
    <w:rsid w:val="00993724"/>
    <w:rsid w:val="0099396E"/>
    <w:rsid w:val="00993DE1"/>
    <w:rsid w:val="0099410C"/>
    <w:rsid w:val="0099482C"/>
    <w:rsid w:val="00994920"/>
    <w:rsid w:val="00994BED"/>
    <w:rsid w:val="00994D5A"/>
    <w:rsid w:val="009950E9"/>
    <w:rsid w:val="009954FA"/>
    <w:rsid w:val="0099567A"/>
    <w:rsid w:val="009956ED"/>
    <w:rsid w:val="009958B7"/>
    <w:rsid w:val="009959EF"/>
    <w:rsid w:val="00995AF6"/>
    <w:rsid w:val="00995B22"/>
    <w:rsid w:val="00995C10"/>
    <w:rsid w:val="00995F24"/>
    <w:rsid w:val="00996385"/>
    <w:rsid w:val="009963EF"/>
    <w:rsid w:val="00996431"/>
    <w:rsid w:val="009966B6"/>
    <w:rsid w:val="00996B1B"/>
    <w:rsid w:val="00996B22"/>
    <w:rsid w:val="00996B62"/>
    <w:rsid w:val="00996F48"/>
    <w:rsid w:val="00996FF9"/>
    <w:rsid w:val="00997240"/>
    <w:rsid w:val="0099739A"/>
    <w:rsid w:val="00997720"/>
    <w:rsid w:val="00997849"/>
    <w:rsid w:val="00997BA8"/>
    <w:rsid w:val="00997EA0"/>
    <w:rsid w:val="00997F45"/>
    <w:rsid w:val="009A002B"/>
    <w:rsid w:val="009A0293"/>
    <w:rsid w:val="009A0464"/>
    <w:rsid w:val="009A0EC5"/>
    <w:rsid w:val="009A0FB9"/>
    <w:rsid w:val="009A0FC0"/>
    <w:rsid w:val="009A1097"/>
    <w:rsid w:val="009A1941"/>
    <w:rsid w:val="009A1A9B"/>
    <w:rsid w:val="009A1CC3"/>
    <w:rsid w:val="009A2A64"/>
    <w:rsid w:val="009A2BAB"/>
    <w:rsid w:val="009A2F2F"/>
    <w:rsid w:val="009A2FC8"/>
    <w:rsid w:val="009A329A"/>
    <w:rsid w:val="009A35C5"/>
    <w:rsid w:val="009A35DB"/>
    <w:rsid w:val="009A36BC"/>
    <w:rsid w:val="009A3846"/>
    <w:rsid w:val="009A39B1"/>
    <w:rsid w:val="009A39C7"/>
    <w:rsid w:val="009A3A87"/>
    <w:rsid w:val="009A3DF7"/>
    <w:rsid w:val="009A3E27"/>
    <w:rsid w:val="009A3E41"/>
    <w:rsid w:val="009A3E5C"/>
    <w:rsid w:val="009A3F0F"/>
    <w:rsid w:val="009A3F2F"/>
    <w:rsid w:val="009A3FCA"/>
    <w:rsid w:val="009A3FF4"/>
    <w:rsid w:val="009A410E"/>
    <w:rsid w:val="009A41A8"/>
    <w:rsid w:val="009A41DC"/>
    <w:rsid w:val="009A44A6"/>
    <w:rsid w:val="009A44B3"/>
    <w:rsid w:val="009A474C"/>
    <w:rsid w:val="009A4869"/>
    <w:rsid w:val="009A4A4D"/>
    <w:rsid w:val="009A4C27"/>
    <w:rsid w:val="009A4F8D"/>
    <w:rsid w:val="009A553E"/>
    <w:rsid w:val="009A5AE8"/>
    <w:rsid w:val="009A5B13"/>
    <w:rsid w:val="009A5B31"/>
    <w:rsid w:val="009A5C48"/>
    <w:rsid w:val="009A5DA9"/>
    <w:rsid w:val="009A5E23"/>
    <w:rsid w:val="009A622C"/>
    <w:rsid w:val="009A635A"/>
    <w:rsid w:val="009A6406"/>
    <w:rsid w:val="009A6656"/>
    <w:rsid w:val="009A6693"/>
    <w:rsid w:val="009A6888"/>
    <w:rsid w:val="009A69E2"/>
    <w:rsid w:val="009A69E9"/>
    <w:rsid w:val="009A6B43"/>
    <w:rsid w:val="009A6FD8"/>
    <w:rsid w:val="009A6FE2"/>
    <w:rsid w:val="009A749B"/>
    <w:rsid w:val="009A7A0A"/>
    <w:rsid w:val="009A7AAB"/>
    <w:rsid w:val="009B02EF"/>
    <w:rsid w:val="009B04E3"/>
    <w:rsid w:val="009B06A9"/>
    <w:rsid w:val="009B087E"/>
    <w:rsid w:val="009B0ED6"/>
    <w:rsid w:val="009B1428"/>
    <w:rsid w:val="009B143E"/>
    <w:rsid w:val="009B1476"/>
    <w:rsid w:val="009B16B3"/>
    <w:rsid w:val="009B1890"/>
    <w:rsid w:val="009B1A0E"/>
    <w:rsid w:val="009B1DEB"/>
    <w:rsid w:val="009B1F6D"/>
    <w:rsid w:val="009B1FEE"/>
    <w:rsid w:val="009B20F4"/>
    <w:rsid w:val="009B21AA"/>
    <w:rsid w:val="009B21CB"/>
    <w:rsid w:val="009B2705"/>
    <w:rsid w:val="009B2819"/>
    <w:rsid w:val="009B2A1D"/>
    <w:rsid w:val="009B2A55"/>
    <w:rsid w:val="009B2A89"/>
    <w:rsid w:val="009B2B60"/>
    <w:rsid w:val="009B2E13"/>
    <w:rsid w:val="009B2E6E"/>
    <w:rsid w:val="009B3021"/>
    <w:rsid w:val="009B340E"/>
    <w:rsid w:val="009B3482"/>
    <w:rsid w:val="009B386B"/>
    <w:rsid w:val="009B38D9"/>
    <w:rsid w:val="009B3B3C"/>
    <w:rsid w:val="009B3B50"/>
    <w:rsid w:val="009B40E2"/>
    <w:rsid w:val="009B435A"/>
    <w:rsid w:val="009B48AA"/>
    <w:rsid w:val="009B4B10"/>
    <w:rsid w:val="009B4B51"/>
    <w:rsid w:val="009B4BA8"/>
    <w:rsid w:val="009B4C1F"/>
    <w:rsid w:val="009B4C24"/>
    <w:rsid w:val="009B4D99"/>
    <w:rsid w:val="009B4E6A"/>
    <w:rsid w:val="009B4E6E"/>
    <w:rsid w:val="009B5542"/>
    <w:rsid w:val="009B564D"/>
    <w:rsid w:val="009B5777"/>
    <w:rsid w:val="009B5946"/>
    <w:rsid w:val="009B5DBB"/>
    <w:rsid w:val="009B5DE2"/>
    <w:rsid w:val="009B5ED2"/>
    <w:rsid w:val="009B5F7A"/>
    <w:rsid w:val="009B608B"/>
    <w:rsid w:val="009B60EB"/>
    <w:rsid w:val="009B6641"/>
    <w:rsid w:val="009B6725"/>
    <w:rsid w:val="009B68BB"/>
    <w:rsid w:val="009B7112"/>
    <w:rsid w:val="009B7128"/>
    <w:rsid w:val="009B73AE"/>
    <w:rsid w:val="009B744C"/>
    <w:rsid w:val="009B745D"/>
    <w:rsid w:val="009B76FB"/>
    <w:rsid w:val="009B7847"/>
    <w:rsid w:val="009B78F8"/>
    <w:rsid w:val="009B7A67"/>
    <w:rsid w:val="009B7BBE"/>
    <w:rsid w:val="009C036F"/>
    <w:rsid w:val="009C046E"/>
    <w:rsid w:val="009C0516"/>
    <w:rsid w:val="009C0763"/>
    <w:rsid w:val="009C08FB"/>
    <w:rsid w:val="009C0B52"/>
    <w:rsid w:val="009C0E41"/>
    <w:rsid w:val="009C0EBD"/>
    <w:rsid w:val="009C141A"/>
    <w:rsid w:val="009C1578"/>
    <w:rsid w:val="009C16B1"/>
    <w:rsid w:val="009C1F2D"/>
    <w:rsid w:val="009C1FA2"/>
    <w:rsid w:val="009C20A4"/>
    <w:rsid w:val="009C2209"/>
    <w:rsid w:val="009C26D4"/>
    <w:rsid w:val="009C27EA"/>
    <w:rsid w:val="009C3094"/>
    <w:rsid w:val="009C3216"/>
    <w:rsid w:val="009C34D2"/>
    <w:rsid w:val="009C3945"/>
    <w:rsid w:val="009C3FC4"/>
    <w:rsid w:val="009C41FB"/>
    <w:rsid w:val="009C43FD"/>
    <w:rsid w:val="009C48AC"/>
    <w:rsid w:val="009C4C90"/>
    <w:rsid w:val="009C4F97"/>
    <w:rsid w:val="009C5280"/>
    <w:rsid w:val="009C5434"/>
    <w:rsid w:val="009C5903"/>
    <w:rsid w:val="009C591D"/>
    <w:rsid w:val="009C5AF6"/>
    <w:rsid w:val="009C5BAD"/>
    <w:rsid w:val="009C5F49"/>
    <w:rsid w:val="009C5FCC"/>
    <w:rsid w:val="009C5FD8"/>
    <w:rsid w:val="009C631F"/>
    <w:rsid w:val="009C6331"/>
    <w:rsid w:val="009C63F8"/>
    <w:rsid w:val="009C6505"/>
    <w:rsid w:val="009C651E"/>
    <w:rsid w:val="009C653B"/>
    <w:rsid w:val="009C6A5F"/>
    <w:rsid w:val="009C6ACC"/>
    <w:rsid w:val="009C6C1A"/>
    <w:rsid w:val="009C7202"/>
    <w:rsid w:val="009C727F"/>
    <w:rsid w:val="009C75A8"/>
    <w:rsid w:val="009C7772"/>
    <w:rsid w:val="009C7948"/>
    <w:rsid w:val="009C7FE9"/>
    <w:rsid w:val="009D0002"/>
    <w:rsid w:val="009D0450"/>
    <w:rsid w:val="009D049F"/>
    <w:rsid w:val="009D058E"/>
    <w:rsid w:val="009D07D2"/>
    <w:rsid w:val="009D0849"/>
    <w:rsid w:val="009D085E"/>
    <w:rsid w:val="009D097C"/>
    <w:rsid w:val="009D0C9F"/>
    <w:rsid w:val="009D0EC8"/>
    <w:rsid w:val="009D1147"/>
    <w:rsid w:val="009D12BC"/>
    <w:rsid w:val="009D12D9"/>
    <w:rsid w:val="009D168E"/>
    <w:rsid w:val="009D16EF"/>
    <w:rsid w:val="009D1763"/>
    <w:rsid w:val="009D1793"/>
    <w:rsid w:val="009D216F"/>
    <w:rsid w:val="009D2317"/>
    <w:rsid w:val="009D2805"/>
    <w:rsid w:val="009D2808"/>
    <w:rsid w:val="009D2EE8"/>
    <w:rsid w:val="009D300F"/>
    <w:rsid w:val="009D37B3"/>
    <w:rsid w:val="009D39AB"/>
    <w:rsid w:val="009D3DA7"/>
    <w:rsid w:val="009D3DAA"/>
    <w:rsid w:val="009D3F5F"/>
    <w:rsid w:val="009D4213"/>
    <w:rsid w:val="009D423C"/>
    <w:rsid w:val="009D4505"/>
    <w:rsid w:val="009D48CA"/>
    <w:rsid w:val="009D495E"/>
    <w:rsid w:val="009D4DC9"/>
    <w:rsid w:val="009D4F31"/>
    <w:rsid w:val="009D4F6B"/>
    <w:rsid w:val="009D524F"/>
    <w:rsid w:val="009D5701"/>
    <w:rsid w:val="009D5841"/>
    <w:rsid w:val="009D6F99"/>
    <w:rsid w:val="009D75BE"/>
    <w:rsid w:val="009D78C2"/>
    <w:rsid w:val="009D7EA9"/>
    <w:rsid w:val="009E0019"/>
    <w:rsid w:val="009E03EC"/>
    <w:rsid w:val="009E09B0"/>
    <w:rsid w:val="009E133D"/>
    <w:rsid w:val="009E1576"/>
    <w:rsid w:val="009E17FB"/>
    <w:rsid w:val="009E1838"/>
    <w:rsid w:val="009E1985"/>
    <w:rsid w:val="009E1A0A"/>
    <w:rsid w:val="009E1AB7"/>
    <w:rsid w:val="009E1E0D"/>
    <w:rsid w:val="009E26D7"/>
    <w:rsid w:val="009E2A13"/>
    <w:rsid w:val="009E2D5C"/>
    <w:rsid w:val="009E2FC4"/>
    <w:rsid w:val="009E3018"/>
    <w:rsid w:val="009E30D2"/>
    <w:rsid w:val="009E31CC"/>
    <w:rsid w:val="009E327D"/>
    <w:rsid w:val="009E32BE"/>
    <w:rsid w:val="009E3743"/>
    <w:rsid w:val="009E3854"/>
    <w:rsid w:val="009E3892"/>
    <w:rsid w:val="009E3970"/>
    <w:rsid w:val="009E3A0D"/>
    <w:rsid w:val="009E3BF2"/>
    <w:rsid w:val="009E3CAF"/>
    <w:rsid w:val="009E3CD3"/>
    <w:rsid w:val="009E409C"/>
    <w:rsid w:val="009E4149"/>
    <w:rsid w:val="009E4161"/>
    <w:rsid w:val="009E41DB"/>
    <w:rsid w:val="009E4279"/>
    <w:rsid w:val="009E4413"/>
    <w:rsid w:val="009E44E8"/>
    <w:rsid w:val="009E45A4"/>
    <w:rsid w:val="009E49CA"/>
    <w:rsid w:val="009E4B52"/>
    <w:rsid w:val="009E54DB"/>
    <w:rsid w:val="009E5698"/>
    <w:rsid w:val="009E5822"/>
    <w:rsid w:val="009E5B46"/>
    <w:rsid w:val="009E5CDE"/>
    <w:rsid w:val="009E5D91"/>
    <w:rsid w:val="009E5DC0"/>
    <w:rsid w:val="009E6131"/>
    <w:rsid w:val="009E62EB"/>
    <w:rsid w:val="009E665B"/>
    <w:rsid w:val="009E67BD"/>
    <w:rsid w:val="009E697B"/>
    <w:rsid w:val="009E6CAF"/>
    <w:rsid w:val="009E6E7F"/>
    <w:rsid w:val="009E742E"/>
    <w:rsid w:val="009E7765"/>
    <w:rsid w:val="009E781B"/>
    <w:rsid w:val="009E7E5E"/>
    <w:rsid w:val="009F00E6"/>
    <w:rsid w:val="009F04EE"/>
    <w:rsid w:val="009F0592"/>
    <w:rsid w:val="009F061C"/>
    <w:rsid w:val="009F064D"/>
    <w:rsid w:val="009F0699"/>
    <w:rsid w:val="009F0847"/>
    <w:rsid w:val="009F0A35"/>
    <w:rsid w:val="009F1BF1"/>
    <w:rsid w:val="009F2509"/>
    <w:rsid w:val="009F26D4"/>
    <w:rsid w:val="009F275B"/>
    <w:rsid w:val="009F281A"/>
    <w:rsid w:val="009F2884"/>
    <w:rsid w:val="009F29FB"/>
    <w:rsid w:val="009F2BB1"/>
    <w:rsid w:val="009F2C3F"/>
    <w:rsid w:val="009F2F72"/>
    <w:rsid w:val="009F31AA"/>
    <w:rsid w:val="009F31BA"/>
    <w:rsid w:val="009F3451"/>
    <w:rsid w:val="009F3549"/>
    <w:rsid w:val="009F3C75"/>
    <w:rsid w:val="009F3D4A"/>
    <w:rsid w:val="009F4395"/>
    <w:rsid w:val="009F43EA"/>
    <w:rsid w:val="009F452F"/>
    <w:rsid w:val="009F4647"/>
    <w:rsid w:val="009F47B6"/>
    <w:rsid w:val="009F499C"/>
    <w:rsid w:val="009F49A6"/>
    <w:rsid w:val="009F4E8A"/>
    <w:rsid w:val="009F4FB1"/>
    <w:rsid w:val="009F4FD1"/>
    <w:rsid w:val="009F52A7"/>
    <w:rsid w:val="009F59DA"/>
    <w:rsid w:val="009F5AC1"/>
    <w:rsid w:val="009F60AC"/>
    <w:rsid w:val="009F6112"/>
    <w:rsid w:val="009F6904"/>
    <w:rsid w:val="009F6948"/>
    <w:rsid w:val="009F69BF"/>
    <w:rsid w:val="009F6B1E"/>
    <w:rsid w:val="009F6E9A"/>
    <w:rsid w:val="009F6EC9"/>
    <w:rsid w:val="009F6FCA"/>
    <w:rsid w:val="009F7236"/>
    <w:rsid w:val="009F763D"/>
    <w:rsid w:val="009F785F"/>
    <w:rsid w:val="009F7B07"/>
    <w:rsid w:val="00A00050"/>
    <w:rsid w:val="00A00363"/>
    <w:rsid w:val="00A00409"/>
    <w:rsid w:val="00A005A2"/>
    <w:rsid w:val="00A00850"/>
    <w:rsid w:val="00A00B65"/>
    <w:rsid w:val="00A00B94"/>
    <w:rsid w:val="00A00ED8"/>
    <w:rsid w:val="00A011B8"/>
    <w:rsid w:val="00A01AF9"/>
    <w:rsid w:val="00A01C72"/>
    <w:rsid w:val="00A01F42"/>
    <w:rsid w:val="00A022DF"/>
    <w:rsid w:val="00A025CC"/>
    <w:rsid w:val="00A026C0"/>
    <w:rsid w:val="00A026D4"/>
    <w:rsid w:val="00A02AED"/>
    <w:rsid w:val="00A02CC9"/>
    <w:rsid w:val="00A03070"/>
    <w:rsid w:val="00A031F1"/>
    <w:rsid w:val="00A03242"/>
    <w:rsid w:val="00A0328A"/>
    <w:rsid w:val="00A034D2"/>
    <w:rsid w:val="00A03558"/>
    <w:rsid w:val="00A03895"/>
    <w:rsid w:val="00A03932"/>
    <w:rsid w:val="00A03942"/>
    <w:rsid w:val="00A03B34"/>
    <w:rsid w:val="00A03C9C"/>
    <w:rsid w:val="00A03F10"/>
    <w:rsid w:val="00A04009"/>
    <w:rsid w:val="00A0479B"/>
    <w:rsid w:val="00A05060"/>
    <w:rsid w:val="00A050F7"/>
    <w:rsid w:val="00A0515D"/>
    <w:rsid w:val="00A05367"/>
    <w:rsid w:val="00A0543C"/>
    <w:rsid w:val="00A056BD"/>
    <w:rsid w:val="00A05836"/>
    <w:rsid w:val="00A058CE"/>
    <w:rsid w:val="00A05B61"/>
    <w:rsid w:val="00A05B6D"/>
    <w:rsid w:val="00A05FB7"/>
    <w:rsid w:val="00A067E8"/>
    <w:rsid w:val="00A06831"/>
    <w:rsid w:val="00A069B4"/>
    <w:rsid w:val="00A069D5"/>
    <w:rsid w:val="00A069D6"/>
    <w:rsid w:val="00A06D9E"/>
    <w:rsid w:val="00A06DC0"/>
    <w:rsid w:val="00A0700E"/>
    <w:rsid w:val="00A07056"/>
    <w:rsid w:val="00A072BB"/>
    <w:rsid w:val="00A072FC"/>
    <w:rsid w:val="00A073FD"/>
    <w:rsid w:val="00A074D2"/>
    <w:rsid w:val="00A07989"/>
    <w:rsid w:val="00A07C3E"/>
    <w:rsid w:val="00A07D54"/>
    <w:rsid w:val="00A10279"/>
    <w:rsid w:val="00A102EF"/>
    <w:rsid w:val="00A10456"/>
    <w:rsid w:val="00A10510"/>
    <w:rsid w:val="00A106C2"/>
    <w:rsid w:val="00A107F0"/>
    <w:rsid w:val="00A10801"/>
    <w:rsid w:val="00A10887"/>
    <w:rsid w:val="00A109AE"/>
    <w:rsid w:val="00A10A87"/>
    <w:rsid w:val="00A10D02"/>
    <w:rsid w:val="00A10D36"/>
    <w:rsid w:val="00A11180"/>
    <w:rsid w:val="00A1146A"/>
    <w:rsid w:val="00A11582"/>
    <w:rsid w:val="00A116BC"/>
    <w:rsid w:val="00A11779"/>
    <w:rsid w:val="00A11981"/>
    <w:rsid w:val="00A11B67"/>
    <w:rsid w:val="00A11C4B"/>
    <w:rsid w:val="00A11D45"/>
    <w:rsid w:val="00A11F88"/>
    <w:rsid w:val="00A11FEC"/>
    <w:rsid w:val="00A12117"/>
    <w:rsid w:val="00A122C8"/>
    <w:rsid w:val="00A12859"/>
    <w:rsid w:val="00A12B79"/>
    <w:rsid w:val="00A12EE9"/>
    <w:rsid w:val="00A1331B"/>
    <w:rsid w:val="00A13340"/>
    <w:rsid w:val="00A134A1"/>
    <w:rsid w:val="00A13944"/>
    <w:rsid w:val="00A13C3F"/>
    <w:rsid w:val="00A14832"/>
    <w:rsid w:val="00A14943"/>
    <w:rsid w:val="00A14968"/>
    <w:rsid w:val="00A14B84"/>
    <w:rsid w:val="00A1508A"/>
    <w:rsid w:val="00A151F6"/>
    <w:rsid w:val="00A152A4"/>
    <w:rsid w:val="00A155B8"/>
    <w:rsid w:val="00A1577C"/>
    <w:rsid w:val="00A15792"/>
    <w:rsid w:val="00A164B6"/>
    <w:rsid w:val="00A167F6"/>
    <w:rsid w:val="00A169DF"/>
    <w:rsid w:val="00A16C15"/>
    <w:rsid w:val="00A16DC0"/>
    <w:rsid w:val="00A16E25"/>
    <w:rsid w:val="00A16F9A"/>
    <w:rsid w:val="00A1711C"/>
    <w:rsid w:val="00A173BF"/>
    <w:rsid w:val="00A179D8"/>
    <w:rsid w:val="00A17CE7"/>
    <w:rsid w:val="00A17DE8"/>
    <w:rsid w:val="00A17FE7"/>
    <w:rsid w:val="00A17FF3"/>
    <w:rsid w:val="00A200A7"/>
    <w:rsid w:val="00A20230"/>
    <w:rsid w:val="00A20240"/>
    <w:rsid w:val="00A20412"/>
    <w:rsid w:val="00A204D6"/>
    <w:rsid w:val="00A2054D"/>
    <w:rsid w:val="00A20696"/>
    <w:rsid w:val="00A206E5"/>
    <w:rsid w:val="00A20A20"/>
    <w:rsid w:val="00A20BC7"/>
    <w:rsid w:val="00A20D59"/>
    <w:rsid w:val="00A20E20"/>
    <w:rsid w:val="00A20E2A"/>
    <w:rsid w:val="00A20F9B"/>
    <w:rsid w:val="00A21403"/>
    <w:rsid w:val="00A214B7"/>
    <w:rsid w:val="00A2169B"/>
    <w:rsid w:val="00A2173A"/>
    <w:rsid w:val="00A2178C"/>
    <w:rsid w:val="00A2228C"/>
    <w:rsid w:val="00A22290"/>
    <w:rsid w:val="00A223F0"/>
    <w:rsid w:val="00A2267B"/>
    <w:rsid w:val="00A228AE"/>
    <w:rsid w:val="00A22AC7"/>
    <w:rsid w:val="00A22E1D"/>
    <w:rsid w:val="00A22E8F"/>
    <w:rsid w:val="00A22EC1"/>
    <w:rsid w:val="00A22F14"/>
    <w:rsid w:val="00A2304C"/>
    <w:rsid w:val="00A23285"/>
    <w:rsid w:val="00A2336B"/>
    <w:rsid w:val="00A23411"/>
    <w:rsid w:val="00A2376E"/>
    <w:rsid w:val="00A237E3"/>
    <w:rsid w:val="00A23E9D"/>
    <w:rsid w:val="00A24A2A"/>
    <w:rsid w:val="00A24ABD"/>
    <w:rsid w:val="00A24F6E"/>
    <w:rsid w:val="00A24FCE"/>
    <w:rsid w:val="00A2502F"/>
    <w:rsid w:val="00A2515D"/>
    <w:rsid w:val="00A25538"/>
    <w:rsid w:val="00A255E0"/>
    <w:rsid w:val="00A257C6"/>
    <w:rsid w:val="00A25928"/>
    <w:rsid w:val="00A25BC3"/>
    <w:rsid w:val="00A25BC9"/>
    <w:rsid w:val="00A25F99"/>
    <w:rsid w:val="00A25FAC"/>
    <w:rsid w:val="00A25FDD"/>
    <w:rsid w:val="00A2641B"/>
    <w:rsid w:val="00A26460"/>
    <w:rsid w:val="00A269A1"/>
    <w:rsid w:val="00A26DA5"/>
    <w:rsid w:val="00A26E06"/>
    <w:rsid w:val="00A27373"/>
    <w:rsid w:val="00A27781"/>
    <w:rsid w:val="00A27864"/>
    <w:rsid w:val="00A27929"/>
    <w:rsid w:val="00A27D93"/>
    <w:rsid w:val="00A3005D"/>
    <w:rsid w:val="00A30483"/>
    <w:rsid w:val="00A30729"/>
    <w:rsid w:val="00A30C5F"/>
    <w:rsid w:val="00A316E5"/>
    <w:rsid w:val="00A31C10"/>
    <w:rsid w:val="00A31D6A"/>
    <w:rsid w:val="00A31F8D"/>
    <w:rsid w:val="00A324FF"/>
    <w:rsid w:val="00A327FD"/>
    <w:rsid w:val="00A32EC6"/>
    <w:rsid w:val="00A32EE6"/>
    <w:rsid w:val="00A32F89"/>
    <w:rsid w:val="00A33026"/>
    <w:rsid w:val="00A335BB"/>
    <w:rsid w:val="00A33ECD"/>
    <w:rsid w:val="00A341BC"/>
    <w:rsid w:val="00A341C1"/>
    <w:rsid w:val="00A34476"/>
    <w:rsid w:val="00A345BE"/>
    <w:rsid w:val="00A34C46"/>
    <w:rsid w:val="00A34C6A"/>
    <w:rsid w:val="00A34D99"/>
    <w:rsid w:val="00A34DEF"/>
    <w:rsid w:val="00A35293"/>
    <w:rsid w:val="00A35951"/>
    <w:rsid w:val="00A35A3C"/>
    <w:rsid w:val="00A35A9D"/>
    <w:rsid w:val="00A35AF9"/>
    <w:rsid w:val="00A362D0"/>
    <w:rsid w:val="00A369D6"/>
    <w:rsid w:val="00A36C26"/>
    <w:rsid w:val="00A36D28"/>
    <w:rsid w:val="00A36E4E"/>
    <w:rsid w:val="00A3725A"/>
    <w:rsid w:val="00A37430"/>
    <w:rsid w:val="00A37779"/>
    <w:rsid w:val="00A37A23"/>
    <w:rsid w:val="00A37F0E"/>
    <w:rsid w:val="00A4009A"/>
    <w:rsid w:val="00A40172"/>
    <w:rsid w:val="00A401A7"/>
    <w:rsid w:val="00A401D8"/>
    <w:rsid w:val="00A40290"/>
    <w:rsid w:val="00A4113D"/>
    <w:rsid w:val="00A412BB"/>
    <w:rsid w:val="00A41303"/>
    <w:rsid w:val="00A4137F"/>
    <w:rsid w:val="00A413D5"/>
    <w:rsid w:val="00A4180F"/>
    <w:rsid w:val="00A41824"/>
    <w:rsid w:val="00A41BC5"/>
    <w:rsid w:val="00A41BE3"/>
    <w:rsid w:val="00A41CF1"/>
    <w:rsid w:val="00A41D9E"/>
    <w:rsid w:val="00A42156"/>
    <w:rsid w:val="00A42326"/>
    <w:rsid w:val="00A4235A"/>
    <w:rsid w:val="00A427B6"/>
    <w:rsid w:val="00A428F8"/>
    <w:rsid w:val="00A42A63"/>
    <w:rsid w:val="00A42AB1"/>
    <w:rsid w:val="00A42C10"/>
    <w:rsid w:val="00A43475"/>
    <w:rsid w:val="00A43502"/>
    <w:rsid w:val="00A435A8"/>
    <w:rsid w:val="00A436D1"/>
    <w:rsid w:val="00A43B8F"/>
    <w:rsid w:val="00A43E80"/>
    <w:rsid w:val="00A44147"/>
    <w:rsid w:val="00A443CF"/>
    <w:rsid w:val="00A4447F"/>
    <w:rsid w:val="00A44672"/>
    <w:rsid w:val="00A448D8"/>
    <w:rsid w:val="00A44FAD"/>
    <w:rsid w:val="00A450CD"/>
    <w:rsid w:val="00A45324"/>
    <w:rsid w:val="00A454A2"/>
    <w:rsid w:val="00A45B75"/>
    <w:rsid w:val="00A45EE0"/>
    <w:rsid w:val="00A45F5F"/>
    <w:rsid w:val="00A46139"/>
    <w:rsid w:val="00A462EE"/>
    <w:rsid w:val="00A46415"/>
    <w:rsid w:val="00A4644F"/>
    <w:rsid w:val="00A46497"/>
    <w:rsid w:val="00A465B1"/>
    <w:rsid w:val="00A46A7E"/>
    <w:rsid w:val="00A46C49"/>
    <w:rsid w:val="00A46CF6"/>
    <w:rsid w:val="00A46DE8"/>
    <w:rsid w:val="00A46F31"/>
    <w:rsid w:val="00A46FBD"/>
    <w:rsid w:val="00A475EB"/>
    <w:rsid w:val="00A4777A"/>
    <w:rsid w:val="00A4788A"/>
    <w:rsid w:val="00A47E23"/>
    <w:rsid w:val="00A47F37"/>
    <w:rsid w:val="00A50211"/>
    <w:rsid w:val="00A5039C"/>
    <w:rsid w:val="00A50721"/>
    <w:rsid w:val="00A50C04"/>
    <w:rsid w:val="00A512DE"/>
    <w:rsid w:val="00A512E1"/>
    <w:rsid w:val="00A514DF"/>
    <w:rsid w:val="00A51A3A"/>
    <w:rsid w:val="00A51B08"/>
    <w:rsid w:val="00A51B60"/>
    <w:rsid w:val="00A51D70"/>
    <w:rsid w:val="00A520E3"/>
    <w:rsid w:val="00A52594"/>
    <w:rsid w:val="00A5259D"/>
    <w:rsid w:val="00A529CB"/>
    <w:rsid w:val="00A52B58"/>
    <w:rsid w:val="00A52BB5"/>
    <w:rsid w:val="00A53109"/>
    <w:rsid w:val="00A53277"/>
    <w:rsid w:val="00A534CB"/>
    <w:rsid w:val="00A534CF"/>
    <w:rsid w:val="00A536D4"/>
    <w:rsid w:val="00A53797"/>
    <w:rsid w:val="00A5392B"/>
    <w:rsid w:val="00A53F2D"/>
    <w:rsid w:val="00A5408E"/>
    <w:rsid w:val="00A54350"/>
    <w:rsid w:val="00A544DF"/>
    <w:rsid w:val="00A54716"/>
    <w:rsid w:val="00A54840"/>
    <w:rsid w:val="00A548F6"/>
    <w:rsid w:val="00A54AB0"/>
    <w:rsid w:val="00A54B69"/>
    <w:rsid w:val="00A54BF9"/>
    <w:rsid w:val="00A54CC2"/>
    <w:rsid w:val="00A54ED6"/>
    <w:rsid w:val="00A54FF1"/>
    <w:rsid w:val="00A551E5"/>
    <w:rsid w:val="00A5537B"/>
    <w:rsid w:val="00A55456"/>
    <w:rsid w:val="00A554EC"/>
    <w:rsid w:val="00A55625"/>
    <w:rsid w:val="00A55B92"/>
    <w:rsid w:val="00A55D0A"/>
    <w:rsid w:val="00A562DC"/>
    <w:rsid w:val="00A565A1"/>
    <w:rsid w:val="00A56651"/>
    <w:rsid w:val="00A56757"/>
    <w:rsid w:val="00A56DB1"/>
    <w:rsid w:val="00A56DEA"/>
    <w:rsid w:val="00A56E87"/>
    <w:rsid w:val="00A570D7"/>
    <w:rsid w:val="00A5739C"/>
    <w:rsid w:val="00A5764A"/>
    <w:rsid w:val="00A57C82"/>
    <w:rsid w:val="00A57EDE"/>
    <w:rsid w:val="00A6018D"/>
    <w:rsid w:val="00A60217"/>
    <w:rsid w:val="00A60326"/>
    <w:rsid w:val="00A6061C"/>
    <w:rsid w:val="00A606BC"/>
    <w:rsid w:val="00A60773"/>
    <w:rsid w:val="00A6084F"/>
    <w:rsid w:val="00A60950"/>
    <w:rsid w:val="00A60EF7"/>
    <w:rsid w:val="00A6107E"/>
    <w:rsid w:val="00A612AE"/>
    <w:rsid w:val="00A613B9"/>
    <w:rsid w:val="00A61526"/>
    <w:rsid w:val="00A61805"/>
    <w:rsid w:val="00A61B7F"/>
    <w:rsid w:val="00A61B9A"/>
    <w:rsid w:val="00A62101"/>
    <w:rsid w:val="00A6246E"/>
    <w:rsid w:val="00A6247E"/>
    <w:rsid w:val="00A62920"/>
    <w:rsid w:val="00A6292D"/>
    <w:rsid w:val="00A62A5B"/>
    <w:rsid w:val="00A62A6E"/>
    <w:rsid w:val="00A62B96"/>
    <w:rsid w:val="00A62E7D"/>
    <w:rsid w:val="00A63129"/>
    <w:rsid w:val="00A6327D"/>
    <w:rsid w:val="00A63656"/>
    <w:rsid w:val="00A63742"/>
    <w:rsid w:val="00A63837"/>
    <w:rsid w:val="00A6397A"/>
    <w:rsid w:val="00A63B27"/>
    <w:rsid w:val="00A644C5"/>
    <w:rsid w:val="00A646A0"/>
    <w:rsid w:val="00A6497F"/>
    <w:rsid w:val="00A649FA"/>
    <w:rsid w:val="00A64DB1"/>
    <w:rsid w:val="00A654C4"/>
    <w:rsid w:val="00A656DB"/>
    <w:rsid w:val="00A65831"/>
    <w:rsid w:val="00A65865"/>
    <w:rsid w:val="00A65873"/>
    <w:rsid w:val="00A65B9A"/>
    <w:rsid w:val="00A661B6"/>
    <w:rsid w:val="00A6625F"/>
    <w:rsid w:val="00A6647E"/>
    <w:rsid w:val="00A6655F"/>
    <w:rsid w:val="00A66760"/>
    <w:rsid w:val="00A66799"/>
    <w:rsid w:val="00A667D1"/>
    <w:rsid w:val="00A66918"/>
    <w:rsid w:val="00A66F3E"/>
    <w:rsid w:val="00A672E1"/>
    <w:rsid w:val="00A673FB"/>
    <w:rsid w:val="00A675A9"/>
    <w:rsid w:val="00A67B51"/>
    <w:rsid w:val="00A67C11"/>
    <w:rsid w:val="00A67C8C"/>
    <w:rsid w:val="00A701A1"/>
    <w:rsid w:val="00A70254"/>
    <w:rsid w:val="00A704D9"/>
    <w:rsid w:val="00A70660"/>
    <w:rsid w:val="00A7066C"/>
    <w:rsid w:val="00A70851"/>
    <w:rsid w:val="00A70874"/>
    <w:rsid w:val="00A708A3"/>
    <w:rsid w:val="00A709F0"/>
    <w:rsid w:val="00A71268"/>
    <w:rsid w:val="00A71428"/>
    <w:rsid w:val="00A71481"/>
    <w:rsid w:val="00A71940"/>
    <w:rsid w:val="00A71A62"/>
    <w:rsid w:val="00A71D31"/>
    <w:rsid w:val="00A71E3D"/>
    <w:rsid w:val="00A720CA"/>
    <w:rsid w:val="00A7217C"/>
    <w:rsid w:val="00A721A9"/>
    <w:rsid w:val="00A722BE"/>
    <w:rsid w:val="00A72FF4"/>
    <w:rsid w:val="00A73409"/>
    <w:rsid w:val="00A73C83"/>
    <w:rsid w:val="00A73E37"/>
    <w:rsid w:val="00A740F1"/>
    <w:rsid w:val="00A7416E"/>
    <w:rsid w:val="00A744B8"/>
    <w:rsid w:val="00A74707"/>
    <w:rsid w:val="00A747FF"/>
    <w:rsid w:val="00A74809"/>
    <w:rsid w:val="00A74DF2"/>
    <w:rsid w:val="00A74F1F"/>
    <w:rsid w:val="00A750F2"/>
    <w:rsid w:val="00A75494"/>
    <w:rsid w:val="00A754A1"/>
    <w:rsid w:val="00A758FB"/>
    <w:rsid w:val="00A75968"/>
    <w:rsid w:val="00A7598D"/>
    <w:rsid w:val="00A75C88"/>
    <w:rsid w:val="00A76044"/>
    <w:rsid w:val="00A760A0"/>
    <w:rsid w:val="00A760EC"/>
    <w:rsid w:val="00A76156"/>
    <w:rsid w:val="00A7644E"/>
    <w:rsid w:val="00A76696"/>
    <w:rsid w:val="00A76A68"/>
    <w:rsid w:val="00A76E54"/>
    <w:rsid w:val="00A77039"/>
    <w:rsid w:val="00A775CE"/>
    <w:rsid w:val="00A7764D"/>
    <w:rsid w:val="00A7765F"/>
    <w:rsid w:val="00A77A96"/>
    <w:rsid w:val="00A800AC"/>
    <w:rsid w:val="00A8032C"/>
    <w:rsid w:val="00A8049F"/>
    <w:rsid w:val="00A8054D"/>
    <w:rsid w:val="00A805E3"/>
    <w:rsid w:val="00A80747"/>
    <w:rsid w:val="00A80B0B"/>
    <w:rsid w:val="00A80C52"/>
    <w:rsid w:val="00A80CFA"/>
    <w:rsid w:val="00A80D23"/>
    <w:rsid w:val="00A81043"/>
    <w:rsid w:val="00A81047"/>
    <w:rsid w:val="00A81585"/>
    <w:rsid w:val="00A81589"/>
    <w:rsid w:val="00A81A31"/>
    <w:rsid w:val="00A81C99"/>
    <w:rsid w:val="00A82004"/>
    <w:rsid w:val="00A824B3"/>
    <w:rsid w:val="00A82827"/>
    <w:rsid w:val="00A828C5"/>
    <w:rsid w:val="00A828D9"/>
    <w:rsid w:val="00A8294B"/>
    <w:rsid w:val="00A8309C"/>
    <w:rsid w:val="00A831E5"/>
    <w:rsid w:val="00A834CC"/>
    <w:rsid w:val="00A8359C"/>
    <w:rsid w:val="00A835DB"/>
    <w:rsid w:val="00A83910"/>
    <w:rsid w:val="00A83BEE"/>
    <w:rsid w:val="00A83C22"/>
    <w:rsid w:val="00A83C78"/>
    <w:rsid w:val="00A83CC6"/>
    <w:rsid w:val="00A8407B"/>
    <w:rsid w:val="00A842D3"/>
    <w:rsid w:val="00A843C2"/>
    <w:rsid w:val="00A8470C"/>
    <w:rsid w:val="00A84835"/>
    <w:rsid w:val="00A848CA"/>
    <w:rsid w:val="00A84CB0"/>
    <w:rsid w:val="00A84D7D"/>
    <w:rsid w:val="00A850D8"/>
    <w:rsid w:val="00A851E5"/>
    <w:rsid w:val="00A8594F"/>
    <w:rsid w:val="00A859BE"/>
    <w:rsid w:val="00A85C8A"/>
    <w:rsid w:val="00A85E00"/>
    <w:rsid w:val="00A85E24"/>
    <w:rsid w:val="00A85E7D"/>
    <w:rsid w:val="00A861A8"/>
    <w:rsid w:val="00A869F8"/>
    <w:rsid w:val="00A86ADE"/>
    <w:rsid w:val="00A86D9B"/>
    <w:rsid w:val="00A86DA6"/>
    <w:rsid w:val="00A86E02"/>
    <w:rsid w:val="00A86E7E"/>
    <w:rsid w:val="00A86EC8"/>
    <w:rsid w:val="00A87245"/>
    <w:rsid w:val="00A8743E"/>
    <w:rsid w:val="00A87774"/>
    <w:rsid w:val="00A87B42"/>
    <w:rsid w:val="00A87DA2"/>
    <w:rsid w:val="00A90198"/>
    <w:rsid w:val="00A90358"/>
    <w:rsid w:val="00A904E0"/>
    <w:rsid w:val="00A90775"/>
    <w:rsid w:val="00A9086C"/>
    <w:rsid w:val="00A910AC"/>
    <w:rsid w:val="00A9111D"/>
    <w:rsid w:val="00A917B3"/>
    <w:rsid w:val="00A91870"/>
    <w:rsid w:val="00A91992"/>
    <w:rsid w:val="00A91B99"/>
    <w:rsid w:val="00A92037"/>
    <w:rsid w:val="00A921EC"/>
    <w:rsid w:val="00A9233F"/>
    <w:rsid w:val="00A92710"/>
    <w:rsid w:val="00A92BB2"/>
    <w:rsid w:val="00A92D68"/>
    <w:rsid w:val="00A92F37"/>
    <w:rsid w:val="00A9314B"/>
    <w:rsid w:val="00A9324D"/>
    <w:rsid w:val="00A934B6"/>
    <w:rsid w:val="00A934E3"/>
    <w:rsid w:val="00A93758"/>
    <w:rsid w:val="00A93911"/>
    <w:rsid w:val="00A939F3"/>
    <w:rsid w:val="00A93C0F"/>
    <w:rsid w:val="00A93E46"/>
    <w:rsid w:val="00A93E60"/>
    <w:rsid w:val="00A93EA0"/>
    <w:rsid w:val="00A93F6E"/>
    <w:rsid w:val="00A93F80"/>
    <w:rsid w:val="00A94503"/>
    <w:rsid w:val="00A94566"/>
    <w:rsid w:val="00A9489C"/>
    <w:rsid w:val="00A94B0A"/>
    <w:rsid w:val="00A94F4C"/>
    <w:rsid w:val="00A95305"/>
    <w:rsid w:val="00A95319"/>
    <w:rsid w:val="00A958A3"/>
    <w:rsid w:val="00A958F3"/>
    <w:rsid w:val="00A95BE0"/>
    <w:rsid w:val="00A95F54"/>
    <w:rsid w:val="00A95F59"/>
    <w:rsid w:val="00A96353"/>
    <w:rsid w:val="00A96672"/>
    <w:rsid w:val="00A96687"/>
    <w:rsid w:val="00A96B58"/>
    <w:rsid w:val="00A96BC9"/>
    <w:rsid w:val="00A96F58"/>
    <w:rsid w:val="00A9700F"/>
    <w:rsid w:val="00A97027"/>
    <w:rsid w:val="00A978FE"/>
    <w:rsid w:val="00A97BA7"/>
    <w:rsid w:val="00A97FAA"/>
    <w:rsid w:val="00AA053C"/>
    <w:rsid w:val="00AA0B5D"/>
    <w:rsid w:val="00AA0BE1"/>
    <w:rsid w:val="00AA0FC9"/>
    <w:rsid w:val="00AA1010"/>
    <w:rsid w:val="00AA1095"/>
    <w:rsid w:val="00AA1202"/>
    <w:rsid w:val="00AA18B8"/>
    <w:rsid w:val="00AA1AD1"/>
    <w:rsid w:val="00AA1ED5"/>
    <w:rsid w:val="00AA221C"/>
    <w:rsid w:val="00AA2352"/>
    <w:rsid w:val="00AA2690"/>
    <w:rsid w:val="00AA27F3"/>
    <w:rsid w:val="00AA2854"/>
    <w:rsid w:val="00AA2BE0"/>
    <w:rsid w:val="00AA2FF5"/>
    <w:rsid w:val="00AA3435"/>
    <w:rsid w:val="00AA367D"/>
    <w:rsid w:val="00AA3727"/>
    <w:rsid w:val="00AA3E5E"/>
    <w:rsid w:val="00AA3EFD"/>
    <w:rsid w:val="00AA3FF1"/>
    <w:rsid w:val="00AA4024"/>
    <w:rsid w:val="00AA4036"/>
    <w:rsid w:val="00AA40DA"/>
    <w:rsid w:val="00AA428A"/>
    <w:rsid w:val="00AA44FD"/>
    <w:rsid w:val="00AA462E"/>
    <w:rsid w:val="00AA4B58"/>
    <w:rsid w:val="00AA4B68"/>
    <w:rsid w:val="00AA52AD"/>
    <w:rsid w:val="00AA53CA"/>
    <w:rsid w:val="00AA55BF"/>
    <w:rsid w:val="00AA5CD4"/>
    <w:rsid w:val="00AA5DB3"/>
    <w:rsid w:val="00AA6034"/>
    <w:rsid w:val="00AA605F"/>
    <w:rsid w:val="00AA6280"/>
    <w:rsid w:val="00AA69E6"/>
    <w:rsid w:val="00AA6C98"/>
    <w:rsid w:val="00AA6CA4"/>
    <w:rsid w:val="00AA6FD7"/>
    <w:rsid w:val="00AA70F5"/>
    <w:rsid w:val="00AA7278"/>
    <w:rsid w:val="00AA7361"/>
    <w:rsid w:val="00AA73EA"/>
    <w:rsid w:val="00AA7461"/>
    <w:rsid w:val="00AA77A5"/>
    <w:rsid w:val="00AB017B"/>
    <w:rsid w:val="00AB017F"/>
    <w:rsid w:val="00AB028C"/>
    <w:rsid w:val="00AB02D6"/>
    <w:rsid w:val="00AB074B"/>
    <w:rsid w:val="00AB0751"/>
    <w:rsid w:val="00AB07D0"/>
    <w:rsid w:val="00AB0948"/>
    <w:rsid w:val="00AB0B7E"/>
    <w:rsid w:val="00AB106C"/>
    <w:rsid w:val="00AB18E0"/>
    <w:rsid w:val="00AB1932"/>
    <w:rsid w:val="00AB1A56"/>
    <w:rsid w:val="00AB1B48"/>
    <w:rsid w:val="00AB1B84"/>
    <w:rsid w:val="00AB1BE0"/>
    <w:rsid w:val="00AB1C09"/>
    <w:rsid w:val="00AB1D00"/>
    <w:rsid w:val="00AB1D5D"/>
    <w:rsid w:val="00AB2273"/>
    <w:rsid w:val="00AB2396"/>
    <w:rsid w:val="00AB23B0"/>
    <w:rsid w:val="00AB25CD"/>
    <w:rsid w:val="00AB2722"/>
    <w:rsid w:val="00AB2E0C"/>
    <w:rsid w:val="00AB33F7"/>
    <w:rsid w:val="00AB37FC"/>
    <w:rsid w:val="00AB3929"/>
    <w:rsid w:val="00AB3A5F"/>
    <w:rsid w:val="00AB3BA5"/>
    <w:rsid w:val="00AB3DB2"/>
    <w:rsid w:val="00AB3FA6"/>
    <w:rsid w:val="00AB41F7"/>
    <w:rsid w:val="00AB4B79"/>
    <w:rsid w:val="00AB4C35"/>
    <w:rsid w:val="00AB5278"/>
    <w:rsid w:val="00AB52E5"/>
    <w:rsid w:val="00AB57A2"/>
    <w:rsid w:val="00AB5AF2"/>
    <w:rsid w:val="00AB5D83"/>
    <w:rsid w:val="00AB5D8A"/>
    <w:rsid w:val="00AB6039"/>
    <w:rsid w:val="00AB6202"/>
    <w:rsid w:val="00AB64C6"/>
    <w:rsid w:val="00AB664D"/>
    <w:rsid w:val="00AB68E2"/>
    <w:rsid w:val="00AB6B2F"/>
    <w:rsid w:val="00AB6B79"/>
    <w:rsid w:val="00AB6BEF"/>
    <w:rsid w:val="00AB6C60"/>
    <w:rsid w:val="00AB6CA6"/>
    <w:rsid w:val="00AB718F"/>
    <w:rsid w:val="00AB7390"/>
    <w:rsid w:val="00AB73F4"/>
    <w:rsid w:val="00AB763B"/>
    <w:rsid w:val="00AB784B"/>
    <w:rsid w:val="00AB7BDD"/>
    <w:rsid w:val="00AB7D2C"/>
    <w:rsid w:val="00AB7F78"/>
    <w:rsid w:val="00AC00CE"/>
    <w:rsid w:val="00AC09CA"/>
    <w:rsid w:val="00AC0B63"/>
    <w:rsid w:val="00AC0B7A"/>
    <w:rsid w:val="00AC0D50"/>
    <w:rsid w:val="00AC0DD8"/>
    <w:rsid w:val="00AC14B4"/>
    <w:rsid w:val="00AC1665"/>
    <w:rsid w:val="00AC1B6F"/>
    <w:rsid w:val="00AC20A8"/>
    <w:rsid w:val="00AC235A"/>
    <w:rsid w:val="00AC2919"/>
    <w:rsid w:val="00AC2ACB"/>
    <w:rsid w:val="00AC2AF3"/>
    <w:rsid w:val="00AC2CF6"/>
    <w:rsid w:val="00AC2EF0"/>
    <w:rsid w:val="00AC2F56"/>
    <w:rsid w:val="00AC304F"/>
    <w:rsid w:val="00AC338C"/>
    <w:rsid w:val="00AC355D"/>
    <w:rsid w:val="00AC3601"/>
    <w:rsid w:val="00AC3D92"/>
    <w:rsid w:val="00AC44B5"/>
    <w:rsid w:val="00AC478E"/>
    <w:rsid w:val="00AC4A4B"/>
    <w:rsid w:val="00AC4B75"/>
    <w:rsid w:val="00AC4CF2"/>
    <w:rsid w:val="00AC4EE7"/>
    <w:rsid w:val="00AC504F"/>
    <w:rsid w:val="00AC55C4"/>
    <w:rsid w:val="00AC5804"/>
    <w:rsid w:val="00AC58CE"/>
    <w:rsid w:val="00AC5EB0"/>
    <w:rsid w:val="00AC5F55"/>
    <w:rsid w:val="00AC641D"/>
    <w:rsid w:val="00AC6493"/>
    <w:rsid w:val="00AC64E2"/>
    <w:rsid w:val="00AC6518"/>
    <w:rsid w:val="00AC668D"/>
    <w:rsid w:val="00AC6746"/>
    <w:rsid w:val="00AC714C"/>
    <w:rsid w:val="00AC720A"/>
    <w:rsid w:val="00AC72B3"/>
    <w:rsid w:val="00AC74EC"/>
    <w:rsid w:val="00AC7641"/>
    <w:rsid w:val="00AC7978"/>
    <w:rsid w:val="00AC79DF"/>
    <w:rsid w:val="00AC7ABA"/>
    <w:rsid w:val="00AC7E25"/>
    <w:rsid w:val="00AC7F59"/>
    <w:rsid w:val="00AD0017"/>
    <w:rsid w:val="00AD00E7"/>
    <w:rsid w:val="00AD036C"/>
    <w:rsid w:val="00AD04BE"/>
    <w:rsid w:val="00AD053F"/>
    <w:rsid w:val="00AD0C3A"/>
    <w:rsid w:val="00AD0E07"/>
    <w:rsid w:val="00AD0F21"/>
    <w:rsid w:val="00AD0FA3"/>
    <w:rsid w:val="00AD0FB2"/>
    <w:rsid w:val="00AD1112"/>
    <w:rsid w:val="00AD14ED"/>
    <w:rsid w:val="00AD1585"/>
    <w:rsid w:val="00AD172B"/>
    <w:rsid w:val="00AD1804"/>
    <w:rsid w:val="00AD191B"/>
    <w:rsid w:val="00AD1B63"/>
    <w:rsid w:val="00AD1DCD"/>
    <w:rsid w:val="00AD2167"/>
    <w:rsid w:val="00AD2530"/>
    <w:rsid w:val="00AD2548"/>
    <w:rsid w:val="00AD2767"/>
    <w:rsid w:val="00AD291B"/>
    <w:rsid w:val="00AD2A62"/>
    <w:rsid w:val="00AD2E66"/>
    <w:rsid w:val="00AD2FFA"/>
    <w:rsid w:val="00AD3168"/>
    <w:rsid w:val="00AD327D"/>
    <w:rsid w:val="00AD32ED"/>
    <w:rsid w:val="00AD3B87"/>
    <w:rsid w:val="00AD42C0"/>
    <w:rsid w:val="00AD4571"/>
    <w:rsid w:val="00AD4958"/>
    <w:rsid w:val="00AD4BCD"/>
    <w:rsid w:val="00AD51B5"/>
    <w:rsid w:val="00AD590C"/>
    <w:rsid w:val="00AD5BB2"/>
    <w:rsid w:val="00AD5E65"/>
    <w:rsid w:val="00AD6328"/>
    <w:rsid w:val="00AD67C7"/>
    <w:rsid w:val="00AD6884"/>
    <w:rsid w:val="00AD6E0C"/>
    <w:rsid w:val="00AD6E6C"/>
    <w:rsid w:val="00AD7192"/>
    <w:rsid w:val="00AD72E7"/>
    <w:rsid w:val="00AD7805"/>
    <w:rsid w:val="00AD7A71"/>
    <w:rsid w:val="00AD7F03"/>
    <w:rsid w:val="00AE00E9"/>
    <w:rsid w:val="00AE012A"/>
    <w:rsid w:val="00AE0136"/>
    <w:rsid w:val="00AE078E"/>
    <w:rsid w:val="00AE096E"/>
    <w:rsid w:val="00AE09A0"/>
    <w:rsid w:val="00AE0C95"/>
    <w:rsid w:val="00AE14F3"/>
    <w:rsid w:val="00AE1599"/>
    <w:rsid w:val="00AE1862"/>
    <w:rsid w:val="00AE18EB"/>
    <w:rsid w:val="00AE1C09"/>
    <w:rsid w:val="00AE1D46"/>
    <w:rsid w:val="00AE1ECE"/>
    <w:rsid w:val="00AE2028"/>
    <w:rsid w:val="00AE29ED"/>
    <w:rsid w:val="00AE2A2B"/>
    <w:rsid w:val="00AE2B7C"/>
    <w:rsid w:val="00AE2D15"/>
    <w:rsid w:val="00AE3028"/>
    <w:rsid w:val="00AE3043"/>
    <w:rsid w:val="00AE3149"/>
    <w:rsid w:val="00AE3224"/>
    <w:rsid w:val="00AE3326"/>
    <w:rsid w:val="00AE3586"/>
    <w:rsid w:val="00AE3599"/>
    <w:rsid w:val="00AE379C"/>
    <w:rsid w:val="00AE37B3"/>
    <w:rsid w:val="00AE3B9B"/>
    <w:rsid w:val="00AE3E98"/>
    <w:rsid w:val="00AE3F38"/>
    <w:rsid w:val="00AE4275"/>
    <w:rsid w:val="00AE439A"/>
    <w:rsid w:val="00AE4B21"/>
    <w:rsid w:val="00AE4FD4"/>
    <w:rsid w:val="00AE5176"/>
    <w:rsid w:val="00AE57F2"/>
    <w:rsid w:val="00AE5C48"/>
    <w:rsid w:val="00AE5CD4"/>
    <w:rsid w:val="00AE5D1B"/>
    <w:rsid w:val="00AE5EA1"/>
    <w:rsid w:val="00AE612D"/>
    <w:rsid w:val="00AE6133"/>
    <w:rsid w:val="00AE65FA"/>
    <w:rsid w:val="00AE673C"/>
    <w:rsid w:val="00AE6940"/>
    <w:rsid w:val="00AE6B2B"/>
    <w:rsid w:val="00AE6BC2"/>
    <w:rsid w:val="00AE6D2B"/>
    <w:rsid w:val="00AE6E0F"/>
    <w:rsid w:val="00AE6EB4"/>
    <w:rsid w:val="00AE6F75"/>
    <w:rsid w:val="00AE729D"/>
    <w:rsid w:val="00AE789F"/>
    <w:rsid w:val="00AE7B72"/>
    <w:rsid w:val="00AE7C5C"/>
    <w:rsid w:val="00AE7C67"/>
    <w:rsid w:val="00AE7E19"/>
    <w:rsid w:val="00AF0065"/>
    <w:rsid w:val="00AF0237"/>
    <w:rsid w:val="00AF0562"/>
    <w:rsid w:val="00AF06A4"/>
    <w:rsid w:val="00AF0D78"/>
    <w:rsid w:val="00AF0E19"/>
    <w:rsid w:val="00AF0F1A"/>
    <w:rsid w:val="00AF0F9D"/>
    <w:rsid w:val="00AF10F1"/>
    <w:rsid w:val="00AF1197"/>
    <w:rsid w:val="00AF11A0"/>
    <w:rsid w:val="00AF11BF"/>
    <w:rsid w:val="00AF1772"/>
    <w:rsid w:val="00AF1B33"/>
    <w:rsid w:val="00AF1BD6"/>
    <w:rsid w:val="00AF1BFE"/>
    <w:rsid w:val="00AF21D1"/>
    <w:rsid w:val="00AF28CC"/>
    <w:rsid w:val="00AF2AB5"/>
    <w:rsid w:val="00AF2BB0"/>
    <w:rsid w:val="00AF2D17"/>
    <w:rsid w:val="00AF3333"/>
    <w:rsid w:val="00AF3573"/>
    <w:rsid w:val="00AF359A"/>
    <w:rsid w:val="00AF387B"/>
    <w:rsid w:val="00AF3AA4"/>
    <w:rsid w:val="00AF3C72"/>
    <w:rsid w:val="00AF421E"/>
    <w:rsid w:val="00AF427A"/>
    <w:rsid w:val="00AF4461"/>
    <w:rsid w:val="00AF45ED"/>
    <w:rsid w:val="00AF4633"/>
    <w:rsid w:val="00AF488E"/>
    <w:rsid w:val="00AF4AE8"/>
    <w:rsid w:val="00AF4F6B"/>
    <w:rsid w:val="00AF51E6"/>
    <w:rsid w:val="00AF57DF"/>
    <w:rsid w:val="00AF5AA5"/>
    <w:rsid w:val="00AF5E69"/>
    <w:rsid w:val="00AF5FCA"/>
    <w:rsid w:val="00AF6142"/>
    <w:rsid w:val="00AF6225"/>
    <w:rsid w:val="00AF63E9"/>
    <w:rsid w:val="00AF68EA"/>
    <w:rsid w:val="00AF6F1D"/>
    <w:rsid w:val="00AF6FBE"/>
    <w:rsid w:val="00AF705B"/>
    <w:rsid w:val="00AF70CD"/>
    <w:rsid w:val="00AF7106"/>
    <w:rsid w:val="00AF7402"/>
    <w:rsid w:val="00AF78AE"/>
    <w:rsid w:val="00AF7B69"/>
    <w:rsid w:val="00AF7FB1"/>
    <w:rsid w:val="00B001DA"/>
    <w:rsid w:val="00B00634"/>
    <w:rsid w:val="00B007E5"/>
    <w:rsid w:val="00B00884"/>
    <w:rsid w:val="00B00A44"/>
    <w:rsid w:val="00B00BEC"/>
    <w:rsid w:val="00B00FBE"/>
    <w:rsid w:val="00B01079"/>
    <w:rsid w:val="00B010C4"/>
    <w:rsid w:val="00B01180"/>
    <w:rsid w:val="00B0194C"/>
    <w:rsid w:val="00B0199F"/>
    <w:rsid w:val="00B019A6"/>
    <w:rsid w:val="00B01AB0"/>
    <w:rsid w:val="00B01B13"/>
    <w:rsid w:val="00B01D4D"/>
    <w:rsid w:val="00B01DAB"/>
    <w:rsid w:val="00B01EE0"/>
    <w:rsid w:val="00B01EE6"/>
    <w:rsid w:val="00B0209B"/>
    <w:rsid w:val="00B020D1"/>
    <w:rsid w:val="00B0227F"/>
    <w:rsid w:val="00B0288D"/>
    <w:rsid w:val="00B02913"/>
    <w:rsid w:val="00B02D1C"/>
    <w:rsid w:val="00B02EB4"/>
    <w:rsid w:val="00B037D2"/>
    <w:rsid w:val="00B038A3"/>
    <w:rsid w:val="00B03C96"/>
    <w:rsid w:val="00B045AF"/>
    <w:rsid w:val="00B0462F"/>
    <w:rsid w:val="00B046BE"/>
    <w:rsid w:val="00B049C3"/>
    <w:rsid w:val="00B04AB1"/>
    <w:rsid w:val="00B04C4B"/>
    <w:rsid w:val="00B04D15"/>
    <w:rsid w:val="00B04D1F"/>
    <w:rsid w:val="00B04E70"/>
    <w:rsid w:val="00B04EED"/>
    <w:rsid w:val="00B054D2"/>
    <w:rsid w:val="00B055D9"/>
    <w:rsid w:val="00B05656"/>
    <w:rsid w:val="00B056D4"/>
    <w:rsid w:val="00B05896"/>
    <w:rsid w:val="00B05A52"/>
    <w:rsid w:val="00B05B28"/>
    <w:rsid w:val="00B05F87"/>
    <w:rsid w:val="00B06166"/>
    <w:rsid w:val="00B06399"/>
    <w:rsid w:val="00B064BF"/>
    <w:rsid w:val="00B065F0"/>
    <w:rsid w:val="00B0661F"/>
    <w:rsid w:val="00B066A8"/>
    <w:rsid w:val="00B066F4"/>
    <w:rsid w:val="00B06812"/>
    <w:rsid w:val="00B0686C"/>
    <w:rsid w:val="00B06AAE"/>
    <w:rsid w:val="00B071AE"/>
    <w:rsid w:val="00B07AFA"/>
    <w:rsid w:val="00B07C73"/>
    <w:rsid w:val="00B07F41"/>
    <w:rsid w:val="00B07FD5"/>
    <w:rsid w:val="00B104A5"/>
    <w:rsid w:val="00B1100B"/>
    <w:rsid w:val="00B1102D"/>
    <w:rsid w:val="00B110A8"/>
    <w:rsid w:val="00B11197"/>
    <w:rsid w:val="00B113B2"/>
    <w:rsid w:val="00B116B8"/>
    <w:rsid w:val="00B11B56"/>
    <w:rsid w:val="00B11B6F"/>
    <w:rsid w:val="00B11BD6"/>
    <w:rsid w:val="00B11BE3"/>
    <w:rsid w:val="00B11EFD"/>
    <w:rsid w:val="00B1213F"/>
    <w:rsid w:val="00B1226A"/>
    <w:rsid w:val="00B12397"/>
    <w:rsid w:val="00B126A0"/>
    <w:rsid w:val="00B12B6F"/>
    <w:rsid w:val="00B12E91"/>
    <w:rsid w:val="00B1326B"/>
    <w:rsid w:val="00B138C2"/>
    <w:rsid w:val="00B13A22"/>
    <w:rsid w:val="00B13AF0"/>
    <w:rsid w:val="00B13CE4"/>
    <w:rsid w:val="00B147B2"/>
    <w:rsid w:val="00B14D22"/>
    <w:rsid w:val="00B14F48"/>
    <w:rsid w:val="00B153E9"/>
    <w:rsid w:val="00B15AFD"/>
    <w:rsid w:val="00B15BF8"/>
    <w:rsid w:val="00B15BFA"/>
    <w:rsid w:val="00B15D15"/>
    <w:rsid w:val="00B15E28"/>
    <w:rsid w:val="00B15E9A"/>
    <w:rsid w:val="00B15EE2"/>
    <w:rsid w:val="00B162F9"/>
    <w:rsid w:val="00B16307"/>
    <w:rsid w:val="00B16315"/>
    <w:rsid w:val="00B1646F"/>
    <w:rsid w:val="00B16764"/>
    <w:rsid w:val="00B167C4"/>
    <w:rsid w:val="00B16DBF"/>
    <w:rsid w:val="00B17D15"/>
    <w:rsid w:val="00B17E03"/>
    <w:rsid w:val="00B17EA5"/>
    <w:rsid w:val="00B17FA8"/>
    <w:rsid w:val="00B2049A"/>
    <w:rsid w:val="00B20517"/>
    <w:rsid w:val="00B20688"/>
    <w:rsid w:val="00B20A07"/>
    <w:rsid w:val="00B211FE"/>
    <w:rsid w:val="00B21270"/>
    <w:rsid w:val="00B21386"/>
    <w:rsid w:val="00B21452"/>
    <w:rsid w:val="00B2158A"/>
    <w:rsid w:val="00B2162E"/>
    <w:rsid w:val="00B217BE"/>
    <w:rsid w:val="00B22031"/>
    <w:rsid w:val="00B22096"/>
    <w:rsid w:val="00B220B1"/>
    <w:rsid w:val="00B2232C"/>
    <w:rsid w:val="00B22E00"/>
    <w:rsid w:val="00B22FB8"/>
    <w:rsid w:val="00B23133"/>
    <w:rsid w:val="00B233DE"/>
    <w:rsid w:val="00B2390D"/>
    <w:rsid w:val="00B2390E"/>
    <w:rsid w:val="00B23947"/>
    <w:rsid w:val="00B23A56"/>
    <w:rsid w:val="00B23A5A"/>
    <w:rsid w:val="00B23BAA"/>
    <w:rsid w:val="00B23BB9"/>
    <w:rsid w:val="00B23C3C"/>
    <w:rsid w:val="00B23D1F"/>
    <w:rsid w:val="00B23F92"/>
    <w:rsid w:val="00B2406B"/>
    <w:rsid w:val="00B240FC"/>
    <w:rsid w:val="00B244E0"/>
    <w:rsid w:val="00B24DEB"/>
    <w:rsid w:val="00B24F77"/>
    <w:rsid w:val="00B25177"/>
    <w:rsid w:val="00B25239"/>
    <w:rsid w:val="00B253E7"/>
    <w:rsid w:val="00B258D1"/>
    <w:rsid w:val="00B25AC1"/>
    <w:rsid w:val="00B25B5A"/>
    <w:rsid w:val="00B25B78"/>
    <w:rsid w:val="00B263ED"/>
    <w:rsid w:val="00B268A5"/>
    <w:rsid w:val="00B26C70"/>
    <w:rsid w:val="00B26CA9"/>
    <w:rsid w:val="00B26EC9"/>
    <w:rsid w:val="00B27109"/>
    <w:rsid w:val="00B27163"/>
    <w:rsid w:val="00B27819"/>
    <w:rsid w:val="00B27C10"/>
    <w:rsid w:val="00B27CF5"/>
    <w:rsid w:val="00B27E8D"/>
    <w:rsid w:val="00B3002E"/>
    <w:rsid w:val="00B30251"/>
    <w:rsid w:val="00B3052C"/>
    <w:rsid w:val="00B30552"/>
    <w:rsid w:val="00B306F3"/>
    <w:rsid w:val="00B30920"/>
    <w:rsid w:val="00B309AE"/>
    <w:rsid w:val="00B309EC"/>
    <w:rsid w:val="00B31367"/>
    <w:rsid w:val="00B31402"/>
    <w:rsid w:val="00B316C9"/>
    <w:rsid w:val="00B31A48"/>
    <w:rsid w:val="00B31A9D"/>
    <w:rsid w:val="00B32202"/>
    <w:rsid w:val="00B3281B"/>
    <w:rsid w:val="00B32A40"/>
    <w:rsid w:val="00B32A56"/>
    <w:rsid w:val="00B32FBB"/>
    <w:rsid w:val="00B33390"/>
    <w:rsid w:val="00B33950"/>
    <w:rsid w:val="00B33CDB"/>
    <w:rsid w:val="00B33EAD"/>
    <w:rsid w:val="00B34C34"/>
    <w:rsid w:val="00B34F2F"/>
    <w:rsid w:val="00B35040"/>
    <w:rsid w:val="00B352DD"/>
    <w:rsid w:val="00B353EF"/>
    <w:rsid w:val="00B354B5"/>
    <w:rsid w:val="00B356E6"/>
    <w:rsid w:val="00B357FB"/>
    <w:rsid w:val="00B36335"/>
    <w:rsid w:val="00B36380"/>
    <w:rsid w:val="00B36592"/>
    <w:rsid w:val="00B36729"/>
    <w:rsid w:val="00B36804"/>
    <w:rsid w:val="00B36A89"/>
    <w:rsid w:val="00B36F98"/>
    <w:rsid w:val="00B372D5"/>
    <w:rsid w:val="00B37461"/>
    <w:rsid w:val="00B375DB"/>
    <w:rsid w:val="00B37D29"/>
    <w:rsid w:val="00B37DBB"/>
    <w:rsid w:val="00B37F2C"/>
    <w:rsid w:val="00B37FEE"/>
    <w:rsid w:val="00B40178"/>
    <w:rsid w:val="00B4063F"/>
    <w:rsid w:val="00B4073A"/>
    <w:rsid w:val="00B4077D"/>
    <w:rsid w:val="00B40951"/>
    <w:rsid w:val="00B40D4C"/>
    <w:rsid w:val="00B40FEE"/>
    <w:rsid w:val="00B4115E"/>
    <w:rsid w:val="00B4125F"/>
    <w:rsid w:val="00B41B22"/>
    <w:rsid w:val="00B41C09"/>
    <w:rsid w:val="00B41C1B"/>
    <w:rsid w:val="00B422BA"/>
    <w:rsid w:val="00B423BA"/>
    <w:rsid w:val="00B42575"/>
    <w:rsid w:val="00B42C96"/>
    <w:rsid w:val="00B42D2B"/>
    <w:rsid w:val="00B431D7"/>
    <w:rsid w:val="00B43489"/>
    <w:rsid w:val="00B43551"/>
    <w:rsid w:val="00B43BD8"/>
    <w:rsid w:val="00B43D6F"/>
    <w:rsid w:val="00B43F30"/>
    <w:rsid w:val="00B43F76"/>
    <w:rsid w:val="00B440A5"/>
    <w:rsid w:val="00B441CF"/>
    <w:rsid w:val="00B44341"/>
    <w:rsid w:val="00B4444F"/>
    <w:rsid w:val="00B444C3"/>
    <w:rsid w:val="00B4480D"/>
    <w:rsid w:val="00B44AF5"/>
    <w:rsid w:val="00B44B4D"/>
    <w:rsid w:val="00B44C76"/>
    <w:rsid w:val="00B45415"/>
    <w:rsid w:val="00B4557C"/>
    <w:rsid w:val="00B4558C"/>
    <w:rsid w:val="00B45651"/>
    <w:rsid w:val="00B45953"/>
    <w:rsid w:val="00B45A14"/>
    <w:rsid w:val="00B45BFF"/>
    <w:rsid w:val="00B45D2D"/>
    <w:rsid w:val="00B45E26"/>
    <w:rsid w:val="00B45EEB"/>
    <w:rsid w:val="00B45F57"/>
    <w:rsid w:val="00B45FEC"/>
    <w:rsid w:val="00B4619F"/>
    <w:rsid w:val="00B463C2"/>
    <w:rsid w:val="00B4658C"/>
    <w:rsid w:val="00B465DF"/>
    <w:rsid w:val="00B4660A"/>
    <w:rsid w:val="00B46734"/>
    <w:rsid w:val="00B467A7"/>
    <w:rsid w:val="00B46981"/>
    <w:rsid w:val="00B46B0D"/>
    <w:rsid w:val="00B46BC9"/>
    <w:rsid w:val="00B46E73"/>
    <w:rsid w:val="00B4715C"/>
    <w:rsid w:val="00B47254"/>
    <w:rsid w:val="00B47522"/>
    <w:rsid w:val="00B478AF"/>
    <w:rsid w:val="00B47B4A"/>
    <w:rsid w:val="00B47B56"/>
    <w:rsid w:val="00B47FDB"/>
    <w:rsid w:val="00B50496"/>
    <w:rsid w:val="00B50849"/>
    <w:rsid w:val="00B50BBD"/>
    <w:rsid w:val="00B50C3B"/>
    <w:rsid w:val="00B50D9F"/>
    <w:rsid w:val="00B50EB5"/>
    <w:rsid w:val="00B51400"/>
    <w:rsid w:val="00B514E6"/>
    <w:rsid w:val="00B51516"/>
    <w:rsid w:val="00B5165D"/>
    <w:rsid w:val="00B52172"/>
    <w:rsid w:val="00B523B0"/>
    <w:rsid w:val="00B524E4"/>
    <w:rsid w:val="00B528FA"/>
    <w:rsid w:val="00B52AEF"/>
    <w:rsid w:val="00B53079"/>
    <w:rsid w:val="00B5322A"/>
    <w:rsid w:val="00B5322D"/>
    <w:rsid w:val="00B53409"/>
    <w:rsid w:val="00B53820"/>
    <w:rsid w:val="00B53B2A"/>
    <w:rsid w:val="00B53B8D"/>
    <w:rsid w:val="00B53BC3"/>
    <w:rsid w:val="00B53BE4"/>
    <w:rsid w:val="00B53DAC"/>
    <w:rsid w:val="00B53ED8"/>
    <w:rsid w:val="00B5414D"/>
    <w:rsid w:val="00B54249"/>
    <w:rsid w:val="00B542EB"/>
    <w:rsid w:val="00B5444F"/>
    <w:rsid w:val="00B54859"/>
    <w:rsid w:val="00B548B6"/>
    <w:rsid w:val="00B54FC9"/>
    <w:rsid w:val="00B5539D"/>
    <w:rsid w:val="00B553EC"/>
    <w:rsid w:val="00B55544"/>
    <w:rsid w:val="00B55AAC"/>
    <w:rsid w:val="00B55F85"/>
    <w:rsid w:val="00B56149"/>
    <w:rsid w:val="00B5665C"/>
    <w:rsid w:val="00B56BF1"/>
    <w:rsid w:val="00B56C32"/>
    <w:rsid w:val="00B572C0"/>
    <w:rsid w:val="00B577B9"/>
    <w:rsid w:val="00B57CC1"/>
    <w:rsid w:val="00B57F4B"/>
    <w:rsid w:val="00B605F0"/>
    <w:rsid w:val="00B60AB5"/>
    <w:rsid w:val="00B60ED3"/>
    <w:rsid w:val="00B60F40"/>
    <w:rsid w:val="00B611AB"/>
    <w:rsid w:val="00B611F5"/>
    <w:rsid w:val="00B61220"/>
    <w:rsid w:val="00B6146A"/>
    <w:rsid w:val="00B61480"/>
    <w:rsid w:val="00B6148B"/>
    <w:rsid w:val="00B614C8"/>
    <w:rsid w:val="00B61508"/>
    <w:rsid w:val="00B61641"/>
    <w:rsid w:val="00B61950"/>
    <w:rsid w:val="00B61E2E"/>
    <w:rsid w:val="00B622BB"/>
    <w:rsid w:val="00B6246A"/>
    <w:rsid w:val="00B6277C"/>
    <w:rsid w:val="00B629A7"/>
    <w:rsid w:val="00B62D64"/>
    <w:rsid w:val="00B62DB4"/>
    <w:rsid w:val="00B63034"/>
    <w:rsid w:val="00B631FD"/>
    <w:rsid w:val="00B6355C"/>
    <w:rsid w:val="00B638F5"/>
    <w:rsid w:val="00B6402A"/>
    <w:rsid w:val="00B6405D"/>
    <w:rsid w:val="00B64299"/>
    <w:rsid w:val="00B64576"/>
    <w:rsid w:val="00B64920"/>
    <w:rsid w:val="00B64987"/>
    <w:rsid w:val="00B64A70"/>
    <w:rsid w:val="00B64D45"/>
    <w:rsid w:val="00B64E39"/>
    <w:rsid w:val="00B64EED"/>
    <w:rsid w:val="00B64F11"/>
    <w:rsid w:val="00B64F43"/>
    <w:rsid w:val="00B6558E"/>
    <w:rsid w:val="00B6578F"/>
    <w:rsid w:val="00B65820"/>
    <w:rsid w:val="00B658D5"/>
    <w:rsid w:val="00B65949"/>
    <w:rsid w:val="00B664EA"/>
    <w:rsid w:val="00B66504"/>
    <w:rsid w:val="00B66763"/>
    <w:rsid w:val="00B66948"/>
    <w:rsid w:val="00B66A53"/>
    <w:rsid w:val="00B66C90"/>
    <w:rsid w:val="00B66DAB"/>
    <w:rsid w:val="00B670E9"/>
    <w:rsid w:val="00B6712C"/>
    <w:rsid w:val="00B673E3"/>
    <w:rsid w:val="00B674EF"/>
    <w:rsid w:val="00B6762A"/>
    <w:rsid w:val="00B67676"/>
    <w:rsid w:val="00B677C9"/>
    <w:rsid w:val="00B678DF"/>
    <w:rsid w:val="00B67A4D"/>
    <w:rsid w:val="00B67C4E"/>
    <w:rsid w:val="00B70166"/>
    <w:rsid w:val="00B706CE"/>
    <w:rsid w:val="00B70700"/>
    <w:rsid w:val="00B70B85"/>
    <w:rsid w:val="00B70F5F"/>
    <w:rsid w:val="00B7184E"/>
    <w:rsid w:val="00B71981"/>
    <w:rsid w:val="00B71D95"/>
    <w:rsid w:val="00B71E30"/>
    <w:rsid w:val="00B71ED9"/>
    <w:rsid w:val="00B72457"/>
    <w:rsid w:val="00B72657"/>
    <w:rsid w:val="00B72711"/>
    <w:rsid w:val="00B7271D"/>
    <w:rsid w:val="00B72A25"/>
    <w:rsid w:val="00B72BAE"/>
    <w:rsid w:val="00B72BCE"/>
    <w:rsid w:val="00B72D3A"/>
    <w:rsid w:val="00B73425"/>
    <w:rsid w:val="00B73426"/>
    <w:rsid w:val="00B735DF"/>
    <w:rsid w:val="00B73757"/>
    <w:rsid w:val="00B739AE"/>
    <w:rsid w:val="00B73DDD"/>
    <w:rsid w:val="00B73ED0"/>
    <w:rsid w:val="00B73EDE"/>
    <w:rsid w:val="00B73F8E"/>
    <w:rsid w:val="00B743BB"/>
    <w:rsid w:val="00B74571"/>
    <w:rsid w:val="00B7462B"/>
    <w:rsid w:val="00B747A7"/>
    <w:rsid w:val="00B747D6"/>
    <w:rsid w:val="00B74BA6"/>
    <w:rsid w:val="00B74BC3"/>
    <w:rsid w:val="00B74EBF"/>
    <w:rsid w:val="00B74F4A"/>
    <w:rsid w:val="00B74FFC"/>
    <w:rsid w:val="00B752CA"/>
    <w:rsid w:val="00B757ED"/>
    <w:rsid w:val="00B75B3E"/>
    <w:rsid w:val="00B75BF0"/>
    <w:rsid w:val="00B76025"/>
    <w:rsid w:val="00B7652E"/>
    <w:rsid w:val="00B76A0D"/>
    <w:rsid w:val="00B76E3C"/>
    <w:rsid w:val="00B76EC9"/>
    <w:rsid w:val="00B7734B"/>
    <w:rsid w:val="00B773E6"/>
    <w:rsid w:val="00B7755B"/>
    <w:rsid w:val="00B778D0"/>
    <w:rsid w:val="00B7791A"/>
    <w:rsid w:val="00B80002"/>
    <w:rsid w:val="00B80206"/>
    <w:rsid w:val="00B805B4"/>
    <w:rsid w:val="00B80671"/>
    <w:rsid w:val="00B80B53"/>
    <w:rsid w:val="00B80E77"/>
    <w:rsid w:val="00B81068"/>
    <w:rsid w:val="00B81077"/>
    <w:rsid w:val="00B811F8"/>
    <w:rsid w:val="00B81355"/>
    <w:rsid w:val="00B8137C"/>
    <w:rsid w:val="00B81682"/>
    <w:rsid w:val="00B818BE"/>
    <w:rsid w:val="00B81A53"/>
    <w:rsid w:val="00B81C57"/>
    <w:rsid w:val="00B81D0F"/>
    <w:rsid w:val="00B81D18"/>
    <w:rsid w:val="00B81D30"/>
    <w:rsid w:val="00B81D45"/>
    <w:rsid w:val="00B81D96"/>
    <w:rsid w:val="00B81F25"/>
    <w:rsid w:val="00B823CF"/>
    <w:rsid w:val="00B83189"/>
    <w:rsid w:val="00B8350B"/>
    <w:rsid w:val="00B83587"/>
    <w:rsid w:val="00B83764"/>
    <w:rsid w:val="00B8386A"/>
    <w:rsid w:val="00B8388B"/>
    <w:rsid w:val="00B839D1"/>
    <w:rsid w:val="00B8414A"/>
    <w:rsid w:val="00B8418D"/>
    <w:rsid w:val="00B84CAE"/>
    <w:rsid w:val="00B84EE6"/>
    <w:rsid w:val="00B8539D"/>
    <w:rsid w:val="00B857C6"/>
    <w:rsid w:val="00B85C49"/>
    <w:rsid w:val="00B85C5F"/>
    <w:rsid w:val="00B86273"/>
    <w:rsid w:val="00B86604"/>
    <w:rsid w:val="00B868D4"/>
    <w:rsid w:val="00B86972"/>
    <w:rsid w:val="00B86994"/>
    <w:rsid w:val="00B86A6B"/>
    <w:rsid w:val="00B86DFE"/>
    <w:rsid w:val="00B86E0A"/>
    <w:rsid w:val="00B86F0C"/>
    <w:rsid w:val="00B8739E"/>
    <w:rsid w:val="00B8771B"/>
    <w:rsid w:val="00B877B7"/>
    <w:rsid w:val="00B87993"/>
    <w:rsid w:val="00B879CE"/>
    <w:rsid w:val="00B87D8C"/>
    <w:rsid w:val="00B90480"/>
    <w:rsid w:val="00B90747"/>
    <w:rsid w:val="00B90A0D"/>
    <w:rsid w:val="00B90AAF"/>
    <w:rsid w:val="00B90BE5"/>
    <w:rsid w:val="00B90DFC"/>
    <w:rsid w:val="00B9156A"/>
    <w:rsid w:val="00B91710"/>
    <w:rsid w:val="00B91892"/>
    <w:rsid w:val="00B91A2F"/>
    <w:rsid w:val="00B91B7B"/>
    <w:rsid w:val="00B925F1"/>
    <w:rsid w:val="00B92687"/>
    <w:rsid w:val="00B926CA"/>
    <w:rsid w:val="00B92C69"/>
    <w:rsid w:val="00B92C91"/>
    <w:rsid w:val="00B934D0"/>
    <w:rsid w:val="00B93BF7"/>
    <w:rsid w:val="00B93D70"/>
    <w:rsid w:val="00B93DBD"/>
    <w:rsid w:val="00B94875"/>
    <w:rsid w:val="00B94C9E"/>
    <w:rsid w:val="00B94D4A"/>
    <w:rsid w:val="00B95134"/>
    <w:rsid w:val="00B9513E"/>
    <w:rsid w:val="00B9589A"/>
    <w:rsid w:val="00B95B2A"/>
    <w:rsid w:val="00B961F5"/>
    <w:rsid w:val="00B96386"/>
    <w:rsid w:val="00B965B1"/>
    <w:rsid w:val="00B971F4"/>
    <w:rsid w:val="00B97299"/>
    <w:rsid w:val="00B9797F"/>
    <w:rsid w:val="00B97EBE"/>
    <w:rsid w:val="00BA00F7"/>
    <w:rsid w:val="00BA0174"/>
    <w:rsid w:val="00BA03EC"/>
    <w:rsid w:val="00BA0993"/>
    <w:rsid w:val="00BA0B52"/>
    <w:rsid w:val="00BA0C83"/>
    <w:rsid w:val="00BA0F72"/>
    <w:rsid w:val="00BA10A1"/>
    <w:rsid w:val="00BA1164"/>
    <w:rsid w:val="00BA14B1"/>
    <w:rsid w:val="00BA1508"/>
    <w:rsid w:val="00BA1A2F"/>
    <w:rsid w:val="00BA1AB0"/>
    <w:rsid w:val="00BA1BF5"/>
    <w:rsid w:val="00BA1D4C"/>
    <w:rsid w:val="00BA219E"/>
    <w:rsid w:val="00BA25F2"/>
    <w:rsid w:val="00BA29E6"/>
    <w:rsid w:val="00BA2B5A"/>
    <w:rsid w:val="00BA2EEA"/>
    <w:rsid w:val="00BA2F35"/>
    <w:rsid w:val="00BA3094"/>
    <w:rsid w:val="00BA3387"/>
    <w:rsid w:val="00BA36CF"/>
    <w:rsid w:val="00BA3B0D"/>
    <w:rsid w:val="00BA3B9F"/>
    <w:rsid w:val="00BA3CA0"/>
    <w:rsid w:val="00BA3CD8"/>
    <w:rsid w:val="00BA3E01"/>
    <w:rsid w:val="00BA3EE9"/>
    <w:rsid w:val="00BA4265"/>
    <w:rsid w:val="00BA4356"/>
    <w:rsid w:val="00BA441E"/>
    <w:rsid w:val="00BA4466"/>
    <w:rsid w:val="00BA448A"/>
    <w:rsid w:val="00BA49F8"/>
    <w:rsid w:val="00BA4B34"/>
    <w:rsid w:val="00BA4CAB"/>
    <w:rsid w:val="00BA536B"/>
    <w:rsid w:val="00BA5A1B"/>
    <w:rsid w:val="00BA5A8C"/>
    <w:rsid w:val="00BA5ADD"/>
    <w:rsid w:val="00BA611E"/>
    <w:rsid w:val="00BA6434"/>
    <w:rsid w:val="00BA6746"/>
    <w:rsid w:val="00BA6B9B"/>
    <w:rsid w:val="00BA6C6D"/>
    <w:rsid w:val="00BA6CEF"/>
    <w:rsid w:val="00BA6FF7"/>
    <w:rsid w:val="00BA7152"/>
    <w:rsid w:val="00BA72F2"/>
    <w:rsid w:val="00BA73E9"/>
    <w:rsid w:val="00BA7800"/>
    <w:rsid w:val="00BA7974"/>
    <w:rsid w:val="00BA7B6D"/>
    <w:rsid w:val="00BA7C05"/>
    <w:rsid w:val="00BA7EC0"/>
    <w:rsid w:val="00BB013C"/>
    <w:rsid w:val="00BB01ED"/>
    <w:rsid w:val="00BB0356"/>
    <w:rsid w:val="00BB0633"/>
    <w:rsid w:val="00BB0760"/>
    <w:rsid w:val="00BB0768"/>
    <w:rsid w:val="00BB07DD"/>
    <w:rsid w:val="00BB0A33"/>
    <w:rsid w:val="00BB0E32"/>
    <w:rsid w:val="00BB13CE"/>
    <w:rsid w:val="00BB1BAE"/>
    <w:rsid w:val="00BB1CF1"/>
    <w:rsid w:val="00BB1E67"/>
    <w:rsid w:val="00BB2070"/>
    <w:rsid w:val="00BB26EB"/>
    <w:rsid w:val="00BB296F"/>
    <w:rsid w:val="00BB2C67"/>
    <w:rsid w:val="00BB2CD9"/>
    <w:rsid w:val="00BB2F01"/>
    <w:rsid w:val="00BB3156"/>
    <w:rsid w:val="00BB3192"/>
    <w:rsid w:val="00BB31D6"/>
    <w:rsid w:val="00BB3654"/>
    <w:rsid w:val="00BB3ABF"/>
    <w:rsid w:val="00BB3B0B"/>
    <w:rsid w:val="00BB3B96"/>
    <w:rsid w:val="00BB3D38"/>
    <w:rsid w:val="00BB3D50"/>
    <w:rsid w:val="00BB3DC5"/>
    <w:rsid w:val="00BB4396"/>
    <w:rsid w:val="00BB44A2"/>
    <w:rsid w:val="00BB4A0F"/>
    <w:rsid w:val="00BB4A66"/>
    <w:rsid w:val="00BB4B12"/>
    <w:rsid w:val="00BB507D"/>
    <w:rsid w:val="00BB50D9"/>
    <w:rsid w:val="00BB53AC"/>
    <w:rsid w:val="00BB54D8"/>
    <w:rsid w:val="00BB58FA"/>
    <w:rsid w:val="00BB5DF3"/>
    <w:rsid w:val="00BB6471"/>
    <w:rsid w:val="00BB6517"/>
    <w:rsid w:val="00BB6644"/>
    <w:rsid w:val="00BB6983"/>
    <w:rsid w:val="00BB6B10"/>
    <w:rsid w:val="00BB6E74"/>
    <w:rsid w:val="00BB70B2"/>
    <w:rsid w:val="00BB7219"/>
    <w:rsid w:val="00BB72F4"/>
    <w:rsid w:val="00BB748C"/>
    <w:rsid w:val="00BB7507"/>
    <w:rsid w:val="00BB753F"/>
    <w:rsid w:val="00BB7614"/>
    <w:rsid w:val="00BB76B9"/>
    <w:rsid w:val="00BB78D7"/>
    <w:rsid w:val="00BB7A13"/>
    <w:rsid w:val="00BB7A9F"/>
    <w:rsid w:val="00BC00E4"/>
    <w:rsid w:val="00BC0138"/>
    <w:rsid w:val="00BC0333"/>
    <w:rsid w:val="00BC045D"/>
    <w:rsid w:val="00BC0A54"/>
    <w:rsid w:val="00BC0C21"/>
    <w:rsid w:val="00BC10A0"/>
    <w:rsid w:val="00BC135C"/>
    <w:rsid w:val="00BC1444"/>
    <w:rsid w:val="00BC1459"/>
    <w:rsid w:val="00BC15FD"/>
    <w:rsid w:val="00BC1DF4"/>
    <w:rsid w:val="00BC2290"/>
    <w:rsid w:val="00BC23E1"/>
    <w:rsid w:val="00BC2626"/>
    <w:rsid w:val="00BC266B"/>
    <w:rsid w:val="00BC2717"/>
    <w:rsid w:val="00BC275C"/>
    <w:rsid w:val="00BC278B"/>
    <w:rsid w:val="00BC294A"/>
    <w:rsid w:val="00BC29F1"/>
    <w:rsid w:val="00BC2A91"/>
    <w:rsid w:val="00BC2AD2"/>
    <w:rsid w:val="00BC37D4"/>
    <w:rsid w:val="00BC3A0D"/>
    <w:rsid w:val="00BC3BE3"/>
    <w:rsid w:val="00BC3DFD"/>
    <w:rsid w:val="00BC3F95"/>
    <w:rsid w:val="00BC40DE"/>
    <w:rsid w:val="00BC4362"/>
    <w:rsid w:val="00BC46D0"/>
    <w:rsid w:val="00BC4B26"/>
    <w:rsid w:val="00BC4BBC"/>
    <w:rsid w:val="00BC4CB5"/>
    <w:rsid w:val="00BC4CE5"/>
    <w:rsid w:val="00BC5006"/>
    <w:rsid w:val="00BC5175"/>
    <w:rsid w:val="00BC5356"/>
    <w:rsid w:val="00BC5615"/>
    <w:rsid w:val="00BC567F"/>
    <w:rsid w:val="00BC5990"/>
    <w:rsid w:val="00BC5996"/>
    <w:rsid w:val="00BC5A92"/>
    <w:rsid w:val="00BC5BB8"/>
    <w:rsid w:val="00BC5E84"/>
    <w:rsid w:val="00BC5EAB"/>
    <w:rsid w:val="00BC5FC9"/>
    <w:rsid w:val="00BC6038"/>
    <w:rsid w:val="00BC60FD"/>
    <w:rsid w:val="00BC6549"/>
    <w:rsid w:val="00BC65BE"/>
    <w:rsid w:val="00BC6D6D"/>
    <w:rsid w:val="00BC6E50"/>
    <w:rsid w:val="00BC6EA1"/>
    <w:rsid w:val="00BC7398"/>
    <w:rsid w:val="00BC74DE"/>
    <w:rsid w:val="00BC7CF0"/>
    <w:rsid w:val="00BC7D30"/>
    <w:rsid w:val="00BC7F24"/>
    <w:rsid w:val="00BD00EA"/>
    <w:rsid w:val="00BD01EB"/>
    <w:rsid w:val="00BD0240"/>
    <w:rsid w:val="00BD03DD"/>
    <w:rsid w:val="00BD053E"/>
    <w:rsid w:val="00BD0606"/>
    <w:rsid w:val="00BD0B44"/>
    <w:rsid w:val="00BD0B79"/>
    <w:rsid w:val="00BD0CE5"/>
    <w:rsid w:val="00BD1197"/>
    <w:rsid w:val="00BD12A6"/>
    <w:rsid w:val="00BD1301"/>
    <w:rsid w:val="00BD15B7"/>
    <w:rsid w:val="00BD18F4"/>
    <w:rsid w:val="00BD194F"/>
    <w:rsid w:val="00BD19D1"/>
    <w:rsid w:val="00BD1C8A"/>
    <w:rsid w:val="00BD2056"/>
    <w:rsid w:val="00BD2557"/>
    <w:rsid w:val="00BD2725"/>
    <w:rsid w:val="00BD272A"/>
    <w:rsid w:val="00BD2794"/>
    <w:rsid w:val="00BD2936"/>
    <w:rsid w:val="00BD2E72"/>
    <w:rsid w:val="00BD3402"/>
    <w:rsid w:val="00BD3799"/>
    <w:rsid w:val="00BD3866"/>
    <w:rsid w:val="00BD3AA3"/>
    <w:rsid w:val="00BD3CBC"/>
    <w:rsid w:val="00BD4771"/>
    <w:rsid w:val="00BD4AD6"/>
    <w:rsid w:val="00BD4B2A"/>
    <w:rsid w:val="00BD5095"/>
    <w:rsid w:val="00BD543E"/>
    <w:rsid w:val="00BD5792"/>
    <w:rsid w:val="00BD5849"/>
    <w:rsid w:val="00BD5AF4"/>
    <w:rsid w:val="00BD5B7C"/>
    <w:rsid w:val="00BD5D6C"/>
    <w:rsid w:val="00BD5E91"/>
    <w:rsid w:val="00BD6301"/>
    <w:rsid w:val="00BD670B"/>
    <w:rsid w:val="00BD6B04"/>
    <w:rsid w:val="00BD6C34"/>
    <w:rsid w:val="00BD6DB4"/>
    <w:rsid w:val="00BD7C9C"/>
    <w:rsid w:val="00BD7F42"/>
    <w:rsid w:val="00BD7F7D"/>
    <w:rsid w:val="00BE00E2"/>
    <w:rsid w:val="00BE0344"/>
    <w:rsid w:val="00BE0B0B"/>
    <w:rsid w:val="00BE0BBD"/>
    <w:rsid w:val="00BE0E8A"/>
    <w:rsid w:val="00BE10A4"/>
    <w:rsid w:val="00BE1152"/>
    <w:rsid w:val="00BE15B9"/>
    <w:rsid w:val="00BE1672"/>
    <w:rsid w:val="00BE1E9F"/>
    <w:rsid w:val="00BE20C2"/>
    <w:rsid w:val="00BE2661"/>
    <w:rsid w:val="00BE2782"/>
    <w:rsid w:val="00BE28F2"/>
    <w:rsid w:val="00BE2B76"/>
    <w:rsid w:val="00BE2D54"/>
    <w:rsid w:val="00BE316D"/>
    <w:rsid w:val="00BE341A"/>
    <w:rsid w:val="00BE3883"/>
    <w:rsid w:val="00BE3A3D"/>
    <w:rsid w:val="00BE3A93"/>
    <w:rsid w:val="00BE3B4D"/>
    <w:rsid w:val="00BE3DC8"/>
    <w:rsid w:val="00BE4051"/>
    <w:rsid w:val="00BE42D7"/>
    <w:rsid w:val="00BE4B22"/>
    <w:rsid w:val="00BE4C69"/>
    <w:rsid w:val="00BE4DD5"/>
    <w:rsid w:val="00BE54D8"/>
    <w:rsid w:val="00BE58B9"/>
    <w:rsid w:val="00BE59E6"/>
    <w:rsid w:val="00BE5AAB"/>
    <w:rsid w:val="00BE5BF6"/>
    <w:rsid w:val="00BE5C62"/>
    <w:rsid w:val="00BE621A"/>
    <w:rsid w:val="00BE63E0"/>
    <w:rsid w:val="00BE646B"/>
    <w:rsid w:val="00BE64E6"/>
    <w:rsid w:val="00BE675A"/>
    <w:rsid w:val="00BE69A7"/>
    <w:rsid w:val="00BE69E2"/>
    <w:rsid w:val="00BE7252"/>
    <w:rsid w:val="00BE7726"/>
    <w:rsid w:val="00BE7A10"/>
    <w:rsid w:val="00BF01E9"/>
    <w:rsid w:val="00BF02B4"/>
    <w:rsid w:val="00BF0340"/>
    <w:rsid w:val="00BF055C"/>
    <w:rsid w:val="00BF066D"/>
    <w:rsid w:val="00BF0820"/>
    <w:rsid w:val="00BF0835"/>
    <w:rsid w:val="00BF0986"/>
    <w:rsid w:val="00BF0BD2"/>
    <w:rsid w:val="00BF0C37"/>
    <w:rsid w:val="00BF0FD4"/>
    <w:rsid w:val="00BF1040"/>
    <w:rsid w:val="00BF1087"/>
    <w:rsid w:val="00BF1A86"/>
    <w:rsid w:val="00BF1CA5"/>
    <w:rsid w:val="00BF1CBC"/>
    <w:rsid w:val="00BF1F6C"/>
    <w:rsid w:val="00BF1FA7"/>
    <w:rsid w:val="00BF20A9"/>
    <w:rsid w:val="00BF221C"/>
    <w:rsid w:val="00BF2664"/>
    <w:rsid w:val="00BF29E2"/>
    <w:rsid w:val="00BF2AFD"/>
    <w:rsid w:val="00BF2E28"/>
    <w:rsid w:val="00BF310F"/>
    <w:rsid w:val="00BF3540"/>
    <w:rsid w:val="00BF39DD"/>
    <w:rsid w:val="00BF3C04"/>
    <w:rsid w:val="00BF3E4F"/>
    <w:rsid w:val="00BF3F03"/>
    <w:rsid w:val="00BF3F2E"/>
    <w:rsid w:val="00BF3F31"/>
    <w:rsid w:val="00BF403D"/>
    <w:rsid w:val="00BF4E45"/>
    <w:rsid w:val="00BF5298"/>
    <w:rsid w:val="00BF550A"/>
    <w:rsid w:val="00BF55F7"/>
    <w:rsid w:val="00BF5B6E"/>
    <w:rsid w:val="00BF60D7"/>
    <w:rsid w:val="00BF6107"/>
    <w:rsid w:val="00BF629F"/>
    <w:rsid w:val="00BF63ED"/>
    <w:rsid w:val="00BF66E9"/>
    <w:rsid w:val="00BF68FC"/>
    <w:rsid w:val="00BF692B"/>
    <w:rsid w:val="00BF6944"/>
    <w:rsid w:val="00BF6C8A"/>
    <w:rsid w:val="00BF7041"/>
    <w:rsid w:val="00BF7423"/>
    <w:rsid w:val="00BF7433"/>
    <w:rsid w:val="00BF7457"/>
    <w:rsid w:val="00BF7769"/>
    <w:rsid w:val="00BF7800"/>
    <w:rsid w:val="00BF7BB8"/>
    <w:rsid w:val="00BF7EC1"/>
    <w:rsid w:val="00C0020D"/>
    <w:rsid w:val="00C00306"/>
    <w:rsid w:val="00C0043B"/>
    <w:rsid w:val="00C00481"/>
    <w:rsid w:val="00C0066C"/>
    <w:rsid w:val="00C00C32"/>
    <w:rsid w:val="00C00ED7"/>
    <w:rsid w:val="00C010A2"/>
    <w:rsid w:val="00C010CB"/>
    <w:rsid w:val="00C01106"/>
    <w:rsid w:val="00C011C2"/>
    <w:rsid w:val="00C0121B"/>
    <w:rsid w:val="00C013D8"/>
    <w:rsid w:val="00C01485"/>
    <w:rsid w:val="00C014B1"/>
    <w:rsid w:val="00C01740"/>
    <w:rsid w:val="00C01C98"/>
    <w:rsid w:val="00C01F68"/>
    <w:rsid w:val="00C022D7"/>
    <w:rsid w:val="00C02305"/>
    <w:rsid w:val="00C026B1"/>
    <w:rsid w:val="00C02727"/>
    <w:rsid w:val="00C0282D"/>
    <w:rsid w:val="00C029A8"/>
    <w:rsid w:val="00C029AC"/>
    <w:rsid w:val="00C02AD8"/>
    <w:rsid w:val="00C02E29"/>
    <w:rsid w:val="00C02E71"/>
    <w:rsid w:val="00C030D9"/>
    <w:rsid w:val="00C0352A"/>
    <w:rsid w:val="00C03596"/>
    <w:rsid w:val="00C03673"/>
    <w:rsid w:val="00C037EC"/>
    <w:rsid w:val="00C03C6B"/>
    <w:rsid w:val="00C03CD5"/>
    <w:rsid w:val="00C03D06"/>
    <w:rsid w:val="00C03D81"/>
    <w:rsid w:val="00C03E97"/>
    <w:rsid w:val="00C04120"/>
    <w:rsid w:val="00C042A5"/>
    <w:rsid w:val="00C0430F"/>
    <w:rsid w:val="00C0434F"/>
    <w:rsid w:val="00C0437C"/>
    <w:rsid w:val="00C044BA"/>
    <w:rsid w:val="00C044CC"/>
    <w:rsid w:val="00C0455C"/>
    <w:rsid w:val="00C045F1"/>
    <w:rsid w:val="00C04AAC"/>
    <w:rsid w:val="00C04C62"/>
    <w:rsid w:val="00C04FC3"/>
    <w:rsid w:val="00C0501C"/>
    <w:rsid w:val="00C05329"/>
    <w:rsid w:val="00C058DE"/>
    <w:rsid w:val="00C062CD"/>
    <w:rsid w:val="00C0638B"/>
    <w:rsid w:val="00C06467"/>
    <w:rsid w:val="00C0655D"/>
    <w:rsid w:val="00C0672F"/>
    <w:rsid w:val="00C06804"/>
    <w:rsid w:val="00C069D8"/>
    <w:rsid w:val="00C06A79"/>
    <w:rsid w:val="00C06AE0"/>
    <w:rsid w:val="00C06BA8"/>
    <w:rsid w:val="00C06BCE"/>
    <w:rsid w:val="00C06BD7"/>
    <w:rsid w:val="00C06F03"/>
    <w:rsid w:val="00C06F77"/>
    <w:rsid w:val="00C07353"/>
    <w:rsid w:val="00C07616"/>
    <w:rsid w:val="00C0792E"/>
    <w:rsid w:val="00C07A11"/>
    <w:rsid w:val="00C07AB1"/>
    <w:rsid w:val="00C07C21"/>
    <w:rsid w:val="00C07DB2"/>
    <w:rsid w:val="00C07DD2"/>
    <w:rsid w:val="00C07DF1"/>
    <w:rsid w:val="00C102BC"/>
    <w:rsid w:val="00C104AF"/>
    <w:rsid w:val="00C1050E"/>
    <w:rsid w:val="00C10A73"/>
    <w:rsid w:val="00C10C69"/>
    <w:rsid w:val="00C10C94"/>
    <w:rsid w:val="00C110E3"/>
    <w:rsid w:val="00C111B6"/>
    <w:rsid w:val="00C11211"/>
    <w:rsid w:val="00C1152B"/>
    <w:rsid w:val="00C11547"/>
    <w:rsid w:val="00C1157F"/>
    <w:rsid w:val="00C11680"/>
    <w:rsid w:val="00C11CE8"/>
    <w:rsid w:val="00C11E24"/>
    <w:rsid w:val="00C11F65"/>
    <w:rsid w:val="00C11FFF"/>
    <w:rsid w:val="00C12061"/>
    <w:rsid w:val="00C12315"/>
    <w:rsid w:val="00C12568"/>
    <w:rsid w:val="00C126D8"/>
    <w:rsid w:val="00C1270B"/>
    <w:rsid w:val="00C12718"/>
    <w:rsid w:val="00C12DFA"/>
    <w:rsid w:val="00C12F2B"/>
    <w:rsid w:val="00C1426E"/>
    <w:rsid w:val="00C14290"/>
    <w:rsid w:val="00C14308"/>
    <w:rsid w:val="00C144D7"/>
    <w:rsid w:val="00C14606"/>
    <w:rsid w:val="00C149E3"/>
    <w:rsid w:val="00C14DC1"/>
    <w:rsid w:val="00C150F3"/>
    <w:rsid w:val="00C15132"/>
    <w:rsid w:val="00C15159"/>
    <w:rsid w:val="00C15C7B"/>
    <w:rsid w:val="00C16647"/>
    <w:rsid w:val="00C167D4"/>
    <w:rsid w:val="00C16824"/>
    <w:rsid w:val="00C168E8"/>
    <w:rsid w:val="00C1693A"/>
    <w:rsid w:val="00C169D2"/>
    <w:rsid w:val="00C16AE6"/>
    <w:rsid w:val="00C16BC0"/>
    <w:rsid w:val="00C16C5B"/>
    <w:rsid w:val="00C16E53"/>
    <w:rsid w:val="00C17140"/>
    <w:rsid w:val="00C1735A"/>
    <w:rsid w:val="00C17456"/>
    <w:rsid w:val="00C17588"/>
    <w:rsid w:val="00C175D5"/>
    <w:rsid w:val="00C17720"/>
    <w:rsid w:val="00C178A6"/>
    <w:rsid w:val="00C17AAF"/>
    <w:rsid w:val="00C20327"/>
    <w:rsid w:val="00C20371"/>
    <w:rsid w:val="00C20493"/>
    <w:rsid w:val="00C2054D"/>
    <w:rsid w:val="00C208B3"/>
    <w:rsid w:val="00C20D02"/>
    <w:rsid w:val="00C21209"/>
    <w:rsid w:val="00C2134D"/>
    <w:rsid w:val="00C21497"/>
    <w:rsid w:val="00C214BC"/>
    <w:rsid w:val="00C21949"/>
    <w:rsid w:val="00C2197E"/>
    <w:rsid w:val="00C21B70"/>
    <w:rsid w:val="00C21C41"/>
    <w:rsid w:val="00C21D7F"/>
    <w:rsid w:val="00C21D86"/>
    <w:rsid w:val="00C21DFE"/>
    <w:rsid w:val="00C21FE5"/>
    <w:rsid w:val="00C22185"/>
    <w:rsid w:val="00C2229E"/>
    <w:rsid w:val="00C22505"/>
    <w:rsid w:val="00C226F2"/>
    <w:rsid w:val="00C228B9"/>
    <w:rsid w:val="00C22C08"/>
    <w:rsid w:val="00C22FBF"/>
    <w:rsid w:val="00C23BF5"/>
    <w:rsid w:val="00C23CDF"/>
    <w:rsid w:val="00C23D24"/>
    <w:rsid w:val="00C23EDB"/>
    <w:rsid w:val="00C23F30"/>
    <w:rsid w:val="00C23F91"/>
    <w:rsid w:val="00C2403B"/>
    <w:rsid w:val="00C24243"/>
    <w:rsid w:val="00C2445A"/>
    <w:rsid w:val="00C244E7"/>
    <w:rsid w:val="00C2452C"/>
    <w:rsid w:val="00C2453D"/>
    <w:rsid w:val="00C24676"/>
    <w:rsid w:val="00C24690"/>
    <w:rsid w:val="00C24855"/>
    <w:rsid w:val="00C249D6"/>
    <w:rsid w:val="00C24A14"/>
    <w:rsid w:val="00C24D4A"/>
    <w:rsid w:val="00C25125"/>
    <w:rsid w:val="00C25338"/>
    <w:rsid w:val="00C2549A"/>
    <w:rsid w:val="00C255DB"/>
    <w:rsid w:val="00C25AA6"/>
    <w:rsid w:val="00C26154"/>
    <w:rsid w:val="00C2617B"/>
    <w:rsid w:val="00C26234"/>
    <w:rsid w:val="00C266CE"/>
    <w:rsid w:val="00C26B0A"/>
    <w:rsid w:val="00C26F8C"/>
    <w:rsid w:val="00C27142"/>
    <w:rsid w:val="00C27223"/>
    <w:rsid w:val="00C27270"/>
    <w:rsid w:val="00C2759F"/>
    <w:rsid w:val="00C275F1"/>
    <w:rsid w:val="00C30302"/>
    <w:rsid w:val="00C30412"/>
    <w:rsid w:val="00C30852"/>
    <w:rsid w:val="00C30877"/>
    <w:rsid w:val="00C30A15"/>
    <w:rsid w:val="00C30B19"/>
    <w:rsid w:val="00C30C94"/>
    <w:rsid w:val="00C30DAE"/>
    <w:rsid w:val="00C30F31"/>
    <w:rsid w:val="00C31142"/>
    <w:rsid w:val="00C31257"/>
    <w:rsid w:val="00C31401"/>
    <w:rsid w:val="00C31810"/>
    <w:rsid w:val="00C318E4"/>
    <w:rsid w:val="00C319E9"/>
    <w:rsid w:val="00C31BCB"/>
    <w:rsid w:val="00C31DB7"/>
    <w:rsid w:val="00C3207C"/>
    <w:rsid w:val="00C3273C"/>
    <w:rsid w:val="00C32854"/>
    <w:rsid w:val="00C3291D"/>
    <w:rsid w:val="00C32A72"/>
    <w:rsid w:val="00C32B4C"/>
    <w:rsid w:val="00C33110"/>
    <w:rsid w:val="00C33178"/>
    <w:rsid w:val="00C33309"/>
    <w:rsid w:val="00C3362C"/>
    <w:rsid w:val="00C337D6"/>
    <w:rsid w:val="00C3398F"/>
    <w:rsid w:val="00C33EA8"/>
    <w:rsid w:val="00C34054"/>
    <w:rsid w:val="00C3406C"/>
    <w:rsid w:val="00C34266"/>
    <w:rsid w:val="00C34595"/>
    <w:rsid w:val="00C346FA"/>
    <w:rsid w:val="00C34DCD"/>
    <w:rsid w:val="00C34F18"/>
    <w:rsid w:val="00C35103"/>
    <w:rsid w:val="00C3519F"/>
    <w:rsid w:val="00C35224"/>
    <w:rsid w:val="00C355AD"/>
    <w:rsid w:val="00C359CE"/>
    <w:rsid w:val="00C360C8"/>
    <w:rsid w:val="00C36259"/>
    <w:rsid w:val="00C3633A"/>
    <w:rsid w:val="00C3649F"/>
    <w:rsid w:val="00C364E0"/>
    <w:rsid w:val="00C3652F"/>
    <w:rsid w:val="00C3687B"/>
    <w:rsid w:val="00C36B01"/>
    <w:rsid w:val="00C36DF6"/>
    <w:rsid w:val="00C36FF0"/>
    <w:rsid w:val="00C37248"/>
    <w:rsid w:val="00C374A9"/>
    <w:rsid w:val="00C3766C"/>
    <w:rsid w:val="00C401A3"/>
    <w:rsid w:val="00C40223"/>
    <w:rsid w:val="00C40421"/>
    <w:rsid w:val="00C40850"/>
    <w:rsid w:val="00C4092A"/>
    <w:rsid w:val="00C40BD6"/>
    <w:rsid w:val="00C411AD"/>
    <w:rsid w:val="00C412AD"/>
    <w:rsid w:val="00C41753"/>
    <w:rsid w:val="00C4177A"/>
    <w:rsid w:val="00C41990"/>
    <w:rsid w:val="00C41F76"/>
    <w:rsid w:val="00C4200E"/>
    <w:rsid w:val="00C4233A"/>
    <w:rsid w:val="00C4274E"/>
    <w:rsid w:val="00C42757"/>
    <w:rsid w:val="00C42EE4"/>
    <w:rsid w:val="00C435B0"/>
    <w:rsid w:val="00C43812"/>
    <w:rsid w:val="00C4388D"/>
    <w:rsid w:val="00C43989"/>
    <w:rsid w:val="00C43E55"/>
    <w:rsid w:val="00C43EED"/>
    <w:rsid w:val="00C44366"/>
    <w:rsid w:val="00C44753"/>
    <w:rsid w:val="00C448E7"/>
    <w:rsid w:val="00C4490C"/>
    <w:rsid w:val="00C4492B"/>
    <w:rsid w:val="00C449B5"/>
    <w:rsid w:val="00C44B96"/>
    <w:rsid w:val="00C451AE"/>
    <w:rsid w:val="00C451F5"/>
    <w:rsid w:val="00C4534E"/>
    <w:rsid w:val="00C45381"/>
    <w:rsid w:val="00C45BA3"/>
    <w:rsid w:val="00C45C5B"/>
    <w:rsid w:val="00C45EF3"/>
    <w:rsid w:val="00C46206"/>
    <w:rsid w:val="00C463B6"/>
    <w:rsid w:val="00C4654D"/>
    <w:rsid w:val="00C466F4"/>
    <w:rsid w:val="00C46B29"/>
    <w:rsid w:val="00C46C88"/>
    <w:rsid w:val="00C46E0C"/>
    <w:rsid w:val="00C46ED8"/>
    <w:rsid w:val="00C46F21"/>
    <w:rsid w:val="00C4713D"/>
    <w:rsid w:val="00C4726F"/>
    <w:rsid w:val="00C47279"/>
    <w:rsid w:val="00C47443"/>
    <w:rsid w:val="00C4752E"/>
    <w:rsid w:val="00C47538"/>
    <w:rsid w:val="00C4797C"/>
    <w:rsid w:val="00C47A6E"/>
    <w:rsid w:val="00C47AA3"/>
    <w:rsid w:val="00C47B34"/>
    <w:rsid w:val="00C47CF9"/>
    <w:rsid w:val="00C50624"/>
    <w:rsid w:val="00C50AED"/>
    <w:rsid w:val="00C50D55"/>
    <w:rsid w:val="00C50DDE"/>
    <w:rsid w:val="00C50E33"/>
    <w:rsid w:val="00C51321"/>
    <w:rsid w:val="00C51396"/>
    <w:rsid w:val="00C517E0"/>
    <w:rsid w:val="00C52007"/>
    <w:rsid w:val="00C5210F"/>
    <w:rsid w:val="00C5251C"/>
    <w:rsid w:val="00C526DD"/>
    <w:rsid w:val="00C52777"/>
    <w:rsid w:val="00C52A42"/>
    <w:rsid w:val="00C52C2C"/>
    <w:rsid w:val="00C52EA2"/>
    <w:rsid w:val="00C52EC1"/>
    <w:rsid w:val="00C53669"/>
    <w:rsid w:val="00C5390A"/>
    <w:rsid w:val="00C53BC6"/>
    <w:rsid w:val="00C53F63"/>
    <w:rsid w:val="00C543CA"/>
    <w:rsid w:val="00C54A8D"/>
    <w:rsid w:val="00C54B40"/>
    <w:rsid w:val="00C5503F"/>
    <w:rsid w:val="00C5507D"/>
    <w:rsid w:val="00C5547A"/>
    <w:rsid w:val="00C55817"/>
    <w:rsid w:val="00C55AAA"/>
    <w:rsid w:val="00C56847"/>
    <w:rsid w:val="00C569E1"/>
    <w:rsid w:val="00C56A17"/>
    <w:rsid w:val="00C56B98"/>
    <w:rsid w:val="00C56C41"/>
    <w:rsid w:val="00C56C44"/>
    <w:rsid w:val="00C56DCF"/>
    <w:rsid w:val="00C57006"/>
    <w:rsid w:val="00C5708C"/>
    <w:rsid w:val="00C5719E"/>
    <w:rsid w:val="00C57A99"/>
    <w:rsid w:val="00C57E32"/>
    <w:rsid w:val="00C602E6"/>
    <w:rsid w:val="00C604B4"/>
    <w:rsid w:val="00C60988"/>
    <w:rsid w:val="00C6098D"/>
    <w:rsid w:val="00C60B8F"/>
    <w:rsid w:val="00C60DC1"/>
    <w:rsid w:val="00C61158"/>
    <w:rsid w:val="00C6117A"/>
    <w:rsid w:val="00C6133D"/>
    <w:rsid w:val="00C613FB"/>
    <w:rsid w:val="00C61A17"/>
    <w:rsid w:val="00C61A60"/>
    <w:rsid w:val="00C61B72"/>
    <w:rsid w:val="00C61D41"/>
    <w:rsid w:val="00C61D89"/>
    <w:rsid w:val="00C61E41"/>
    <w:rsid w:val="00C61F57"/>
    <w:rsid w:val="00C623AF"/>
    <w:rsid w:val="00C623D6"/>
    <w:rsid w:val="00C62484"/>
    <w:rsid w:val="00C62CBE"/>
    <w:rsid w:val="00C632A0"/>
    <w:rsid w:val="00C6331C"/>
    <w:rsid w:val="00C6331F"/>
    <w:rsid w:val="00C6349E"/>
    <w:rsid w:val="00C6371C"/>
    <w:rsid w:val="00C6388F"/>
    <w:rsid w:val="00C638F6"/>
    <w:rsid w:val="00C63ED2"/>
    <w:rsid w:val="00C63F87"/>
    <w:rsid w:val="00C640C0"/>
    <w:rsid w:val="00C645F1"/>
    <w:rsid w:val="00C647B1"/>
    <w:rsid w:val="00C64844"/>
    <w:rsid w:val="00C64C53"/>
    <w:rsid w:val="00C65402"/>
    <w:rsid w:val="00C654F6"/>
    <w:rsid w:val="00C65681"/>
    <w:rsid w:val="00C657C0"/>
    <w:rsid w:val="00C659B7"/>
    <w:rsid w:val="00C65F17"/>
    <w:rsid w:val="00C66030"/>
    <w:rsid w:val="00C660F9"/>
    <w:rsid w:val="00C6626F"/>
    <w:rsid w:val="00C662DE"/>
    <w:rsid w:val="00C66516"/>
    <w:rsid w:val="00C6657E"/>
    <w:rsid w:val="00C66B8E"/>
    <w:rsid w:val="00C66D50"/>
    <w:rsid w:val="00C66F85"/>
    <w:rsid w:val="00C67280"/>
    <w:rsid w:val="00C674AE"/>
    <w:rsid w:val="00C67B6E"/>
    <w:rsid w:val="00C67EBF"/>
    <w:rsid w:val="00C701A4"/>
    <w:rsid w:val="00C701EA"/>
    <w:rsid w:val="00C70270"/>
    <w:rsid w:val="00C70562"/>
    <w:rsid w:val="00C70730"/>
    <w:rsid w:val="00C70890"/>
    <w:rsid w:val="00C70AAE"/>
    <w:rsid w:val="00C70BA2"/>
    <w:rsid w:val="00C70D1A"/>
    <w:rsid w:val="00C70FC7"/>
    <w:rsid w:val="00C71119"/>
    <w:rsid w:val="00C71168"/>
    <w:rsid w:val="00C71694"/>
    <w:rsid w:val="00C71946"/>
    <w:rsid w:val="00C71ADD"/>
    <w:rsid w:val="00C71E62"/>
    <w:rsid w:val="00C72112"/>
    <w:rsid w:val="00C721B2"/>
    <w:rsid w:val="00C7226F"/>
    <w:rsid w:val="00C72A06"/>
    <w:rsid w:val="00C72BA6"/>
    <w:rsid w:val="00C72EC6"/>
    <w:rsid w:val="00C72F00"/>
    <w:rsid w:val="00C73432"/>
    <w:rsid w:val="00C73486"/>
    <w:rsid w:val="00C735E7"/>
    <w:rsid w:val="00C737BA"/>
    <w:rsid w:val="00C73972"/>
    <w:rsid w:val="00C73D2D"/>
    <w:rsid w:val="00C73D54"/>
    <w:rsid w:val="00C73E08"/>
    <w:rsid w:val="00C740E4"/>
    <w:rsid w:val="00C74100"/>
    <w:rsid w:val="00C74185"/>
    <w:rsid w:val="00C74C16"/>
    <w:rsid w:val="00C74C77"/>
    <w:rsid w:val="00C75688"/>
    <w:rsid w:val="00C759F8"/>
    <w:rsid w:val="00C75AF4"/>
    <w:rsid w:val="00C75B95"/>
    <w:rsid w:val="00C75E74"/>
    <w:rsid w:val="00C76060"/>
    <w:rsid w:val="00C76189"/>
    <w:rsid w:val="00C76673"/>
    <w:rsid w:val="00C768CC"/>
    <w:rsid w:val="00C7699F"/>
    <w:rsid w:val="00C76AAB"/>
    <w:rsid w:val="00C76B4C"/>
    <w:rsid w:val="00C77451"/>
    <w:rsid w:val="00C77566"/>
    <w:rsid w:val="00C778A0"/>
    <w:rsid w:val="00C77B54"/>
    <w:rsid w:val="00C77C3A"/>
    <w:rsid w:val="00C77E38"/>
    <w:rsid w:val="00C77FCE"/>
    <w:rsid w:val="00C80231"/>
    <w:rsid w:val="00C8094B"/>
    <w:rsid w:val="00C809A6"/>
    <w:rsid w:val="00C80AEB"/>
    <w:rsid w:val="00C80C96"/>
    <w:rsid w:val="00C80D4A"/>
    <w:rsid w:val="00C80FC8"/>
    <w:rsid w:val="00C81564"/>
    <w:rsid w:val="00C81622"/>
    <w:rsid w:val="00C817BF"/>
    <w:rsid w:val="00C8198B"/>
    <w:rsid w:val="00C81A19"/>
    <w:rsid w:val="00C81A5C"/>
    <w:rsid w:val="00C81ED4"/>
    <w:rsid w:val="00C8220E"/>
    <w:rsid w:val="00C82285"/>
    <w:rsid w:val="00C82348"/>
    <w:rsid w:val="00C8236E"/>
    <w:rsid w:val="00C825E3"/>
    <w:rsid w:val="00C82661"/>
    <w:rsid w:val="00C8285A"/>
    <w:rsid w:val="00C829D9"/>
    <w:rsid w:val="00C82BD2"/>
    <w:rsid w:val="00C83426"/>
    <w:rsid w:val="00C83428"/>
    <w:rsid w:val="00C83446"/>
    <w:rsid w:val="00C83562"/>
    <w:rsid w:val="00C836DC"/>
    <w:rsid w:val="00C83824"/>
    <w:rsid w:val="00C8397F"/>
    <w:rsid w:val="00C83AC3"/>
    <w:rsid w:val="00C84058"/>
    <w:rsid w:val="00C842A7"/>
    <w:rsid w:val="00C842EB"/>
    <w:rsid w:val="00C84A98"/>
    <w:rsid w:val="00C84C87"/>
    <w:rsid w:val="00C84F02"/>
    <w:rsid w:val="00C85950"/>
    <w:rsid w:val="00C85B86"/>
    <w:rsid w:val="00C85CFC"/>
    <w:rsid w:val="00C85F75"/>
    <w:rsid w:val="00C861A4"/>
    <w:rsid w:val="00C8627D"/>
    <w:rsid w:val="00C864B5"/>
    <w:rsid w:val="00C8676B"/>
    <w:rsid w:val="00C86906"/>
    <w:rsid w:val="00C8696A"/>
    <w:rsid w:val="00C86B40"/>
    <w:rsid w:val="00C86F07"/>
    <w:rsid w:val="00C86F3E"/>
    <w:rsid w:val="00C8708E"/>
    <w:rsid w:val="00C873C6"/>
    <w:rsid w:val="00C87450"/>
    <w:rsid w:val="00C87A04"/>
    <w:rsid w:val="00C87AEF"/>
    <w:rsid w:val="00C87B68"/>
    <w:rsid w:val="00C87C66"/>
    <w:rsid w:val="00C87F3B"/>
    <w:rsid w:val="00C87F63"/>
    <w:rsid w:val="00C906AD"/>
    <w:rsid w:val="00C906BF"/>
    <w:rsid w:val="00C90797"/>
    <w:rsid w:val="00C90824"/>
    <w:rsid w:val="00C9083A"/>
    <w:rsid w:val="00C90A04"/>
    <w:rsid w:val="00C90D6C"/>
    <w:rsid w:val="00C915B4"/>
    <w:rsid w:val="00C9189B"/>
    <w:rsid w:val="00C918EB"/>
    <w:rsid w:val="00C91AD6"/>
    <w:rsid w:val="00C91D7F"/>
    <w:rsid w:val="00C92427"/>
    <w:rsid w:val="00C92518"/>
    <w:rsid w:val="00C9252D"/>
    <w:rsid w:val="00C92934"/>
    <w:rsid w:val="00C92C26"/>
    <w:rsid w:val="00C92C6A"/>
    <w:rsid w:val="00C92D7E"/>
    <w:rsid w:val="00C92E70"/>
    <w:rsid w:val="00C92F23"/>
    <w:rsid w:val="00C92FBA"/>
    <w:rsid w:val="00C934B5"/>
    <w:rsid w:val="00C934D8"/>
    <w:rsid w:val="00C93562"/>
    <w:rsid w:val="00C93573"/>
    <w:rsid w:val="00C936B3"/>
    <w:rsid w:val="00C93816"/>
    <w:rsid w:val="00C93DF7"/>
    <w:rsid w:val="00C93EBF"/>
    <w:rsid w:val="00C93FD0"/>
    <w:rsid w:val="00C93FD8"/>
    <w:rsid w:val="00C941B0"/>
    <w:rsid w:val="00C942B8"/>
    <w:rsid w:val="00C94349"/>
    <w:rsid w:val="00C94403"/>
    <w:rsid w:val="00C944CA"/>
    <w:rsid w:val="00C94840"/>
    <w:rsid w:val="00C94888"/>
    <w:rsid w:val="00C94C2A"/>
    <w:rsid w:val="00C94F1A"/>
    <w:rsid w:val="00C94FE6"/>
    <w:rsid w:val="00C9529F"/>
    <w:rsid w:val="00C95962"/>
    <w:rsid w:val="00C96107"/>
    <w:rsid w:val="00C96590"/>
    <w:rsid w:val="00C965DF"/>
    <w:rsid w:val="00C967FC"/>
    <w:rsid w:val="00C96896"/>
    <w:rsid w:val="00C96956"/>
    <w:rsid w:val="00C973FC"/>
    <w:rsid w:val="00C97408"/>
    <w:rsid w:val="00C97464"/>
    <w:rsid w:val="00C97911"/>
    <w:rsid w:val="00C97C2E"/>
    <w:rsid w:val="00C97D67"/>
    <w:rsid w:val="00C97FDF"/>
    <w:rsid w:val="00CA008F"/>
    <w:rsid w:val="00CA0178"/>
    <w:rsid w:val="00CA0290"/>
    <w:rsid w:val="00CA02BD"/>
    <w:rsid w:val="00CA035F"/>
    <w:rsid w:val="00CA039E"/>
    <w:rsid w:val="00CA03BF"/>
    <w:rsid w:val="00CA03ED"/>
    <w:rsid w:val="00CA0515"/>
    <w:rsid w:val="00CA0988"/>
    <w:rsid w:val="00CA0B2F"/>
    <w:rsid w:val="00CA0BA3"/>
    <w:rsid w:val="00CA0BFE"/>
    <w:rsid w:val="00CA134C"/>
    <w:rsid w:val="00CA138C"/>
    <w:rsid w:val="00CA13EC"/>
    <w:rsid w:val="00CA18E6"/>
    <w:rsid w:val="00CA1A5F"/>
    <w:rsid w:val="00CA1A76"/>
    <w:rsid w:val="00CA24EA"/>
    <w:rsid w:val="00CA273E"/>
    <w:rsid w:val="00CA27FE"/>
    <w:rsid w:val="00CA294A"/>
    <w:rsid w:val="00CA2BC8"/>
    <w:rsid w:val="00CA2BF7"/>
    <w:rsid w:val="00CA2E7C"/>
    <w:rsid w:val="00CA3255"/>
    <w:rsid w:val="00CA361A"/>
    <w:rsid w:val="00CA3BFE"/>
    <w:rsid w:val="00CA3CE4"/>
    <w:rsid w:val="00CA3D6E"/>
    <w:rsid w:val="00CA3D83"/>
    <w:rsid w:val="00CA3F56"/>
    <w:rsid w:val="00CA3F59"/>
    <w:rsid w:val="00CA3FF1"/>
    <w:rsid w:val="00CA41C8"/>
    <w:rsid w:val="00CA42E2"/>
    <w:rsid w:val="00CA457F"/>
    <w:rsid w:val="00CA501D"/>
    <w:rsid w:val="00CA5085"/>
    <w:rsid w:val="00CA5129"/>
    <w:rsid w:val="00CA5489"/>
    <w:rsid w:val="00CA54D7"/>
    <w:rsid w:val="00CA557C"/>
    <w:rsid w:val="00CA56FD"/>
    <w:rsid w:val="00CA5730"/>
    <w:rsid w:val="00CA5932"/>
    <w:rsid w:val="00CA5CBB"/>
    <w:rsid w:val="00CA5DF4"/>
    <w:rsid w:val="00CA63BB"/>
    <w:rsid w:val="00CA66D1"/>
    <w:rsid w:val="00CA68F3"/>
    <w:rsid w:val="00CA6AB6"/>
    <w:rsid w:val="00CA6EB9"/>
    <w:rsid w:val="00CA7000"/>
    <w:rsid w:val="00CA78EC"/>
    <w:rsid w:val="00CA7B66"/>
    <w:rsid w:val="00CA7B9C"/>
    <w:rsid w:val="00CA7FDC"/>
    <w:rsid w:val="00CB0021"/>
    <w:rsid w:val="00CB01CD"/>
    <w:rsid w:val="00CB0316"/>
    <w:rsid w:val="00CB04F9"/>
    <w:rsid w:val="00CB08E6"/>
    <w:rsid w:val="00CB096B"/>
    <w:rsid w:val="00CB0A18"/>
    <w:rsid w:val="00CB0BA8"/>
    <w:rsid w:val="00CB10E0"/>
    <w:rsid w:val="00CB137B"/>
    <w:rsid w:val="00CB15CB"/>
    <w:rsid w:val="00CB17B4"/>
    <w:rsid w:val="00CB181B"/>
    <w:rsid w:val="00CB1C1E"/>
    <w:rsid w:val="00CB1CDD"/>
    <w:rsid w:val="00CB1F01"/>
    <w:rsid w:val="00CB289A"/>
    <w:rsid w:val="00CB28E9"/>
    <w:rsid w:val="00CB29A9"/>
    <w:rsid w:val="00CB2A72"/>
    <w:rsid w:val="00CB2B39"/>
    <w:rsid w:val="00CB2C56"/>
    <w:rsid w:val="00CB2D6A"/>
    <w:rsid w:val="00CB2E2D"/>
    <w:rsid w:val="00CB30A1"/>
    <w:rsid w:val="00CB3116"/>
    <w:rsid w:val="00CB33FC"/>
    <w:rsid w:val="00CB349D"/>
    <w:rsid w:val="00CB35A1"/>
    <w:rsid w:val="00CB36AF"/>
    <w:rsid w:val="00CB36F4"/>
    <w:rsid w:val="00CB3726"/>
    <w:rsid w:val="00CB379E"/>
    <w:rsid w:val="00CB37F2"/>
    <w:rsid w:val="00CB396F"/>
    <w:rsid w:val="00CB3A4A"/>
    <w:rsid w:val="00CB4151"/>
    <w:rsid w:val="00CB4385"/>
    <w:rsid w:val="00CB4755"/>
    <w:rsid w:val="00CB49E4"/>
    <w:rsid w:val="00CB4B13"/>
    <w:rsid w:val="00CB4BCC"/>
    <w:rsid w:val="00CB4DC5"/>
    <w:rsid w:val="00CB51B5"/>
    <w:rsid w:val="00CB553C"/>
    <w:rsid w:val="00CB5581"/>
    <w:rsid w:val="00CB55CC"/>
    <w:rsid w:val="00CB5688"/>
    <w:rsid w:val="00CB593D"/>
    <w:rsid w:val="00CB5A6F"/>
    <w:rsid w:val="00CB5C42"/>
    <w:rsid w:val="00CB61E6"/>
    <w:rsid w:val="00CB6276"/>
    <w:rsid w:val="00CB6516"/>
    <w:rsid w:val="00CB6704"/>
    <w:rsid w:val="00CB688B"/>
    <w:rsid w:val="00CB6BF5"/>
    <w:rsid w:val="00CB6FF8"/>
    <w:rsid w:val="00CB7342"/>
    <w:rsid w:val="00CB75BB"/>
    <w:rsid w:val="00CB7607"/>
    <w:rsid w:val="00CB7847"/>
    <w:rsid w:val="00CB787F"/>
    <w:rsid w:val="00CB78B4"/>
    <w:rsid w:val="00CB7AF4"/>
    <w:rsid w:val="00CC0473"/>
    <w:rsid w:val="00CC06EE"/>
    <w:rsid w:val="00CC0921"/>
    <w:rsid w:val="00CC095B"/>
    <w:rsid w:val="00CC0B25"/>
    <w:rsid w:val="00CC0BF6"/>
    <w:rsid w:val="00CC0C8C"/>
    <w:rsid w:val="00CC0D19"/>
    <w:rsid w:val="00CC0FEA"/>
    <w:rsid w:val="00CC10AB"/>
    <w:rsid w:val="00CC1212"/>
    <w:rsid w:val="00CC12AF"/>
    <w:rsid w:val="00CC12FC"/>
    <w:rsid w:val="00CC14D5"/>
    <w:rsid w:val="00CC15CA"/>
    <w:rsid w:val="00CC1643"/>
    <w:rsid w:val="00CC1721"/>
    <w:rsid w:val="00CC1805"/>
    <w:rsid w:val="00CC1B82"/>
    <w:rsid w:val="00CC1DEC"/>
    <w:rsid w:val="00CC1EE3"/>
    <w:rsid w:val="00CC2224"/>
    <w:rsid w:val="00CC2435"/>
    <w:rsid w:val="00CC2467"/>
    <w:rsid w:val="00CC2520"/>
    <w:rsid w:val="00CC2887"/>
    <w:rsid w:val="00CC2B7B"/>
    <w:rsid w:val="00CC2C2A"/>
    <w:rsid w:val="00CC2C89"/>
    <w:rsid w:val="00CC2CC9"/>
    <w:rsid w:val="00CC2F7F"/>
    <w:rsid w:val="00CC320E"/>
    <w:rsid w:val="00CC32A0"/>
    <w:rsid w:val="00CC34C0"/>
    <w:rsid w:val="00CC399E"/>
    <w:rsid w:val="00CC3D69"/>
    <w:rsid w:val="00CC3F5C"/>
    <w:rsid w:val="00CC3F76"/>
    <w:rsid w:val="00CC4126"/>
    <w:rsid w:val="00CC418C"/>
    <w:rsid w:val="00CC4260"/>
    <w:rsid w:val="00CC4276"/>
    <w:rsid w:val="00CC42F9"/>
    <w:rsid w:val="00CC454B"/>
    <w:rsid w:val="00CC4635"/>
    <w:rsid w:val="00CC4764"/>
    <w:rsid w:val="00CC476A"/>
    <w:rsid w:val="00CC4876"/>
    <w:rsid w:val="00CC48D0"/>
    <w:rsid w:val="00CC4A1A"/>
    <w:rsid w:val="00CC4EA0"/>
    <w:rsid w:val="00CC5359"/>
    <w:rsid w:val="00CC54F3"/>
    <w:rsid w:val="00CC5615"/>
    <w:rsid w:val="00CC5645"/>
    <w:rsid w:val="00CC570A"/>
    <w:rsid w:val="00CC5C24"/>
    <w:rsid w:val="00CC60A0"/>
    <w:rsid w:val="00CC6105"/>
    <w:rsid w:val="00CC62FB"/>
    <w:rsid w:val="00CC6311"/>
    <w:rsid w:val="00CC633F"/>
    <w:rsid w:val="00CC6394"/>
    <w:rsid w:val="00CC63FA"/>
    <w:rsid w:val="00CC6488"/>
    <w:rsid w:val="00CC64A9"/>
    <w:rsid w:val="00CC65FF"/>
    <w:rsid w:val="00CC6B2C"/>
    <w:rsid w:val="00CC6EBF"/>
    <w:rsid w:val="00CC73A1"/>
    <w:rsid w:val="00CC744F"/>
    <w:rsid w:val="00CC756D"/>
    <w:rsid w:val="00CC762F"/>
    <w:rsid w:val="00CC763E"/>
    <w:rsid w:val="00CC7796"/>
    <w:rsid w:val="00CC7F59"/>
    <w:rsid w:val="00CD039D"/>
    <w:rsid w:val="00CD0445"/>
    <w:rsid w:val="00CD0632"/>
    <w:rsid w:val="00CD07BA"/>
    <w:rsid w:val="00CD099B"/>
    <w:rsid w:val="00CD0A3F"/>
    <w:rsid w:val="00CD0E97"/>
    <w:rsid w:val="00CD103A"/>
    <w:rsid w:val="00CD1058"/>
    <w:rsid w:val="00CD10AD"/>
    <w:rsid w:val="00CD12D5"/>
    <w:rsid w:val="00CD1320"/>
    <w:rsid w:val="00CD15E6"/>
    <w:rsid w:val="00CD19D6"/>
    <w:rsid w:val="00CD1C23"/>
    <w:rsid w:val="00CD1FB4"/>
    <w:rsid w:val="00CD233A"/>
    <w:rsid w:val="00CD23D1"/>
    <w:rsid w:val="00CD2690"/>
    <w:rsid w:val="00CD26DE"/>
    <w:rsid w:val="00CD278C"/>
    <w:rsid w:val="00CD286D"/>
    <w:rsid w:val="00CD2932"/>
    <w:rsid w:val="00CD2DED"/>
    <w:rsid w:val="00CD2E6E"/>
    <w:rsid w:val="00CD2F3E"/>
    <w:rsid w:val="00CD306F"/>
    <w:rsid w:val="00CD30CB"/>
    <w:rsid w:val="00CD326A"/>
    <w:rsid w:val="00CD3455"/>
    <w:rsid w:val="00CD3473"/>
    <w:rsid w:val="00CD351A"/>
    <w:rsid w:val="00CD39C6"/>
    <w:rsid w:val="00CD3AD4"/>
    <w:rsid w:val="00CD41C3"/>
    <w:rsid w:val="00CD4442"/>
    <w:rsid w:val="00CD4522"/>
    <w:rsid w:val="00CD48F0"/>
    <w:rsid w:val="00CD499D"/>
    <w:rsid w:val="00CD4B64"/>
    <w:rsid w:val="00CD4E2E"/>
    <w:rsid w:val="00CD4FAC"/>
    <w:rsid w:val="00CD5141"/>
    <w:rsid w:val="00CD520C"/>
    <w:rsid w:val="00CD5566"/>
    <w:rsid w:val="00CD55AD"/>
    <w:rsid w:val="00CD589C"/>
    <w:rsid w:val="00CD5B62"/>
    <w:rsid w:val="00CD5F15"/>
    <w:rsid w:val="00CD6133"/>
    <w:rsid w:val="00CD63CE"/>
    <w:rsid w:val="00CD6506"/>
    <w:rsid w:val="00CD6B23"/>
    <w:rsid w:val="00CD6B47"/>
    <w:rsid w:val="00CD6DB7"/>
    <w:rsid w:val="00CD6FA0"/>
    <w:rsid w:val="00CD7891"/>
    <w:rsid w:val="00CD7918"/>
    <w:rsid w:val="00CD7D4F"/>
    <w:rsid w:val="00CD7F3D"/>
    <w:rsid w:val="00CE0026"/>
    <w:rsid w:val="00CE023B"/>
    <w:rsid w:val="00CE0770"/>
    <w:rsid w:val="00CE0771"/>
    <w:rsid w:val="00CE091A"/>
    <w:rsid w:val="00CE0CDA"/>
    <w:rsid w:val="00CE13D7"/>
    <w:rsid w:val="00CE186C"/>
    <w:rsid w:val="00CE19BE"/>
    <w:rsid w:val="00CE1B79"/>
    <w:rsid w:val="00CE1CEB"/>
    <w:rsid w:val="00CE1E08"/>
    <w:rsid w:val="00CE1F5D"/>
    <w:rsid w:val="00CE2126"/>
    <w:rsid w:val="00CE290E"/>
    <w:rsid w:val="00CE2B29"/>
    <w:rsid w:val="00CE2D68"/>
    <w:rsid w:val="00CE2DDA"/>
    <w:rsid w:val="00CE31F0"/>
    <w:rsid w:val="00CE3354"/>
    <w:rsid w:val="00CE3647"/>
    <w:rsid w:val="00CE3673"/>
    <w:rsid w:val="00CE380B"/>
    <w:rsid w:val="00CE3946"/>
    <w:rsid w:val="00CE398E"/>
    <w:rsid w:val="00CE3AFA"/>
    <w:rsid w:val="00CE3B69"/>
    <w:rsid w:val="00CE3C64"/>
    <w:rsid w:val="00CE3F5A"/>
    <w:rsid w:val="00CE4028"/>
    <w:rsid w:val="00CE40E8"/>
    <w:rsid w:val="00CE4101"/>
    <w:rsid w:val="00CE4573"/>
    <w:rsid w:val="00CE48BC"/>
    <w:rsid w:val="00CE4CF1"/>
    <w:rsid w:val="00CE4D2F"/>
    <w:rsid w:val="00CE50D3"/>
    <w:rsid w:val="00CE53D3"/>
    <w:rsid w:val="00CE53DD"/>
    <w:rsid w:val="00CE540F"/>
    <w:rsid w:val="00CE56FF"/>
    <w:rsid w:val="00CE5852"/>
    <w:rsid w:val="00CE5C62"/>
    <w:rsid w:val="00CE5F99"/>
    <w:rsid w:val="00CE6580"/>
    <w:rsid w:val="00CE6617"/>
    <w:rsid w:val="00CE6906"/>
    <w:rsid w:val="00CE69DA"/>
    <w:rsid w:val="00CE6D10"/>
    <w:rsid w:val="00CE6F16"/>
    <w:rsid w:val="00CE7B37"/>
    <w:rsid w:val="00CE7D1A"/>
    <w:rsid w:val="00CE7EA5"/>
    <w:rsid w:val="00CF029A"/>
    <w:rsid w:val="00CF03E9"/>
    <w:rsid w:val="00CF0779"/>
    <w:rsid w:val="00CF0B3D"/>
    <w:rsid w:val="00CF0C55"/>
    <w:rsid w:val="00CF0D07"/>
    <w:rsid w:val="00CF0E4C"/>
    <w:rsid w:val="00CF11CF"/>
    <w:rsid w:val="00CF14F1"/>
    <w:rsid w:val="00CF1697"/>
    <w:rsid w:val="00CF175C"/>
    <w:rsid w:val="00CF1795"/>
    <w:rsid w:val="00CF18DC"/>
    <w:rsid w:val="00CF1A3A"/>
    <w:rsid w:val="00CF1BD9"/>
    <w:rsid w:val="00CF1CD1"/>
    <w:rsid w:val="00CF1CFB"/>
    <w:rsid w:val="00CF1D6A"/>
    <w:rsid w:val="00CF2242"/>
    <w:rsid w:val="00CF22C3"/>
    <w:rsid w:val="00CF2468"/>
    <w:rsid w:val="00CF2502"/>
    <w:rsid w:val="00CF2542"/>
    <w:rsid w:val="00CF26DD"/>
    <w:rsid w:val="00CF27B9"/>
    <w:rsid w:val="00CF2845"/>
    <w:rsid w:val="00CF2B29"/>
    <w:rsid w:val="00CF2F98"/>
    <w:rsid w:val="00CF3282"/>
    <w:rsid w:val="00CF3444"/>
    <w:rsid w:val="00CF3531"/>
    <w:rsid w:val="00CF4452"/>
    <w:rsid w:val="00CF48A2"/>
    <w:rsid w:val="00CF4AD8"/>
    <w:rsid w:val="00CF50EC"/>
    <w:rsid w:val="00CF579C"/>
    <w:rsid w:val="00CF5F8E"/>
    <w:rsid w:val="00CF613E"/>
    <w:rsid w:val="00CF6555"/>
    <w:rsid w:val="00CF666A"/>
    <w:rsid w:val="00CF69E3"/>
    <w:rsid w:val="00CF6B84"/>
    <w:rsid w:val="00CF6D7A"/>
    <w:rsid w:val="00CF7137"/>
    <w:rsid w:val="00CF7AC9"/>
    <w:rsid w:val="00CF7B1B"/>
    <w:rsid w:val="00CF7D71"/>
    <w:rsid w:val="00D00586"/>
    <w:rsid w:val="00D0086E"/>
    <w:rsid w:val="00D00B11"/>
    <w:rsid w:val="00D00CE0"/>
    <w:rsid w:val="00D00D7F"/>
    <w:rsid w:val="00D01059"/>
    <w:rsid w:val="00D01134"/>
    <w:rsid w:val="00D0132A"/>
    <w:rsid w:val="00D01411"/>
    <w:rsid w:val="00D01727"/>
    <w:rsid w:val="00D01DF3"/>
    <w:rsid w:val="00D01E55"/>
    <w:rsid w:val="00D02245"/>
    <w:rsid w:val="00D02281"/>
    <w:rsid w:val="00D023AC"/>
    <w:rsid w:val="00D0250C"/>
    <w:rsid w:val="00D0272E"/>
    <w:rsid w:val="00D02CC2"/>
    <w:rsid w:val="00D02D18"/>
    <w:rsid w:val="00D02D2D"/>
    <w:rsid w:val="00D030FC"/>
    <w:rsid w:val="00D038C1"/>
    <w:rsid w:val="00D03A85"/>
    <w:rsid w:val="00D03DCB"/>
    <w:rsid w:val="00D03E74"/>
    <w:rsid w:val="00D03F85"/>
    <w:rsid w:val="00D0401F"/>
    <w:rsid w:val="00D04166"/>
    <w:rsid w:val="00D043A9"/>
    <w:rsid w:val="00D0442F"/>
    <w:rsid w:val="00D0458E"/>
    <w:rsid w:val="00D045F6"/>
    <w:rsid w:val="00D04724"/>
    <w:rsid w:val="00D047CB"/>
    <w:rsid w:val="00D04EBA"/>
    <w:rsid w:val="00D05186"/>
    <w:rsid w:val="00D0526B"/>
    <w:rsid w:val="00D05475"/>
    <w:rsid w:val="00D0569C"/>
    <w:rsid w:val="00D057C0"/>
    <w:rsid w:val="00D0584D"/>
    <w:rsid w:val="00D058F3"/>
    <w:rsid w:val="00D05ABF"/>
    <w:rsid w:val="00D05E39"/>
    <w:rsid w:val="00D05E73"/>
    <w:rsid w:val="00D060B8"/>
    <w:rsid w:val="00D06146"/>
    <w:rsid w:val="00D062EC"/>
    <w:rsid w:val="00D06367"/>
    <w:rsid w:val="00D0648A"/>
    <w:rsid w:val="00D06846"/>
    <w:rsid w:val="00D06893"/>
    <w:rsid w:val="00D06AFD"/>
    <w:rsid w:val="00D06F12"/>
    <w:rsid w:val="00D06F45"/>
    <w:rsid w:val="00D07FD1"/>
    <w:rsid w:val="00D10207"/>
    <w:rsid w:val="00D103D9"/>
    <w:rsid w:val="00D104EB"/>
    <w:rsid w:val="00D10AC2"/>
    <w:rsid w:val="00D10DB9"/>
    <w:rsid w:val="00D10DC0"/>
    <w:rsid w:val="00D10EE1"/>
    <w:rsid w:val="00D1112E"/>
    <w:rsid w:val="00D111D3"/>
    <w:rsid w:val="00D1122D"/>
    <w:rsid w:val="00D113F5"/>
    <w:rsid w:val="00D1151B"/>
    <w:rsid w:val="00D11689"/>
    <w:rsid w:val="00D11856"/>
    <w:rsid w:val="00D119A3"/>
    <w:rsid w:val="00D11B1E"/>
    <w:rsid w:val="00D11BC1"/>
    <w:rsid w:val="00D11BF6"/>
    <w:rsid w:val="00D11D7F"/>
    <w:rsid w:val="00D120D5"/>
    <w:rsid w:val="00D1226D"/>
    <w:rsid w:val="00D122F9"/>
    <w:rsid w:val="00D125B3"/>
    <w:rsid w:val="00D126B6"/>
    <w:rsid w:val="00D12882"/>
    <w:rsid w:val="00D12B7F"/>
    <w:rsid w:val="00D1311F"/>
    <w:rsid w:val="00D1326B"/>
    <w:rsid w:val="00D13337"/>
    <w:rsid w:val="00D13B3B"/>
    <w:rsid w:val="00D13E50"/>
    <w:rsid w:val="00D13EC3"/>
    <w:rsid w:val="00D14015"/>
    <w:rsid w:val="00D143E5"/>
    <w:rsid w:val="00D14483"/>
    <w:rsid w:val="00D14536"/>
    <w:rsid w:val="00D14561"/>
    <w:rsid w:val="00D148B3"/>
    <w:rsid w:val="00D149CB"/>
    <w:rsid w:val="00D14D2D"/>
    <w:rsid w:val="00D14FBB"/>
    <w:rsid w:val="00D15214"/>
    <w:rsid w:val="00D1559F"/>
    <w:rsid w:val="00D156FA"/>
    <w:rsid w:val="00D159AC"/>
    <w:rsid w:val="00D15BAA"/>
    <w:rsid w:val="00D15D04"/>
    <w:rsid w:val="00D163E4"/>
    <w:rsid w:val="00D163F4"/>
    <w:rsid w:val="00D168F0"/>
    <w:rsid w:val="00D16929"/>
    <w:rsid w:val="00D16E48"/>
    <w:rsid w:val="00D16F01"/>
    <w:rsid w:val="00D1723C"/>
    <w:rsid w:val="00D174D6"/>
    <w:rsid w:val="00D17C3E"/>
    <w:rsid w:val="00D17D67"/>
    <w:rsid w:val="00D2005E"/>
    <w:rsid w:val="00D202B6"/>
    <w:rsid w:val="00D202F6"/>
    <w:rsid w:val="00D207E1"/>
    <w:rsid w:val="00D20923"/>
    <w:rsid w:val="00D20AE3"/>
    <w:rsid w:val="00D20DBB"/>
    <w:rsid w:val="00D20E06"/>
    <w:rsid w:val="00D20E56"/>
    <w:rsid w:val="00D20ECB"/>
    <w:rsid w:val="00D21328"/>
    <w:rsid w:val="00D214C4"/>
    <w:rsid w:val="00D21DE0"/>
    <w:rsid w:val="00D2200B"/>
    <w:rsid w:val="00D22079"/>
    <w:rsid w:val="00D22080"/>
    <w:rsid w:val="00D220D7"/>
    <w:rsid w:val="00D2218B"/>
    <w:rsid w:val="00D222DC"/>
    <w:rsid w:val="00D22489"/>
    <w:rsid w:val="00D22703"/>
    <w:rsid w:val="00D228AF"/>
    <w:rsid w:val="00D22924"/>
    <w:rsid w:val="00D22DC0"/>
    <w:rsid w:val="00D23121"/>
    <w:rsid w:val="00D233AF"/>
    <w:rsid w:val="00D234A4"/>
    <w:rsid w:val="00D23AB8"/>
    <w:rsid w:val="00D23E60"/>
    <w:rsid w:val="00D23EA4"/>
    <w:rsid w:val="00D240F9"/>
    <w:rsid w:val="00D241F7"/>
    <w:rsid w:val="00D2433D"/>
    <w:rsid w:val="00D243DB"/>
    <w:rsid w:val="00D245DB"/>
    <w:rsid w:val="00D24CC3"/>
    <w:rsid w:val="00D252C5"/>
    <w:rsid w:val="00D2554A"/>
    <w:rsid w:val="00D25735"/>
    <w:rsid w:val="00D2574E"/>
    <w:rsid w:val="00D25839"/>
    <w:rsid w:val="00D25E3C"/>
    <w:rsid w:val="00D25ED5"/>
    <w:rsid w:val="00D26211"/>
    <w:rsid w:val="00D26286"/>
    <w:rsid w:val="00D263CD"/>
    <w:rsid w:val="00D26492"/>
    <w:rsid w:val="00D265A2"/>
    <w:rsid w:val="00D267FE"/>
    <w:rsid w:val="00D26A08"/>
    <w:rsid w:val="00D2781A"/>
    <w:rsid w:val="00D27A24"/>
    <w:rsid w:val="00D27AE6"/>
    <w:rsid w:val="00D27EDC"/>
    <w:rsid w:val="00D27F17"/>
    <w:rsid w:val="00D30125"/>
    <w:rsid w:val="00D302E1"/>
    <w:rsid w:val="00D3036D"/>
    <w:rsid w:val="00D303E4"/>
    <w:rsid w:val="00D3056D"/>
    <w:rsid w:val="00D3057B"/>
    <w:rsid w:val="00D307C4"/>
    <w:rsid w:val="00D30C2C"/>
    <w:rsid w:val="00D30D95"/>
    <w:rsid w:val="00D30F68"/>
    <w:rsid w:val="00D3146B"/>
    <w:rsid w:val="00D3162A"/>
    <w:rsid w:val="00D31896"/>
    <w:rsid w:val="00D31E4E"/>
    <w:rsid w:val="00D3241A"/>
    <w:rsid w:val="00D3282A"/>
    <w:rsid w:val="00D32A7F"/>
    <w:rsid w:val="00D32CC6"/>
    <w:rsid w:val="00D332BE"/>
    <w:rsid w:val="00D33412"/>
    <w:rsid w:val="00D3367A"/>
    <w:rsid w:val="00D337A4"/>
    <w:rsid w:val="00D33843"/>
    <w:rsid w:val="00D33960"/>
    <w:rsid w:val="00D33B41"/>
    <w:rsid w:val="00D33BBA"/>
    <w:rsid w:val="00D33DCA"/>
    <w:rsid w:val="00D33FCF"/>
    <w:rsid w:val="00D34128"/>
    <w:rsid w:val="00D34280"/>
    <w:rsid w:val="00D34563"/>
    <w:rsid w:val="00D3460B"/>
    <w:rsid w:val="00D3463D"/>
    <w:rsid w:val="00D346B8"/>
    <w:rsid w:val="00D34982"/>
    <w:rsid w:val="00D34F5A"/>
    <w:rsid w:val="00D351C6"/>
    <w:rsid w:val="00D35210"/>
    <w:rsid w:val="00D35397"/>
    <w:rsid w:val="00D3541F"/>
    <w:rsid w:val="00D35468"/>
    <w:rsid w:val="00D35551"/>
    <w:rsid w:val="00D35E5C"/>
    <w:rsid w:val="00D36495"/>
    <w:rsid w:val="00D3683C"/>
    <w:rsid w:val="00D36C30"/>
    <w:rsid w:val="00D36D5B"/>
    <w:rsid w:val="00D37132"/>
    <w:rsid w:val="00D373BD"/>
    <w:rsid w:val="00D374D7"/>
    <w:rsid w:val="00D37721"/>
    <w:rsid w:val="00D3775A"/>
    <w:rsid w:val="00D3776E"/>
    <w:rsid w:val="00D37DB9"/>
    <w:rsid w:val="00D37E4C"/>
    <w:rsid w:val="00D4010E"/>
    <w:rsid w:val="00D40118"/>
    <w:rsid w:val="00D40449"/>
    <w:rsid w:val="00D40491"/>
    <w:rsid w:val="00D4050C"/>
    <w:rsid w:val="00D405CA"/>
    <w:rsid w:val="00D409C4"/>
    <w:rsid w:val="00D40B11"/>
    <w:rsid w:val="00D40F0D"/>
    <w:rsid w:val="00D41051"/>
    <w:rsid w:val="00D41267"/>
    <w:rsid w:val="00D41978"/>
    <w:rsid w:val="00D41CFC"/>
    <w:rsid w:val="00D41D5F"/>
    <w:rsid w:val="00D4202A"/>
    <w:rsid w:val="00D42070"/>
    <w:rsid w:val="00D42AE4"/>
    <w:rsid w:val="00D42D8E"/>
    <w:rsid w:val="00D42D93"/>
    <w:rsid w:val="00D42D9C"/>
    <w:rsid w:val="00D42E1E"/>
    <w:rsid w:val="00D430AB"/>
    <w:rsid w:val="00D4310E"/>
    <w:rsid w:val="00D43415"/>
    <w:rsid w:val="00D4343F"/>
    <w:rsid w:val="00D4345D"/>
    <w:rsid w:val="00D4360D"/>
    <w:rsid w:val="00D43B97"/>
    <w:rsid w:val="00D441D2"/>
    <w:rsid w:val="00D443FD"/>
    <w:rsid w:val="00D44772"/>
    <w:rsid w:val="00D44F71"/>
    <w:rsid w:val="00D45032"/>
    <w:rsid w:val="00D4522C"/>
    <w:rsid w:val="00D452FD"/>
    <w:rsid w:val="00D454CB"/>
    <w:rsid w:val="00D4564D"/>
    <w:rsid w:val="00D45835"/>
    <w:rsid w:val="00D45AC8"/>
    <w:rsid w:val="00D45BAE"/>
    <w:rsid w:val="00D45DAA"/>
    <w:rsid w:val="00D45F36"/>
    <w:rsid w:val="00D45FCD"/>
    <w:rsid w:val="00D45FDD"/>
    <w:rsid w:val="00D4655F"/>
    <w:rsid w:val="00D4698B"/>
    <w:rsid w:val="00D46CE0"/>
    <w:rsid w:val="00D46E42"/>
    <w:rsid w:val="00D46EA1"/>
    <w:rsid w:val="00D470A3"/>
    <w:rsid w:val="00D474A5"/>
    <w:rsid w:val="00D47580"/>
    <w:rsid w:val="00D4764F"/>
    <w:rsid w:val="00D47733"/>
    <w:rsid w:val="00D47925"/>
    <w:rsid w:val="00D479FE"/>
    <w:rsid w:val="00D47D8D"/>
    <w:rsid w:val="00D47F6D"/>
    <w:rsid w:val="00D50093"/>
    <w:rsid w:val="00D500C6"/>
    <w:rsid w:val="00D50135"/>
    <w:rsid w:val="00D50194"/>
    <w:rsid w:val="00D5048F"/>
    <w:rsid w:val="00D50599"/>
    <w:rsid w:val="00D507D2"/>
    <w:rsid w:val="00D508BF"/>
    <w:rsid w:val="00D50ADA"/>
    <w:rsid w:val="00D50C27"/>
    <w:rsid w:val="00D50C3E"/>
    <w:rsid w:val="00D50C7C"/>
    <w:rsid w:val="00D51229"/>
    <w:rsid w:val="00D51247"/>
    <w:rsid w:val="00D51395"/>
    <w:rsid w:val="00D516C2"/>
    <w:rsid w:val="00D51898"/>
    <w:rsid w:val="00D519D1"/>
    <w:rsid w:val="00D51C5E"/>
    <w:rsid w:val="00D51DAA"/>
    <w:rsid w:val="00D51DF1"/>
    <w:rsid w:val="00D52407"/>
    <w:rsid w:val="00D52A69"/>
    <w:rsid w:val="00D5345C"/>
    <w:rsid w:val="00D53654"/>
    <w:rsid w:val="00D539D0"/>
    <w:rsid w:val="00D539E7"/>
    <w:rsid w:val="00D539FE"/>
    <w:rsid w:val="00D53D83"/>
    <w:rsid w:val="00D53DAB"/>
    <w:rsid w:val="00D53F71"/>
    <w:rsid w:val="00D540AE"/>
    <w:rsid w:val="00D5414B"/>
    <w:rsid w:val="00D54278"/>
    <w:rsid w:val="00D54339"/>
    <w:rsid w:val="00D545DE"/>
    <w:rsid w:val="00D547B0"/>
    <w:rsid w:val="00D54912"/>
    <w:rsid w:val="00D54CDE"/>
    <w:rsid w:val="00D54F5E"/>
    <w:rsid w:val="00D5516C"/>
    <w:rsid w:val="00D55213"/>
    <w:rsid w:val="00D5573E"/>
    <w:rsid w:val="00D55AB5"/>
    <w:rsid w:val="00D55BFB"/>
    <w:rsid w:val="00D55BFF"/>
    <w:rsid w:val="00D55D03"/>
    <w:rsid w:val="00D5625D"/>
    <w:rsid w:val="00D56BEC"/>
    <w:rsid w:val="00D56C64"/>
    <w:rsid w:val="00D56E93"/>
    <w:rsid w:val="00D56EAC"/>
    <w:rsid w:val="00D56F0E"/>
    <w:rsid w:val="00D571DE"/>
    <w:rsid w:val="00D57471"/>
    <w:rsid w:val="00D57742"/>
    <w:rsid w:val="00D57811"/>
    <w:rsid w:val="00D57DA8"/>
    <w:rsid w:val="00D57DBC"/>
    <w:rsid w:val="00D57E39"/>
    <w:rsid w:val="00D57E98"/>
    <w:rsid w:val="00D57FAE"/>
    <w:rsid w:val="00D6004F"/>
    <w:rsid w:val="00D602DA"/>
    <w:rsid w:val="00D60406"/>
    <w:rsid w:val="00D6053A"/>
    <w:rsid w:val="00D60601"/>
    <w:rsid w:val="00D607DE"/>
    <w:rsid w:val="00D60B86"/>
    <w:rsid w:val="00D60D6C"/>
    <w:rsid w:val="00D60E7D"/>
    <w:rsid w:val="00D61683"/>
    <w:rsid w:val="00D616F5"/>
    <w:rsid w:val="00D61803"/>
    <w:rsid w:val="00D61A62"/>
    <w:rsid w:val="00D61B22"/>
    <w:rsid w:val="00D61B74"/>
    <w:rsid w:val="00D61C80"/>
    <w:rsid w:val="00D61D81"/>
    <w:rsid w:val="00D61E68"/>
    <w:rsid w:val="00D61FDC"/>
    <w:rsid w:val="00D62151"/>
    <w:rsid w:val="00D621EA"/>
    <w:rsid w:val="00D622E9"/>
    <w:rsid w:val="00D623C4"/>
    <w:rsid w:val="00D6260D"/>
    <w:rsid w:val="00D62640"/>
    <w:rsid w:val="00D62656"/>
    <w:rsid w:val="00D62B69"/>
    <w:rsid w:val="00D62DA5"/>
    <w:rsid w:val="00D62F51"/>
    <w:rsid w:val="00D6304A"/>
    <w:rsid w:val="00D63437"/>
    <w:rsid w:val="00D63CAB"/>
    <w:rsid w:val="00D64142"/>
    <w:rsid w:val="00D641FD"/>
    <w:rsid w:val="00D64202"/>
    <w:rsid w:val="00D64211"/>
    <w:rsid w:val="00D64249"/>
    <w:rsid w:val="00D6428C"/>
    <w:rsid w:val="00D642E7"/>
    <w:rsid w:val="00D64582"/>
    <w:rsid w:val="00D649ED"/>
    <w:rsid w:val="00D64E5A"/>
    <w:rsid w:val="00D65339"/>
    <w:rsid w:val="00D654C8"/>
    <w:rsid w:val="00D655A9"/>
    <w:rsid w:val="00D656FB"/>
    <w:rsid w:val="00D65715"/>
    <w:rsid w:val="00D65A38"/>
    <w:rsid w:val="00D65AE2"/>
    <w:rsid w:val="00D65BF8"/>
    <w:rsid w:val="00D65C1A"/>
    <w:rsid w:val="00D65D27"/>
    <w:rsid w:val="00D65ECA"/>
    <w:rsid w:val="00D65FCC"/>
    <w:rsid w:val="00D66058"/>
    <w:rsid w:val="00D663D2"/>
    <w:rsid w:val="00D66798"/>
    <w:rsid w:val="00D669FF"/>
    <w:rsid w:val="00D66A78"/>
    <w:rsid w:val="00D66B00"/>
    <w:rsid w:val="00D66BCF"/>
    <w:rsid w:val="00D6712A"/>
    <w:rsid w:val="00D67212"/>
    <w:rsid w:val="00D67337"/>
    <w:rsid w:val="00D6762E"/>
    <w:rsid w:val="00D67853"/>
    <w:rsid w:val="00D67D39"/>
    <w:rsid w:val="00D70194"/>
    <w:rsid w:val="00D703FB"/>
    <w:rsid w:val="00D7042C"/>
    <w:rsid w:val="00D70725"/>
    <w:rsid w:val="00D7073A"/>
    <w:rsid w:val="00D70A51"/>
    <w:rsid w:val="00D70AAC"/>
    <w:rsid w:val="00D70DFE"/>
    <w:rsid w:val="00D70F77"/>
    <w:rsid w:val="00D7126F"/>
    <w:rsid w:val="00D712B8"/>
    <w:rsid w:val="00D713F7"/>
    <w:rsid w:val="00D7180C"/>
    <w:rsid w:val="00D718BB"/>
    <w:rsid w:val="00D71B59"/>
    <w:rsid w:val="00D71D19"/>
    <w:rsid w:val="00D71D68"/>
    <w:rsid w:val="00D71E71"/>
    <w:rsid w:val="00D71F1F"/>
    <w:rsid w:val="00D7214F"/>
    <w:rsid w:val="00D724B6"/>
    <w:rsid w:val="00D725D8"/>
    <w:rsid w:val="00D729A0"/>
    <w:rsid w:val="00D72A61"/>
    <w:rsid w:val="00D72D68"/>
    <w:rsid w:val="00D72DC6"/>
    <w:rsid w:val="00D72F98"/>
    <w:rsid w:val="00D7312D"/>
    <w:rsid w:val="00D731B8"/>
    <w:rsid w:val="00D733C6"/>
    <w:rsid w:val="00D7344D"/>
    <w:rsid w:val="00D734C3"/>
    <w:rsid w:val="00D7361F"/>
    <w:rsid w:val="00D73999"/>
    <w:rsid w:val="00D73B0F"/>
    <w:rsid w:val="00D73C46"/>
    <w:rsid w:val="00D73C71"/>
    <w:rsid w:val="00D73E13"/>
    <w:rsid w:val="00D74370"/>
    <w:rsid w:val="00D748BD"/>
    <w:rsid w:val="00D749CF"/>
    <w:rsid w:val="00D74D64"/>
    <w:rsid w:val="00D74F95"/>
    <w:rsid w:val="00D7507C"/>
    <w:rsid w:val="00D751AC"/>
    <w:rsid w:val="00D751B9"/>
    <w:rsid w:val="00D751D1"/>
    <w:rsid w:val="00D75ADE"/>
    <w:rsid w:val="00D75BEC"/>
    <w:rsid w:val="00D760DC"/>
    <w:rsid w:val="00D766D8"/>
    <w:rsid w:val="00D76702"/>
    <w:rsid w:val="00D768CD"/>
    <w:rsid w:val="00D7695F"/>
    <w:rsid w:val="00D76BE9"/>
    <w:rsid w:val="00D76CDC"/>
    <w:rsid w:val="00D76E80"/>
    <w:rsid w:val="00D77024"/>
    <w:rsid w:val="00D770D0"/>
    <w:rsid w:val="00D770F3"/>
    <w:rsid w:val="00D77502"/>
    <w:rsid w:val="00D7753F"/>
    <w:rsid w:val="00D77A1F"/>
    <w:rsid w:val="00D77A2B"/>
    <w:rsid w:val="00D77BAA"/>
    <w:rsid w:val="00D77D1F"/>
    <w:rsid w:val="00D77D42"/>
    <w:rsid w:val="00D77E4A"/>
    <w:rsid w:val="00D803E8"/>
    <w:rsid w:val="00D80EA1"/>
    <w:rsid w:val="00D8122C"/>
    <w:rsid w:val="00D81252"/>
    <w:rsid w:val="00D81373"/>
    <w:rsid w:val="00D816B1"/>
    <w:rsid w:val="00D81C51"/>
    <w:rsid w:val="00D8213B"/>
    <w:rsid w:val="00D82286"/>
    <w:rsid w:val="00D82486"/>
    <w:rsid w:val="00D82640"/>
    <w:rsid w:val="00D82D6A"/>
    <w:rsid w:val="00D830F2"/>
    <w:rsid w:val="00D83193"/>
    <w:rsid w:val="00D832A5"/>
    <w:rsid w:val="00D832E2"/>
    <w:rsid w:val="00D83465"/>
    <w:rsid w:val="00D83605"/>
    <w:rsid w:val="00D837BB"/>
    <w:rsid w:val="00D840B1"/>
    <w:rsid w:val="00D845E6"/>
    <w:rsid w:val="00D8465D"/>
    <w:rsid w:val="00D84899"/>
    <w:rsid w:val="00D84E14"/>
    <w:rsid w:val="00D85124"/>
    <w:rsid w:val="00D85229"/>
    <w:rsid w:val="00D856AB"/>
    <w:rsid w:val="00D857A7"/>
    <w:rsid w:val="00D85B71"/>
    <w:rsid w:val="00D85B95"/>
    <w:rsid w:val="00D85CBD"/>
    <w:rsid w:val="00D85DBC"/>
    <w:rsid w:val="00D8610B"/>
    <w:rsid w:val="00D86335"/>
    <w:rsid w:val="00D865E5"/>
    <w:rsid w:val="00D86608"/>
    <w:rsid w:val="00D86727"/>
    <w:rsid w:val="00D86794"/>
    <w:rsid w:val="00D86EAE"/>
    <w:rsid w:val="00D873C5"/>
    <w:rsid w:val="00D8742C"/>
    <w:rsid w:val="00D8769E"/>
    <w:rsid w:val="00D87A67"/>
    <w:rsid w:val="00D87C90"/>
    <w:rsid w:val="00D87CD0"/>
    <w:rsid w:val="00D87DC5"/>
    <w:rsid w:val="00D87E26"/>
    <w:rsid w:val="00D87EBF"/>
    <w:rsid w:val="00D90397"/>
    <w:rsid w:val="00D90BDE"/>
    <w:rsid w:val="00D90C93"/>
    <w:rsid w:val="00D90D02"/>
    <w:rsid w:val="00D90DFD"/>
    <w:rsid w:val="00D90FC6"/>
    <w:rsid w:val="00D91135"/>
    <w:rsid w:val="00D917C0"/>
    <w:rsid w:val="00D91BA3"/>
    <w:rsid w:val="00D91E25"/>
    <w:rsid w:val="00D91EA5"/>
    <w:rsid w:val="00D91EAE"/>
    <w:rsid w:val="00D921C5"/>
    <w:rsid w:val="00D921ED"/>
    <w:rsid w:val="00D923B6"/>
    <w:rsid w:val="00D923C8"/>
    <w:rsid w:val="00D929C0"/>
    <w:rsid w:val="00D929C8"/>
    <w:rsid w:val="00D92DB8"/>
    <w:rsid w:val="00D92DD9"/>
    <w:rsid w:val="00D93054"/>
    <w:rsid w:val="00D932C9"/>
    <w:rsid w:val="00D9337D"/>
    <w:rsid w:val="00D9356C"/>
    <w:rsid w:val="00D93639"/>
    <w:rsid w:val="00D93971"/>
    <w:rsid w:val="00D939EB"/>
    <w:rsid w:val="00D93D45"/>
    <w:rsid w:val="00D944D5"/>
    <w:rsid w:val="00D945D4"/>
    <w:rsid w:val="00D946E9"/>
    <w:rsid w:val="00D94860"/>
    <w:rsid w:val="00D94991"/>
    <w:rsid w:val="00D94F96"/>
    <w:rsid w:val="00D9517F"/>
    <w:rsid w:val="00D95719"/>
    <w:rsid w:val="00D95732"/>
    <w:rsid w:val="00D95833"/>
    <w:rsid w:val="00D95841"/>
    <w:rsid w:val="00D95BC2"/>
    <w:rsid w:val="00D95BED"/>
    <w:rsid w:val="00D96A2D"/>
    <w:rsid w:val="00D96A84"/>
    <w:rsid w:val="00D96A94"/>
    <w:rsid w:val="00D96B78"/>
    <w:rsid w:val="00D96BFA"/>
    <w:rsid w:val="00D96EFA"/>
    <w:rsid w:val="00D971BC"/>
    <w:rsid w:val="00D9723D"/>
    <w:rsid w:val="00D97392"/>
    <w:rsid w:val="00D9741A"/>
    <w:rsid w:val="00D97569"/>
    <w:rsid w:val="00D97C3C"/>
    <w:rsid w:val="00D97DAD"/>
    <w:rsid w:val="00DA007D"/>
    <w:rsid w:val="00DA0339"/>
    <w:rsid w:val="00DA04D8"/>
    <w:rsid w:val="00DA0638"/>
    <w:rsid w:val="00DA070E"/>
    <w:rsid w:val="00DA074E"/>
    <w:rsid w:val="00DA0C10"/>
    <w:rsid w:val="00DA0CF6"/>
    <w:rsid w:val="00DA0D39"/>
    <w:rsid w:val="00DA0EDA"/>
    <w:rsid w:val="00DA16CD"/>
    <w:rsid w:val="00DA210A"/>
    <w:rsid w:val="00DA263A"/>
    <w:rsid w:val="00DA2897"/>
    <w:rsid w:val="00DA2A33"/>
    <w:rsid w:val="00DA2DBB"/>
    <w:rsid w:val="00DA2EDA"/>
    <w:rsid w:val="00DA2F4D"/>
    <w:rsid w:val="00DA3631"/>
    <w:rsid w:val="00DA36E0"/>
    <w:rsid w:val="00DA385B"/>
    <w:rsid w:val="00DA3936"/>
    <w:rsid w:val="00DA3948"/>
    <w:rsid w:val="00DA394A"/>
    <w:rsid w:val="00DA39F0"/>
    <w:rsid w:val="00DA39F6"/>
    <w:rsid w:val="00DA3A5A"/>
    <w:rsid w:val="00DA3A76"/>
    <w:rsid w:val="00DA3FF9"/>
    <w:rsid w:val="00DA41B2"/>
    <w:rsid w:val="00DA41EB"/>
    <w:rsid w:val="00DA426E"/>
    <w:rsid w:val="00DA46C6"/>
    <w:rsid w:val="00DA4C1B"/>
    <w:rsid w:val="00DA4D6C"/>
    <w:rsid w:val="00DA4E27"/>
    <w:rsid w:val="00DA53F8"/>
    <w:rsid w:val="00DA5A83"/>
    <w:rsid w:val="00DA5AF9"/>
    <w:rsid w:val="00DA626E"/>
    <w:rsid w:val="00DA657D"/>
    <w:rsid w:val="00DA6916"/>
    <w:rsid w:val="00DA6AA8"/>
    <w:rsid w:val="00DA6D2C"/>
    <w:rsid w:val="00DA6DC9"/>
    <w:rsid w:val="00DA7219"/>
    <w:rsid w:val="00DA73D0"/>
    <w:rsid w:val="00DA74C8"/>
    <w:rsid w:val="00DA768E"/>
    <w:rsid w:val="00DA76EF"/>
    <w:rsid w:val="00DA773B"/>
    <w:rsid w:val="00DA7844"/>
    <w:rsid w:val="00DB0454"/>
    <w:rsid w:val="00DB054A"/>
    <w:rsid w:val="00DB0586"/>
    <w:rsid w:val="00DB0592"/>
    <w:rsid w:val="00DB0767"/>
    <w:rsid w:val="00DB0992"/>
    <w:rsid w:val="00DB0B03"/>
    <w:rsid w:val="00DB0CB5"/>
    <w:rsid w:val="00DB10B7"/>
    <w:rsid w:val="00DB1267"/>
    <w:rsid w:val="00DB15EC"/>
    <w:rsid w:val="00DB18DB"/>
    <w:rsid w:val="00DB1961"/>
    <w:rsid w:val="00DB1D6C"/>
    <w:rsid w:val="00DB1E30"/>
    <w:rsid w:val="00DB1FD8"/>
    <w:rsid w:val="00DB25E2"/>
    <w:rsid w:val="00DB27ED"/>
    <w:rsid w:val="00DB2B44"/>
    <w:rsid w:val="00DB2E15"/>
    <w:rsid w:val="00DB34ED"/>
    <w:rsid w:val="00DB3566"/>
    <w:rsid w:val="00DB3761"/>
    <w:rsid w:val="00DB3B2D"/>
    <w:rsid w:val="00DB3E01"/>
    <w:rsid w:val="00DB3F49"/>
    <w:rsid w:val="00DB41A1"/>
    <w:rsid w:val="00DB4233"/>
    <w:rsid w:val="00DB46DA"/>
    <w:rsid w:val="00DB4700"/>
    <w:rsid w:val="00DB4927"/>
    <w:rsid w:val="00DB494B"/>
    <w:rsid w:val="00DB4989"/>
    <w:rsid w:val="00DB4C52"/>
    <w:rsid w:val="00DB502F"/>
    <w:rsid w:val="00DB511F"/>
    <w:rsid w:val="00DB562A"/>
    <w:rsid w:val="00DB58D6"/>
    <w:rsid w:val="00DB5966"/>
    <w:rsid w:val="00DB596B"/>
    <w:rsid w:val="00DB5A28"/>
    <w:rsid w:val="00DB5F03"/>
    <w:rsid w:val="00DB6093"/>
    <w:rsid w:val="00DB6287"/>
    <w:rsid w:val="00DB62AC"/>
    <w:rsid w:val="00DB6460"/>
    <w:rsid w:val="00DB6731"/>
    <w:rsid w:val="00DB67FC"/>
    <w:rsid w:val="00DB68BA"/>
    <w:rsid w:val="00DB6962"/>
    <w:rsid w:val="00DB69F3"/>
    <w:rsid w:val="00DB6A81"/>
    <w:rsid w:val="00DB6E4C"/>
    <w:rsid w:val="00DB6F99"/>
    <w:rsid w:val="00DB7034"/>
    <w:rsid w:val="00DB7058"/>
    <w:rsid w:val="00DB723E"/>
    <w:rsid w:val="00DB7571"/>
    <w:rsid w:val="00DB76CE"/>
    <w:rsid w:val="00DB7778"/>
    <w:rsid w:val="00DB7971"/>
    <w:rsid w:val="00DB7A69"/>
    <w:rsid w:val="00DB7C5F"/>
    <w:rsid w:val="00DB7D1C"/>
    <w:rsid w:val="00DC001F"/>
    <w:rsid w:val="00DC018F"/>
    <w:rsid w:val="00DC0208"/>
    <w:rsid w:val="00DC02AC"/>
    <w:rsid w:val="00DC0634"/>
    <w:rsid w:val="00DC06CC"/>
    <w:rsid w:val="00DC0778"/>
    <w:rsid w:val="00DC0AD1"/>
    <w:rsid w:val="00DC0B15"/>
    <w:rsid w:val="00DC0CAA"/>
    <w:rsid w:val="00DC0CB4"/>
    <w:rsid w:val="00DC0EAB"/>
    <w:rsid w:val="00DC0F50"/>
    <w:rsid w:val="00DC1154"/>
    <w:rsid w:val="00DC11DA"/>
    <w:rsid w:val="00DC14E8"/>
    <w:rsid w:val="00DC1578"/>
    <w:rsid w:val="00DC1817"/>
    <w:rsid w:val="00DC1B7B"/>
    <w:rsid w:val="00DC1C5E"/>
    <w:rsid w:val="00DC1EFC"/>
    <w:rsid w:val="00DC1F34"/>
    <w:rsid w:val="00DC2244"/>
    <w:rsid w:val="00DC239E"/>
    <w:rsid w:val="00DC2834"/>
    <w:rsid w:val="00DC28D0"/>
    <w:rsid w:val="00DC2F88"/>
    <w:rsid w:val="00DC3301"/>
    <w:rsid w:val="00DC340C"/>
    <w:rsid w:val="00DC358E"/>
    <w:rsid w:val="00DC3662"/>
    <w:rsid w:val="00DC3784"/>
    <w:rsid w:val="00DC4563"/>
    <w:rsid w:val="00DC4758"/>
    <w:rsid w:val="00DC4A2B"/>
    <w:rsid w:val="00DC4CC9"/>
    <w:rsid w:val="00DC4F82"/>
    <w:rsid w:val="00DC5178"/>
    <w:rsid w:val="00DC556D"/>
    <w:rsid w:val="00DC5D00"/>
    <w:rsid w:val="00DC5D92"/>
    <w:rsid w:val="00DC5DC9"/>
    <w:rsid w:val="00DC5E1A"/>
    <w:rsid w:val="00DC5EC8"/>
    <w:rsid w:val="00DC6346"/>
    <w:rsid w:val="00DC6636"/>
    <w:rsid w:val="00DC67BB"/>
    <w:rsid w:val="00DC6891"/>
    <w:rsid w:val="00DC68AE"/>
    <w:rsid w:val="00DC68E4"/>
    <w:rsid w:val="00DC69F9"/>
    <w:rsid w:val="00DC6C36"/>
    <w:rsid w:val="00DC6E40"/>
    <w:rsid w:val="00DC6E6D"/>
    <w:rsid w:val="00DC6F77"/>
    <w:rsid w:val="00DC7093"/>
    <w:rsid w:val="00DC766D"/>
    <w:rsid w:val="00DC7704"/>
    <w:rsid w:val="00DC77CB"/>
    <w:rsid w:val="00DC77D1"/>
    <w:rsid w:val="00DC79F8"/>
    <w:rsid w:val="00DC7AAF"/>
    <w:rsid w:val="00DC7FAB"/>
    <w:rsid w:val="00DD00AD"/>
    <w:rsid w:val="00DD016A"/>
    <w:rsid w:val="00DD0176"/>
    <w:rsid w:val="00DD0286"/>
    <w:rsid w:val="00DD0924"/>
    <w:rsid w:val="00DD0B1A"/>
    <w:rsid w:val="00DD0EF9"/>
    <w:rsid w:val="00DD0F66"/>
    <w:rsid w:val="00DD12F3"/>
    <w:rsid w:val="00DD16AB"/>
    <w:rsid w:val="00DD18C7"/>
    <w:rsid w:val="00DD1A2A"/>
    <w:rsid w:val="00DD2021"/>
    <w:rsid w:val="00DD2CF1"/>
    <w:rsid w:val="00DD301F"/>
    <w:rsid w:val="00DD30C8"/>
    <w:rsid w:val="00DD30E6"/>
    <w:rsid w:val="00DD3211"/>
    <w:rsid w:val="00DD3244"/>
    <w:rsid w:val="00DD342E"/>
    <w:rsid w:val="00DD3890"/>
    <w:rsid w:val="00DD3ACF"/>
    <w:rsid w:val="00DD3C31"/>
    <w:rsid w:val="00DD3D00"/>
    <w:rsid w:val="00DD3D3E"/>
    <w:rsid w:val="00DD3D99"/>
    <w:rsid w:val="00DD4078"/>
    <w:rsid w:val="00DD4A75"/>
    <w:rsid w:val="00DD4B05"/>
    <w:rsid w:val="00DD4DAC"/>
    <w:rsid w:val="00DD4F47"/>
    <w:rsid w:val="00DD5304"/>
    <w:rsid w:val="00DD5368"/>
    <w:rsid w:val="00DD53AF"/>
    <w:rsid w:val="00DD5458"/>
    <w:rsid w:val="00DD557A"/>
    <w:rsid w:val="00DD56D8"/>
    <w:rsid w:val="00DD5C19"/>
    <w:rsid w:val="00DD5E68"/>
    <w:rsid w:val="00DD6028"/>
    <w:rsid w:val="00DD6058"/>
    <w:rsid w:val="00DD61EE"/>
    <w:rsid w:val="00DD644F"/>
    <w:rsid w:val="00DD669F"/>
    <w:rsid w:val="00DD682D"/>
    <w:rsid w:val="00DD6896"/>
    <w:rsid w:val="00DD69D8"/>
    <w:rsid w:val="00DD6B69"/>
    <w:rsid w:val="00DD6BBE"/>
    <w:rsid w:val="00DD6BE5"/>
    <w:rsid w:val="00DD6D94"/>
    <w:rsid w:val="00DD6EA5"/>
    <w:rsid w:val="00DD6FF6"/>
    <w:rsid w:val="00DD71F9"/>
    <w:rsid w:val="00DD7320"/>
    <w:rsid w:val="00DD738C"/>
    <w:rsid w:val="00DD7ABF"/>
    <w:rsid w:val="00DD7BF5"/>
    <w:rsid w:val="00DD7F68"/>
    <w:rsid w:val="00DE0227"/>
    <w:rsid w:val="00DE04DA"/>
    <w:rsid w:val="00DE056B"/>
    <w:rsid w:val="00DE092B"/>
    <w:rsid w:val="00DE0C68"/>
    <w:rsid w:val="00DE0DFA"/>
    <w:rsid w:val="00DE131F"/>
    <w:rsid w:val="00DE13D0"/>
    <w:rsid w:val="00DE17C5"/>
    <w:rsid w:val="00DE18E3"/>
    <w:rsid w:val="00DE1C20"/>
    <w:rsid w:val="00DE262B"/>
    <w:rsid w:val="00DE274E"/>
    <w:rsid w:val="00DE2AF6"/>
    <w:rsid w:val="00DE39F7"/>
    <w:rsid w:val="00DE3E3A"/>
    <w:rsid w:val="00DE3F63"/>
    <w:rsid w:val="00DE41B5"/>
    <w:rsid w:val="00DE43BD"/>
    <w:rsid w:val="00DE46B8"/>
    <w:rsid w:val="00DE4B6C"/>
    <w:rsid w:val="00DE4B7E"/>
    <w:rsid w:val="00DE4E7B"/>
    <w:rsid w:val="00DE4F0F"/>
    <w:rsid w:val="00DE52E4"/>
    <w:rsid w:val="00DE53BE"/>
    <w:rsid w:val="00DE58C2"/>
    <w:rsid w:val="00DE58C6"/>
    <w:rsid w:val="00DE5954"/>
    <w:rsid w:val="00DE5BAE"/>
    <w:rsid w:val="00DE5D99"/>
    <w:rsid w:val="00DE5DCA"/>
    <w:rsid w:val="00DE5F7C"/>
    <w:rsid w:val="00DE5FC8"/>
    <w:rsid w:val="00DE6074"/>
    <w:rsid w:val="00DE63BE"/>
    <w:rsid w:val="00DE65B9"/>
    <w:rsid w:val="00DE6705"/>
    <w:rsid w:val="00DE68DD"/>
    <w:rsid w:val="00DE6A07"/>
    <w:rsid w:val="00DE7022"/>
    <w:rsid w:val="00DE710C"/>
    <w:rsid w:val="00DE7151"/>
    <w:rsid w:val="00DE71E2"/>
    <w:rsid w:val="00DE74C6"/>
    <w:rsid w:val="00DE7547"/>
    <w:rsid w:val="00DE7581"/>
    <w:rsid w:val="00DE76FD"/>
    <w:rsid w:val="00DF01BF"/>
    <w:rsid w:val="00DF057D"/>
    <w:rsid w:val="00DF09F0"/>
    <w:rsid w:val="00DF0BAB"/>
    <w:rsid w:val="00DF0D1C"/>
    <w:rsid w:val="00DF0D92"/>
    <w:rsid w:val="00DF0E57"/>
    <w:rsid w:val="00DF109B"/>
    <w:rsid w:val="00DF11AB"/>
    <w:rsid w:val="00DF15DA"/>
    <w:rsid w:val="00DF164A"/>
    <w:rsid w:val="00DF17C8"/>
    <w:rsid w:val="00DF1AFA"/>
    <w:rsid w:val="00DF1BDC"/>
    <w:rsid w:val="00DF1BE2"/>
    <w:rsid w:val="00DF1D2D"/>
    <w:rsid w:val="00DF1E25"/>
    <w:rsid w:val="00DF1E26"/>
    <w:rsid w:val="00DF1ED2"/>
    <w:rsid w:val="00DF240F"/>
    <w:rsid w:val="00DF2BE3"/>
    <w:rsid w:val="00DF31B9"/>
    <w:rsid w:val="00DF3374"/>
    <w:rsid w:val="00DF3580"/>
    <w:rsid w:val="00DF3C1C"/>
    <w:rsid w:val="00DF3DCE"/>
    <w:rsid w:val="00DF3F7C"/>
    <w:rsid w:val="00DF46E1"/>
    <w:rsid w:val="00DF4741"/>
    <w:rsid w:val="00DF48AB"/>
    <w:rsid w:val="00DF4B46"/>
    <w:rsid w:val="00DF4C7F"/>
    <w:rsid w:val="00DF52C6"/>
    <w:rsid w:val="00DF56D9"/>
    <w:rsid w:val="00DF5A32"/>
    <w:rsid w:val="00DF5A3F"/>
    <w:rsid w:val="00DF5A79"/>
    <w:rsid w:val="00DF5C5D"/>
    <w:rsid w:val="00DF5D9D"/>
    <w:rsid w:val="00DF5E83"/>
    <w:rsid w:val="00DF636B"/>
    <w:rsid w:val="00DF6588"/>
    <w:rsid w:val="00DF6598"/>
    <w:rsid w:val="00DF66E9"/>
    <w:rsid w:val="00DF6AC6"/>
    <w:rsid w:val="00DF6BCB"/>
    <w:rsid w:val="00DF6E3F"/>
    <w:rsid w:val="00DF6F38"/>
    <w:rsid w:val="00DF6F64"/>
    <w:rsid w:val="00DF701A"/>
    <w:rsid w:val="00DF7207"/>
    <w:rsid w:val="00DF73B1"/>
    <w:rsid w:val="00DF747B"/>
    <w:rsid w:val="00DF76E0"/>
    <w:rsid w:val="00DF7765"/>
    <w:rsid w:val="00DF7A92"/>
    <w:rsid w:val="00DF7BDF"/>
    <w:rsid w:val="00DF7E38"/>
    <w:rsid w:val="00DF7ED7"/>
    <w:rsid w:val="00E000BA"/>
    <w:rsid w:val="00E004B8"/>
    <w:rsid w:val="00E005BA"/>
    <w:rsid w:val="00E0079A"/>
    <w:rsid w:val="00E00890"/>
    <w:rsid w:val="00E00BDB"/>
    <w:rsid w:val="00E00CD9"/>
    <w:rsid w:val="00E0105C"/>
    <w:rsid w:val="00E010F9"/>
    <w:rsid w:val="00E0113F"/>
    <w:rsid w:val="00E011B1"/>
    <w:rsid w:val="00E0146F"/>
    <w:rsid w:val="00E01521"/>
    <w:rsid w:val="00E01558"/>
    <w:rsid w:val="00E015AE"/>
    <w:rsid w:val="00E01F19"/>
    <w:rsid w:val="00E0280C"/>
    <w:rsid w:val="00E0281E"/>
    <w:rsid w:val="00E02987"/>
    <w:rsid w:val="00E02D9E"/>
    <w:rsid w:val="00E02DE8"/>
    <w:rsid w:val="00E03325"/>
    <w:rsid w:val="00E033C2"/>
    <w:rsid w:val="00E03623"/>
    <w:rsid w:val="00E03C96"/>
    <w:rsid w:val="00E03D3F"/>
    <w:rsid w:val="00E03E1E"/>
    <w:rsid w:val="00E03EA5"/>
    <w:rsid w:val="00E04946"/>
    <w:rsid w:val="00E04E09"/>
    <w:rsid w:val="00E04FD5"/>
    <w:rsid w:val="00E0513C"/>
    <w:rsid w:val="00E0541F"/>
    <w:rsid w:val="00E05508"/>
    <w:rsid w:val="00E055D9"/>
    <w:rsid w:val="00E05656"/>
    <w:rsid w:val="00E05961"/>
    <w:rsid w:val="00E059F5"/>
    <w:rsid w:val="00E05AAA"/>
    <w:rsid w:val="00E05E2D"/>
    <w:rsid w:val="00E06046"/>
    <w:rsid w:val="00E060AD"/>
    <w:rsid w:val="00E06298"/>
    <w:rsid w:val="00E064E3"/>
    <w:rsid w:val="00E0654D"/>
    <w:rsid w:val="00E06C14"/>
    <w:rsid w:val="00E06CAD"/>
    <w:rsid w:val="00E06E38"/>
    <w:rsid w:val="00E06E55"/>
    <w:rsid w:val="00E06EC2"/>
    <w:rsid w:val="00E07AF3"/>
    <w:rsid w:val="00E07F37"/>
    <w:rsid w:val="00E1007E"/>
    <w:rsid w:val="00E1015A"/>
    <w:rsid w:val="00E102B8"/>
    <w:rsid w:val="00E1040A"/>
    <w:rsid w:val="00E105C5"/>
    <w:rsid w:val="00E11143"/>
    <w:rsid w:val="00E112F0"/>
    <w:rsid w:val="00E1154A"/>
    <w:rsid w:val="00E1167A"/>
    <w:rsid w:val="00E116F0"/>
    <w:rsid w:val="00E1184B"/>
    <w:rsid w:val="00E118A6"/>
    <w:rsid w:val="00E118E6"/>
    <w:rsid w:val="00E1190D"/>
    <w:rsid w:val="00E11952"/>
    <w:rsid w:val="00E11AD1"/>
    <w:rsid w:val="00E11DA8"/>
    <w:rsid w:val="00E12226"/>
    <w:rsid w:val="00E12ABC"/>
    <w:rsid w:val="00E12F74"/>
    <w:rsid w:val="00E1305A"/>
    <w:rsid w:val="00E13A14"/>
    <w:rsid w:val="00E14228"/>
    <w:rsid w:val="00E14244"/>
    <w:rsid w:val="00E142AE"/>
    <w:rsid w:val="00E14521"/>
    <w:rsid w:val="00E14E78"/>
    <w:rsid w:val="00E14FDB"/>
    <w:rsid w:val="00E15060"/>
    <w:rsid w:val="00E15147"/>
    <w:rsid w:val="00E15257"/>
    <w:rsid w:val="00E154E4"/>
    <w:rsid w:val="00E158CA"/>
    <w:rsid w:val="00E15DB8"/>
    <w:rsid w:val="00E161F3"/>
    <w:rsid w:val="00E163F6"/>
    <w:rsid w:val="00E163FB"/>
    <w:rsid w:val="00E164CF"/>
    <w:rsid w:val="00E164E0"/>
    <w:rsid w:val="00E1690D"/>
    <w:rsid w:val="00E16EE4"/>
    <w:rsid w:val="00E170EA"/>
    <w:rsid w:val="00E17284"/>
    <w:rsid w:val="00E178C8"/>
    <w:rsid w:val="00E17933"/>
    <w:rsid w:val="00E17AAE"/>
    <w:rsid w:val="00E17BF8"/>
    <w:rsid w:val="00E20482"/>
    <w:rsid w:val="00E20BC7"/>
    <w:rsid w:val="00E20CBC"/>
    <w:rsid w:val="00E20D2B"/>
    <w:rsid w:val="00E20ECC"/>
    <w:rsid w:val="00E20F3F"/>
    <w:rsid w:val="00E2109D"/>
    <w:rsid w:val="00E2163C"/>
    <w:rsid w:val="00E21822"/>
    <w:rsid w:val="00E21A19"/>
    <w:rsid w:val="00E21C04"/>
    <w:rsid w:val="00E21EED"/>
    <w:rsid w:val="00E21F6F"/>
    <w:rsid w:val="00E22459"/>
    <w:rsid w:val="00E22874"/>
    <w:rsid w:val="00E22C69"/>
    <w:rsid w:val="00E22D6F"/>
    <w:rsid w:val="00E22FCB"/>
    <w:rsid w:val="00E22FCF"/>
    <w:rsid w:val="00E2317B"/>
    <w:rsid w:val="00E2363A"/>
    <w:rsid w:val="00E23A58"/>
    <w:rsid w:val="00E23A7D"/>
    <w:rsid w:val="00E23FA4"/>
    <w:rsid w:val="00E24226"/>
    <w:rsid w:val="00E242DB"/>
    <w:rsid w:val="00E24435"/>
    <w:rsid w:val="00E24457"/>
    <w:rsid w:val="00E24458"/>
    <w:rsid w:val="00E247C7"/>
    <w:rsid w:val="00E24975"/>
    <w:rsid w:val="00E24A23"/>
    <w:rsid w:val="00E24F0C"/>
    <w:rsid w:val="00E24F85"/>
    <w:rsid w:val="00E253A0"/>
    <w:rsid w:val="00E25451"/>
    <w:rsid w:val="00E25A53"/>
    <w:rsid w:val="00E26057"/>
    <w:rsid w:val="00E2621F"/>
    <w:rsid w:val="00E26278"/>
    <w:rsid w:val="00E26519"/>
    <w:rsid w:val="00E265C2"/>
    <w:rsid w:val="00E267F8"/>
    <w:rsid w:val="00E26FAB"/>
    <w:rsid w:val="00E27021"/>
    <w:rsid w:val="00E2717E"/>
    <w:rsid w:val="00E271F3"/>
    <w:rsid w:val="00E27459"/>
    <w:rsid w:val="00E27BA7"/>
    <w:rsid w:val="00E27DEC"/>
    <w:rsid w:val="00E27E61"/>
    <w:rsid w:val="00E27EE1"/>
    <w:rsid w:val="00E27F02"/>
    <w:rsid w:val="00E27F95"/>
    <w:rsid w:val="00E306FB"/>
    <w:rsid w:val="00E307C6"/>
    <w:rsid w:val="00E30A6E"/>
    <w:rsid w:val="00E30AD4"/>
    <w:rsid w:val="00E30DC7"/>
    <w:rsid w:val="00E30E93"/>
    <w:rsid w:val="00E31230"/>
    <w:rsid w:val="00E31306"/>
    <w:rsid w:val="00E31540"/>
    <w:rsid w:val="00E31A2A"/>
    <w:rsid w:val="00E31AAE"/>
    <w:rsid w:val="00E31AD5"/>
    <w:rsid w:val="00E31B15"/>
    <w:rsid w:val="00E31B17"/>
    <w:rsid w:val="00E31C57"/>
    <w:rsid w:val="00E31CEC"/>
    <w:rsid w:val="00E32159"/>
    <w:rsid w:val="00E3250E"/>
    <w:rsid w:val="00E32820"/>
    <w:rsid w:val="00E32979"/>
    <w:rsid w:val="00E32AA5"/>
    <w:rsid w:val="00E32BC7"/>
    <w:rsid w:val="00E32C89"/>
    <w:rsid w:val="00E32D93"/>
    <w:rsid w:val="00E331F5"/>
    <w:rsid w:val="00E3322E"/>
    <w:rsid w:val="00E33339"/>
    <w:rsid w:val="00E33512"/>
    <w:rsid w:val="00E33AEB"/>
    <w:rsid w:val="00E33C15"/>
    <w:rsid w:val="00E33CB7"/>
    <w:rsid w:val="00E33D34"/>
    <w:rsid w:val="00E34183"/>
    <w:rsid w:val="00E3435C"/>
    <w:rsid w:val="00E34629"/>
    <w:rsid w:val="00E349F0"/>
    <w:rsid w:val="00E3532A"/>
    <w:rsid w:val="00E354AE"/>
    <w:rsid w:val="00E3583D"/>
    <w:rsid w:val="00E35FCE"/>
    <w:rsid w:val="00E36229"/>
    <w:rsid w:val="00E363FC"/>
    <w:rsid w:val="00E36484"/>
    <w:rsid w:val="00E3654B"/>
    <w:rsid w:val="00E36710"/>
    <w:rsid w:val="00E3686F"/>
    <w:rsid w:val="00E369CD"/>
    <w:rsid w:val="00E36C13"/>
    <w:rsid w:val="00E373EF"/>
    <w:rsid w:val="00E37473"/>
    <w:rsid w:val="00E375DB"/>
    <w:rsid w:val="00E37641"/>
    <w:rsid w:val="00E376F1"/>
    <w:rsid w:val="00E37ABA"/>
    <w:rsid w:val="00E40131"/>
    <w:rsid w:val="00E40188"/>
    <w:rsid w:val="00E40192"/>
    <w:rsid w:val="00E4031B"/>
    <w:rsid w:val="00E40362"/>
    <w:rsid w:val="00E40D31"/>
    <w:rsid w:val="00E412C8"/>
    <w:rsid w:val="00E41599"/>
    <w:rsid w:val="00E4165C"/>
    <w:rsid w:val="00E417E0"/>
    <w:rsid w:val="00E418D8"/>
    <w:rsid w:val="00E420C3"/>
    <w:rsid w:val="00E420DB"/>
    <w:rsid w:val="00E422A2"/>
    <w:rsid w:val="00E422DA"/>
    <w:rsid w:val="00E42490"/>
    <w:rsid w:val="00E424DB"/>
    <w:rsid w:val="00E4299D"/>
    <w:rsid w:val="00E42B73"/>
    <w:rsid w:val="00E43389"/>
    <w:rsid w:val="00E43463"/>
    <w:rsid w:val="00E435C9"/>
    <w:rsid w:val="00E436F6"/>
    <w:rsid w:val="00E436FF"/>
    <w:rsid w:val="00E437AC"/>
    <w:rsid w:val="00E43804"/>
    <w:rsid w:val="00E438B5"/>
    <w:rsid w:val="00E43CA1"/>
    <w:rsid w:val="00E44591"/>
    <w:rsid w:val="00E446B2"/>
    <w:rsid w:val="00E44AED"/>
    <w:rsid w:val="00E45062"/>
    <w:rsid w:val="00E45087"/>
    <w:rsid w:val="00E4514E"/>
    <w:rsid w:val="00E45203"/>
    <w:rsid w:val="00E45267"/>
    <w:rsid w:val="00E45415"/>
    <w:rsid w:val="00E45743"/>
    <w:rsid w:val="00E45916"/>
    <w:rsid w:val="00E45A24"/>
    <w:rsid w:val="00E45CB9"/>
    <w:rsid w:val="00E460DC"/>
    <w:rsid w:val="00E461DB"/>
    <w:rsid w:val="00E466CD"/>
    <w:rsid w:val="00E46A72"/>
    <w:rsid w:val="00E46BAD"/>
    <w:rsid w:val="00E46D02"/>
    <w:rsid w:val="00E46D6C"/>
    <w:rsid w:val="00E46F2F"/>
    <w:rsid w:val="00E47399"/>
    <w:rsid w:val="00E47588"/>
    <w:rsid w:val="00E478F3"/>
    <w:rsid w:val="00E47CFF"/>
    <w:rsid w:val="00E47D50"/>
    <w:rsid w:val="00E50073"/>
    <w:rsid w:val="00E5049A"/>
    <w:rsid w:val="00E504DE"/>
    <w:rsid w:val="00E50581"/>
    <w:rsid w:val="00E50749"/>
    <w:rsid w:val="00E50BE7"/>
    <w:rsid w:val="00E50D16"/>
    <w:rsid w:val="00E5122B"/>
    <w:rsid w:val="00E51347"/>
    <w:rsid w:val="00E51406"/>
    <w:rsid w:val="00E515E0"/>
    <w:rsid w:val="00E51790"/>
    <w:rsid w:val="00E51983"/>
    <w:rsid w:val="00E51CAC"/>
    <w:rsid w:val="00E51F03"/>
    <w:rsid w:val="00E51FCF"/>
    <w:rsid w:val="00E52042"/>
    <w:rsid w:val="00E52141"/>
    <w:rsid w:val="00E5234A"/>
    <w:rsid w:val="00E52360"/>
    <w:rsid w:val="00E5252F"/>
    <w:rsid w:val="00E52944"/>
    <w:rsid w:val="00E52999"/>
    <w:rsid w:val="00E52AE7"/>
    <w:rsid w:val="00E52BF3"/>
    <w:rsid w:val="00E52C6F"/>
    <w:rsid w:val="00E53057"/>
    <w:rsid w:val="00E53208"/>
    <w:rsid w:val="00E53258"/>
    <w:rsid w:val="00E532F4"/>
    <w:rsid w:val="00E534E0"/>
    <w:rsid w:val="00E53725"/>
    <w:rsid w:val="00E53AAA"/>
    <w:rsid w:val="00E53BFB"/>
    <w:rsid w:val="00E53E76"/>
    <w:rsid w:val="00E53FE1"/>
    <w:rsid w:val="00E543D3"/>
    <w:rsid w:val="00E5487A"/>
    <w:rsid w:val="00E5488D"/>
    <w:rsid w:val="00E54ABC"/>
    <w:rsid w:val="00E54B4F"/>
    <w:rsid w:val="00E54C68"/>
    <w:rsid w:val="00E54DDB"/>
    <w:rsid w:val="00E54EBB"/>
    <w:rsid w:val="00E54F29"/>
    <w:rsid w:val="00E54F95"/>
    <w:rsid w:val="00E55149"/>
    <w:rsid w:val="00E55182"/>
    <w:rsid w:val="00E55204"/>
    <w:rsid w:val="00E5525F"/>
    <w:rsid w:val="00E556A6"/>
    <w:rsid w:val="00E55729"/>
    <w:rsid w:val="00E5591E"/>
    <w:rsid w:val="00E55C53"/>
    <w:rsid w:val="00E55C60"/>
    <w:rsid w:val="00E55C90"/>
    <w:rsid w:val="00E55E73"/>
    <w:rsid w:val="00E5633B"/>
    <w:rsid w:val="00E563B9"/>
    <w:rsid w:val="00E5660E"/>
    <w:rsid w:val="00E56824"/>
    <w:rsid w:val="00E56869"/>
    <w:rsid w:val="00E5698D"/>
    <w:rsid w:val="00E569DD"/>
    <w:rsid w:val="00E56BD4"/>
    <w:rsid w:val="00E56F9E"/>
    <w:rsid w:val="00E570B7"/>
    <w:rsid w:val="00E5758B"/>
    <w:rsid w:val="00E57853"/>
    <w:rsid w:val="00E579D4"/>
    <w:rsid w:val="00E57ADD"/>
    <w:rsid w:val="00E57C4B"/>
    <w:rsid w:val="00E60236"/>
    <w:rsid w:val="00E60619"/>
    <w:rsid w:val="00E60F46"/>
    <w:rsid w:val="00E61279"/>
    <w:rsid w:val="00E6133D"/>
    <w:rsid w:val="00E6150A"/>
    <w:rsid w:val="00E6153D"/>
    <w:rsid w:val="00E61623"/>
    <w:rsid w:val="00E6162E"/>
    <w:rsid w:val="00E617C7"/>
    <w:rsid w:val="00E618C5"/>
    <w:rsid w:val="00E619B6"/>
    <w:rsid w:val="00E61B98"/>
    <w:rsid w:val="00E61F34"/>
    <w:rsid w:val="00E6217F"/>
    <w:rsid w:val="00E62239"/>
    <w:rsid w:val="00E6229A"/>
    <w:rsid w:val="00E62351"/>
    <w:rsid w:val="00E62703"/>
    <w:rsid w:val="00E62982"/>
    <w:rsid w:val="00E62CF6"/>
    <w:rsid w:val="00E62DC1"/>
    <w:rsid w:val="00E62E88"/>
    <w:rsid w:val="00E63112"/>
    <w:rsid w:val="00E633F3"/>
    <w:rsid w:val="00E63813"/>
    <w:rsid w:val="00E63843"/>
    <w:rsid w:val="00E6387E"/>
    <w:rsid w:val="00E63D1C"/>
    <w:rsid w:val="00E64324"/>
    <w:rsid w:val="00E64627"/>
    <w:rsid w:val="00E646CB"/>
    <w:rsid w:val="00E6486A"/>
    <w:rsid w:val="00E6488D"/>
    <w:rsid w:val="00E64EB3"/>
    <w:rsid w:val="00E64F15"/>
    <w:rsid w:val="00E65006"/>
    <w:rsid w:val="00E652DB"/>
    <w:rsid w:val="00E65599"/>
    <w:rsid w:val="00E65605"/>
    <w:rsid w:val="00E65DB9"/>
    <w:rsid w:val="00E6600C"/>
    <w:rsid w:val="00E66224"/>
    <w:rsid w:val="00E665D1"/>
    <w:rsid w:val="00E66AFC"/>
    <w:rsid w:val="00E66B50"/>
    <w:rsid w:val="00E66BBB"/>
    <w:rsid w:val="00E6707F"/>
    <w:rsid w:val="00E67422"/>
    <w:rsid w:val="00E67526"/>
    <w:rsid w:val="00E67553"/>
    <w:rsid w:val="00E67C23"/>
    <w:rsid w:val="00E67D8A"/>
    <w:rsid w:val="00E67EA7"/>
    <w:rsid w:val="00E67FF5"/>
    <w:rsid w:val="00E707DC"/>
    <w:rsid w:val="00E7085D"/>
    <w:rsid w:val="00E709F1"/>
    <w:rsid w:val="00E70C64"/>
    <w:rsid w:val="00E71058"/>
    <w:rsid w:val="00E710EB"/>
    <w:rsid w:val="00E716AE"/>
    <w:rsid w:val="00E716B6"/>
    <w:rsid w:val="00E717D1"/>
    <w:rsid w:val="00E718EA"/>
    <w:rsid w:val="00E7216D"/>
    <w:rsid w:val="00E7240E"/>
    <w:rsid w:val="00E7268B"/>
    <w:rsid w:val="00E729A2"/>
    <w:rsid w:val="00E72E8A"/>
    <w:rsid w:val="00E7354F"/>
    <w:rsid w:val="00E73574"/>
    <w:rsid w:val="00E73748"/>
    <w:rsid w:val="00E73970"/>
    <w:rsid w:val="00E739DC"/>
    <w:rsid w:val="00E73B23"/>
    <w:rsid w:val="00E73FC6"/>
    <w:rsid w:val="00E7402E"/>
    <w:rsid w:val="00E7443E"/>
    <w:rsid w:val="00E74904"/>
    <w:rsid w:val="00E74E84"/>
    <w:rsid w:val="00E75072"/>
    <w:rsid w:val="00E752BC"/>
    <w:rsid w:val="00E753DB"/>
    <w:rsid w:val="00E753F5"/>
    <w:rsid w:val="00E756AE"/>
    <w:rsid w:val="00E75778"/>
    <w:rsid w:val="00E75B3A"/>
    <w:rsid w:val="00E75CB9"/>
    <w:rsid w:val="00E75CFB"/>
    <w:rsid w:val="00E76140"/>
    <w:rsid w:val="00E76777"/>
    <w:rsid w:val="00E769B3"/>
    <w:rsid w:val="00E76C01"/>
    <w:rsid w:val="00E76C39"/>
    <w:rsid w:val="00E76CC9"/>
    <w:rsid w:val="00E76EAB"/>
    <w:rsid w:val="00E76FD6"/>
    <w:rsid w:val="00E77053"/>
    <w:rsid w:val="00E770F5"/>
    <w:rsid w:val="00E77148"/>
    <w:rsid w:val="00E77454"/>
    <w:rsid w:val="00E774E6"/>
    <w:rsid w:val="00E775DC"/>
    <w:rsid w:val="00E7762B"/>
    <w:rsid w:val="00E7775D"/>
    <w:rsid w:val="00E77779"/>
    <w:rsid w:val="00E777FD"/>
    <w:rsid w:val="00E7787A"/>
    <w:rsid w:val="00E77ABE"/>
    <w:rsid w:val="00E77C0F"/>
    <w:rsid w:val="00E77D5D"/>
    <w:rsid w:val="00E77E67"/>
    <w:rsid w:val="00E801FF"/>
    <w:rsid w:val="00E80213"/>
    <w:rsid w:val="00E8025C"/>
    <w:rsid w:val="00E805C6"/>
    <w:rsid w:val="00E809AB"/>
    <w:rsid w:val="00E80C16"/>
    <w:rsid w:val="00E80E4E"/>
    <w:rsid w:val="00E81023"/>
    <w:rsid w:val="00E81571"/>
    <w:rsid w:val="00E81805"/>
    <w:rsid w:val="00E81962"/>
    <w:rsid w:val="00E8196B"/>
    <w:rsid w:val="00E81AA1"/>
    <w:rsid w:val="00E81CCE"/>
    <w:rsid w:val="00E81F89"/>
    <w:rsid w:val="00E81FD5"/>
    <w:rsid w:val="00E82434"/>
    <w:rsid w:val="00E82848"/>
    <w:rsid w:val="00E8296D"/>
    <w:rsid w:val="00E82E00"/>
    <w:rsid w:val="00E82EE0"/>
    <w:rsid w:val="00E82FDD"/>
    <w:rsid w:val="00E83139"/>
    <w:rsid w:val="00E83552"/>
    <w:rsid w:val="00E83D10"/>
    <w:rsid w:val="00E83E32"/>
    <w:rsid w:val="00E8434E"/>
    <w:rsid w:val="00E84888"/>
    <w:rsid w:val="00E8489F"/>
    <w:rsid w:val="00E84947"/>
    <w:rsid w:val="00E84FD7"/>
    <w:rsid w:val="00E8507E"/>
    <w:rsid w:val="00E8508D"/>
    <w:rsid w:val="00E850B5"/>
    <w:rsid w:val="00E85592"/>
    <w:rsid w:val="00E85870"/>
    <w:rsid w:val="00E859F9"/>
    <w:rsid w:val="00E85AB6"/>
    <w:rsid w:val="00E85ACC"/>
    <w:rsid w:val="00E85D6F"/>
    <w:rsid w:val="00E86044"/>
    <w:rsid w:val="00E86314"/>
    <w:rsid w:val="00E86944"/>
    <w:rsid w:val="00E86ADD"/>
    <w:rsid w:val="00E86E24"/>
    <w:rsid w:val="00E86F81"/>
    <w:rsid w:val="00E86FB6"/>
    <w:rsid w:val="00E876FB"/>
    <w:rsid w:val="00E877C2"/>
    <w:rsid w:val="00E87B63"/>
    <w:rsid w:val="00E87DE4"/>
    <w:rsid w:val="00E87EB7"/>
    <w:rsid w:val="00E90042"/>
    <w:rsid w:val="00E90592"/>
    <w:rsid w:val="00E909CD"/>
    <w:rsid w:val="00E90AAF"/>
    <w:rsid w:val="00E90B63"/>
    <w:rsid w:val="00E90C43"/>
    <w:rsid w:val="00E91150"/>
    <w:rsid w:val="00E9154C"/>
    <w:rsid w:val="00E9158D"/>
    <w:rsid w:val="00E9170F"/>
    <w:rsid w:val="00E91890"/>
    <w:rsid w:val="00E91B47"/>
    <w:rsid w:val="00E91D86"/>
    <w:rsid w:val="00E92178"/>
    <w:rsid w:val="00E922FE"/>
    <w:rsid w:val="00E92725"/>
    <w:rsid w:val="00E92A2B"/>
    <w:rsid w:val="00E92AA4"/>
    <w:rsid w:val="00E9319E"/>
    <w:rsid w:val="00E931CA"/>
    <w:rsid w:val="00E932C6"/>
    <w:rsid w:val="00E93430"/>
    <w:rsid w:val="00E93463"/>
    <w:rsid w:val="00E93719"/>
    <w:rsid w:val="00E9373A"/>
    <w:rsid w:val="00E9376D"/>
    <w:rsid w:val="00E93A5D"/>
    <w:rsid w:val="00E93AA7"/>
    <w:rsid w:val="00E93F77"/>
    <w:rsid w:val="00E9411D"/>
    <w:rsid w:val="00E941DD"/>
    <w:rsid w:val="00E94603"/>
    <w:rsid w:val="00E950B3"/>
    <w:rsid w:val="00E95189"/>
    <w:rsid w:val="00E953C5"/>
    <w:rsid w:val="00E95474"/>
    <w:rsid w:val="00E95572"/>
    <w:rsid w:val="00E95631"/>
    <w:rsid w:val="00E95642"/>
    <w:rsid w:val="00E95846"/>
    <w:rsid w:val="00E9589E"/>
    <w:rsid w:val="00E95943"/>
    <w:rsid w:val="00E95DBE"/>
    <w:rsid w:val="00E95DE4"/>
    <w:rsid w:val="00E95E3D"/>
    <w:rsid w:val="00E95F4F"/>
    <w:rsid w:val="00E9643E"/>
    <w:rsid w:val="00E96632"/>
    <w:rsid w:val="00E966CB"/>
    <w:rsid w:val="00E9673D"/>
    <w:rsid w:val="00E968B5"/>
    <w:rsid w:val="00E96C8A"/>
    <w:rsid w:val="00E96CE3"/>
    <w:rsid w:val="00E975F5"/>
    <w:rsid w:val="00E9799B"/>
    <w:rsid w:val="00E97A8D"/>
    <w:rsid w:val="00E97C87"/>
    <w:rsid w:val="00EA0193"/>
    <w:rsid w:val="00EA05F6"/>
    <w:rsid w:val="00EA0AE5"/>
    <w:rsid w:val="00EA1665"/>
    <w:rsid w:val="00EA17FD"/>
    <w:rsid w:val="00EA1811"/>
    <w:rsid w:val="00EA1882"/>
    <w:rsid w:val="00EA1AAB"/>
    <w:rsid w:val="00EA1AFC"/>
    <w:rsid w:val="00EA1DE2"/>
    <w:rsid w:val="00EA2042"/>
    <w:rsid w:val="00EA219C"/>
    <w:rsid w:val="00EA2439"/>
    <w:rsid w:val="00EA256A"/>
    <w:rsid w:val="00EA31AF"/>
    <w:rsid w:val="00EA3272"/>
    <w:rsid w:val="00EA32B4"/>
    <w:rsid w:val="00EA3335"/>
    <w:rsid w:val="00EA337C"/>
    <w:rsid w:val="00EA344A"/>
    <w:rsid w:val="00EA351E"/>
    <w:rsid w:val="00EA3AEF"/>
    <w:rsid w:val="00EA3BEF"/>
    <w:rsid w:val="00EA3D39"/>
    <w:rsid w:val="00EA3E53"/>
    <w:rsid w:val="00EA4103"/>
    <w:rsid w:val="00EA43C0"/>
    <w:rsid w:val="00EA45E1"/>
    <w:rsid w:val="00EA45F8"/>
    <w:rsid w:val="00EA4613"/>
    <w:rsid w:val="00EA46BC"/>
    <w:rsid w:val="00EA4875"/>
    <w:rsid w:val="00EA5202"/>
    <w:rsid w:val="00EA5501"/>
    <w:rsid w:val="00EA5816"/>
    <w:rsid w:val="00EA5A73"/>
    <w:rsid w:val="00EA5AC5"/>
    <w:rsid w:val="00EA5AE7"/>
    <w:rsid w:val="00EA5F03"/>
    <w:rsid w:val="00EA6091"/>
    <w:rsid w:val="00EA6217"/>
    <w:rsid w:val="00EA6411"/>
    <w:rsid w:val="00EA6536"/>
    <w:rsid w:val="00EA65D6"/>
    <w:rsid w:val="00EA6802"/>
    <w:rsid w:val="00EA6B2A"/>
    <w:rsid w:val="00EA6B4E"/>
    <w:rsid w:val="00EA6D8B"/>
    <w:rsid w:val="00EA7434"/>
    <w:rsid w:val="00EA76A6"/>
    <w:rsid w:val="00EA7765"/>
    <w:rsid w:val="00EA77A0"/>
    <w:rsid w:val="00EA79C3"/>
    <w:rsid w:val="00EA7D09"/>
    <w:rsid w:val="00EA7F99"/>
    <w:rsid w:val="00EB0007"/>
    <w:rsid w:val="00EB0406"/>
    <w:rsid w:val="00EB0551"/>
    <w:rsid w:val="00EB05F7"/>
    <w:rsid w:val="00EB0724"/>
    <w:rsid w:val="00EB0949"/>
    <w:rsid w:val="00EB09BD"/>
    <w:rsid w:val="00EB0B85"/>
    <w:rsid w:val="00EB0BAD"/>
    <w:rsid w:val="00EB0EBF"/>
    <w:rsid w:val="00EB0EF4"/>
    <w:rsid w:val="00EB0F71"/>
    <w:rsid w:val="00EB16D7"/>
    <w:rsid w:val="00EB1710"/>
    <w:rsid w:val="00EB1809"/>
    <w:rsid w:val="00EB1BCA"/>
    <w:rsid w:val="00EB1E4C"/>
    <w:rsid w:val="00EB1FAE"/>
    <w:rsid w:val="00EB29C1"/>
    <w:rsid w:val="00EB2B25"/>
    <w:rsid w:val="00EB2C74"/>
    <w:rsid w:val="00EB2DD8"/>
    <w:rsid w:val="00EB3080"/>
    <w:rsid w:val="00EB3125"/>
    <w:rsid w:val="00EB3225"/>
    <w:rsid w:val="00EB3BEE"/>
    <w:rsid w:val="00EB3F8B"/>
    <w:rsid w:val="00EB4026"/>
    <w:rsid w:val="00EB46E6"/>
    <w:rsid w:val="00EB474A"/>
    <w:rsid w:val="00EB4CE5"/>
    <w:rsid w:val="00EB5333"/>
    <w:rsid w:val="00EB5494"/>
    <w:rsid w:val="00EB574B"/>
    <w:rsid w:val="00EB57ED"/>
    <w:rsid w:val="00EB59E2"/>
    <w:rsid w:val="00EB5A60"/>
    <w:rsid w:val="00EB5AFA"/>
    <w:rsid w:val="00EB5DEA"/>
    <w:rsid w:val="00EB5E2C"/>
    <w:rsid w:val="00EB5E93"/>
    <w:rsid w:val="00EB6472"/>
    <w:rsid w:val="00EB6625"/>
    <w:rsid w:val="00EB67BD"/>
    <w:rsid w:val="00EB680A"/>
    <w:rsid w:val="00EB6968"/>
    <w:rsid w:val="00EB6EEF"/>
    <w:rsid w:val="00EB70EE"/>
    <w:rsid w:val="00EB7301"/>
    <w:rsid w:val="00EB73C4"/>
    <w:rsid w:val="00EB7407"/>
    <w:rsid w:val="00EB7434"/>
    <w:rsid w:val="00EB78BF"/>
    <w:rsid w:val="00EB79D9"/>
    <w:rsid w:val="00EB7DDA"/>
    <w:rsid w:val="00EC00C7"/>
    <w:rsid w:val="00EC0229"/>
    <w:rsid w:val="00EC023F"/>
    <w:rsid w:val="00EC03A5"/>
    <w:rsid w:val="00EC0502"/>
    <w:rsid w:val="00EC081B"/>
    <w:rsid w:val="00EC082B"/>
    <w:rsid w:val="00EC0953"/>
    <w:rsid w:val="00EC0985"/>
    <w:rsid w:val="00EC09C7"/>
    <w:rsid w:val="00EC106D"/>
    <w:rsid w:val="00EC1125"/>
    <w:rsid w:val="00EC1454"/>
    <w:rsid w:val="00EC18C9"/>
    <w:rsid w:val="00EC1996"/>
    <w:rsid w:val="00EC1E6E"/>
    <w:rsid w:val="00EC20B5"/>
    <w:rsid w:val="00EC20ED"/>
    <w:rsid w:val="00EC2598"/>
    <w:rsid w:val="00EC2DFF"/>
    <w:rsid w:val="00EC2F9A"/>
    <w:rsid w:val="00EC336A"/>
    <w:rsid w:val="00EC372E"/>
    <w:rsid w:val="00EC3844"/>
    <w:rsid w:val="00EC385A"/>
    <w:rsid w:val="00EC38AC"/>
    <w:rsid w:val="00EC3A22"/>
    <w:rsid w:val="00EC3B0F"/>
    <w:rsid w:val="00EC3D50"/>
    <w:rsid w:val="00EC3E40"/>
    <w:rsid w:val="00EC3E80"/>
    <w:rsid w:val="00EC403C"/>
    <w:rsid w:val="00EC43E9"/>
    <w:rsid w:val="00EC473B"/>
    <w:rsid w:val="00EC47C8"/>
    <w:rsid w:val="00EC496C"/>
    <w:rsid w:val="00EC4B7C"/>
    <w:rsid w:val="00EC4D5F"/>
    <w:rsid w:val="00EC51E3"/>
    <w:rsid w:val="00EC5573"/>
    <w:rsid w:val="00EC559A"/>
    <w:rsid w:val="00EC58B6"/>
    <w:rsid w:val="00EC5B90"/>
    <w:rsid w:val="00EC5C48"/>
    <w:rsid w:val="00EC5D5F"/>
    <w:rsid w:val="00EC5F0E"/>
    <w:rsid w:val="00EC6087"/>
    <w:rsid w:val="00EC6523"/>
    <w:rsid w:val="00EC6E8C"/>
    <w:rsid w:val="00EC700A"/>
    <w:rsid w:val="00EC737B"/>
    <w:rsid w:val="00EC74B3"/>
    <w:rsid w:val="00EC7575"/>
    <w:rsid w:val="00EC7614"/>
    <w:rsid w:val="00EC7B05"/>
    <w:rsid w:val="00ED00EB"/>
    <w:rsid w:val="00ED0814"/>
    <w:rsid w:val="00ED0986"/>
    <w:rsid w:val="00ED0B01"/>
    <w:rsid w:val="00ED0EA0"/>
    <w:rsid w:val="00ED1154"/>
    <w:rsid w:val="00ED16EB"/>
    <w:rsid w:val="00ED1DC3"/>
    <w:rsid w:val="00ED1E90"/>
    <w:rsid w:val="00ED200D"/>
    <w:rsid w:val="00ED2018"/>
    <w:rsid w:val="00ED2951"/>
    <w:rsid w:val="00ED29D2"/>
    <w:rsid w:val="00ED2A2E"/>
    <w:rsid w:val="00ED2DB7"/>
    <w:rsid w:val="00ED2F8A"/>
    <w:rsid w:val="00ED30F0"/>
    <w:rsid w:val="00ED32A1"/>
    <w:rsid w:val="00ED344C"/>
    <w:rsid w:val="00ED376A"/>
    <w:rsid w:val="00ED3A34"/>
    <w:rsid w:val="00ED3BA1"/>
    <w:rsid w:val="00ED3C8D"/>
    <w:rsid w:val="00ED40FE"/>
    <w:rsid w:val="00ED416D"/>
    <w:rsid w:val="00ED4472"/>
    <w:rsid w:val="00ED44EF"/>
    <w:rsid w:val="00ED4896"/>
    <w:rsid w:val="00ED49E9"/>
    <w:rsid w:val="00ED4BD6"/>
    <w:rsid w:val="00ED4EA8"/>
    <w:rsid w:val="00ED5021"/>
    <w:rsid w:val="00ED5067"/>
    <w:rsid w:val="00ED53AA"/>
    <w:rsid w:val="00ED5573"/>
    <w:rsid w:val="00ED5B20"/>
    <w:rsid w:val="00ED5C2A"/>
    <w:rsid w:val="00ED5FD2"/>
    <w:rsid w:val="00ED6630"/>
    <w:rsid w:val="00ED6AFF"/>
    <w:rsid w:val="00ED713E"/>
    <w:rsid w:val="00ED7718"/>
    <w:rsid w:val="00ED79BB"/>
    <w:rsid w:val="00ED79F3"/>
    <w:rsid w:val="00EE046C"/>
    <w:rsid w:val="00EE067E"/>
    <w:rsid w:val="00EE08B8"/>
    <w:rsid w:val="00EE0C93"/>
    <w:rsid w:val="00EE0D39"/>
    <w:rsid w:val="00EE0D6F"/>
    <w:rsid w:val="00EE0F50"/>
    <w:rsid w:val="00EE10C7"/>
    <w:rsid w:val="00EE1426"/>
    <w:rsid w:val="00EE169E"/>
    <w:rsid w:val="00EE16B8"/>
    <w:rsid w:val="00EE16E9"/>
    <w:rsid w:val="00EE1892"/>
    <w:rsid w:val="00EE18AD"/>
    <w:rsid w:val="00EE2013"/>
    <w:rsid w:val="00EE21A5"/>
    <w:rsid w:val="00EE2368"/>
    <w:rsid w:val="00EE274E"/>
    <w:rsid w:val="00EE2983"/>
    <w:rsid w:val="00EE2AFE"/>
    <w:rsid w:val="00EE2C73"/>
    <w:rsid w:val="00EE2C9C"/>
    <w:rsid w:val="00EE2F95"/>
    <w:rsid w:val="00EE3428"/>
    <w:rsid w:val="00EE3565"/>
    <w:rsid w:val="00EE38AD"/>
    <w:rsid w:val="00EE3981"/>
    <w:rsid w:val="00EE3CB6"/>
    <w:rsid w:val="00EE3EB9"/>
    <w:rsid w:val="00EE410B"/>
    <w:rsid w:val="00EE4943"/>
    <w:rsid w:val="00EE4D0E"/>
    <w:rsid w:val="00EE4F0D"/>
    <w:rsid w:val="00EE51ED"/>
    <w:rsid w:val="00EE5274"/>
    <w:rsid w:val="00EE539C"/>
    <w:rsid w:val="00EE5915"/>
    <w:rsid w:val="00EE597F"/>
    <w:rsid w:val="00EE5F18"/>
    <w:rsid w:val="00EE63D1"/>
    <w:rsid w:val="00EE65B6"/>
    <w:rsid w:val="00EE661B"/>
    <w:rsid w:val="00EE6647"/>
    <w:rsid w:val="00EE6753"/>
    <w:rsid w:val="00EE6997"/>
    <w:rsid w:val="00EE6EE8"/>
    <w:rsid w:val="00EE712F"/>
    <w:rsid w:val="00EE7141"/>
    <w:rsid w:val="00EE7380"/>
    <w:rsid w:val="00EE7498"/>
    <w:rsid w:val="00EF0402"/>
    <w:rsid w:val="00EF0515"/>
    <w:rsid w:val="00EF0692"/>
    <w:rsid w:val="00EF0873"/>
    <w:rsid w:val="00EF0B2B"/>
    <w:rsid w:val="00EF0C38"/>
    <w:rsid w:val="00EF0C5E"/>
    <w:rsid w:val="00EF0FDF"/>
    <w:rsid w:val="00EF1079"/>
    <w:rsid w:val="00EF117B"/>
    <w:rsid w:val="00EF120A"/>
    <w:rsid w:val="00EF1661"/>
    <w:rsid w:val="00EF16E9"/>
    <w:rsid w:val="00EF192C"/>
    <w:rsid w:val="00EF1D5F"/>
    <w:rsid w:val="00EF1EE4"/>
    <w:rsid w:val="00EF202F"/>
    <w:rsid w:val="00EF217E"/>
    <w:rsid w:val="00EF2245"/>
    <w:rsid w:val="00EF232B"/>
    <w:rsid w:val="00EF253F"/>
    <w:rsid w:val="00EF2546"/>
    <w:rsid w:val="00EF32AB"/>
    <w:rsid w:val="00EF3542"/>
    <w:rsid w:val="00EF4598"/>
    <w:rsid w:val="00EF4B6A"/>
    <w:rsid w:val="00EF4B8F"/>
    <w:rsid w:val="00EF4DAE"/>
    <w:rsid w:val="00EF4E79"/>
    <w:rsid w:val="00EF4F08"/>
    <w:rsid w:val="00EF53DA"/>
    <w:rsid w:val="00EF5807"/>
    <w:rsid w:val="00EF589A"/>
    <w:rsid w:val="00EF5B93"/>
    <w:rsid w:val="00EF5D30"/>
    <w:rsid w:val="00EF5D3C"/>
    <w:rsid w:val="00EF5DA9"/>
    <w:rsid w:val="00EF5EBB"/>
    <w:rsid w:val="00EF60BE"/>
    <w:rsid w:val="00EF624C"/>
    <w:rsid w:val="00EF6370"/>
    <w:rsid w:val="00EF679F"/>
    <w:rsid w:val="00EF6D5D"/>
    <w:rsid w:val="00EF71C8"/>
    <w:rsid w:val="00EF77DD"/>
    <w:rsid w:val="00EF7A7D"/>
    <w:rsid w:val="00EF7AB7"/>
    <w:rsid w:val="00F00354"/>
    <w:rsid w:val="00F004A0"/>
    <w:rsid w:val="00F004B3"/>
    <w:rsid w:val="00F005C2"/>
    <w:rsid w:val="00F00AE2"/>
    <w:rsid w:val="00F00B55"/>
    <w:rsid w:val="00F00DEC"/>
    <w:rsid w:val="00F00DF6"/>
    <w:rsid w:val="00F010A2"/>
    <w:rsid w:val="00F012BE"/>
    <w:rsid w:val="00F014E3"/>
    <w:rsid w:val="00F01E66"/>
    <w:rsid w:val="00F01FFA"/>
    <w:rsid w:val="00F0209D"/>
    <w:rsid w:val="00F022DF"/>
    <w:rsid w:val="00F02336"/>
    <w:rsid w:val="00F02400"/>
    <w:rsid w:val="00F02495"/>
    <w:rsid w:val="00F02C43"/>
    <w:rsid w:val="00F02E07"/>
    <w:rsid w:val="00F02EDE"/>
    <w:rsid w:val="00F02F5D"/>
    <w:rsid w:val="00F02FD8"/>
    <w:rsid w:val="00F0317D"/>
    <w:rsid w:val="00F033AE"/>
    <w:rsid w:val="00F038C6"/>
    <w:rsid w:val="00F03A61"/>
    <w:rsid w:val="00F03BC8"/>
    <w:rsid w:val="00F03C3E"/>
    <w:rsid w:val="00F03F30"/>
    <w:rsid w:val="00F040F2"/>
    <w:rsid w:val="00F044F2"/>
    <w:rsid w:val="00F04678"/>
    <w:rsid w:val="00F047AB"/>
    <w:rsid w:val="00F04A17"/>
    <w:rsid w:val="00F04B04"/>
    <w:rsid w:val="00F04B7B"/>
    <w:rsid w:val="00F05476"/>
    <w:rsid w:val="00F0551D"/>
    <w:rsid w:val="00F055C3"/>
    <w:rsid w:val="00F05682"/>
    <w:rsid w:val="00F057C8"/>
    <w:rsid w:val="00F05854"/>
    <w:rsid w:val="00F058D7"/>
    <w:rsid w:val="00F059D7"/>
    <w:rsid w:val="00F05C9D"/>
    <w:rsid w:val="00F05D7A"/>
    <w:rsid w:val="00F06159"/>
    <w:rsid w:val="00F06161"/>
    <w:rsid w:val="00F068CE"/>
    <w:rsid w:val="00F06A5C"/>
    <w:rsid w:val="00F06B47"/>
    <w:rsid w:val="00F06C78"/>
    <w:rsid w:val="00F07297"/>
    <w:rsid w:val="00F07350"/>
    <w:rsid w:val="00F07664"/>
    <w:rsid w:val="00F07683"/>
    <w:rsid w:val="00F07720"/>
    <w:rsid w:val="00F078AF"/>
    <w:rsid w:val="00F07B79"/>
    <w:rsid w:val="00F10316"/>
    <w:rsid w:val="00F104F7"/>
    <w:rsid w:val="00F1052E"/>
    <w:rsid w:val="00F10752"/>
    <w:rsid w:val="00F10A72"/>
    <w:rsid w:val="00F10C04"/>
    <w:rsid w:val="00F10F6F"/>
    <w:rsid w:val="00F10FCC"/>
    <w:rsid w:val="00F1150C"/>
    <w:rsid w:val="00F1169F"/>
    <w:rsid w:val="00F117A4"/>
    <w:rsid w:val="00F11852"/>
    <w:rsid w:val="00F11A72"/>
    <w:rsid w:val="00F11B14"/>
    <w:rsid w:val="00F11CEC"/>
    <w:rsid w:val="00F11F02"/>
    <w:rsid w:val="00F12284"/>
    <w:rsid w:val="00F12939"/>
    <w:rsid w:val="00F12C9B"/>
    <w:rsid w:val="00F12D88"/>
    <w:rsid w:val="00F12EA1"/>
    <w:rsid w:val="00F12F80"/>
    <w:rsid w:val="00F13180"/>
    <w:rsid w:val="00F13268"/>
    <w:rsid w:val="00F13E0E"/>
    <w:rsid w:val="00F143FF"/>
    <w:rsid w:val="00F144FE"/>
    <w:rsid w:val="00F145BB"/>
    <w:rsid w:val="00F14769"/>
    <w:rsid w:val="00F14FBF"/>
    <w:rsid w:val="00F150DE"/>
    <w:rsid w:val="00F1579F"/>
    <w:rsid w:val="00F1582B"/>
    <w:rsid w:val="00F1584F"/>
    <w:rsid w:val="00F15A6D"/>
    <w:rsid w:val="00F15AD0"/>
    <w:rsid w:val="00F178C0"/>
    <w:rsid w:val="00F17D3B"/>
    <w:rsid w:val="00F17E32"/>
    <w:rsid w:val="00F20357"/>
    <w:rsid w:val="00F203DD"/>
    <w:rsid w:val="00F205A0"/>
    <w:rsid w:val="00F2075A"/>
    <w:rsid w:val="00F210E9"/>
    <w:rsid w:val="00F21874"/>
    <w:rsid w:val="00F218C0"/>
    <w:rsid w:val="00F21B69"/>
    <w:rsid w:val="00F21E6B"/>
    <w:rsid w:val="00F222F3"/>
    <w:rsid w:val="00F225B2"/>
    <w:rsid w:val="00F225D2"/>
    <w:rsid w:val="00F22646"/>
    <w:rsid w:val="00F22C2F"/>
    <w:rsid w:val="00F22DCC"/>
    <w:rsid w:val="00F23024"/>
    <w:rsid w:val="00F231BC"/>
    <w:rsid w:val="00F23310"/>
    <w:rsid w:val="00F2331A"/>
    <w:rsid w:val="00F236C1"/>
    <w:rsid w:val="00F238AC"/>
    <w:rsid w:val="00F23A74"/>
    <w:rsid w:val="00F23D0A"/>
    <w:rsid w:val="00F23D8C"/>
    <w:rsid w:val="00F23F07"/>
    <w:rsid w:val="00F2411F"/>
    <w:rsid w:val="00F24159"/>
    <w:rsid w:val="00F241B6"/>
    <w:rsid w:val="00F24820"/>
    <w:rsid w:val="00F24A67"/>
    <w:rsid w:val="00F24D3F"/>
    <w:rsid w:val="00F25012"/>
    <w:rsid w:val="00F254DF"/>
    <w:rsid w:val="00F254E8"/>
    <w:rsid w:val="00F25581"/>
    <w:rsid w:val="00F257E8"/>
    <w:rsid w:val="00F25822"/>
    <w:rsid w:val="00F25949"/>
    <w:rsid w:val="00F25FE6"/>
    <w:rsid w:val="00F261C4"/>
    <w:rsid w:val="00F2628A"/>
    <w:rsid w:val="00F262A8"/>
    <w:rsid w:val="00F266EF"/>
    <w:rsid w:val="00F26AB2"/>
    <w:rsid w:val="00F26B39"/>
    <w:rsid w:val="00F27228"/>
    <w:rsid w:val="00F27933"/>
    <w:rsid w:val="00F27A96"/>
    <w:rsid w:val="00F27DF5"/>
    <w:rsid w:val="00F30056"/>
    <w:rsid w:val="00F30208"/>
    <w:rsid w:val="00F302C9"/>
    <w:rsid w:val="00F303E9"/>
    <w:rsid w:val="00F304A1"/>
    <w:rsid w:val="00F306F9"/>
    <w:rsid w:val="00F30772"/>
    <w:rsid w:val="00F30A78"/>
    <w:rsid w:val="00F30C86"/>
    <w:rsid w:val="00F30E02"/>
    <w:rsid w:val="00F30F32"/>
    <w:rsid w:val="00F3108E"/>
    <w:rsid w:val="00F311D0"/>
    <w:rsid w:val="00F31A3C"/>
    <w:rsid w:val="00F32060"/>
    <w:rsid w:val="00F32448"/>
    <w:rsid w:val="00F32BD3"/>
    <w:rsid w:val="00F32D18"/>
    <w:rsid w:val="00F32D9C"/>
    <w:rsid w:val="00F335FF"/>
    <w:rsid w:val="00F337E2"/>
    <w:rsid w:val="00F33D7C"/>
    <w:rsid w:val="00F33F64"/>
    <w:rsid w:val="00F34512"/>
    <w:rsid w:val="00F34693"/>
    <w:rsid w:val="00F34BCA"/>
    <w:rsid w:val="00F34D29"/>
    <w:rsid w:val="00F3500B"/>
    <w:rsid w:val="00F35817"/>
    <w:rsid w:val="00F359F4"/>
    <w:rsid w:val="00F35BD6"/>
    <w:rsid w:val="00F35E1F"/>
    <w:rsid w:val="00F36070"/>
    <w:rsid w:val="00F3621E"/>
    <w:rsid w:val="00F36BE3"/>
    <w:rsid w:val="00F36CC4"/>
    <w:rsid w:val="00F36E49"/>
    <w:rsid w:val="00F3711E"/>
    <w:rsid w:val="00F37192"/>
    <w:rsid w:val="00F37313"/>
    <w:rsid w:val="00F37570"/>
    <w:rsid w:val="00F37711"/>
    <w:rsid w:val="00F3780F"/>
    <w:rsid w:val="00F3790D"/>
    <w:rsid w:val="00F3793D"/>
    <w:rsid w:val="00F37A5A"/>
    <w:rsid w:val="00F37B42"/>
    <w:rsid w:val="00F37B76"/>
    <w:rsid w:val="00F37D61"/>
    <w:rsid w:val="00F4032F"/>
    <w:rsid w:val="00F40AAE"/>
    <w:rsid w:val="00F40E58"/>
    <w:rsid w:val="00F40F0D"/>
    <w:rsid w:val="00F4109B"/>
    <w:rsid w:val="00F4122A"/>
    <w:rsid w:val="00F4133B"/>
    <w:rsid w:val="00F41408"/>
    <w:rsid w:val="00F41C03"/>
    <w:rsid w:val="00F4201B"/>
    <w:rsid w:val="00F42C55"/>
    <w:rsid w:val="00F42E8B"/>
    <w:rsid w:val="00F42EBF"/>
    <w:rsid w:val="00F431D4"/>
    <w:rsid w:val="00F43397"/>
    <w:rsid w:val="00F43577"/>
    <w:rsid w:val="00F437FD"/>
    <w:rsid w:val="00F4383C"/>
    <w:rsid w:val="00F439FA"/>
    <w:rsid w:val="00F43AD0"/>
    <w:rsid w:val="00F43B0A"/>
    <w:rsid w:val="00F43D08"/>
    <w:rsid w:val="00F4402D"/>
    <w:rsid w:val="00F442C4"/>
    <w:rsid w:val="00F44586"/>
    <w:rsid w:val="00F44860"/>
    <w:rsid w:val="00F448C1"/>
    <w:rsid w:val="00F44C80"/>
    <w:rsid w:val="00F44E9D"/>
    <w:rsid w:val="00F44EA9"/>
    <w:rsid w:val="00F450E6"/>
    <w:rsid w:val="00F451E7"/>
    <w:rsid w:val="00F4538A"/>
    <w:rsid w:val="00F458C3"/>
    <w:rsid w:val="00F45AF3"/>
    <w:rsid w:val="00F45CA8"/>
    <w:rsid w:val="00F45CDF"/>
    <w:rsid w:val="00F45EC7"/>
    <w:rsid w:val="00F4609B"/>
    <w:rsid w:val="00F46257"/>
    <w:rsid w:val="00F46832"/>
    <w:rsid w:val="00F46CDF"/>
    <w:rsid w:val="00F46D54"/>
    <w:rsid w:val="00F46E23"/>
    <w:rsid w:val="00F475CC"/>
    <w:rsid w:val="00F475ED"/>
    <w:rsid w:val="00F4766B"/>
    <w:rsid w:val="00F478D8"/>
    <w:rsid w:val="00F5027F"/>
    <w:rsid w:val="00F5030B"/>
    <w:rsid w:val="00F505EE"/>
    <w:rsid w:val="00F50700"/>
    <w:rsid w:val="00F5075C"/>
    <w:rsid w:val="00F50809"/>
    <w:rsid w:val="00F50E1A"/>
    <w:rsid w:val="00F511BF"/>
    <w:rsid w:val="00F5148C"/>
    <w:rsid w:val="00F515D4"/>
    <w:rsid w:val="00F51EB2"/>
    <w:rsid w:val="00F52273"/>
    <w:rsid w:val="00F52694"/>
    <w:rsid w:val="00F526B0"/>
    <w:rsid w:val="00F52831"/>
    <w:rsid w:val="00F52882"/>
    <w:rsid w:val="00F537EB"/>
    <w:rsid w:val="00F53AA1"/>
    <w:rsid w:val="00F53E76"/>
    <w:rsid w:val="00F53E9D"/>
    <w:rsid w:val="00F54005"/>
    <w:rsid w:val="00F541DB"/>
    <w:rsid w:val="00F541E4"/>
    <w:rsid w:val="00F54558"/>
    <w:rsid w:val="00F545AD"/>
    <w:rsid w:val="00F54A76"/>
    <w:rsid w:val="00F54CDE"/>
    <w:rsid w:val="00F54E07"/>
    <w:rsid w:val="00F55393"/>
    <w:rsid w:val="00F554D8"/>
    <w:rsid w:val="00F55516"/>
    <w:rsid w:val="00F5554E"/>
    <w:rsid w:val="00F5556F"/>
    <w:rsid w:val="00F556A4"/>
    <w:rsid w:val="00F557C5"/>
    <w:rsid w:val="00F55C72"/>
    <w:rsid w:val="00F56314"/>
    <w:rsid w:val="00F5639E"/>
    <w:rsid w:val="00F563C4"/>
    <w:rsid w:val="00F5663F"/>
    <w:rsid w:val="00F56812"/>
    <w:rsid w:val="00F56A23"/>
    <w:rsid w:val="00F56A44"/>
    <w:rsid w:val="00F56BB8"/>
    <w:rsid w:val="00F571C3"/>
    <w:rsid w:val="00F57578"/>
    <w:rsid w:val="00F5758E"/>
    <w:rsid w:val="00F57677"/>
    <w:rsid w:val="00F577AD"/>
    <w:rsid w:val="00F57802"/>
    <w:rsid w:val="00F57CF9"/>
    <w:rsid w:val="00F57D27"/>
    <w:rsid w:val="00F57F53"/>
    <w:rsid w:val="00F57FA4"/>
    <w:rsid w:val="00F6012A"/>
    <w:rsid w:val="00F60264"/>
    <w:rsid w:val="00F60489"/>
    <w:rsid w:val="00F609A8"/>
    <w:rsid w:val="00F6136A"/>
    <w:rsid w:val="00F6150A"/>
    <w:rsid w:val="00F61565"/>
    <w:rsid w:val="00F618AB"/>
    <w:rsid w:val="00F61B6C"/>
    <w:rsid w:val="00F61BB0"/>
    <w:rsid w:val="00F61C11"/>
    <w:rsid w:val="00F61CCE"/>
    <w:rsid w:val="00F61E45"/>
    <w:rsid w:val="00F61FA3"/>
    <w:rsid w:val="00F61FF1"/>
    <w:rsid w:val="00F6202F"/>
    <w:rsid w:val="00F62819"/>
    <w:rsid w:val="00F6290F"/>
    <w:rsid w:val="00F629FC"/>
    <w:rsid w:val="00F62C64"/>
    <w:rsid w:val="00F62D62"/>
    <w:rsid w:val="00F62E16"/>
    <w:rsid w:val="00F62E50"/>
    <w:rsid w:val="00F62ED3"/>
    <w:rsid w:val="00F630BA"/>
    <w:rsid w:val="00F630FD"/>
    <w:rsid w:val="00F6356F"/>
    <w:rsid w:val="00F635B0"/>
    <w:rsid w:val="00F63708"/>
    <w:rsid w:val="00F63BDD"/>
    <w:rsid w:val="00F63D44"/>
    <w:rsid w:val="00F63F0A"/>
    <w:rsid w:val="00F64174"/>
    <w:rsid w:val="00F641ED"/>
    <w:rsid w:val="00F643C2"/>
    <w:rsid w:val="00F643D1"/>
    <w:rsid w:val="00F64567"/>
    <w:rsid w:val="00F647D8"/>
    <w:rsid w:val="00F64990"/>
    <w:rsid w:val="00F64B01"/>
    <w:rsid w:val="00F64C58"/>
    <w:rsid w:val="00F64C6B"/>
    <w:rsid w:val="00F650DC"/>
    <w:rsid w:val="00F651DD"/>
    <w:rsid w:val="00F65289"/>
    <w:rsid w:val="00F6598B"/>
    <w:rsid w:val="00F659EB"/>
    <w:rsid w:val="00F65CFB"/>
    <w:rsid w:val="00F65D07"/>
    <w:rsid w:val="00F65DF4"/>
    <w:rsid w:val="00F65E13"/>
    <w:rsid w:val="00F66379"/>
    <w:rsid w:val="00F663AA"/>
    <w:rsid w:val="00F664E7"/>
    <w:rsid w:val="00F66584"/>
    <w:rsid w:val="00F666B3"/>
    <w:rsid w:val="00F6682D"/>
    <w:rsid w:val="00F66870"/>
    <w:rsid w:val="00F66ACB"/>
    <w:rsid w:val="00F66C25"/>
    <w:rsid w:val="00F671A1"/>
    <w:rsid w:val="00F672C3"/>
    <w:rsid w:val="00F67380"/>
    <w:rsid w:val="00F676D2"/>
    <w:rsid w:val="00F676F5"/>
    <w:rsid w:val="00F67B26"/>
    <w:rsid w:val="00F67C90"/>
    <w:rsid w:val="00F67D65"/>
    <w:rsid w:val="00F67F0A"/>
    <w:rsid w:val="00F67F4C"/>
    <w:rsid w:val="00F70204"/>
    <w:rsid w:val="00F70221"/>
    <w:rsid w:val="00F702CF"/>
    <w:rsid w:val="00F7032A"/>
    <w:rsid w:val="00F70BB4"/>
    <w:rsid w:val="00F7135D"/>
    <w:rsid w:val="00F71553"/>
    <w:rsid w:val="00F71648"/>
    <w:rsid w:val="00F7173A"/>
    <w:rsid w:val="00F71833"/>
    <w:rsid w:val="00F71909"/>
    <w:rsid w:val="00F71BF6"/>
    <w:rsid w:val="00F72033"/>
    <w:rsid w:val="00F7218A"/>
    <w:rsid w:val="00F723AA"/>
    <w:rsid w:val="00F72798"/>
    <w:rsid w:val="00F72E9A"/>
    <w:rsid w:val="00F72FDA"/>
    <w:rsid w:val="00F7307B"/>
    <w:rsid w:val="00F73339"/>
    <w:rsid w:val="00F73416"/>
    <w:rsid w:val="00F73913"/>
    <w:rsid w:val="00F73A13"/>
    <w:rsid w:val="00F73A93"/>
    <w:rsid w:val="00F73D26"/>
    <w:rsid w:val="00F73E4E"/>
    <w:rsid w:val="00F73E51"/>
    <w:rsid w:val="00F74088"/>
    <w:rsid w:val="00F74235"/>
    <w:rsid w:val="00F746D4"/>
    <w:rsid w:val="00F7472C"/>
    <w:rsid w:val="00F74F60"/>
    <w:rsid w:val="00F75694"/>
    <w:rsid w:val="00F756B2"/>
    <w:rsid w:val="00F75A1A"/>
    <w:rsid w:val="00F75C0A"/>
    <w:rsid w:val="00F75C98"/>
    <w:rsid w:val="00F75DA7"/>
    <w:rsid w:val="00F762F4"/>
    <w:rsid w:val="00F7630B"/>
    <w:rsid w:val="00F76602"/>
    <w:rsid w:val="00F76E5D"/>
    <w:rsid w:val="00F76FFD"/>
    <w:rsid w:val="00F77105"/>
    <w:rsid w:val="00F771EC"/>
    <w:rsid w:val="00F77260"/>
    <w:rsid w:val="00F772E6"/>
    <w:rsid w:val="00F77655"/>
    <w:rsid w:val="00F77985"/>
    <w:rsid w:val="00F806A4"/>
    <w:rsid w:val="00F809FB"/>
    <w:rsid w:val="00F80D96"/>
    <w:rsid w:val="00F80EFD"/>
    <w:rsid w:val="00F81086"/>
    <w:rsid w:val="00F810F2"/>
    <w:rsid w:val="00F812CA"/>
    <w:rsid w:val="00F8149A"/>
    <w:rsid w:val="00F817F7"/>
    <w:rsid w:val="00F81933"/>
    <w:rsid w:val="00F81A6B"/>
    <w:rsid w:val="00F81E9A"/>
    <w:rsid w:val="00F81F1E"/>
    <w:rsid w:val="00F81F24"/>
    <w:rsid w:val="00F81F45"/>
    <w:rsid w:val="00F82145"/>
    <w:rsid w:val="00F8233D"/>
    <w:rsid w:val="00F823F1"/>
    <w:rsid w:val="00F823F8"/>
    <w:rsid w:val="00F8249E"/>
    <w:rsid w:val="00F8258A"/>
    <w:rsid w:val="00F82763"/>
    <w:rsid w:val="00F827DF"/>
    <w:rsid w:val="00F82998"/>
    <w:rsid w:val="00F83150"/>
    <w:rsid w:val="00F831B4"/>
    <w:rsid w:val="00F83987"/>
    <w:rsid w:val="00F83DC5"/>
    <w:rsid w:val="00F8437C"/>
    <w:rsid w:val="00F84BF5"/>
    <w:rsid w:val="00F84E7E"/>
    <w:rsid w:val="00F85420"/>
    <w:rsid w:val="00F8574C"/>
    <w:rsid w:val="00F85C67"/>
    <w:rsid w:val="00F85D0B"/>
    <w:rsid w:val="00F86037"/>
    <w:rsid w:val="00F8633A"/>
    <w:rsid w:val="00F8645B"/>
    <w:rsid w:val="00F8664F"/>
    <w:rsid w:val="00F867B7"/>
    <w:rsid w:val="00F869BA"/>
    <w:rsid w:val="00F86A00"/>
    <w:rsid w:val="00F86EBD"/>
    <w:rsid w:val="00F87000"/>
    <w:rsid w:val="00F872EC"/>
    <w:rsid w:val="00F87317"/>
    <w:rsid w:val="00F874DD"/>
    <w:rsid w:val="00F87A25"/>
    <w:rsid w:val="00F87FC0"/>
    <w:rsid w:val="00F87FD2"/>
    <w:rsid w:val="00F9038A"/>
    <w:rsid w:val="00F9066E"/>
    <w:rsid w:val="00F9081B"/>
    <w:rsid w:val="00F90BE1"/>
    <w:rsid w:val="00F90D6E"/>
    <w:rsid w:val="00F90DDD"/>
    <w:rsid w:val="00F91419"/>
    <w:rsid w:val="00F91525"/>
    <w:rsid w:val="00F91623"/>
    <w:rsid w:val="00F91831"/>
    <w:rsid w:val="00F91BBF"/>
    <w:rsid w:val="00F922A8"/>
    <w:rsid w:val="00F9281E"/>
    <w:rsid w:val="00F92B07"/>
    <w:rsid w:val="00F92EA8"/>
    <w:rsid w:val="00F92F15"/>
    <w:rsid w:val="00F933C7"/>
    <w:rsid w:val="00F93413"/>
    <w:rsid w:val="00F935F6"/>
    <w:rsid w:val="00F9374B"/>
    <w:rsid w:val="00F93873"/>
    <w:rsid w:val="00F94119"/>
    <w:rsid w:val="00F9439B"/>
    <w:rsid w:val="00F945BB"/>
    <w:rsid w:val="00F945D8"/>
    <w:rsid w:val="00F947D4"/>
    <w:rsid w:val="00F94952"/>
    <w:rsid w:val="00F94CEE"/>
    <w:rsid w:val="00F95273"/>
    <w:rsid w:val="00F95348"/>
    <w:rsid w:val="00F9540A"/>
    <w:rsid w:val="00F95479"/>
    <w:rsid w:val="00F955CE"/>
    <w:rsid w:val="00F95628"/>
    <w:rsid w:val="00F95649"/>
    <w:rsid w:val="00F958EC"/>
    <w:rsid w:val="00F959EA"/>
    <w:rsid w:val="00F95AE8"/>
    <w:rsid w:val="00F95DCA"/>
    <w:rsid w:val="00F95DF9"/>
    <w:rsid w:val="00F95E68"/>
    <w:rsid w:val="00F961F0"/>
    <w:rsid w:val="00F962A8"/>
    <w:rsid w:val="00F96398"/>
    <w:rsid w:val="00F963B9"/>
    <w:rsid w:val="00F96675"/>
    <w:rsid w:val="00F9671C"/>
    <w:rsid w:val="00F969F0"/>
    <w:rsid w:val="00F96A73"/>
    <w:rsid w:val="00F96E4E"/>
    <w:rsid w:val="00F970CA"/>
    <w:rsid w:val="00F97151"/>
    <w:rsid w:val="00F977FD"/>
    <w:rsid w:val="00F978DC"/>
    <w:rsid w:val="00FA0739"/>
    <w:rsid w:val="00FA0954"/>
    <w:rsid w:val="00FA12F1"/>
    <w:rsid w:val="00FA1465"/>
    <w:rsid w:val="00FA1657"/>
    <w:rsid w:val="00FA1D5C"/>
    <w:rsid w:val="00FA2032"/>
    <w:rsid w:val="00FA20D4"/>
    <w:rsid w:val="00FA2106"/>
    <w:rsid w:val="00FA221B"/>
    <w:rsid w:val="00FA2319"/>
    <w:rsid w:val="00FA24D7"/>
    <w:rsid w:val="00FA25AF"/>
    <w:rsid w:val="00FA27D7"/>
    <w:rsid w:val="00FA28D0"/>
    <w:rsid w:val="00FA29D8"/>
    <w:rsid w:val="00FA29E2"/>
    <w:rsid w:val="00FA2B88"/>
    <w:rsid w:val="00FA2BE2"/>
    <w:rsid w:val="00FA2C22"/>
    <w:rsid w:val="00FA2C42"/>
    <w:rsid w:val="00FA2E72"/>
    <w:rsid w:val="00FA2F09"/>
    <w:rsid w:val="00FA31F2"/>
    <w:rsid w:val="00FA32F3"/>
    <w:rsid w:val="00FA35C7"/>
    <w:rsid w:val="00FA35EC"/>
    <w:rsid w:val="00FA386F"/>
    <w:rsid w:val="00FA38BD"/>
    <w:rsid w:val="00FA3980"/>
    <w:rsid w:val="00FA441F"/>
    <w:rsid w:val="00FA4EEE"/>
    <w:rsid w:val="00FA54C5"/>
    <w:rsid w:val="00FA5CB0"/>
    <w:rsid w:val="00FA5DC8"/>
    <w:rsid w:val="00FA5DD9"/>
    <w:rsid w:val="00FA5EDC"/>
    <w:rsid w:val="00FA605B"/>
    <w:rsid w:val="00FA609E"/>
    <w:rsid w:val="00FA61FD"/>
    <w:rsid w:val="00FA6285"/>
    <w:rsid w:val="00FA62F3"/>
    <w:rsid w:val="00FA64FF"/>
    <w:rsid w:val="00FA689D"/>
    <w:rsid w:val="00FA6F84"/>
    <w:rsid w:val="00FA70BD"/>
    <w:rsid w:val="00FA7311"/>
    <w:rsid w:val="00FA7519"/>
    <w:rsid w:val="00FA772D"/>
    <w:rsid w:val="00FA7734"/>
    <w:rsid w:val="00FA7BEB"/>
    <w:rsid w:val="00FA7CC9"/>
    <w:rsid w:val="00FB0398"/>
    <w:rsid w:val="00FB03DE"/>
    <w:rsid w:val="00FB0840"/>
    <w:rsid w:val="00FB098D"/>
    <w:rsid w:val="00FB0BCC"/>
    <w:rsid w:val="00FB0BF6"/>
    <w:rsid w:val="00FB169E"/>
    <w:rsid w:val="00FB1847"/>
    <w:rsid w:val="00FB1CA7"/>
    <w:rsid w:val="00FB1CF3"/>
    <w:rsid w:val="00FB1D83"/>
    <w:rsid w:val="00FB1E85"/>
    <w:rsid w:val="00FB20E9"/>
    <w:rsid w:val="00FB23E9"/>
    <w:rsid w:val="00FB24A6"/>
    <w:rsid w:val="00FB24C9"/>
    <w:rsid w:val="00FB2567"/>
    <w:rsid w:val="00FB25B9"/>
    <w:rsid w:val="00FB27B0"/>
    <w:rsid w:val="00FB27C5"/>
    <w:rsid w:val="00FB2805"/>
    <w:rsid w:val="00FB2A02"/>
    <w:rsid w:val="00FB2CEF"/>
    <w:rsid w:val="00FB320D"/>
    <w:rsid w:val="00FB37CA"/>
    <w:rsid w:val="00FB3F3D"/>
    <w:rsid w:val="00FB3F97"/>
    <w:rsid w:val="00FB407D"/>
    <w:rsid w:val="00FB482A"/>
    <w:rsid w:val="00FB4947"/>
    <w:rsid w:val="00FB49BF"/>
    <w:rsid w:val="00FB4BC9"/>
    <w:rsid w:val="00FB4D37"/>
    <w:rsid w:val="00FB50B0"/>
    <w:rsid w:val="00FB5130"/>
    <w:rsid w:val="00FB5450"/>
    <w:rsid w:val="00FB59B0"/>
    <w:rsid w:val="00FB5E34"/>
    <w:rsid w:val="00FB60DE"/>
    <w:rsid w:val="00FB61BF"/>
    <w:rsid w:val="00FB649A"/>
    <w:rsid w:val="00FB662E"/>
    <w:rsid w:val="00FB66D1"/>
    <w:rsid w:val="00FB69EA"/>
    <w:rsid w:val="00FB6C45"/>
    <w:rsid w:val="00FB6C6B"/>
    <w:rsid w:val="00FB6EDD"/>
    <w:rsid w:val="00FB730D"/>
    <w:rsid w:val="00FB746A"/>
    <w:rsid w:val="00FB75F7"/>
    <w:rsid w:val="00FB76B0"/>
    <w:rsid w:val="00FB7974"/>
    <w:rsid w:val="00FB79A9"/>
    <w:rsid w:val="00FB7A17"/>
    <w:rsid w:val="00FB7AC9"/>
    <w:rsid w:val="00FB7F0E"/>
    <w:rsid w:val="00FC04C1"/>
    <w:rsid w:val="00FC05CD"/>
    <w:rsid w:val="00FC09A0"/>
    <w:rsid w:val="00FC0BB4"/>
    <w:rsid w:val="00FC10D5"/>
    <w:rsid w:val="00FC14CB"/>
    <w:rsid w:val="00FC15AC"/>
    <w:rsid w:val="00FC1620"/>
    <w:rsid w:val="00FC19D2"/>
    <w:rsid w:val="00FC1D9A"/>
    <w:rsid w:val="00FC21E0"/>
    <w:rsid w:val="00FC27E7"/>
    <w:rsid w:val="00FC2E47"/>
    <w:rsid w:val="00FC2FD9"/>
    <w:rsid w:val="00FC3246"/>
    <w:rsid w:val="00FC33D2"/>
    <w:rsid w:val="00FC3531"/>
    <w:rsid w:val="00FC376F"/>
    <w:rsid w:val="00FC3890"/>
    <w:rsid w:val="00FC3EEF"/>
    <w:rsid w:val="00FC3F0C"/>
    <w:rsid w:val="00FC4021"/>
    <w:rsid w:val="00FC42A6"/>
    <w:rsid w:val="00FC42A8"/>
    <w:rsid w:val="00FC47FF"/>
    <w:rsid w:val="00FC4964"/>
    <w:rsid w:val="00FC4A2A"/>
    <w:rsid w:val="00FC4B1F"/>
    <w:rsid w:val="00FC4C4C"/>
    <w:rsid w:val="00FC4CE0"/>
    <w:rsid w:val="00FC4DBC"/>
    <w:rsid w:val="00FC5154"/>
    <w:rsid w:val="00FC5288"/>
    <w:rsid w:val="00FC5434"/>
    <w:rsid w:val="00FC54F8"/>
    <w:rsid w:val="00FC572C"/>
    <w:rsid w:val="00FC58B3"/>
    <w:rsid w:val="00FC59F2"/>
    <w:rsid w:val="00FC654C"/>
    <w:rsid w:val="00FC673C"/>
    <w:rsid w:val="00FC6940"/>
    <w:rsid w:val="00FC6E32"/>
    <w:rsid w:val="00FC715A"/>
    <w:rsid w:val="00FC76E8"/>
    <w:rsid w:val="00FC787A"/>
    <w:rsid w:val="00FC79EB"/>
    <w:rsid w:val="00FC7AAF"/>
    <w:rsid w:val="00FC7AF5"/>
    <w:rsid w:val="00FC7CA0"/>
    <w:rsid w:val="00FD01E7"/>
    <w:rsid w:val="00FD0279"/>
    <w:rsid w:val="00FD071E"/>
    <w:rsid w:val="00FD08CE"/>
    <w:rsid w:val="00FD0BE2"/>
    <w:rsid w:val="00FD0F83"/>
    <w:rsid w:val="00FD0FE6"/>
    <w:rsid w:val="00FD1277"/>
    <w:rsid w:val="00FD154E"/>
    <w:rsid w:val="00FD164B"/>
    <w:rsid w:val="00FD1D5F"/>
    <w:rsid w:val="00FD2038"/>
    <w:rsid w:val="00FD20CC"/>
    <w:rsid w:val="00FD27F7"/>
    <w:rsid w:val="00FD2809"/>
    <w:rsid w:val="00FD293A"/>
    <w:rsid w:val="00FD2953"/>
    <w:rsid w:val="00FD32B0"/>
    <w:rsid w:val="00FD34FD"/>
    <w:rsid w:val="00FD35A6"/>
    <w:rsid w:val="00FD3AE0"/>
    <w:rsid w:val="00FD3D87"/>
    <w:rsid w:val="00FD4403"/>
    <w:rsid w:val="00FD4638"/>
    <w:rsid w:val="00FD480E"/>
    <w:rsid w:val="00FD4A4B"/>
    <w:rsid w:val="00FD4D01"/>
    <w:rsid w:val="00FD52F4"/>
    <w:rsid w:val="00FD5545"/>
    <w:rsid w:val="00FD597A"/>
    <w:rsid w:val="00FD5E82"/>
    <w:rsid w:val="00FD5FFC"/>
    <w:rsid w:val="00FD621F"/>
    <w:rsid w:val="00FD6247"/>
    <w:rsid w:val="00FD6299"/>
    <w:rsid w:val="00FD62FD"/>
    <w:rsid w:val="00FD6BDD"/>
    <w:rsid w:val="00FD6C3C"/>
    <w:rsid w:val="00FD6CB5"/>
    <w:rsid w:val="00FD6D6F"/>
    <w:rsid w:val="00FD6F7C"/>
    <w:rsid w:val="00FD7058"/>
    <w:rsid w:val="00FD70F7"/>
    <w:rsid w:val="00FD71A1"/>
    <w:rsid w:val="00FD7642"/>
    <w:rsid w:val="00FD7933"/>
    <w:rsid w:val="00FE0131"/>
    <w:rsid w:val="00FE0182"/>
    <w:rsid w:val="00FE070C"/>
    <w:rsid w:val="00FE0832"/>
    <w:rsid w:val="00FE086A"/>
    <w:rsid w:val="00FE0B37"/>
    <w:rsid w:val="00FE0C2F"/>
    <w:rsid w:val="00FE0EDB"/>
    <w:rsid w:val="00FE1141"/>
    <w:rsid w:val="00FE11CB"/>
    <w:rsid w:val="00FE11F6"/>
    <w:rsid w:val="00FE17A4"/>
    <w:rsid w:val="00FE186A"/>
    <w:rsid w:val="00FE1914"/>
    <w:rsid w:val="00FE1E42"/>
    <w:rsid w:val="00FE1FAA"/>
    <w:rsid w:val="00FE2418"/>
    <w:rsid w:val="00FE29CB"/>
    <w:rsid w:val="00FE2AA2"/>
    <w:rsid w:val="00FE2DAF"/>
    <w:rsid w:val="00FE2DE7"/>
    <w:rsid w:val="00FE2F59"/>
    <w:rsid w:val="00FE2FFE"/>
    <w:rsid w:val="00FE314C"/>
    <w:rsid w:val="00FE324F"/>
    <w:rsid w:val="00FE352A"/>
    <w:rsid w:val="00FE3639"/>
    <w:rsid w:val="00FE36B4"/>
    <w:rsid w:val="00FE3716"/>
    <w:rsid w:val="00FE379B"/>
    <w:rsid w:val="00FE37B7"/>
    <w:rsid w:val="00FE384F"/>
    <w:rsid w:val="00FE38E2"/>
    <w:rsid w:val="00FE3C2A"/>
    <w:rsid w:val="00FE3E79"/>
    <w:rsid w:val="00FE3E84"/>
    <w:rsid w:val="00FE414D"/>
    <w:rsid w:val="00FE440F"/>
    <w:rsid w:val="00FE4438"/>
    <w:rsid w:val="00FE45C3"/>
    <w:rsid w:val="00FE4753"/>
    <w:rsid w:val="00FE4ACB"/>
    <w:rsid w:val="00FE4D6D"/>
    <w:rsid w:val="00FE4D8D"/>
    <w:rsid w:val="00FE4E24"/>
    <w:rsid w:val="00FE4E25"/>
    <w:rsid w:val="00FE4EDC"/>
    <w:rsid w:val="00FE5049"/>
    <w:rsid w:val="00FE52D6"/>
    <w:rsid w:val="00FE5327"/>
    <w:rsid w:val="00FE53FA"/>
    <w:rsid w:val="00FE5443"/>
    <w:rsid w:val="00FE5C52"/>
    <w:rsid w:val="00FE5CE2"/>
    <w:rsid w:val="00FE5EA2"/>
    <w:rsid w:val="00FE631E"/>
    <w:rsid w:val="00FE69B4"/>
    <w:rsid w:val="00FE6BF6"/>
    <w:rsid w:val="00FE6C05"/>
    <w:rsid w:val="00FE6E5D"/>
    <w:rsid w:val="00FE6F85"/>
    <w:rsid w:val="00FE707F"/>
    <w:rsid w:val="00FE70C6"/>
    <w:rsid w:val="00FE72EC"/>
    <w:rsid w:val="00FE780E"/>
    <w:rsid w:val="00FE7F71"/>
    <w:rsid w:val="00FF03F4"/>
    <w:rsid w:val="00FF050A"/>
    <w:rsid w:val="00FF05BC"/>
    <w:rsid w:val="00FF0630"/>
    <w:rsid w:val="00FF0BC7"/>
    <w:rsid w:val="00FF0C8B"/>
    <w:rsid w:val="00FF0DED"/>
    <w:rsid w:val="00FF17AA"/>
    <w:rsid w:val="00FF18EA"/>
    <w:rsid w:val="00FF1986"/>
    <w:rsid w:val="00FF1E5E"/>
    <w:rsid w:val="00FF1F71"/>
    <w:rsid w:val="00FF23A6"/>
    <w:rsid w:val="00FF2524"/>
    <w:rsid w:val="00FF2547"/>
    <w:rsid w:val="00FF25BC"/>
    <w:rsid w:val="00FF277A"/>
    <w:rsid w:val="00FF2C44"/>
    <w:rsid w:val="00FF3333"/>
    <w:rsid w:val="00FF3365"/>
    <w:rsid w:val="00FF3573"/>
    <w:rsid w:val="00FF3891"/>
    <w:rsid w:val="00FF3959"/>
    <w:rsid w:val="00FF3C6E"/>
    <w:rsid w:val="00FF3EF2"/>
    <w:rsid w:val="00FF3FD7"/>
    <w:rsid w:val="00FF40AB"/>
    <w:rsid w:val="00FF4188"/>
    <w:rsid w:val="00FF4314"/>
    <w:rsid w:val="00FF468E"/>
    <w:rsid w:val="00FF4EE1"/>
    <w:rsid w:val="00FF4F28"/>
    <w:rsid w:val="00FF5644"/>
    <w:rsid w:val="00FF5771"/>
    <w:rsid w:val="00FF5951"/>
    <w:rsid w:val="00FF5A35"/>
    <w:rsid w:val="00FF5BAB"/>
    <w:rsid w:val="00FF5F79"/>
    <w:rsid w:val="00FF6102"/>
    <w:rsid w:val="00FF646A"/>
    <w:rsid w:val="00FF6527"/>
    <w:rsid w:val="00FF66FC"/>
    <w:rsid w:val="00FF68D6"/>
    <w:rsid w:val="00FF6B25"/>
    <w:rsid w:val="00FF6E01"/>
    <w:rsid w:val="00FF6E2B"/>
    <w:rsid w:val="00FF6EEC"/>
    <w:rsid w:val="00FF6FD0"/>
    <w:rsid w:val="00FF702B"/>
    <w:rsid w:val="00FF7219"/>
    <w:rsid w:val="00FF73BE"/>
    <w:rsid w:val="00FF79EF"/>
    <w:rsid w:val="00FF7FAD"/>
    <w:rsid w:val="00FF7FE5"/>
    <w:rsid w:val="019A2403"/>
    <w:rsid w:val="0327115C"/>
    <w:rsid w:val="0336C8D1"/>
    <w:rsid w:val="042EAD7F"/>
    <w:rsid w:val="0433B30D"/>
    <w:rsid w:val="04489D9A"/>
    <w:rsid w:val="04FD3D99"/>
    <w:rsid w:val="0510DD59"/>
    <w:rsid w:val="053A8A5E"/>
    <w:rsid w:val="0541DEC8"/>
    <w:rsid w:val="054AF461"/>
    <w:rsid w:val="05AD3F96"/>
    <w:rsid w:val="08123348"/>
    <w:rsid w:val="09F0B5E9"/>
    <w:rsid w:val="0A2B01DC"/>
    <w:rsid w:val="0B9BB57A"/>
    <w:rsid w:val="0C53F1B1"/>
    <w:rsid w:val="0CF14D5C"/>
    <w:rsid w:val="0D4FD255"/>
    <w:rsid w:val="0D65699B"/>
    <w:rsid w:val="0EB18A65"/>
    <w:rsid w:val="0EC234CB"/>
    <w:rsid w:val="0FAB8292"/>
    <w:rsid w:val="0FD5997B"/>
    <w:rsid w:val="105B7D86"/>
    <w:rsid w:val="107F4604"/>
    <w:rsid w:val="11CC2ED5"/>
    <w:rsid w:val="121B703B"/>
    <w:rsid w:val="1247269B"/>
    <w:rsid w:val="13A1C969"/>
    <w:rsid w:val="175C630A"/>
    <w:rsid w:val="185C122F"/>
    <w:rsid w:val="18FD7BF2"/>
    <w:rsid w:val="1902F1A8"/>
    <w:rsid w:val="19B1A3DD"/>
    <w:rsid w:val="19F7E290"/>
    <w:rsid w:val="1B9F2591"/>
    <w:rsid w:val="1BBD3741"/>
    <w:rsid w:val="1C5D9122"/>
    <w:rsid w:val="1F854B6D"/>
    <w:rsid w:val="20B7E3CE"/>
    <w:rsid w:val="20ED09E7"/>
    <w:rsid w:val="211D7252"/>
    <w:rsid w:val="2127ACF4"/>
    <w:rsid w:val="21C9FC5C"/>
    <w:rsid w:val="22DE2715"/>
    <w:rsid w:val="25EC91DC"/>
    <w:rsid w:val="2C8EEE8D"/>
    <w:rsid w:val="2D5F5228"/>
    <w:rsid w:val="2E2ABEEE"/>
    <w:rsid w:val="2FEB74F2"/>
    <w:rsid w:val="30EB21ED"/>
    <w:rsid w:val="31625FB0"/>
    <w:rsid w:val="3296DA92"/>
    <w:rsid w:val="334B5613"/>
    <w:rsid w:val="33597F83"/>
    <w:rsid w:val="34059C1B"/>
    <w:rsid w:val="3512D8ED"/>
    <w:rsid w:val="353662AF"/>
    <w:rsid w:val="36844B3A"/>
    <w:rsid w:val="368A980A"/>
    <w:rsid w:val="3848E8F9"/>
    <w:rsid w:val="39C3025D"/>
    <w:rsid w:val="39E39367"/>
    <w:rsid w:val="3CED18D1"/>
    <w:rsid w:val="3D4AED7F"/>
    <w:rsid w:val="3DE61F1B"/>
    <w:rsid w:val="3E7E0200"/>
    <w:rsid w:val="3EC8C44C"/>
    <w:rsid w:val="3FCFABA5"/>
    <w:rsid w:val="4214E309"/>
    <w:rsid w:val="44CD22BB"/>
    <w:rsid w:val="4507DCA7"/>
    <w:rsid w:val="4586E3BF"/>
    <w:rsid w:val="4872EC64"/>
    <w:rsid w:val="48B5F6F2"/>
    <w:rsid w:val="49C227D3"/>
    <w:rsid w:val="4BAA8D26"/>
    <w:rsid w:val="4CD5B91C"/>
    <w:rsid w:val="4DDA0A19"/>
    <w:rsid w:val="4EC08469"/>
    <w:rsid w:val="4EC0AFDC"/>
    <w:rsid w:val="4EE22DE8"/>
    <w:rsid w:val="4F367D71"/>
    <w:rsid w:val="4F54552A"/>
    <w:rsid w:val="51DB7B0B"/>
    <w:rsid w:val="530D919D"/>
    <w:rsid w:val="53C093E7"/>
    <w:rsid w:val="542622CD"/>
    <w:rsid w:val="549BDFEF"/>
    <w:rsid w:val="57264097"/>
    <w:rsid w:val="57338AA4"/>
    <w:rsid w:val="57E7617C"/>
    <w:rsid w:val="5889102E"/>
    <w:rsid w:val="5AFF7B25"/>
    <w:rsid w:val="5B84DCA7"/>
    <w:rsid w:val="5C9B4B86"/>
    <w:rsid w:val="5E504444"/>
    <w:rsid w:val="6015AD28"/>
    <w:rsid w:val="60528AC5"/>
    <w:rsid w:val="606EE18D"/>
    <w:rsid w:val="6090CC47"/>
    <w:rsid w:val="61FE9D2C"/>
    <w:rsid w:val="627CD5EE"/>
    <w:rsid w:val="630A8D0A"/>
    <w:rsid w:val="6325172A"/>
    <w:rsid w:val="6403315D"/>
    <w:rsid w:val="64BF85C8"/>
    <w:rsid w:val="65191C6A"/>
    <w:rsid w:val="66422DCC"/>
    <w:rsid w:val="6939E40D"/>
    <w:rsid w:val="6A9BC935"/>
    <w:rsid w:val="6AED657C"/>
    <w:rsid w:val="6B54C504"/>
    <w:rsid w:val="6EE9DFAE"/>
    <w:rsid w:val="71DC4129"/>
    <w:rsid w:val="7224476D"/>
    <w:rsid w:val="761A5028"/>
    <w:rsid w:val="78CEBC8D"/>
    <w:rsid w:val="7934FF92"/>
    <w:rsid w:val="7B83236F"/>
    <w:rsid w:val="7CF07E04"/>
    <w:rsid w:val="7D0B5A24"/>
    <w:rsid w:val="7DF52134"/>
    <w:rsid w:val="7F9254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13B96B0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9" w:unhideWhenUsed="1"/>
    <w:lsdException w:name="annotation text" w:semiHidden="1" w:uiPriority="29"/>
    <w:lsdException w:name="header" w:semiHidden="1" w:uiPriority="29" w:unhideWhenUsed="1"/>
    <w:lsdException w:name="footer" w:semiHidden="1" w:uiPriority="99" w:unhideWhenUsed="1" w:qFormat="1"/>
    <w:lsdException w:name="index heading" w:semiHidden="1" w:uiPriority="29"/>
    <w:lsdException w:name="caption" w:semiHidden="1" w:uiPriority="19" w:qFormat="1"/>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lsdException w:name="annotation reference" w:semiHidden="1" w:uiPriority="9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49"/>
    <w:lsdException w:name="Emphasis" w:semiHidden="1" w:uiPriority="50"/>
    <w:lsdException w:name="Document Map" w:semiHidden="1" w:uiPriority="50"/>
    <w:lsdException w:name="Plain Text" w:semiHidden="1" w:uiPriority="99"/>
    <w:lsdException w:name="E-mail Signature" w:semiHidden="1" w:uiPriority="50"/>
    <w:lsdException w:name="HTML Top of Form" w:semiHidden="1" w:uiPriority="0" w:unhideWhenUsed="1"/>
    <w:lsdException w:name="HTML Bottom of Form" w:semiHidden="1" w:uiPriority="0"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145656"/>
    <w:pPr>
      <w:spacing w:after="160"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uiPriority w:val="1"/>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1"/>
    <w:qFormat/>
    <w:rsid w:val="00124804"/>
    <w:pPr>
      <w:numPr>
        <w:ilvl w:val="1"/>
      </w:numPr>
      <w:pBdr>
        <w:bottom w:val="none" w:sz="0" w:space="0" w:color="auto"/>
      </w:pBdr>
      <w:outlineLvl w:val="1"/>
    </w:pPr>
    <w:rPr>
      <w:rFonts w:ascii="Arial" w:hAnsi="Arial" w:cs="Arial"/>
      <w:b/>
      <w:color w:val="A1A1A1" w:themeColor="accent4"/>
      <w:sz w:val="28"/>
      <w:szCs w:val="18"/>
    </w:rPr>
  </w:style>
  <w:style w:type="paragraph" w:styleId="Heading3">
    <w:name w:val="heading 3"/>
    <w:basedOn w:val="Heading1"/>
    <w:next w:val="Normal"/>
    <w:link w:val="Heading3Char"/>
    <w:uiPriority w:val="1"/>
    <w:qFormat/>
    <w:rsid w:val="003A5075"/>
    <w:pPr>
      <w:keepNext/>
      <w:numPr>
        <w:ilvl w:val="2"/>
      </w:numPr>
      <w:pBdr>
        <w:bottom w:val="none" w:sz="0" w:space="0" w:color="auto"/>
      </w:pBdr>
      <w:outlineLvl w:val="2"/>
    </w:pPr>
    <w:rPr>
      <w:b/>
      <w:bCs w:val="0"/>
      <w:caps w:val="0"/>
      <w:color w:val="507CB9"/>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99"/>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numPr>
        <w:numId w:val="11"/>
      </w:numPr>
      <w:spacing w:after="120"/>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8"/>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numPr>
        <w:numId w:val="12"/>
      </w:numPr>
    </w:pPr>
    <w:rPr>
      <w:rFonts w:eastAsia="Century Gothic" w:cstheme="minorBidi"/>
      <w:szCs w:val="20"/>
      <w:lang w:eastAsia="en-US"/>
    </w:rPr>
  </w:style>
  <w:style w:type="paragraph" w:styleId="List2">
    <w:name w:val="List 2"/>
    <w:basedOn w:val="Normal"/>
    <w:uiPriority w:val="3"/>
    <w:unhideWhenUsed/>
    <w:rsid w:val="00581230"/>
    <w:pPr>
      <w:numPr>
        <w:ilvl w:val="1"/>
        <w:numId w:val="12"/>
      </w:numPr>
    </w:pPr>
    <w:rPr>
      <w:rFonts w:eastAsia="Century Gothic" w:cstheme="minorBidi"/>
      <w:szCs w:val="20"/>
      <w:lang w:eastAsia="en-US"/>
    </w:rPr>
  </w:style>
  <w:style w:type="paragraph" w:styleId="List3">
    <w:name w:val="List 3"/>
    <w:basedOn w:val="Normal"/>
    <w:uiPriority w:val="3"/>
    <w:unhideWhenUsed/>
    <w:rsid w:val="00581230"/>
    <w:pPr>
      <w:numPr>
        <w:ilvl w:val="2"/>
        <w:numId w:val="12"/>
      </w:numPr>
      <w:spacing w:after="233" w:line="240" w:lineRule="auto"/>
    </w:pPr>
    <w:rPr>
      <w:rFonts w:eastAsia="Century Gothic" w:cstheme="minorBidi"/>
      <w:szCs w:val="20"/>
      <w:lang w:eastAsia="en-US"/>
    </w:rPr>
  </w:style>
  <w:style w:type="paragraph" w:styleId="ListNumber2">
    <w:name w:val="List Number 2"/>
    <w:basedOn w:val="Normal"/>
    <w:uiPriority w:val="3"/>
    <w:rsid w:val="00D4310E"/>
    <w:pPr>
      <w:tabs>
        <w:tab w:val="num" w:pos="567"/>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numPr>
        <w:ilvl w:val="1"/>
        <w:numId w:val="11"/>
      </w:numPr>
      <w:spacing w:after="120"/>
    </w:pPr>
    <w:rPr>
      <w:rFonts w:eastAsia="Century Gothic" w:cstheme="minorBidi"/>
      <w:szCs w:val="20"/>
      <w:lang w:eastAsia="en-US"/>
    </w:rPr>
  </w:style>
  <w:style w:type="paragraph" w:styleId="ListBullet3">
    <w:name w:val="List Bullet 3"/>
    <w:basedOn w:val="Normal"/>
    <w:uiPriority w:val="3"/>
    <w:rsid w:val="00596177"/>
    <w:pPr>
      <w:numPr>
        <w:ilvl w:val="2"/>
        <w:numId w:val="11"/>
      </w:numPr>
      <w:spacing w:after="120"/>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uiPriority w:val="39"/>
    <w:rsid w:val="00145656"/>
    <w:pPr>
      <w:tabs>
        <w:tab w:val="left" w:pos="567"/>
        <w:tab w:val="right" w:leader="dot" w:pos="9638"/>
      </w:tabs>
      <w:spacing w:before="240" w:after="40" w:line="240" w:lineRule="auto"/>
      <w:ind w:left="567" w:hanging="567"/>
    </w:pPr>
    <w:rPr>
      <w:b/>
      <w:caps/>
      <w:color w:val="2294CD"/>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semiHidden/>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9"/>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semiHidden/>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semiHidden/>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99"/>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9"/>
      </w:numPr>
    </w:pPr>
  </w:style>
  <w:style w:type="paragraph" w:customStyle="1" w:styleId="NumberedHeading2">
    <w:name w:val="Numbered Heading 2"/>
    <w:basedOn w:val="Heading2"/>
    <w:link w:val="NumberedHeading2Char"/>
    <w:uiPriority w:val="1"/>
    <w:rsid w:val="008A735F"/>
    <w:pPr>
      <w:numPr>
        <w:ilvl w:val="2"/>
        <w:numId w:val="9"/>
      </w:numPr>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Cs/>
      <w:iCs/>
      <w:caps/>
      <w:color w:val="1D336D" w:themeColor="background2"/>
      <w:sz w:val="32"/>
      <w:szCs w:val="28"/>
    </w:rPr>
  </w:style>
  <w:style w:type="paragraph" w:customStyle="1" w:styleId="NumberedHeading3">
    <w:name w:val="Numbered Heading 3"/>
    <w:basedOn w:val="Heading3"/>
    <w:next w:val="NormalIndented3"/>
    <w:link w:val="NumberedHeading3Char"/>
    <w:uiPriority w:val="1"/>
    <w:rsid w:val="008A735F"/>
    <w:pPr>
      <w:numPr>
        <w:ilvl w:val="3"/>
        <w:numId w:val="9"/>
      </w:numPr>
    </w:pPr>
  </w:style>
  <w:style w:type="numbering" w:customStyle="1" w:styleId="MasterHeadings">
    <w:name w:val="_MasterHeadings"/>
    <w:uiPriority w:val="99"/>
    <w:rsid w:val="008A735F"/>
    <w:pPr>
      <w:numPr>
        <w:numId w:val="7"/>
      </w:numPr>
    </w:pPr>
  </w:style>
  <w:style w:type="character" w:customStyle="1" w:styleId="Heading3Char">
    <w:name w:val="Heading 3 Char"/>
    <w:basedOn w:val="Heading1Char"/>
    <w:link w:val="Heading3"/>
    <w:uiPriority w:val="1"/>
    <w:rsid w:val="003A5075"/>
    <w:rPr>
      <w:rFonts w:asciiTheme="minorHAnsi" w:eastAsiaTheme="majorEastAsia" w:hAnsiTheme="minorHAnsi" w:cs="Calibri"/>
      <w:b/>
      <w:bCs w:val="0"/>
      <w:iCs/>
      <w:caps w:val="0"/>
      <w:color w:val="507CB9"/>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507CB9"/>
      <w:sz w:val="24"/>
      <w:szCs w:val="26"/>
    </w:rPr>
  </w:style>
  <w:style w:type="character" w:customStyle="1" w:styleId="Heading2Char">
    <w:name w:val="Heading 2 Char"/>
    <w:basedOn w:val="Heading1Char"/>
    <w:link w:val="Heading2"/>
    <w:uiPriority w:val="1"/>
    <w:rsid w:val="00124804"/>
    <w:rPr>
      <w:rFonts w:ascii="Arial" w:eastAsiaTheme="majorEastAsia" w:hAnsi="Arial" w:cs="Arial"/>
      <w:b/>
      <w:bCs/>
      <w:iCs/>
      <w:caps/>
      <w:color w:val="A1A1A1" w:themeColor="accent4"/>
      <w:sz w:val="28"/>
      <w:szCs w:val="18"/>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C9C9CA" w:themeColor="accent2"/>
      <w:sz w:val="28"/>
      <w:szCs w:val="26"/>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qFormat/>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basedOn w:val="DefaultParagraphFont"/>
    <w:uiPriority w:val="99"/>
    <w:semiHidden/>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0"/>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DWA List 1,List Paragraph1,List Paragraph11,L,Recommendation,CV text,Table text,Numbered Paragraph,Colorful List - Accent 11,COOP,Primary Bullet List,List Paragraph2,Bulit List -  Paragraph,Main numbered paragraph,Numbered List Paragraph"/>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paragraph" w:customStyle="1" w:styleId="paragraph">
    <w:name w:val="paragraph"/>
    <w:basedOn w:val="Normal"/>
    <w:rsid w:val="00BE2782"/>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BE2782"/>
  </w:style>
  <w:style w:type="character" w:customStyle="1" w:styleId="eop">
    <w:name w:val="eop"/>
    <w:basedOn w:val="DefaultParagraphFont"/>
    <w:rsid w:val="00BE2782"/>
  </w:style>
  <w:style w:type="character" w:customStyle="1" w:styleId="tabchar">
    <w:name w:val="tabchar"/>
    <w:basedOn w:val="DefaultParagraphFont"/>
    <w:rsid w:val="00CE4573"/>
  </w:style>
  <w:style w:type="paragraph" w:customStyle="1" w:styleId="Default">
    <w:name w:val="Default"/>
    <w:rsid w:val="00A454A2"/>
    <w:pPr>
      <w:autoSpaceDE w:val="0"/>
      <w:autoSpaceDN w:val="0"/>
      <w:adjustRightInd w:val="0"/>
    </w:pPr>
    <w:rPr>
      <w:rFonts w:ascii="Franklin Gothic Book" w:hAnsi="Franklin Gothic Book" w:cs="Franklin Gothic Book"/>
      <w:color w:val="000000"/>
      <w:sz w:val="24"/>
      <w:szCs w:val="24"/>
    </w:rPr>
  </w:style>
  <w:style w:type="character" w:styleId="CommentReference">
    <w:name w:val="annotation reference"/>
    <w:basedOn w:val="DefaultParagraphFont"/>
    <w:uiPriority w:val="99"/>
    <w:rsid w:val="00C24690"/>
    <w:rPr>
      <w:sz w:val="16"/>
      <w:szCs w:val="16"/>
    </w:rPr>
  </w:style>
  <w:style w:type="paragraph" w:styleId="CommentText">
    <w:name w:val="annotation text"/>
    <w:basedOn w:val="Normal"/>
    <w:link w:val="CommentTextChar"/>
    <w:uiPriority w:val="29"/>
    <w:semiHidden/>
    <w:rsid w:val="00C24690"/>
    <w:pPr>
      <w:spacing w:line="240" w:lineRule="auto"/>
    </w:pPr>
    <w:rPr>
      <w:szCs w:val="20"/>
    </w:rPr>
  </w:style>
  <w:style w:type="character" w:customStyle="1" w:styleId="CommentTextChar">
    <w:name w:val="Comment Text Char"/>
    <w:basedOn w:val="DefaultParagraphFont"/>
    <w:link w:val="CommentText"/>
    <w:uiPriority w:val="29"/>
    <w:semiHidden/>
    <w:rsid w:val="00C24690"/>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C24690"/>
    <w:rPr>
      <w:b/>
      <w:bCs/>
    </w:rPr>
  </w:style>
  <w:style w:type="character" w:customStyle="1" w:styleId="CommentSubjectChar">
    <w:name w:val="Comment Subject Char"/>
    <w:basedOn w:val="CommentTextChar"/>
    <w:link w:val="CommentSubject"/>
    <w:uiPriority w:val="29"/>
    <w:semiHidden/>
    <w:rsid w:val="00C24690"/>
    <w:rPr>
      <w:rFonts w:asciiTheme="minorHAnsi" w:eastAsiaTheme="majorEastAsia" w:hAnsiTheme="minorHAnsi" w:cs="Calibri"/>
      <w:b/>
      <w:bCs/>
      <w:color w:val="000000" w:themeColor="text1"/>
    </w:rPr>
  </w:style>
  <w:style w:type="paragraph" w:styleId="NormalWeb">
    <w:name w:val="Normal (Web)"/>
    <w:basedOn w:val="Normal"/>
    <w:uiPriority w:val="99"/>
    <w:semiHidden/>
    <w:unhideWhenUsed/>
    <w:rsid w:val="00B91B7B"/>
    <w:pPr>
      <w:spacing w:before="100" w:beforeAutospacing="1" w:after="100" w:afterAutospacing="1" w:line="240" w:lineRule="auto"/>
    </w:pPr>
    <w:rPr>
      <w:rFonts w:ascii="Calibri" w:eastAsiaTheme="minorHAnsi" w:hAnsi="Calibri"/>
      <w:color w:val="auto"/>
      <w:sz w:val="22"/>
      <w:szCs w:val="22"/>
    </w:rPr>
  </w:style>
  <w:style w:type="paragraph" w:customStyle="1" w:styleId="pf0">
    <w:name w:val="pf0"/>
    <w:basedOn w:val="Normal"/>
    <w:rsid w:val="004A4C99"/>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cf01">
    <w:name w:val="cf01"/>
    <w:basedOn w:val="DefaultParagraphFont"/>
    <w:rsid w:val="004A4C99"/>
    <w:rPr>
      <w:rFonts w:ascii="Segoe UI" w:hAnsi="Segoe UI" w:cs="Segoe UI" w:hint="default"/>
      <w:sz w:val="18"/>
      <w:szCs w:val="18"/>
    </w:rPr>
  </w:style>
  <w:style w:type="character" w:styleId="Mention">
    <w:name w:val="Mention"/>
    <w:basedOn w:val="DefaultParagraphFont"/>
    <w:uiPriority w:val="99"/>
    <w:unhideWhenUsed/>
    <w:rsid w:val="007D7915"/>
    <w:rPr>
      <w:color w:val="2B579A"/>
      <w:shd w:val="clear" w:color="auto" w:fill="E1DFDD"/>
    </w:rPr>
  </w:style>
  <w:style w:type="character" w:customStyle="1" w:styleId="cf11">
    <w:name w:val="cf11"/>
    <w:basedOn w:val="DefaultParagraphFont"/>
    <w:rsid w:val="00536AE4"/>
    <w:rPr>
      <w:rFonts w:ascii="Segoe UI" w:hAnsi="Segoe UI" w:cs="Segoe UI" w:hint="default"/>
      <w:sz w:val="18"/>
      <w:szCs w:val="18"/>
    </w:rPr>
  </w:style>
  <w:style w:type="paragraph" w:styleId="PlainText">
    <w:name w:val="Plain Text"/>
    <w:basedOn w:val="Normal"/>
    <w:link w:val="PlainTextChar"/>
    <w:uiPriority w:val="99"/>
    <w:semiHidden/>
    <w:unhideWhenUsed/>
    <w:rsid w:val="00505396"/>
    <w:pPr>
      <w:spacing w:after="0" w:line="240" w:lineRule="auto"/>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505396"/>
    <w:rPr>
      <w:rFonts w:ascii="Calibri" w:eastAsiaTheme="minorHAnsi" w:hAnsi="Calibri" w:cstheme="minorBidi"/>
      <w:sz w:val="22"/>
      <w:szCs w:val="21"/>
      <w:lang w:eastAsia="en-US"/>
    </w:rPr>
  </w:style>
  <w:style w:type="character" w:customStyle="1" w:styleId="ListParagraphChar">
    <w:name w:val="List Paragraph Char"/>
    <w:aliases w:val="DWA List 1 Char,List Paragraph1 Char,List Paragraph11 Char,L Char,Recommendation Char,CV text Char,Table text Char,Numbered Paragraph Char,Colorful List - Accent 11 Char,COOP Char,Primary Bullet List Char,List Paragraph2 Char"/>
    <w:link w:val="ListParagraph"/>
    <w:uiPriority w:val="34"/>
    <w:qFormat/>
    <w:locked/>
    <w:rsid w:val="008E067E"/>
    <w:rPr>
      <w:rFonts w:asciiTheme="minorHAnsi" w:eastAsiaTheme="majorEastAsia" w:hAnsiTheme="minorHAnsi" w:cs="Calibri"/>
      <w:color w:val="000000" w:themeColor="text1"/>
      <w:szCs w:val="24"/>
    </w:rPr>
  </w:style>
  <w:style w:type="paragraph" w:styleId="Revision">
    <w:name w:val="Revision"/>
    <w:hidden/>
    <w:uiPriority w:val="99"/>
    <w:semiHidden/>
    <w:rsid w:val="00641C1A"/>
    <w:rPr>
      <w:rFonts w:asciiTheme="minorHAnsi" w:eastAsiaTheme="majorEastAsia" w:hAnsiTheme="minorHAnsi" w:cs="Calibri"/>
      <w:color w:val="000000" w:themeColor="text1"/>
      <w:szCs w:val="24"/>
    </w:rPr>
  </w:style>
  <w:style w:type="character" w:styleId="FollowedHyperlink">
    <w:name w:val="FollowedHyperlink"/>
    <w:basedOn w:val="DefaultParagraphFont"/>
    <w:uiPriority w:val="50"/>
    <w:semiHidden/>
    <w:rsid w:val="00E52BF3"/>
    <w:rPr>
      <w:color w:val="FFFF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4131">
      <w:bodyDiv w:val="1"/>
      <w:marLeft w:val="0"/>
      <w:marRight w:val="0"/>
      <w:marTop w:val="0"/>
      <w:marBottom w:val="0"/>
      <w:divBdr>
        <w:top w:val="none" w:sz="0" w:space="0" w:color="auto"/>
        <w:left w:val="none" w:sz="0" w:space="0" w:color="auto"/>
        <w:bottom w:val="none" w:sz="0" w:space="0" w:color="auto"/>
        <w:right w:val="none" w:sz="0" w:space="0" w:color="auto"/>
      </w:divBdr>
    </w:div>
    <w:div w:id="80372922">
      <w:bodyDiv w:val="1"/>
      <w:marLeft w:val="0"/>
      <w:marRight w:val="0"/>
      <w:marTop w:val="0"/>
      <w:marBottom w:val="0"/>
      <w:divBdr>
        <w:top w:val="none" w:sz="0" w:space="0" w:color="auto"/>
        <w:left w:val="none" w:sz="0" w:space="0" w:color="auto"/>
        <w:bottom w:val="none" w:sz="0" w:space="0" w:color="auto"/>
        <w:right w:val="none" w:sz="0" w:space="0" w:color="auto"/>
      </w:divBdr>
    </w:div>
    <w:div w:id="83773094">
      <w:bodyDiv w:val="1"/>
      <w:marLeft w:val="0"/>
      <w:marRight w:val="0"/>
      <w:marTop w:val="0"/>
      <w:marBottom w:val="0"/>
      <w:divBdr>
        <w:top w:val="none" w:sz="0" w:space="0" w:color="auto"/>
        <w:left w:val="none" w:sz="0" w:space="0" w:color="auto"/>
        <w:bottom w:val="none" w:sz="0" w:space="0" w:color="auto"/>
        <w:right w:val="none" w:sz="0" w:space="0" w:color="auto"/>
      </w:divBdr>
    </w:div>
    <w:div w:id="179467390">
      <w:bodyDiv w:val="1"/>
      <w:marLeft w:val="0"/>
      <w:marRight w:val="0"/>
      <w:marTop w:val="0"/>
      <w:marBottom w:val="0"/>
      <w:divBdr>
        <w:top w:val="none" w:sz="0" w:space="0" w:color="auto"/>
        <w:left w:val="none" w:sz="0" w:space="0" w:color="auto"/>
        <w:bottom w:val="none" w:sz="0" w:space="0" w:color="auto"/>
        <w:right w:val="none" w:sz="0" w:space="0" w:color="auto"/>
      </w:divBdr>
    </w:div>
    <w:div w:id="206259119">
      <w:bodyDiv w:val="1"/>
      <w:marLeft w:val="0"/>
      <w:marRight w:val="0"/>
      <w:marTop w:val="0"/>
      <w:marBottom w:val="0"/>
      <w:divBdr>
        <w:top w:val="none" w:sz="0" w:space="0" w:color="auto"/>
        <w:left w:val="none" w:sz="0" w:space="0" w:color="auto"/>
        <w:bottom w:val="none" w:sz="0" w:space="0" w:color="auto"/>
        <w:right w:val="none" w:sz="0" w:space="0" w:color="auto"/>
      </w:divBdr>
    </w:div>
    <w:div w:id="225650055">
      <w:bodyDiv w:val="1"/>
      <w:marLeft w:val="0"/>
      <w:marRight w:val="0"/>
      <w:marTop w:val="0"/>
      <w:marBottom w:val="0"/>
      <w:divBdr>
        <w:top w:val="none" w:sz="0" w:space="0" w:color="auto"/>
        <w:left w:val="none" w:sz="0" w:space="0" w:color="auto"/>
        <w:bottom w:val="none" w:sz="0" w:space="0" w:color="auto"/>
        <w:right w:val="none" w:sz="0" w:space="0" w:color="auto"/>
      </w:divBdr>
      <w:divsChild>
        <w:div w:id="58138575">
          <w:marLeft w:val="446"/>
          <w:marRight w:val="0"/>
          <w:marTop w:val="0"/>
          <w:marBottom w:val="220"/>
          <w:divBdr>
            <w:top w:val="none" w:sz="0" w:space="0" w:color="auto"/>
            <w:left w:val="none" w:sz="0" w:space="0" w:color="auto"/>
            <w:bottom w:val="none" w:sz="0" w:space="0" w:color="auto"/>
            <w:right w:val="none" w:sz="0" w:space="0" w:color="auto"/>
          </w:divBdr>
        </w:div>
        <w:div w:id="394204336">
          <w:marLeft w:val="446"/>
          <w:marRight w:val="0"/>
          <w:marTop w:val="0"/>
          <w:marBottom w:val="220"/>
          <w:divBdr>
            <w:top w:val="none" w:sz="0" w:space="0" w:color="auto"/>
            <w:left w:val="none" w:sz="0" w:space="0" w:color="auto"/>
            <w:bottom w:val="none" w:sz="0" w:space="0" w:color="auto"/>
            <w:right w:val="none" w:sz="0" w:space="0" w:color="auto"/>
          </w:divBdr>
        </w:div>
        <w:div w:id="569078332">
          <w:marLeft w:val="446"/>
          <w:marRight w:val="0"/>
          <w:marTop w:val="0"/>
          <w:marBottom w:val="220"/>
          <w:divBdr>
            <w:top w:val="none" w:sz="0" w:space="0" w:color="auto"/>
            <w:left w:val="none" w:sz="0" w:space="0" w:color="auto"/>
            <w:bottom w:val="none" w:sz="0" w:space="0" w:color="auto"/>
            <w:right w:val="none" w:sz="0" w:space="0" w:color="auto"/>
          </w:divBdr>
        </w:div>
        <w:div w:id="769205985">
          <w:marLeft w:val="446"/>
          <w:marRight w:val="0"/>
          <w:marTop w:val="0"/>
          <w:marBottom w:val="220"/>
          <w:divBdr>
            <w:top w:val="none" w:sz="0" w:space="0" w:color="auto"/>
            <w:left w:val="none" w:sz="0" w:space="0" w:color="auto"/>
            <w:bottom w:val="none" w:sz="0" w:space="0" w:color="auto"/>
            <w:right w:val="none" w:sz="0" w:space="0" w:color="auto"/>
          </w:divBdr>
        </w:div>
        <w:div w:id="1959678629">
          <w:marLeft w:val="446"/>
          <w:marRight w:val="0"/>
          <w:marTop w:val="0"/>
          <w:marBottom w:val="220"/>
          <w:divBdr>
            <w:top w:val="none" w:sz="0" w:space="0" w:color="auto"/>
            <w:left w:val="none" w:sz="0" w:space="0" w:color="auto"/>
            <w:bottom w:val="none" w:sz="0" w:space="0" w:color="auto"/>
            <w:right w:val="none" w:sz="0" w:space="0" w:color="auto"/>
          </w:divBdr>
        </w:div>
      </w:divsChild>
    </w:div>
    <w:div w:id="236521556">
      <w:bodyDiv w:val="1"/>
      <w:marLeft w:val="0"/>
      <w:marRight w:val="0"/>
      <w:marTop w:val="0"/>
      <w:marBottom w:val="0"/>
      <w:divBdr>
        <w:top w:val="none" w:sz="0" w:space="0" w:color="auto"/>
        <w:left w:val="none" w:sz="0" w:space="0" w:color="auto"/>
        <w:bottom w:val="none" w:sz="0" w:space="0" w:color="auto"/>
        <w:right w:val="none" w:sz="0" w:space="0" w:color="auto"/>
      </w:divBdr>
    </w:div>
    <w:div w:id="391081990">
      <w:bodyDiv w:val="1"/>
      <w:marLeft w:val="0"/>
      <w:marRight w:val="0"/>
      <w:marTop w:val="0"/>
      <w:marBottom w:val="0"/>
      <w:divBdr>
        <w:top w:val="none" w:sz="0" w:space="0" w:color="auto"/>
        <w:left w:val="none" w:sz="0" w:space="0" w:color="auto"/>
        <w:bottom w:val="none" w:sz="0" w:space="0" w:color="auto"/>
        <w:right w:val="none" w:sz="0" w:space="0" w:color="auto"/>
      </w:divBdr>
      <w:divsChild>
        <w:div w:id="88475063">
          <w:marLeft w:val="446"/>
          <w:marRight w:val="0"/>
          <w:marTop w:val="0"/>
          <w:marBottom w:val="120"/>
          <w:divBdr>
            <w:top w:val="none" w:sz="0" w:space="0" w:color="auto"/>
            <w:left w:val="none" w:sz="0" w:space="0" w:color="auto"/>
            <w:bottom w:val="none" w:sz="0" w:space="0" w:color="auto"/>
            <w:right w:val="none" w:sz="0" w:space="0" w:color="auto"/>
          </w:divBdr>
        </w:div>
        <w:div w:id="335960478">
          <w:marLeft w:val="446"/>
          <w:marRight w:val="0"/>
          <w:marTop w:val="0"/>
          <w:marBottom w:val="120"/>
          <w:divBdr>
            <w:top w:val="none" w:sz="0" w:space="0" w:color="auto"/>
            <w:left w:val="none" w:sz="0" w:space="0" w:color="auto"/>
            <w:bottom w:val="none" w:sz="0" w:space="0" w:color="auto"/>
            <w:right w:val="none" w:sz="0" w:space="0" w:color="auto"/>
          </w:divBdr>
        </w:div>
        <w:div w:id="879174790">
          <w:marLeft w:val="446"/>
          <w:marRight w:val="0"/>
          <w:marTop w:val="0"/>
          <w:marBottom w:val="120"/>
          <w:divBdr>
            <w:top w:val="none" w:sz="0" w:space="0" w:color="auto"/>
            <w:left w:val="none" w:sz="0" w:space="0" w:color="auto"/>
            <w:bottom w:val="none" w:sz="0" w:space="0" w:color="auto"/>
            <w:right w:val="none" w:sz="0" w:space="0" w:color="auto"/>
          </w:divBdr>
        </w:div>
        <w:div w:id="1011882345">
          <w:marLeft w:val="446"/>
          <w:marRight w:val="0"/>
          <w:marTop w:val="0"/>
          <w:marBottom w:val="120"/>
          <w:divBdr>
            <w:top w:val="none" w:sz="0" w:space="0" w:color="auto"/>
            <w:left w:val="none" w:sz="0" w:space="0" w:color="auto"/>
            <w:bottom w:val="none" w:sz="0" w:space="0" w:color="auto"/>
            <w:right w:val="none" w:sz="0" w:space="0" w:color="auto"/>
          </w:divBdr>
        </w:div>
        <w:div w:id="1426534810">
          <w:marLeft w:val="446"/>
          <w:marRight w:val="0"/>
          <w:marTop w:val="0"/>
          <w:marBottom w:val="120"/>
          <w:divBdr>
            <w:top w:val="none" w:sz="0" w:space="0" w:color="auto"/>
            <w:left w:val="none" w:sz="0" w:space="0" w:color="auto"/>
            <w:bottom w:val="none" w:sz="0" w:space="0" w:color="auto"/>
            <w:right w:val="none" w:sz="0" w:space="0" w:color="auto"/>
          </w:divBdr>
        </w:div>
      </w:divsChild>
    </w:div>
    <w:div w:id="397170686">
      <w:bodyDiv w:val="1"/>
      <w:marLeft w:val="0"/>
      <w:marRight w:val="0"/>
      <w:marTop w:val="0"/>
      <w:marBottom w:val="0"/>
      <w:divBdr>
        <w:top w:val="none" w:sz="0" w:space="0" w:color="auto"/>
        <w:left w:val="none" w:sz="0" w:space="0" w:color="auto"/>
        <w:bottom w:val="none" w:sz="0" w:space="0" w:color="auto"/>
        <w:right w:val="none" w:sz="0" w:space="0" w:color="auto"/>
      </w:divBdr>
    </w:div>
    <w:div w:id="407653446">
      <w:bodyDiv w:val="1"/>
      <w:marLeft w:val="0"/>
      <w:marRight w:val="0"/>
      <w:marTop w:val="0"/>
      <w:marBottom w:val="0"/>
      <w:divBdr>
        <w:top w:val="none" w:sz="0" w:space="0" w:color="auto"/>
        <w:left w:val="none" w:sz="0" w:space="0" w:color="auto"/>
        <w:bottom w:val="none" w:sz="0" w:space="0" w:color="auto"/>
        <w:right w:val="none" w:sz="0" w:space="0" w:color="auto"/>
      </w:divBdr>
      <w:divsChild>
        <w:div w:id="93406019">
          <w:marLeft w:val="274"/>
          <w:marRight w:val="0"/>
          <w:marTop w:val="0"/>
          <w:marBottom w:val="220"/>
          <w:divBdr>
            <w:top w:val="none" w:sz="0" w:space="0" w:color="auto"/>
            <w:left w:val="none" w:sz="0" w:space="0" w:color="auto"/>
            <w:bottom w:val="none" w:sz="0" w:space="0" w:color="auto"/>
            <w:right w:val="none" w:sz="0" w:space="0" w:color="auto"/>
          </w:divBdr>
        </w:div>
        <w:div w:id="421295306">
          <w:marLeft w:val="446"/>
          <w:marRight w:val="0"/>
          <w:marTop w:val="0"/>
          <w:marBottom w:val="220"/>
          <w:divBdr>
            <w:top w:val="none" w:sz="0" w:space="0" w:color="auto"/>
            <w:left w:val="none" w:sz="0" w:space="0" w:color="auto"/>
            <w:bottom w:val="none" w:sz="0" w:space="0" w:color="auto"/>
            <w:right w:val="none" w:sz="0" w:space="0" w:color="auto"/>
          </w:divBdr>
        </w:div>
        <w:div w:id="1216234736">
          <w:marLeft w:val="274"/>
          <w:marRight w:val="0"/>
          <w:marTop w:val="0"/>
          <w:marBottom w:val="220"/>
          <w:divBdr>
            <w:top w:val="none" w:sz="0" w:space="0" w:color="auto"/>
            <w:left w:val="none" w:sz="0" w:space="0" w:color="auto"/>
            <w:bottom w:val="none" w:sz="0" w:space="0" w:color="auto"/>
            <w:right w:val="none" w:sz="0" w:space="0" w:color="auto"/>
          </w:divBdr>
        </w:div>
        <w:div w:id="1600991636">
          <w:marLeft w:val="446"/>
          <w:marRight w:val="0"/>
          <w:marTop w:val="0"/>
          <w:marBottom w:val="220"/>
          <w:divBdr>
            <w:top w:val="none" w:sz="0" w:space="0" w:color="auto"/>
            <w:left w:val="none" w:sz="0" w:space="0" w:color="auto"/>
            <w:bottom w:val="none" w:sz="0" w:space="0" w:color="auto"/>
            <w:right w:val="none" w:sz="0" w:space="0" w:color="auto"/>
          </w:divBdr>
        </w:div>
        <w:div w:id="1652438144">
          <w:marLeft w:val="274"/>
          <w:marRight w:val="0"/>
          <w:marTop w:val="0"/>
          <w:marBottom w:val="220"/>
          <w:divBdr>
            <w:top w:val="none" w:sz="0" w:space="0" w:color="auto"/>
            <w:left w:val="none" w:sz="0" w:space="0" w:color="auto"/>
            <w:bottom w:val="none" w:sz="0" w:space="0" w:color="auto"/>
            <w:right w:val="none" w:sz="0" w:space="0" w:color="auto"/>
          </w:divBdr>
        </w:div>
      </w:divsChild>
    </w:div>
    <w:div w:id="409425638">
      <w:bodyDiv w:val="1"/>
      <w:marLeft w:val="0"/>
      <w:marRight w:val="0"/>
      <w:marTop w:val="0"/>
      <w:marBottom w:val="0"/>
      <w:divBdr>
        <w:top w:val="none" w:sz="0" w:space="0" w:color="auto"/>
        <w:left w:val="none" w:sz="0" w:space="0" w:color="auto"/>
        <w:bottom w:val="none" w:sz="0" w:space="0" w:color="auto"/>
        <w:right w:val="none" w:sz="0" w:space="0" w:color="auto"/>
      </w:divBdr>
    </w:div>
    <w:div w:id="415177248">
      <w:bodyDiv w:val="1"/>
      <w:marLeft w:val="0"/>
      <w:marRight w:val="0"/>
      <w:marTop w:val="0"/>
      <w:marBottom w:val="0"/>
      <w:divBdr>
        <w:top w:val="none" w:sz="0" w:space="0" w:color="auto"/>
        <w:left w:val="none" w:sz="0" w:space="0" w:color="auto"/>
        <w:bottom w:val="none" w:sz="0" w:space="0" w:color="auto"/>
        <w:right w:val="none" w:sz="0" w:space="0" w:color="auto"/>
      </w:divBdr>
    </w:div>
    <w:div w:id="458845643">
      <w:bodyDiv w:val="1"/>
      <w:marLeft w:val="0"/>
      <w:marRight w:val="0"/>
      <w:marTop w:val="0"/>
      <w:marBottom w:val="0"/>
      <w:divBdr>
        <w:top w:val="none" w:sz="0" w:space="0" w:color="auto"/>
        <w:left w:val="none" w:sz="0" w:space="0" w:color="auto"/>
        <w:bottom w:val="none" w:sz="0" w:space="0" w:color="auto"/>
        <w:right w:val="none" w:sz="0" w:space="0" w:color="auto"/>
      </w:divBdr>
      <w:divsChild>
        <w:div w:id="1051659464">
          <w:marLeft w:val="0"/>
          <w:marRight w:val="0"/>
          <w:marTop w:val="0"/>
          <w:marBottom w:val="0"/>
          <w:divBdr>
            <w:top w:val="none" w:sz="0" w:space="0" w:color="auto"/>
            <w:left w:val="none" w:sz="0" w:space="0" w:color="auto"/>
            <w:bottom w:val="none" w:sz="0" w:space="0" w:color="auto"/>
            <w:right w:val="none" w:sz="0" w:space="0" w:color="auto"/>
          </w:divBdr>
          <w:divsChild>
            <w:div w:id="726951961">
              <w:marLeft w:val="-75"/>
              <w:marRight w:val="0"/>
              <w:marTop w:val="30"/>
              <w:marBottom w:val="30"/>
              <w:divBdr>
                <w:top w:val="none" w:sz="0" w:space="0" w:color="auto"/>
                <w:left w:val="none" w:sz="0" w:space="0" w:color="auto"/>
                <w:bottom w:val="none" w:sz="0" w:space="0" w:color="auto"/>
                <w:right w:val="none" w:sz="0" w:space="0" w:color="auto"/>
              </w:divBdr>
              <w:divsChild>
                <w:div w:id="3217036">
                  <w:marLeft w:val="0"/>
                  <w:marRight w:val="0"/>
                  <w:marTop w:val="0"/>
                  <w:marBottom w:val="0"/>
                  <w:divBdr>
                    <w:top w:val="none" w:sz="0" w:space="0" w:color="auto"/>
                    <w:left w:val="none" w:sz="0" w:space="0" w:color="auto"/>
                    <w:bottom w:val="none" w:sz="0" w:space="0" w:color="auto"/>
                    <w:right w:val="none" w:sz="0" w:space="0" w:color="auto"/>
                  </w:divBdr>
                  <w:divsChild>
                    <w:div w:id="1456828290">
                      <w:marLeft w:val="0"/>
                      <w:marRight w:val="0"/>
                      <w:marTop w:val="0"/>
                      <w:marBottom w:val="0"/>
                      <w:divBdr>
                        <w:top w:val="none" w:sz="0" w:space="0" w:color="auto"/>
                        <w:left w:val="none" w:sz="0" w:space="0" w:color="auto"/>
                        <w:bottom w:val="none" w:sz="0" w:space="0" w:color="auto"/>
                        <w:right w:val="none" w:sz="0" w:space="0" w:color="auto"/>
                      </w:divBdr>
                    </w:div>
                  </w:divsChild>
                </w:div>
                <w:div w:id="41291831">
                  <w:marLeft w:val="0"/>
                  <w:marRight w:val="0"/>
                  <w:marTop w:val="0"/>
                  <w:marBottom w:val="0"/>
                  <w:divBdr>
                    <w:top w:val="none" w:sz="0" w:space="0" w:color="auto"/>
                    <w:left w:val="none" w:sz="0" w:space="0" w:color="auto"/>
                    <w:bottom w:val="none" w:sz="0" w:space="0" w:color="auto"/>
                    <w:right w:val="none" w:sz="0" w:space="0" w:color="auto"/>
                  </w:divBdr>
                  <w:divsChild>
                    <w:div w:id="1495603001">
                      <w:marLeft w:val="0"/>
                      <w:marRight w:val="0"/>
                      <w:marTop w:val="0"/>
                      <w:marBottom w:val="0"/>
                      <w:divBdr>
                        <w:top w:val="none" w:sz="0" w:space="0" w:color="auto"/>
                        <w:left w:val="none" w:sz="0" w:space="0" w:color="auto"/>
                        <w:bottom w:val="none" w:sz="0" w:space="0" w:color="auto"/>
                        <w:right w:val="none" w:sz="0" w:space="0" w:color="auto"/>
                      </w:divBdr>
                    </w:div>
                  </w:divsChild>
                </w:div>
                <w:div w:id="69734568">
                  <w:marLeft w:val="0"/>
                  <w:marRight w:val="0"/>
                  <w:marTop w:val="0"/>
                  <w:marBottom w:val="0"/>
                  <w:divBdr>
                    <w:top w:val="none" w:sz="0" w:space="0" w:color="auto"/>
                    <w:left w:val="none" w:sz="0" w:space="0" w:color="auto"/>
                    <w:bottom w:val="none" w:sz="0" w:space="0" w:color="auto"/>
                    <w:right w:val="none" w:sz="0" w:space="0" w:color="auto"/>
                  </w:divBdr>
                  <w:divsChild>
                    <w:div w:id="174997128">
                      <w:marLeft w:val="0"/>
                      <w:marRight w:val="0"/>
                      <w:marTop w:val="0"/>
                      <w:marBottom w:val="0"/>
                      <w:divBdr>
                        <w:top w:val="none" w:sz="0" w:space="0" w:color="auto"/>
                        <w:left w:val="none" w:sz="0" w:space="0" w:color="auto"/>
                        <w:bottom w:val="none" w:sz="0" w:space="0" w:color="auto"/>
                        <w:right w:val="none" w:sz="0" w:space="0" w:color="auto"/>
                      </w:divBdr>
                    </w:div>
                  </w:divsChild>
                </w:div>
                <w:div w:id="128590601">
                  <w:marLeft w:val="0"/>
                  <w:marRight w:val="0"/>
                  <w:marTop w:val="0"/>
                  <w:marBottom w:val="0"/>
                  <w:divBdr>
                    <w:top w:val="none" w:sz="0" w:space="0" w:color="auto"/>
                    <w:left w:val="none" w:sz="0" w:space="0" w:color="auto"/>
                    <w:bottom w:val="none" w:sz="0" w:space="0" w:color="auto"/>
                    <w:right w:val="none" w:sz="0" w:space="0" w:color="auto"/>
                  </w:divBdr>
                  <w:divsChild>
                    <w:div w:id="1961762978">
                      <w:marLeft w:val="0"/>
                      <w:marRight w:val="0"/>
                      <w:marTop w:val="0"/>
                      <w:marBottom w:val="0"/>
                      <w:divBdr>
                        <w:top w:val="none" w:sz="0" w:space="0" w:color="auto"/>
                        <w:left w:val="none" w:sz="0" w:space="0" w:color="auto"/>
                        <w:bottom w:val="none" w:sz="0" w:space="0" w:color="auto"/>
                        <w:right w:val="none" w:sz="0" w:space="0" w:color="auto"/>
                      </w:divBdr>
                    </w:div>
                  </w:divsChild>
                </w:div>
                <w:div w:id="157890387">
                  <w:marLeft w:val="0"/>
                  <w:marRight w:val="0"/>
                  <w:marTop w:val="0"/>
                  <w:marBottom w:val="0"/>
                  <w:divBdr>
                    <w:top w:val="none" w:sz="0" w:space="0" w:color="auto"/>
                    <w:left w:val="none" w:sz="0" w:space="0" w:color="auto"/>
                    <w:bottom w:val="none" w:sz="0" w:space="0" w:color="auto"/>
                    <w:right w:val="none" w:sz="0" w:space="0" w:color="auto"/>
                  </w:divBdr>
                  <w:divsChild>
                    <w:div w:id="2020886093">
                      <w:marLeft w:val="0"/>
                      <w:marRight w:val="0"/>
                      <w:marTop w:val="0"/>
                      <w:marBottom w:val="0"/>
                      <w:divBdr>
                        <w:top w:val="none" w:sz="0" w:space="0" w:color="auto"/>
                        <w:left w:val="none" w:sz="0" w:space="0" w:color="auto"/>
                        <w:bottom w:val="none" w:sz="0" w:space="0" w:color="auto"/>
                        <w:right w:val="none" w:sz="0" w:space="0" w:color="auto"/>
                      </w:divBdr>
                    </w:div>
                  </w:divsChild>
                </w:div>
                <w:div w:id="231433785">
                  <w:marLeft w:val="0"/>
                  <w:marRight w:val="0"/>
                  <w:marTop w:val="0"/>
                  <w:marBottom w:val="0"/>
                  <w:divBdr>
                    <w:top w:val="none" w:sz="0" w:space="0" w:color="auto"/>
                    <w:left w:val="none" w:sz="0" w:space="0" w:color="auto"/>
                    <w:bottom w:val="none" w:sz="0" w:space="0" w:color="auto"/>
                    <w:right w:val="none" w:sz="0" w:space="0" w:color="auto"/>
                  </w:divBdr>
                  <w:divsChild>
                    <w:div w:id="324357653">
                      <w:marLeft w:val="0"/>
                      <w:marRight w:val="0"/>
                      <w:marTop w:val="0"/>
                      <w:marBottom w:val="0"/>
                      <w:divBdr>
                        <w:top w:val="none" w:sz="0" w:space="0" w:color="auto"/>
                        <w:left w:val="none" w:sz="0" w:space="0" w:color="auto"/>
                        <w:bottom w:val="none" w:sz="0" w:space="0" w:color="auto"/>
                        <w:right w:val="none" w:sz="0" w:space="0" w:color="auto"/>
                      </w:divBdr>
                    </w:div>
                  </w:divsChild>
                </w:div>
                <w:div w:id="254485254">
                  <w:marLeft w:val="0"/>
                  <w:marRight w:val="0"/>
                  <w:marTop w:val="0"/>
                  <w:marBottom w:val="0"/>
                  <w:divBdr>
                    <w:top w:val="none" w:sz="0" w:space="0" w:color="auto"/>
                    <w:left w:val="none" w:sz="0" w:space="0" w:color="auto"/>
                    <w:bottom w:val="none" w:sz="0" w:space="0" w:color="auto"/>
                    <w:right w:val="none" w:sz="0" w:space="0" w:color="auto"/>
                  </w:divBdr>
                  <w:divsChild>
                    <w:div w:id="1794522690">
                      <w:marLeft w:val="0"/>
                      <w:marRight w:val="0"/>
                      <w:marTop w:val="0"/>
                      <w:marBottom w:val="0"/>
                      <w:divBdr>
                        <w:top w:val="none" w:sz="0" w:space="0" w:color="auto"/>
                        <w:left w:val="none" w:sz="0" w:space="0" w:color="auto"/>
                        <w:bottom w:val="none" w:sz="0" w:space="0" w:color="auto"/>
                        <w:right w:val="none" w:sz="0" w:space="0" w:color="auto"/>
                      </w:divBdr>
                    </w:div>
                  </w:divsChild>
                </w:div>
                <w:div w:id="257911446">
                  <w:marLeft w:val="0"/>
                  <w:marRight w:val="0"/>
                  <w:marTop w:val="0"/>
                  <w:marBottom w:val="0"/>
                  <w:divBdr>
                    <w:top w:val="none" w:sz="0" w:space="0" w:color="auto"/>
                    <w:left w:val="none" w:sz="0" w:space="0" w:color="auto"/>
                    <w:bottom w:val="none" w:sz="0" w:space="0" w:color="auto"/>
                    <w:right w:val="none" w:sz="0" w:space="0" w:color="auto"/>
                  </w:divBdr>
                  <w:divsChild>
                    <w:div w:id="1416854410">
                      <w:marLeft w:val="0"/>
                      <w:marRight w:val="0"/>
                      <w:marTop w:val="0"/>
                      <w:marBottom w:val="0"/>
                      <w:divBdr>
                        <w:top w:val="none" w:sz="0" w:space="0" w:color="auto"/>
                        <w:left w:val="none" w:sz="0" w:space="0" w:color="auto"/>
                        <w:bottom w:val="none" w:sz="0" w:space="0" w:color="auto"/>
                        <w:right w:val="none" w:sz="0" w:space="0" w:color="auto"/>
                      </w:divBdr>
                    </w:div>
                  </w:divsChild>
                </w:div>
                <w:div w:id="283080720">
                  <w:marLeft w:val="0"/>
                  <w:marRight w:val="0"/>
                  <w:marTop w:val="0"/>
                  <w:marBottom w:val="0"/>
                  <w:divBdr>
                    <w:top w:val="none" w:sz="0" w:space="0" w:color="auto"/>
                    <w:left w:val="none" w:sz="0" w:space="0" w:color="auto"/>
                    <w:bottom w:val="none" w:sz="0" w:space="0" w:color="auto"/>
                    <w:right w:val="none" w:sz="0" w:space="0" w:color="auto"/>
                  </w:divBdr>
                  <w:divsChild>
                    <w:div w:id="511191927">
                      <w:marLeft w:val="0"/>
                      <w:marRight w:val="0"/>
                      <w:marTop w:val="0"/>
                      <w:marBottom w:val="0"/>
                      <w:divBdr>
                        <w:top w:val="none" w:sz="0" w:space="0" w:color="auto"/>
                        <w:left w:val="none" w:sz="0" w:space="0" w:color="auto"/>
                        <w:bottom w:val="none" w:sz="0" w:space="0" w:color="auto"/>
                        <w:right w:val="none" w:sz="0" w:space="0" w:color="auto"/>
                      </w:divBdr>
                    </w:div>
                  </w:divsChild>
                </w:div>
                <w:div w:id="310519755">
                  <w:marLeft w:val="0"/>
                  <w:marRight w:val="0"/>
                  <w:marTop w:val="0"/>
                  <w:marBottom w:val="0"/>
                  <w:divBdr>
                    <w:top w:val="none" w:sz="0" w:space="0" w:color="auto"/>
                    <w:left w:val="none" w:sz="0" w:space="0" w:color="auto"/>
                    <w:bottom w:val="none" w:sz="0" w:space="0" w:color="auto"/>
                    <w:right w:val="none" w:sz="0" w:space="0" w:color="auto"/>
                  </w:divBdr>
                  <w:divsChild>
                    <w:div w:id="315837362">
                      <w:marLeft w:val="0"/>
                      <w:marRight w:val="0"/>
                      <w:marTop w:val="0"/>
                      <w:marBottom w:val="0"/>
                      <w:divBdr>
                        <w:top w:val="none" w:sz="0" w:space="0" w:color="auto"/>
                        <w:left w:val="none" w:sz="0" w:space="0" w:color="auto"/>
                        <w:bottom w:val="none" w:sz="0" w:space="0" w:color="auto"/>
                        <w:right w:val="none" w:sz="0" w:space="0" w:color="auto"/>
                      </w:divBdr>
                    </w:div>
                  </w:divsChild>
                </w:div>
                <w:div w:id="316110094">
                  <w:marLeft w:val="0"/>
                  <w:marRight w:val="0"/>
                  <w:marTop w:val="0"/>
                  <w:marBottom w:val="0"/>
                  <w:divBdr>
                    <w:top w:val="none" w:sz="0" w:space="0" w:color="auto"/>
                    <w:left w:val="none" w:sz="0" w:space="0" w:color="auto"/>
                    <w:bottom w:val="none" w:sz="0" w:space="0" w:color="auto"/>
                    <w:right w:val="none" w:sz="0" w:space="0" w:color="auto"/>
                  </w:divBdr>
                  <w:divsChild>
                    <w:div w:id="1521161838">
                      <w:marLeft w:val="0"/>
                      <w:marRight w:val="0"/>
                      <w:marTop w:val="0"/>
                      <w:marBottom w:val="0"/>
                      <w:divBdr>
                        <w:top w:val="none" w:sz="0" w:space="0" w:color="auto"/>
                        <w:left w:val="none" w:sz="0" w:space="0" w:color="auto"/>
                        <w:bottom w:val="none" w:sz="0" w:space="0" w:color="auto"/>
                        <w:right w:val="none" w:sz="0" w:space="0" w:color="auto"/>
                      </w:divBdr>
                    </w:div>
                  </w:divsChild>
                </w:div>
                <w:div w:id="334579431">
                  <w:marLeft w:val="0"/>
                  <w:marRight w:val="0"/>
                  <w:marTop w:val="0"/>
                  <w:marBottom w:val="0"/>
                  <w:divBdr>
                    <w:top w:val="none" w:sz="0" w:space="0" w:color="auto"/>
                    <w:left w:val="none" w:sz="0" w:space="0" w:color="auto"/>
                    <w:bottom w:val="none" w:sz="0" w:space="0" w:color="auto"/>
                    <w:right w:val="none" w:sz="0" w:space="0" w:color="auto"/>
                  </w:divBdr>
                  <w:divsChild>
                    <w:div w:id="2015111925">
                      <w:marLeft w:val="0"/>
                      <w:marRight w:val="0"/>
                      <w:marTop w:val="0"/>
                      <w:marBottom w:val="0"/>
                      <w:divBdr>
                        <w:top w:val="none" w:sz="0" w:space="0" w:color="auto"/>
                        <w:left w:val="none" w:sz="0" w:space="0" w:color="auto"/>
                        <w:bottom w:val="none" w:sz="0" w:space="0" w:color="auto"/>
                        <w:right w:val="none" w:sz="0" w:space="0" w:color="auto"/>
                      </w:divBdr>
                    </w:div>
                  </w:divsChild>
                </w:div>
                <w:div w:id="364796314">
                  <w:marLeft w:val="0"/>
                  <w:marRight w:val="0"/>
                  <w:marTop w:val="0"/>
                  <w:marBottom w:val="0"/>
                  <w:divBdr>
                    <w:top w:val="none" w:sz="0" w:space="0" w:color="auto"/>
                    <w:left w:val="none" w:sz="0" w:space="0" w:color="auto"/>
                    <w:bottom w:val="none" w:sz="0" w:space="0" w:color="auto"/>
                    <w:right w:val="none" w:sz="0" w:space="0" w:color="auto"/>
                  </w:divBdr>
                  <w:divsChild>
                    <w:div w:id="420756955">
                      <w:marLeft w:val="0"/>
                      <w:marRight w:val="0"/>
                      <w:marTop w:val="0"/>
                      <w:marBottom w:val="0"/>
                      <w:divBdr>
                        <w:top w:val="none" w:sz="0" w:space="0" w:color="auto"/>
                        <w:left w:val="none" w:sz="0" w:space="0" w:color="auto"/>
                        <w:bottom w:val="none" w:sz="0" w:space="0" w:color="auto"/>
                        <w:right w:val="none" w:sz="0" w:space="0" w:color="auto"/>
                      </w:divBdr>
                    </w:div>
                  </w:divsChild>
                </w:div>
                <w:div w:id="407385856">
                  <w:marLeft w:val="0"/>
                  <w:marRight w:val="0"/>
                  <w:marTop w:val="0"/>
                  <w:marBottom w:val="0"/>
                  <w:divBdr>
                    <w:top w:val="none" w:sz="0" w:space="0" w:color="auto"/>
                    <w:left w:val="none" w:sz="0" w:space="0" w:color="auto"/>
                    <w:bottom w:val="none" w:sz="0" w:space="0" w:color="auto"/>
                    <w:right w:val="none" w:sz="0" w:space="0" w:color="auto"/>
                  </w:divBdr>
                  <w:divsChild>
                    <w:div w:id="1472555259">
                      <w:marLeft w:val="0"/>
                      <w:marRight w:val="0"/>
                      <w:marTop w:val="0"/>
                      <w:marBottom w:val="0"/>
                      <w:divBdr>
                        <w:top w:val="none" w:sz="0" w:space="0" w:color="auto"/>
                        <w:left w:val="none" w:sz="0" w:space="0" w:color="auto"/>
                        <w:bottom w:val="none" w:sz="0" w:space="0" w:color="auto"/>
                        <w:right w:val="none" w:sz="0" w:space="0" w:color="auto"/>
                      </w:divBdr>
                    </w:div>
                  </w:divsChild>
                </w:div>
                <w:div w:id="425931542">
                  <w:marLeft w:val="0"/>
                  <w:marRight w:val="0"/>
                  <w:marTop w:val="0"/>
                  <w:marBottom w:val="0"/>
                  <w:divBdr>
                    <w:top w:val="none" w:sz="0" w:space="0" w:color="auto"/>
                    <w:left w:val="none" w:sz="0" w:space="0" w:color="auto"/>
                    <w:bottom w:val="none" w:sz="0" w:space="0" w:color="auto"/>
                    <w:right w:val="none" w:sz="0" w:space="0" w:color="auto"/>
                  </w:divBdr>
                  <w:divsChild>
                    <w:div w:id="1234390199">
                      <w:marLeft w:val="0"/>
                      <w:marRight w:val="0"/>
                      <w:marTop w:val="0"/>
                      <w:marBottom w:val="0"/>
                      <w:divBdr>
                        <w:top w:val="none" w:sz="0" w:space="0" w:color="auto"/>
                        <w:left w:val="none" w:sz="0" w:space="0" w:color="auto"/>
                        <w:bottom w:val="none" w:sz="0" w:space="0" w:color="auto"/>
                        <w:right w:val="none" w:sz="0" w:space="0" w:color="auto"/>
                      </w:divBdr>
                    </w:div>
                  </w:divsChild>
                </w:div>
                <w:div w:id="441151085">
                  <w:marLeft w:val="0"/>
                  <w:marRight w:val="0"/>
                  <w:marTop w:val="0"/>
                  <w:marBottom w:val="0"/>
                  <w:divBdr>
                    <w:top w:val="none" w:sz="0" w:space="0" w:color="auto"/>
                    <w:left w:val="none" w:sz="0" w:space="0" w:color="auto"/>
                    <w:bottom w:val="none" w:sz="0" w:space="0" w:color="auto"/>
                    <w:right w:val="none" w:sz="0" w:space="0" w:color="auto"/>
                  </w:divBdr>
                  <w:divsChild>
                    <w:div w:id="1980301990">
                      <w:marLeft w:val="0"/>
                      <w:marRight w:val="0"/>
                      <w:marTop w:val="0"/>
                      <w:marBottom w:val="0"/>
                      <w:divBdr>
                        <w:top w:val="none" w:sz="0" w:space="0" w:color="auto"/>
                        <w:left w:val="none" w:sz="0" w:space="0" w:color="auto"/>
                        <w:bottom w:val="none" w:sz="0" w:space="0" w:color="auto"/>
                        <w:right w:val="none" w:sz="0" w:space="0" w:color="auto"/>
                      </w:divBdr>
                    </w:div>
                  </w:divsChild>
                </w:div>
                <w:div w:id="446658020">
                  <w:marLeft w:val="0"/>
                  <w:marRight w:val="0"/>
                  <w:marTop w:val="0"/>
                  <w:marBottom w:val="0"/>
                  <w:divBdr>
                    <w:top w:val="none" w:sz="0" w:space="0" w:color="auto"/>
                    <w:left w:val="none" w:sz="0" w:space="0" w:color="auto"/>
                    <w:bottom w:val="none" w:sz="0" w:space="0" w:color="auto"/>
                    <w:right w:val="none" w:sz="0" w:space="0" w:color="auto"/>
                  </w:divBdr>
                  <w:divsChild>
                    <w:div w:id="159856704">
                      <w:marLeft w:val="0"/>
                      <w:marRight w:val="0"/>
                      <w:marTop w:val="0"/>
                      <w:marBottom w:val="0"/>
                      <w:divBdr>
                        <w:top w:val="none" w:sz="0" w:space="0" w:color="auto"/>
                        <w:left w:val="none" w:sz="0" w:space="0" w:color="auto"/>
                        <w:bottom w:val="none" w:sz="0" w:space="0" w:color="auto"/>
                        <w:right w:val="none" w:sz="0" w:space="0" w:color="auto"/>
                      </w:divBdr>
                    </w:div>
                  </w:divsChild>
                </w:div>
                <w:div w:id="508251784">
                  <w:marLeft w:val="0"/>
                  <w:marRight w:val="0"/>
                  <w:marTop w:val="0"/>
                  <w:marBottom w:val="0"/>
                  <w:divBdr>
                    <w:top w:val="none" w:sz="0" w:space="0" w:color="auto"/>
                    <w:left w:val="none" w:sz="0" w:space="0" w:color="auto"/>
                    <w:bottom w:val="none" w:sz="0" w:space="0" w:color="auto"/>
                    <w:right w:val="none" w:sz="0" w:space="0" w:color="auto"/>
                  </w:divBdr>
                  <w:divsChild>
                    <w:div w:id="296305322">
                      <w:marLeft w:val="0"/>
                      <w:marRight w:val="0"/>
                      <w:marTop w:val="0"/>
                      <w:marBottom w:val="0"/>
                      <w:divBdr>
                        <w:top w:val="none" w:sz="0" w:space="0" w:color="auto"/>
                        <w:left w:val="none" w:sz="0" w:space="0" w:color="auto"/>
                        <w:bottom w:val="none" w:sz="0" w:space="0" w:color="auto"/>
                        <w:right w:val="none" w:sz="0" w:space="0" w:color="auto"/>
                      </w:divBdr>
                    </w:div>
                  </w:divsChild>
                </w:div>
                <w:div w:id="547881833">
                  <w:marLeft w:val="0"/>
                  <w:marRight w:val="0"/>
                  <w:marTop w:val="0"/>
                  <w:marBottom w:val="0"/>
                  <w:divBdr>
                    <w:top w:val="none" w:sz="0" w:space="0" w:color="auto"/>
                    <w:left w:val="none" w:sz="0" w:space="0" w:color="auto"/>
                    <w:bottom w:val="none" w:sz="0" w:space="0" w:color="auto"/>
                    <w:right w:val="none" w:sz="0" w:space="0" w:color="auto"/>
                  </w:divBdr>
                  <w:divsChild>
                    <w:div w:id="1649704483">
                      <w:marLeft w:val="0"/>
                      <w:marRight w:val="0"/>
                      <w:marTop w:val="0"/>
                      <w:marBottom w:val="0"/>
                      <w:divBdr>
                        <w:top w:val="none" w:sz="0" w:space="0" w:color="auto"/>
                        <w:left w:val="none" w:sz="0" w:space="0" w:color="auto"/>
                        <w:bottom w:val="none" w:sz="0" w:space="0" w:color="auto"/>
                        <w:right w:val="none" w:sz="0" w:space="0" w:color="auto"/>
                      </w:divBdr>
                    </w:div>
                  </w:divsChild>
                </w:div>
                <w:div w:id="608515759">
                  <w:marLeft w:val="0"/>
                  <w:marRight w:val="0"/>
                  <w:marTop w:val="0"/>
                  <w:marBottom w:val="0"/>
                  <w:divBdr>
                    <w:top w:val="none" w:sz="0" w:space="0" w:color="auto"/>
                    <w:left w:val="none" w:sz="0" w:space="0" w:color="auto"/>
                    <w:bottom w:val="none" w:sz="0" w:space="0" w:color="auto"/>
                    <w:right w:val="none" w:sz="0" w:space="0" w:color="auto"/>
                  </w:divBdr>
                  <w:divsChild>
                    <w:div w:id="2087141575">
                      <w:marLeft w:val="0"/>
                      <w:marRight w:val="0"/>
                      <w:marTop w:val="0"/>
                      <w:marBottom w:val="0"/>
                      <w:divBdr>
                        <w:top w:val="none" w:sz="0" w:space="0" w:color="auto"/>
                        <w:left w:val="none" w:sz="0" w:space="0" w:color="auto"/>
                        <w:bottom w:val="none" w:sz="0" w:space="0" w:color="auto"/>
                        <w:right w:val="none" w:sz="0" w:space="0" w:color="auto"/>
                      </w:divBdr>
                    </w:div>
                  </w:divsChild>
                </w:div>
                <w:div w:id="609702764">
                  <w:marLeft w:val="0"/>
                  <w:marRight w:val="0"/>
                  <w:marTop w:val="0"/>
                  <w:marBottom w:val="0"/>
                  <w:divBdr>
                    <w:top w:val="none" w:sz="0" w:space="0" w:color="auto"/>
                    <w:left w:val="none" w:sz="0" w:space="0" w:color="auto"/>
                    <w:bottom w:val="none" w:sz="0" w:space="0" w:color="auto"/>
                    <w:right w:val="none" w:sz="0" w:space="0" w:color="auto"/>
                  </w:divBdr>
                  <w:divsChild>
                    <w:div w:id="1385372638">
                      <w:marLeft w:val="0"/>
                      <w:marRight w:val="0"/>
                      <w:marTop w:val="0"/>
                      <w:marBottom w:val="0"/>
                      <w:divBdr>
                        <w:top w:val="none" w:sz="0" w:space="0" w:color="auto"/>
                        <w:left w:val="none" w:sz="0" w:space="0" w:color="auto"/>
                        <w:bottom w:val="none" w:sz="0" w:space="0" w:color="auto"/>
                        <w:right w:val="none" w:sz="0" w:space="0" w:color="auto"/>
                      </w:divBdr>
                    </w:div>
                  </w:divsChild>
                </w:div>
                <w:div w:id="673915681">
                  <w:marLeft w:val="0"/>
                  <w:marRight w:val="0"/>
                  <w:marTop w:val="0"/>
                  <w:marBottom w:val="0"/>
                  <w:divBdr>
                    <w:top w:val="none" w:sz="0" w:space="0" w:color="auto"/>
                    <w:left w:val="none" w:sz="0" w:space="0" w:color="auto"/>
                    <w:bottom w:val="none" w:sz="0" w:space="0" w:color="auto"/>
                    <w:right w:val="none" w:sz="0" w:space="0" w:color="auto"/>
                  </w:divBdr>
                  <w:divsChild>
                    <w:div w:id="1756512632">
                      <w:marLeft w:val="0"/>
                      <w:marRight w:val="0"/>
                      <w:marTop w:val="0"/>
                      <w:marBottom w:val="0"/>
                      <w:divBdr>
                        <w:top w:val="none" w:sz="0" w:space="0" w:color="auto"/>
                        <w:left w:val="none" w:sz="0" w:space="0" w:color="auto"/>
                        <w:bottom w:val="none" w:sz="0" w:space="0" w:color="auto"/>
                        <w:right w:val="none" w:sz="0" w:space="0" w:color="auto"/>
                      </w:divBdr>
                    </w:div>
                  </w:divsChild>
                </w:div>
                <w:div w:id="674302752">
                  <w:marLeft w:val="0"/>
                  <w:marRight w:val="0"/>
                  <w:marTop w:val="0"/>
                  <w:marBottom w:val="0"/>
                  <w:divBdr>
                    <w:top w:val="none" w:sz="0" w:space="0" w:color="auto"/>
                    <w:left w:val="none" w:sz="0" w:space="0" w:color="auto"/>
                    <w:bottom w:val="none" w:sz="0" w:space="0" w:color="auto"/>
                    <w:right w:val="none" w:sz="0" w:space="0" w:color="auto"/>
                  </w:divBdr>
                  <w:divsChild>
                    <w:div w:id="603922639">
                      <w:marLeft w:val="0"/>
                      <w:marRight w:val="0"/>
                      <w:marTop w:val="0"/>
                      <w:marBottom w:val="0"/>
                      <w:divBdr>
                        <w:top w:val="none" w:sz="0" w:space="0" w:color="auto"/>
                        <w:left w:val="none" w:sz="0" w:space="0" w:color="auto"/>
                        <w:bottom w:val="none" w:sz="0" w:space="0" w:color="auto"/>
                        <w:right w:val="none" w:sz="0" w:space="0" w:color="auto"/>
                      </w:divBdr>
                    </w:div>
                  </w:divsChild>
                </w:div>
                <w:div w:id="704792731">
                  <w:marLeft w:val="0"/>
                  <w:marRight w:val="0"/>
                  <w:marTop w:val="0"/>
                  <w:marBottom w:val="0"/>
                  <w:divBdr>
                    <w:top w:val="none" w:sz="0" w:space="0" w:color="auto"/>
                    <w:left w:val="none" w:sz="0" w:space="0" w:color="auto"/>
                    <w:bottom w:val="none" w:sz="0" w:space="0" w:color="auto"/>
                    <w:right w:val="none" w:sz="0" w:space="0" w:color="auto"/>
                  </w:divBdr>
                  <w:divsChild>
                    <w:div w:id="301471189">
                      <w:marLeft w:val="0"/>
                      <w:marRight w:val="0"/>
                      <w:marTop w:val="0"/>
                      <w:marBottom w:val="0"/>
                      <w:divBdr>
                        <w:top w:val="none" w:sz="0" w:space="0" w:color="auto"/>
                        <w:left w:val="none" w:sz="0" w:space="0" w:color="auto"/>
                        <w:bottom w:val="none" w:sz="0" w:space="0" w:color="auto"/>
                        <w:right w:val="none" w:sz="0" w:space="0" w:color="auto"/>
                      </w:divBdr>
                    </w:div>
                  </w:divsChild>
                </w:div>
                <w:div w:id="713308931">
                  <w:marLeft w:val="0"/>
                  <w:marRight w:val="0"/>
                  <w:marTop w:val="0"/>
                  <w:marBottom w:val="0"/>
                  <w:divBdr>
                    <w:top w:val="none" w:sz="0" w:space="0" w:color="auto"/>
                    <w:left w:val="none" w:sz="0" w:space="0" w:color="auto"/>
                    <w:bottom w:val="none" w:sz="0" w:space="0" w:color="auto"/>
                    <w:right w:val="none" w:sz="0" w:space="0" w:color="auto"/>
                  </w:divBdr>
                  <w:divsChild>
                    <w:div w:id="517701028">
                      <w:marLeft w:val="0"/>
                      <w:marRight w:val="0"/>
                      <w:marTop w:val="0"/>
                      <w:marBottom w:val="0"/>
                      <w:divBdr>
                        <w:top w:val="none" w:sz="0" w:space="0" w:color="auto"/>
                        <w:left w:val="none" w:sz="0" w:space="0" w:color="auto"/>
                        <w:bottom w:val="none" w:sz="0" w:space="0" w:color="auto"/>
                        <w:right w:val="none" w:sz="0" w:space="0" w:color="auto"/>
                      </w:divBdr>
                    </w:div>
                  </w:divsChild>
                </w:div>
                <w:div w:id="818810959">
                  <w:marLeft w:val="0"/>
                  <w:marRight w:val="0"/>
                  <w:marTop w:val="0"/>
                  <w:marBottom w:val="0"/>
                  <w:divBdr>
                    <w:top w:val="none" w:sz="0" w:space="0" w:color="auto"/>
                    <w:left w:val="none" w:sz="0" w:space="0" w:color="auto"/>
                    <w:bottom w:val="none" w:sz="0" w:space="0" w:color="auto"/>
                    <w:right w:val="none" w:sz="0" w:space="0" w:color="auto"/>
                  </w:divBdr>
                  <w:divsChild>
                    <w:div w:id="529412134">
                      <w:marLeft w:val="0"/>
                      <w:marRight w:val="0"/>
                      <w:marTop w:val="0"/>
                      <w:marBottom w:val="0"/>
                      <w:divBdr>
                        <w:top w:val="none" w:sz="0" w:space="0" w:color="auto"/>
                        <w:left w:val="none" w:sz="0" w:space="0" w:color="auto"/>
                        <w:bottom w:val="none" w:sz="0" w:space="0" w:color="auto"/>
                        <w:right w:val="none" w:sz="0" w:space="0" w:color="auto"/>
                      </w:divBdr>
                    </w:div>
                  </w:divsChild>
                </w:div>
                <w:div w:id="878394006">
                  <w:marLeft w:val="0"/>
                  <w:marRight w:val="0"/>
                  <w:marTop w:val="0"/>
                  <w:marBottom w:val="0"/>
                  <w:divBdr>
                    <w:top w:val="none" w:sz="0" w:space="0" w:color="auto"/>
                    <w:left w:val="none" w:sz="0" w:space="0" w:color="auto"/>
                    <w:bottom w:val="none" w:sz="0" w:space="0" w:color="auto"/>
                    <w:right w:val="none" w:sz="0" w:space="0" w:color="auto"/>
                  </w:divBdr>
                  <w:divsChild>
                    <w:div w:id="1563059355">
                      <w:marLeft w:val="0"/>
                      <w:marRight w:val="0"/>
                      <w:marTop w:val="0"/>
                      <w:marBottom w:val="0"/>
                      <w:divBdr>
                        <w:top w:val="none" w:sz="0" w:space="0" w:color="auto"/>
                        <w:left w:val="none" w:sz="0" w:space="0" w:color="auto"/>
                        <w:bottom w:val="none" w:sz="0" w:space="0" w:color="auto"/>
                        <w:right w:val="none" w:sz="0" w:space="0" w:color="auto"/>
                      </w:divBdr>
                    </w:div>
                  </w:divsChild>
                </w:div>
                <w:div w:id="955408874">
                  <w:marLeft w:val="0"/>
                  <w:marRight w:val="0"/>
                  <w:marTop w:val="0"/>
                  <w:marBottom w:val="0"/>
                  <w:divBdr>
                    <w:top w:val="none" w:sz="0" w:space="0" w:color="auto"/>
                    <w:left w:val="none" w:sz="0" w:space="0" w:color="auto"/>
                    <w:bottom w:val="none" w:sz="0" w:space="0" w:color="auto"/>
                    <w:right w:val="none" w:sz="0" w:space="0" w:color="auto"/>
                  </w:divBdr>
                  <w:divsChild>
                    <w:div w:id="147088773">
                      <w:marLeft w:val="0"/>
                      <w:marRight w:val="0"/>
                      <w:marTop w:val="0"/>
                      <w:marBottom w:val="0"/>
                      <w:divBdr>
                        <w:top w:val="none" w:sz="0" w:space="0" w:color="auto"/>
                        <w:left w:val="none" w:sz="0" w:space="0" w:color="auto"/>
                        <w:bottom w:val="none" w:sz="0" w:space="0" w:color="auto"/>
                        <w:right w:val="none" w:sz="0" w:space="0" w:color="auto"/>
                      </w:divBdr>
                    </w:div>
                  </w:divsChild>
                </w:div>
                <w:div w:id="997151477">
                  <w:marLeft w:val="0"/>
                  <w:marRight w:val="0"/>
                  <w:marTop w:val="0"/>
                  <w:marBottom w:val="0"/>
                  <w:divBdr>
                    <w:top w:val="none" w:sz="0" w:space="0" w:color="auto"/>
                    <w:left w:val="none" w:sz="0" w:space="0" w:color="auto"/>
                    <w:bottom w:val="none" w:sz="0" w:space="0" w:color="auto"/>
                    <w:right w:val="none" w:sz="0" w:space="0" w:color="auto"/>
                  </w:divBdr>
                  <w:divsChild>
                    <w:div w:id="681394769">
                      <w:marLeft w:val="0"/>
                      <w:marRight w:val="0"/>
                      <w:marTop w:val="0"/>
                      <w:marBottom w:val="0"/>
                      <w:divBdr>
                        <w:top w:val="none" w:sz="0" w:space="0" w:color="auto"/>
                        <w:left w:val="none" w:sz="0" w:space="0" w:color="auto"/>
                        <w:bottom w:val="none" w:sz="0" w:space="0" w:color="auto"/>
                        <w:right w:val="none" w:sz="0" w:space="0" w:color="auto"/>
                      </w:divBdr>
                    </w:div>
                  </w:divsChild>
                </w:div>
                <w:div w:id="1032536404">
                  <w:marLeft w:val="0"/>
                  <w:marRight w:val="0"/>
                  <w:marTop w:val="0"/>
                  <w:marBottom w:val="0"/>
                  <w:divBdr>
                    <w:top w:val="none" w:sz="0" w:space="0" w:color="auto"/>
                    <w:left w:val="none" w:sz="0" w:space="0" w:color="auto"/>
                    <w:bottom w:val="none" w:sz="0" w:space="0" w:color="auto"/>
                    <w:right w:val="none" w:sz="0" w:space="0" w:color="auto"/>
                  </w:divBdr>
                  <w:divsChild>
                    <w:div w:id="1365986277">
                      <w:marLeft w:val="0"/>
                      <w:marRight w:val="0"/>
                      <w:marTop w:val="0"/>
                      <w:marBottom w:val="0"/>
                      <w:divBdr>
                        <w:top w:val="none" w:sz="0" w:space="0" w:color="auto"/>
                        <w:left w:val="none" w:sz="0" w:space="0" w:color="auto"/>
                        <w:bottom w:val="none" w:sz="0" w:space="0" w:color="auto"/>
                        <w:right w:val="none" w:sz="0" w:space="0" w:color="auto"/>
                      </w:divBdr>
                    </w:div>
                  </w:divsChild>
                </w:div>
                <w:div w:id="1112238897">
                  <w:marLeft w:val="0"/>
                  <w:marRight w:val="0"/>
                  <w:marTop w:val="0"/>
                  <w:marBottom w:val="0"/>
                  <w:divBdr>
                    <w:top w:val="none" w:sz="0" w:space="0" w:color="auto"/>
                    <w:left w:val="none" w:sz="0" w:space="0" w:color="auto"/>
                    <w:bottom w:val="none" w:sz="0" w:space="0" w:color="auto"/>
                    <w:right w:val="none" w:sz="0" w:space="0" w:color="auto"/>
                  </w:divBdr>
                  <w:divsChild>
                    <w:div w:id="662782936">
                      <w:marLeft w:val="0"/>
                      <w:marRight w:val="0"/>
                      <w:marTop w:val="0"/>
                      <w:marBottom w:val="0"/>
                      <w:divBdr>
                        <w:top w:val="none" w:sz="0" w:space="0" w:color="auto"/>
                        <w:left w:val="none" w:sz="0" w:space="0" w:color="auto"/>
                        <w:bottom w:val="none" w:sz="0" w:space="0" w:color="auto"/>
                        <w:right w:val="none" w:sz="0" w:space="0" w:color="auto"/>
                      </w:divBdr>
                    </w:div>
                  </w:divsChild>
                </w:div>
                <w:div w:id="1278830587">
                  <w:marLeft w:val="0"/>
                  <w:marRight w:val="0"/>
                  <w:marTop w:val="0"/>
                  <w:marBottom w:val="0"/>
                  <w:divBdr>
                    <w:top w:val="none" w:sz="0" w:space="0" w:color="auto"/>
                    <w:left w:val="none" w:sz="0" w:space="0" w:color="auto"/>
                    <w:bottom w:val="none" w:sz="0" w:space="0" w:color="auto"/>
                    <w:right w:val="none" w:sz="0" w:space="0" w:color="auto"/>
                  </w:divBdr>
                  <w:divsChild>
                    <w:div w:id="588470270">
                      <w:marLeft w:val="0"/>
                      <w:marRight w:val="0"/>
                      <w:marTop w:val="0"/>
                      <w:marBottom w:val="0"/>
                      <w:divBdr>
                        <w:top w:val="none" w:sz="0" w:space="0" w:color="auto"/>
                        <w:left w:val="none" w:sz="0" w:space="0" w:color="auto"/>
                        <w:bottom w:val="none" w:sz="0" w:space="0" w:color="auto"/>
                        <w:right w:val="none" w:sz="0" w:space="0" w:color="auto"/>
                      </w:divBdr>
                    </w:div>
                  </w:divsChild>
                </w:div>
                <w:div w:id="1302885624">
                  <w:marLeft w:val="0"/>
                  <w:marRight w:val="0"/>
                  <w:marTop w:val="0"/>
                  <w:marBottom w:val="0"/>
                  <w:divBdr>
                    <w:top w:val="none" w:sz="0" w:space="0" w:color="auto"/>
                    <w:left w:val="none" w:sz="0" w:space="0" w:color="auto"/>
                    <w:bottom w:val="none" w:sz="0" w:space="0" w:color="auto"/>
                    <w:right w:val="none" w:sz="0" w:space="0" w:color="auto"/>
                  </w:divBdr>
                  <w:divsChild>
                    <w:div w:id="1014384280">
                      <w:marLeft w:val="0"/>
                      <w:marRight w:val="0"/>
                      <w:marTop w:val="0"/>
                      <w:marBottom w:val="0"/>
                      <w:divBdr>
                        <w:top w:val="none" w:sz="0" w:space="0" w:color="auto"/>
                        <w:left w:val="none" w:sz="0" w:space="0" w:color="auto"/>
                        <w:bottom w:val="none" w:sz="0" w:space="0" w:color="auto"/>
                        <w:right w:val="none" w:sz="0" w:space="0" w:color="auto"/>
                      </w:divBdr>
                    </w:div>
                  </w:divsChild>
                </w:div>
                <w:div w:id="1341851962">
                  <w:marLeft w:val="0"/>
                  <w:marRight w:val="0"/>
                  <w:marTop w:val="0"/>
                  <w:marBottom w:val="0"/>
                  <w:divBdr>
                    <w:top w:val="none" w:sz="0" w:space="0" w:color="auto"/>
                    <w:left w:val="none" w:sz="0" w:space="0" w:color="auto"/>
                    <w:bottom w:val="none" w:sz="0" w:space="0" w:color="auto"/>
                    <w:right w:val="none" w:sz="0" w:space="0" w:color="auto"/>
                  </w:divBdr>
                  <w:divsChild>
                    <w:div w:id="824665224">
                      <w:marLeft w:val="0"/>
                      <w:marRight w:val="0"/>
                      <w:marTop w:val="0"/>
                      <w:marBottom w:val="0"/>
                      <w:divBdr>
                        <w:top w:val="none" w:sz="0" w:space="0" w:color="auto"/>
                        <w:left w:val="none" w:sz="0" w:space="0" w:color="auto"/>
                        <w:bottom w:val="none" w:sz="0" w:space="0" w:color="auto"/>
                        <w:right w:val="none" w:sz="0" w:space="0" w:color="auto"/>
                      </w:divBdr>
                    </w:div>
                  </w:divsChild>
                </w:div>
                <w:div w:id="1349133950">
                  <w:marLeft w:val="0"/>
                  <w:marRight w:val="0"/>
                  <w:marTop w:val="0"/>
                  <w:marBottom w:val="0"/>
                  <w:divBdr>
                    <w:top w:val="none" w:sz="0" w:space="0" w:color="auto"/>
                    <w:left w:val="none" w:sz="0" w:space="0" w:color="auto"/>
                    <w:bottom w:val="none" w:sz="0" w:space="0" w:color="auto"/>
                    <w:right w:val="none" w:sz="0" w:space="0" w:color="auto"/>
                  </w:divBdr>
                  <w:divsChild>
                    <w:div w:id="420025911">
                      <w:marLeft w:val="0"/>
                      <w:marRight w:val="0"/>
                      <w:marTop w:val="0"/>
                      <w:marBottom w:val="0"/>
                      <w:divBdr>
                        <w:top w:val="none" w:sz="0" w:space="0" w:color="auto"/>
                        <w:left w:val="none" w:sz="0" w:space="0" w:color="auto"/>
                        <w:bottom w:val="none" w:sz="0" w:space="0" w:color="auto"/>
                        <w:right w:val="none" w:sz="0" w:space="0" w:color="auto"/>
                      </w:divBdr>
                    </w:div>
                  </w:divsChild>
                </w:div>
                <w:div w:id="1408577163">
                  <w:marLeft w:val="0"/>
                  <w:marRight w:val="0"/>
                  <w:marTop w:val="0"/>
                  <w:marBottom w:val="0"/>
                  <w:divBdr>
                    <w:top w:val="none" w:sz="0" w:space="0" w:color="auto"/>
                    <w:left w:val="none" w:sz="0" w:space="0" w:color="auto"/>
                    <w:bottom w:val="none" w:sz="0" w:space="0" w:color="auto"/>
                    <w:right w:val="none" w:sz="0" w:space="0" w:color="auto"/>
                  </w:divBdr>
                  <w:divsChild>
                    <w:div w:id="32272020">
                      <w:marLeft w:val="0"/>
                      <w:marRight w:val="0"/>
                      <w:marTop w:val="0"/>
                      <w:marBottom w:val="0"/>
                      <w:divBdr>
                        <w:top w:val="none" w:sz="0" w:space="0" w:color="auto"/>
                        <w:left w:val="none" w:sz="0" w:space="0" w:color="auto"/>
                        <w:bottom w:val="none" w:sz="0" w:space="0" w:color="auto"/>
                        <w:right w:val="none" w:sz="0" w:space="0" w:color="auto"/>
                      </w:divBdr>
                    </w:div>
                  </w:divsChild>
                </w:div>
                <w:div w:id="1459566222">
                  <w:marLeft w:val="0"/>
                  <w:marRight w:val="0"/>
                  <w:marTop w:val="0"/>
                  <w:marBottom w:val="0"/>
                  <w:divBdr>
                    <w:top w:val="none" w:sz="0" w:space="0" w:color="auto"/>
                    <w:left w:val="none" w:sz="0" w:space="0" w:color="auto"/>
                    <w:bottom w:val="none" w:sz="0" w:space="0" w:color="auto"/>
                    <w:right w:val="none" w:sz="0" w:space="0" w:color="auto"/>
                  </w:divBdr>
                  <w:divsChild>
                    <w:div w:id="1906182323">
                      <w:marLeft w:val="0"/>
                      <w:marRight w:val="0"/>
                      <w:marTop w:val="0"/>
                      <w:marBottom w:val="0"/>
                      <w:divBdr>
                        <w:top w:val="none" w:sz="0" w:space="0" w:color="auto"/>
                        <w:left w:val="none" w:sz="0" w:space="0" w:color="auto"/>
                        <w:bottom w:val="none" w:sz="0" w:space="0" w:color="auto"/>
                        <w:right w:val="none" w:sz="0" w:space="0" w:color="auto"/>
                      </w:divBdr>
                    </w:div>
                  </w:divsChild>
                </w:div>
                <w:div w:id="1461919446">
                  <w:marLeft w:val="0"/>
                  <w:marRight w:val="0"/>
                  <w:marTop w:val="0"/>
                  <w:marBottom w:val="0"/>
                  <w:divBdr>
                    <w:top w:val="none" w:sz="0" w:space="0" w:color="auto"/>
                    <w:left w:val="none" w:sz="0" w:space="0" w:color="auto"/>
                    <w:bottom w:val="none" w:sz="0" w:space="0" w:color="auto"/>
                    <w:right w:val="none" w:sz="0" w:space="0" w:color="auto"/>
                  </w:divBdr>
                  <w:divsChild>
                    <w:div w:id="966084792">
                      <w:marLeft w:val="0"/>
                      <w:marRight w:val="0"/>
                      <w:marTop w:val="0"/>
                      <w:marBottom w:val="0"/>
                      <w:divBdr>
                        <w:top w:val="none" w:sz="0" w:space="0" w:color="auto"/>
                        <w:left w:val="none" w:sz="0" w:space="0" w:color="auto"/>
                        <w:bottom w:val="none" w:sz="0" w:space="0" w:color="auto"/>
                        <w:right w:val="none" w:sz="0" w:space="0" w:color="auto"/>
                      </w:divBdr>
                    </w:div>
                  </w:divsChild>
                </w:div>
                <w:div w:id="1462502954">
                  <w:marLeft w:val="0"/>
                  <w:marRight w:val="0"/>
                  <w:marTop w:val="0"/>
                  <w:marBottom w:val="0"/>
                  <w:divBdr>
                    <w:top w:val="none" w:sz="0" w:space="0" w:color="auto"/>
                    <w:left w:val="none" w:sz="0" w:space="0" w:color="auto"/>
                    <w:bottom w:val="none" w:sz="0" w:space="0" w:color="auto"/>
                    <w:right w:val="none" w:sz="0" w:space="0" w:color="auto"/>
                  </w:divBdr>
                  <w:divsChild>
                    <w:div w:id="245499827">
                      <w:marLeft w:val="0"/>
                      <w:marRight w:val="0"/>
                      <w:marTop w:val="0"/>
                      <w:marBottom w:val="0"/>
                      <w:divBdr>
                        <w:top w:val="none" w:sz="0" w:space="0" w:color="auto"/>
                        <w:left w:val="none" w:sz="0" w:space="0" w:color="auto"/>
                        <w:bottom w:val="none" w:sz="0" w:space="0" w:color="auto"/>
                        <w:right w:val="none" w:sz="0" w:space="0" w:color="auto"/>
                      </w:divBdr>
                    </w:div>
                  </w:divsChild>
                </w:div>
                <w:div w:id="1520199537">
                  <w:marLeft w:val="0"/>
                  <w:marRight w:val="0"/>
                  <w:marTop w:val="0"/>
                  <w:marBottom w:val="0"/>
                  <w:divBdr>
                    <w:top w:val="none" w:sz="0" w:space="0" w:color="auto"/>
                    <w:left w:val="none" w:sz="0" w:space="0" w:color="auto"/>
                    <w:bottom w:val="none" w:sz="0" w:space="0" w:color="auto"/>
                    <w:right w:val="none" w:sz="0" w:space="0" w:color="auto"/>
                  </w:divBdr>
                  <w:divsChild>
                    <w:div w:id="1868325143">
                      <w:marLeft w:val="0"/>
                      <w:marRight w:val="0"/>
                      <w:marTop w:val="0"/>
                      <w:marBottom w:val="0"/>
                      <w:divBdr>
                        <w:top w:val="none" w:sz="0" w:space="0" w:color="auto"/>
                        <w:left w:val="none" w:sz="0" w:space="0" w:color="auto"/>
                        <w:bottom w:val="none" w:sz="0" w:space="0" w:color="auto"/>
                        <w:right w:val="none" w:sz="0" w:space="0" w:color="auto"/>
                      </w:divBdr>
                    </w:div>
                  </w:divsChild>
                </w:div>
                <w:div w:id="1526358416">
                  <w:marLeft w:val="0"/>
                  <w:marRight w:val="0"/>
                  <w:marTop w:val="0"/>
                  <w:marBottom w:val="0"/>
                  <w:divBdr>
                    <w:top w:val="none" w:sz="0" w:space="0" w:color="auto"/>
                    <w:left w:val="none" w:sz="0" w:space="0" w:color="auto"/>
                    <w:bottom w:val="none" w:sz="0" w:space="0" w:color="auto"/>
                    <w:right w:val="none" w:sz="0" w:space="0" w:color="auto"/>
                  </w:divBdr>
                  <w:divsChild>
                    <w:div w:id="1020279321">
                      <w:marLeft w:val="0"/>
                      <w:marRight w:val="0"/>
                      <w:marTop w:val="0"/>
                      <w:marBottom w:val="0"/>
                      <w:divBdr>
                        <w:top w:val="none" w:sz="0" w:space="0" w:color="auto"/>
                        <w:left w:val="none" w:sz="0" w:space="0" w:color="auto"/>
                        <w:bottom w:val="none" w:sz="0" w:space="0" w:color="auto"/>
                        <w:right w:val="none" w:sz="0" w:space="0" w:color="auto"/>
                      </w:divBdr>
                    </w:div>
                  </w:divsChild>
                </w:div>
                <w:div w:id="1568884631">
                  <w:marLeft w:val="0"/>
                  <w:marRight w:val="0"/>
                  <w:marTop w:val="0"/>
                  <w:marBottom w:val="0"/>
                  <w:divBdr>
                    <w:top w:val="none" w:sz="0" w:space="0" w:color="auto"/>
                    <w:left w:val="none" w:sz="0" w:space="0" w:color="auto"/>
                    <w:bottom w:val="none" w:sz="0" w:space="0" w:color="auto"/>
                    <w:right w:val="none" w:sz="0" w:space="0" w:color="auto"/>
                  </w:divBdr>
                  <w:divsChild>
                    <w:div w:id="14158227">
                      <w:marLeft w:val="0"/>
                      <w:marRight w:val="0"/>
                      <w:marTop w:val="0"/>
                      <w:marBottom w:val="0"/>
                      <w:divBdr>
                        <w:top w:val="none" w:sz="0" w:space="0" w:color="auto"/>
                        <w:left w:val="none" w:sz="0" w:space="0" w:color="auto"/>
                        <w:bottom w:val="none" w:sz="0" w:space="0" w:color="auto"/>
                        <w:right w:val="none" w:sz="0" w:space="0" w:color="auto"/>
                      </w:divBdr>
                    </w:div>
                  </w:divsChild>
                </w:div>
                <w:div w:id="1689134421">
                  <w:marLeft w:val="0"/>
                  <w:marRight w:val="0"/>
                  <w:marTop w:val="0"/>
                  <w:marBottom w:val="0"/>
                  <w:divBdr>
                    <w:top w:val="none" w:sz="0" w:space="0" w:color="auto"/>
                    <w:left w:val="none" w:sz="0" w:space="0" w:color="auto"/>
                    <w:bottom w:val="none" w:sz="0" w:space="0" w:color="auto"/>
                    <w:right w:val="none" w:sz="0" w:space="0" w:color="auto"/>
                  </w:divBdr>
                  <w:divsChild>
                    <w:div w:id="1979873978">
                      <w:marLeft w:val="0"/>
                      <w:marRight w:val="0"/>
                      <w:marTop w:val="0"/>
                      <w:marBottom w:val="0"/>
                      <w:divBdr>
                        <w:top w:val="none" w:sz="0" w:space="0" w:color="auto"/>
                        <w:left w:val="none" w:sz="0" w:space="0" w:color="auto"/>
                        <w:bottom w:val="none" w:sz="0" w:space="0" w:color="auto"/>
                        <w:right w:val="none" w:sz="0" w:space="0" w:color="auto"/>
                      </w:divBdr>
                    </w:div>
                  </w:divsChild>
                </w:div>
                <w:div w:id="1700162518">
                  <w:marLeft w:val="0"/>
                  <w:marRight w:val="0"/>
                  <w:marTop w:val="0"/>
                  <w:marBottom w:val="0"/>
                  <w:divBdr>
                    <w:top w:val="none" w:sz="0" w:space="0" w:color="auto"/>
                    <w:left w:val="none" w:sz="0" w:space="0" w:color="auto"/>
                    <w:bottom w:val="none" w:sz="0" w:space="0" w:color="auto"/>
                    <w:right w:val="none" w:sz="0" w:space="0" w:color="auto"/>
                  </w:divBdr>
                  <w:divsChild>
                    <w:div w:id="2058044780">
                      <w:marLeft w:val="0"/>
                      <w:marRight w:val="0"/>
                      <w:marTop w:val="0"/>
                      <w:marBottom w:val="0"/>
                      <w:divBdr>
                        <w:top w:val="none" w:sz="0" w:space="0" w:color="auto"/>
                        <w:left w:val="none" w:sz="0" w:space="0" w:color="auto"/>
                        <w:bottom w:val="none" w:sz="0" w:space="0" w:color="auto"/>
                        <w:right w:val="none" w:sz="0" w:space="0" w:color="auto"/>
                      </w:divBdr>
                    </w:div>
                  </w:divsChild>
                </w:div>
                <w:div w:id="1712460698">
                  <w:marLeft w:val="0"/>
                  <w:marRight w:val="0"/>
                  <w:marTop w:val="0"/>
                  <w:marBottom w:val="0"/>
                  <w:divBdr>
                    <w:top w:val="none" w:sz="0" w:space="0" w:color="auto"/>
                    <w:left w:val="none" w:sz="0" w:space="0" w:color="auto"/>
                    <w:bottom w:val="none" w:sz="0" w:space="0" w:color="auto"/>
                    <w:right w:val="none" w:sz="0" w:space="0" w:color="auto"/>
                  </w:divBdr>
                  <w:divsChild>
                    <w:div w:id="331296694">
                      <w:marLeft w:val="0"/>
                      <w:marRight w:val="0"/>
                      <w:marTop w:val="0"/>
                      <w:marBottom w:val="0"/>
                      <w:divBdr>
                        <w:top w:val="none" w:sz="0" w:space="0" w:color="auto"/>
                        <w:left w:val="none" w:sz="0" w:space="0" w:color="auto"/>
                        <w:bottom w:val="none" w:sz="0" w:space="0" w:color="auto"/>
                        <w:right w:val="none" w:sz="0" w:space="0" w:color="auto"/>
                      </w:divBdr>
                    </w:div>
                  </w:divsChild>
                </w:div>
                <w:div w:id="1777208201">
                  <w:marLeft w:val="0"/>
                  <w:marRight w:val="0"/>
                  <w:marTop w:val="0"/>
                  <w:marBottom w:val="0"/>
                  <w:divBdr>
                    <w:top w:val="none" w:sz="0" w:space="0" w:color="auto"/>
                    <w:left w:val="none" w:sz="0" w:space="0" w:color="auto"/>
                    <w:bottom w:val="none" w:sz="0" w:space="0" w:color="auto"/>
                    <w:right w:val="none" w:sz="0" w:space="0" w:color="auto"/>
                  </w:divBdr>
                  <w:divsChild>
                    <w:div w:id="222258126">
                      <w:marLeft w:val="0"/>
                      <w:marRight w:val="0"/>
                      <w:marTop w:val="0"/>
                      <w:marBottom w:val="0"/>
                      <w:divBdr>
                        <w:top w:val="none" w:sz="0" w:space="0" w:color="auto"/>
                        <w:left w:val="none" w:sz="0" w:space="0" w:color="auto"/>
                        <w:bottom w:val="none" w:sz="0" w:space="0" w:color="auto"/>
                        <w:right w:val="none" w:sz="0" w:space="0" w:color="auto"/>
                      </w:divBdr>
                    </w:div>
                  </w:divsChild>
                </w:div>
                <w:div w:id="1871916515">
                  <w:marLeft w:val="0"/>
                  <w:marRight w:val="0"/>
                  <w:marTop w:val="0"/>
                  <w:marBottom w:val="0"/>
                  <w:divBdr>
                    <w:top w:val="none" w:sz="0" w:space="0" w:color="auto"/>
                    <w:left w:val="none" w:sz="0" w:space="0" w:color="auto"/>
                    <w:bottom w:val="none" w:sz="0" w:space="0" w:color="auto"/>
                    <w:right w:val="none" w:sz="0" w:space="0" w:color="auto"/>
                  </w:divBdr>
                  <w:divsChild>
                    <w:div w:id="1487551208">
                      <w:marLeft w:val="0"/>
                      <w:marRight w:val="0"/>
                      <w:marTop w:val="0"/>
                      <w:marBottom w:val="0"/>
                      <w:divBdr>
                        <w:top w:val="none" w:sz="0" w:space="0" w:color="auto"/>
                        <w:left w:val="none" w:sz="0" w:space="0" w:color="auto"/>
                        <w:bottom w:val="none" w:sz="0" w:space="0" w:color="auto"/>
                        <w:right w:val="none" w:sz="0" w:space="0" w:color="auto"/>
                      </w:divBdr>
                    </w:div>
                  </w:divsChild>
                </w:div>
                <w:div w:id="1893883399">
                  <w:marLeft w:val="0"/>
                  <w:marRight w:val="0"/>
                  <w:marTop w:val="0"/>
                  <w:marBottom w:val="0"/>
                  <w:divBdr>
                    <w:top w:val="none" w:sz="0" w:space="0" w:color="auto"/>
                    <w:left w:val="none" w:sz="0" w:space="0" w:color="auto"/>
                    <w:bottom w:val="none" w:sz="0" w:space="0" w:color="auto"/>
                    <w:right w:val="none" w:sz="0" w:space="0" w:color="auto"/>
                  </w:divBdr>
                  <w:divsChild>
                    <w:div w:id="262807260">
                      <w:marLeft w:val="0"/>
                      <w:marRight w:val="0"/>
                      <w:marTop w:val="0"/>
                      <w:marBottom w:val="0"/>
                      <w:divBdr>
                        <w:top w:val="none" w:sz="0" w:space="0" w:color="auto"/>
                        <w:left w:val="none" w:sz="0" w:space="0" w:color="auto"/>
                        <w:bottom w:val="none" w:sz="0" w:space="0" w:color="auto"/>
                        <w:right w:val="none" w:sz="0" w:space="0" w:color="auto"/>
                      </w:divBdr>
                    </w:div>
                  </w:divsChild>
                </w:div>
                <w:div w:id="2008290543">
                  <w:marLeft w:val="0"/>
                  <w:marRight w:val="0"/>
                  <w:marTop w:val="0"/>
                  <w:marBottom w:val="0"/>
                  <w:divBdr>
                    <w:top w:val="none" w:sz="0" w:space="0" w:color="auto"/>
                    <w:left w:val="none" w:sz="0" w:space="0" w:color="auto"/>
                    <w:bottom w:val="none" w:sz="0" w:space="0" w:color="auto"/>
                    <w:right w:val="none" w:sz="0" w:space="0" w:color="auto"/>
                  </w:divBdr>
                  <w:divsChild>
                    <w:div w:id="378209417">
                      <w:marLeft w:val="0"/>
                      <w:marRight w:val="0"/>
                      <w:marTop w:val="0"/>
                      <w:marBottom w:val="0"/>
                      <w:divBdr>
                        <w:top w:val="none" w:sz="0" w:space="0" w:color="auto"/>
                        <w:left w:val="none" w:sz="0" w:space="0" w:color="auto"/>
                        <w:bottom w:val="none" w:sz="0" w:space="0" w:color="auto"/>
                        <w:right w:val="none" w:sz="0" w:space="0" w:color="auto"/>
                      </w:divBdr>
                    </w:div>
                  </w:divsChild>
                </w:div>
                <w:div w:id="2041974344">
                  <w:marLeft w:val="0"/>
                  <w:marRight w:val="0"/>
                  <w:marTop w:val="0"/>
                  <w:marBottom w:val="0"/>
                  <w:divBdr>
                    <w:top w:val="none" w:sz="0" w:space="0" w:color="auto"/>
                    <w:left w:val="none" w:sz="0" w:space="0" w:color="auto"/>
                    <w:bottom w:val="none" w:sz="0" w:space="0" w:color="auto"/>
                    <w:right w:val="none" w:sz="0" w:space="0" w:color="auto"/>
                  </w:divBdr>
                  <w:divsChild>
                    <w:div w:id="337149800">
                      <w:marLeft w:val="0"/>
                      <w:marRight w:val="0"/>
                      <w:marTop w:val="0"/>
                      <w:marBottom w:val="0"/>
                      <w:divBdr>
                        <w:top w:val="none" w:sz="0" w:space="0" w:color="auto"/>
                        <w:left w:val="none" w:sz="0" w:space="0" w:color="auto"/>
                        <w:bottom w:val="none" w:sz="0" w:space="0" w:color="auto"/>
                        <w:right w:val="none" w:sz="0" w:space="0" w:color="auto"/>
                      </w:divBdr>
                    </w:div>
                  </w:divsChild>
                </w:div>
                <w:div w:id="2085905666">
                  <w:marLeft w:val="0"/>
                  <w:marRight w:val="0"/>
                  <w:marTop w:val="0"/>
                  <w:marBottom w:val="0"/>
                  <w:divBdr>
                    <w:top w:val="none" w:sz="0" w:space="0" w:color="auto"/>
                    <w:left w:val="none" w:sz="0" w:space="0" w:color="auto"/>
                    <w:bottom w:val="none" w:sz="0" w:space="0" w:color="auto"/>
                    <w:right w:val="none" w:sz="0" w:space="0" w:color="auto"/>
                  </w:divBdr>
                  <w:divsChild>
                    <w:div w:id="913121576">
                      <w:marLeft w:val="0"/>
                      <w:marRight w:val="0"/>
                      <w:marTop w:val="0"/>
                      <w:marBottom w:val="0"/>
                      <w:divBdr>
                        <w:top w:val="none" w:sz="0" w:space="0" w:color="auto"/>
                        <w:left w:val="none" w:sz="0" w:space="0" w:color="auto"/>
                        <w:bottom w:val="none" w:sz="0" w:space="0" w:color="auto"/>
                        <w:right w:val="none" w:sz="0" w:space="0" w:color="auto"/>
                      </w:divBdr>
                    </w:div>
                  </w:divsChild>
                </w:div>
                <w:div w:id="2086299921">
                  <w:marLeft w:val="0"/>
                  <w:marRight w:val="0"/>
                  <w:marTop w:val="0"/>
                  <w:marBottom w:val="0"/>
                  <w:divBdr>
                    <w:top w:val="none" w:sz="0" w:space="0" w:color="auto"/>
                    <w:left w:val="none" w:sz="0" w:space="0" w:color="auto"/>
                    <w:bottom w:val="none" w:sz="0" w:space="0" w:color="auto"/>
                    <w:right w:val="none" w:sz="0" w:space="0" w:color="auto"/>
                  </w:divBdr>
                  <w:divsChild>
                    <w:div w:id="84573653">
                      <w:marLeft w:val="0"/>
                      <w:marRight w:val="0"/>
                      <w:marTop w:val="0"/>
                      <w:marBottom w:val="0"/>
                      <w:divBdr>
                        <w:top w:val="none" w:sz="0" w:space="0" w:color="auto"/>
                        <w:left w:val="none" w:sz="0" w:space="0" w:color="auto"/>
                        <w:bottom w:val="none" w:sz="0" w:space="0" w:color="auto"/>
                        <w:right w:val="none" w:sz="0" w:space="0" w:color="auto"/>
                      </w:divBdr>
                    </w:div>
                  </w:divsChild>
                </w:div>
                <w:div w:id="2094087879">
                  <w:marLeft w:val="0"/>
                  <w:marRight w:val="0"/>
                  <w:marTop w:val="0"/>
                  <w:marBottom w:val="0"/>
                  <w:divBdr>
                    <w:top w:val="none" w:sz="0" w:space="0" w:color="auto"/>
                    <w:left w:val="none" w:sz="0" w:space="0" w:color="auto"/>
                    <w:bottom w:val="none" w:sz="0" w:space="0" w:color="auto"/>
                    <w:right w:val="none" w:sz="0" w:space="0" w:color="auto"/>
                  </w:divBdr>
                  <w:divsChild>
                    <w:div w:id="590818057">
                      <w:marLeft w:val="0"/>
                      <w:marRight w:val="0"/>
                      <w:marTop w:val="0"/>
                      <w:marBottom w:val="0"/>
                      <w:divBdr>
                        <w:top w:val="none" w:sz="0" w:space="0" w:color="auto"/>
                        <w:left w:val="none" w:sz="0" w:space="0" w:color="auto"/>
                        <w:bottom w:val="none" w:sz="0" w:space="0" w:color="auto"/>
                        <w:right w:val="none" w:sz="0" w:space="0" w:color="auto"/>
                      </w:divBdr>
                    </w:div>
                  </w:divsChild>
                </w:div>
                <w:div w:id="2143571289">
                  <w:marLeft w:val="0"/>
                  <w:marRight w:val="0"/>
                  <w:marTop w:val="0"/>
                  <w:marBottom w:val="0"/>
                  <w:divBdr>
                    <w:top w:val="none" w:sz="0" w:space="0" w:color="auto"/>
                    <w:left w:val="none" w:sz="0" w:space="0" w:color="auto"/>
                    <w:bottom w:val="none" w:sz="0" w:space="0" w:color="auto"/>
                    <w:right w:val="none" w:sz="0" w:space="0" w:color="auto"/>
                  </w:divBdr>
                  <w:divsChild>
                    <w:div w:id="20474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12048">
      <w:bodyDiv w:val="1"/>
      <w:marLeft w:val="0"/>
      <w:marRight w:val="0"/>
      <w:marTop w:val="0"/>
      <w:marBottom w:val="0"/>
      <w:divBdr>
        <w:top w:val="none" w:sz="0" w:space="0" w:color="auto"/>
        <w:left w:val="none" w:sz="0" w:space="0" w:color="auto"/>
        <w:bottom w:val="none" w:sz="0" w:space="0" w:color="auto"/>
        <w:right w:val="none" w:sz="0" w:space="0" w:color="auto"/>
      </w:divBdr>
    </w:div>
    <w:div w:id="512913768">
      <w:bodyDiv w:val="1"/>
      <w:marLeft w:val="0"/>
      <w:marRight w:val="0"/>
      <w:marTop w:val="0"/>
      <w:marBottom w:val="0"/>
      <w:divBdr>
        <w:top w:val="none" w:sz="0" w:space="0" w:color="auto"/>
        <w:left w:val="none" w:sz="0" w:space="0" w:color="auto"/>
        <w:bottom w:val="none" w:sz="0" w:space="0" w:color="auto"/>
        <w:right w:val="none" w:sz="0" w:space="0" w:color="auto"/>
      </w:divBdr>
    </w:div>
    <w:div w:id="587688507">
      <w:bodyDiv w:val="1"/>
      <w:marLeft w:val="0"/>
      <w:marRight w:val="0"/>
      <w:marTop w:val="0"/>
      <w:marBottom w:val="0"/>
      <w:divBdr>
        <w:top w:val="none" w:sz="0" w:space="0" w:color="auto"/>
        <w:left w:val="none" w:sz="0" w:space="0" w:color="auto"/>
        <w:bottom w:val="none" w:sz="0" w:space="0" w:color="auto"/>
        <w:right w:val="none" w:sz="0" w:space="0" w:color="auto"/>
      </w:divBdr>
    </w:div>
    <w:div w:id="608976990">
      <w:bodyDiv w:val="1"/>
      <w:marLeft w:val="0"/>
      <w:marRight w:val="0"/>
      <w:marTop w:val="0"/>
      <w:marBottom w:val="0"/>
      <w:divBdr>
        <w:top w:val="none" w:sz="0" w:space="0" w:color="auto"/>
        <w:left w:val="none" w:sz="0" w:space="0" w:color="auto"/>
        <w:bottom w:val="none" w:sz="0" w:space="0" w:color="auto"/>
        <w:right w:val="none" w:sz="0" w:space="0" w:color="auto"/>
      </w:divBdr>
    </w:div>
    <w:div w:id="671418147">
      <w:bodyDiv w:val="1"/>
      <w:marLeft w:val="0"/>
      <w:marRight w:val="0"/>
      <w:marTop w:val="0"/>
      <w:marBottom w:val="0"/>
      <w:divBdr>
        <w:top w:val="none" w:sz="0" w:space="0" w:color="auto"/>
        <w:left w:val="none" w:sz="0" w:space="0" w:color="auto"/>
        <w:bottom w:val="none" w:sz="0" w:space="0" w:color="auto"/>
        <w:right w:val="none" w:sz="0" w:space="0" w:color="auto"/>
      </w:divBdr>
    </w:div>
    <w:div w:id="696007626">
      <w:bodyDiv w:val="1"/>
      <w:marLeft w:val="0"/>
      <w:marRight w:val="0"/>
      <w:marTop w:val="0"/>
      <w:marBottom w:val="0"/>
      <w:divBdr>
        <w:top w:val="none" w:sz="0" w:space="0" w:color="auto"/>
        <w:left w:val="none" w:sz="0" w:space="0" w:color="auto"/>
        <w:bottom w:val="none" w:sz="0" w:space="0" w:color="auto"/>
        <w:right w:val="none" w:sz="0" w:space="0" w:color="auto"/>
      </w:divBdr>
    </w:div>
    <w:div w:id="762990467">
      <w:bodyDiv w:val="1"/>
      <w:marLeft w:val="0"/>
      <w:marRight w:val="0"/>
      <w:marTop w:val="0"/>
      <w:marBottom w:val="0"/>
      <w:divBdr>
        <w:top w:val="none" w:sz="0" w:space="0" w:color="auto"/>
        <w:left w:val="none" w:sz="0" w:space="0" w:color="auto"/>
        <w:bottom w:val="none" w:sz="0" w:space="0" w:color="auto"/>
        <w:right w:val="none" w:sz="0" w:space="0" w:color="auto"/>
      </w:divBdr>
      <w:divsChild>
        <w:div w:id="201747175">
          <w:marLeft w:val="274"/>
          <w:marRight w:val="0"/>
          <w:marTop w:val="0"/>
          <w:marBottom w:val="220"/>
          <w:divBdr>
            <w:top w:val="none" w:sz="0" w:space="0" w:color="auto"/>
            <w:left w:val="none" w:sz="0" w:space="0" w:color="auto"/>
            <w:bottom w:val="none" w:sz="0" w:space="0" w:color="auto"/>
            <w:right w:val="none" w:sz="0" w:space="0" w:color="auto"/>
          </w:divBdr>
        </w:div>
        <w:div w:id="481048572">
          <w:marLeft w:val="274"/>
          <w:marRight w:val="0"/>
          <w:marTop w:val="0"/>
          <w:marBottom w:val="220"/>
          <w:divBdr>
            <w:top w:val="none" w:sz="0" w:space="0" w:color="auto"/>
            <w:left w:val="none" w:sz="0" w:space="0" w:color="auto"/>
            <w:bottom w:val="none" w:sz="0" w:space="0" w:color="auto"/>
            <w:right w:val="none" w:sz="0" w:space="0" w:color="auto"/>
          </w:divBdr>
        </w:div>
        <w:div w:id="521363659">
          <w:marLeft w:val="274"/>
          <w:marRight w:val="0"/>
          <w:marTop w:val="0"/>
          <w:marBottom w:val="220"/>
          <w:divBdr>
            <w:top w:val="none" w:sz="0" w:space="0" w:color="auto"/>
            <w:left w:val="none" w:sz="0" w:space="0" w:color="auto"/>
            <w:bottom w:val="none" w:sz="0" w:space="0" w:color="auto"/>
            <w:right w:val="none" w:sz="0" w:space="0" w:color="auto"/>
          </w:divBdr>
        </w:div>
        <w:div w:id="1187526139">
          <w:marLeft w:val="274"/>
          <w:marRight w:val="0"/>
          <w:marTop w:val="0"/>
          <w:marBottom w:val="220"/>
          <w:divBdr>
            <w:top w:val="none" w:sz="0" w:space="0" w:color="auto"/>
            <w:left w:val="none" w:sz="0" w:space="0" w:color="auto"/>
            <w:bottom w:val="none" w:sz="0" w:space="0" w:color="auto"/>
            <w:right w:val="none" w:sz="0" w:space="0" w:color="auto"/>
          </w:divBdr>
        </w:div>
        <w:div w:id="1197540927">
          <w:marLeft w:val="274"/>
          <w:marRight w:val="0"/>
          <w:marTop w:val="0"/>
          <w:marBottom w:val="220"/>
          <w:divBdr>
            <w:top w:val="none" w:sz="0" w:space="0" w:color="auto"/>
            <w:left w:val="none" w:sz="0" w:space="0" w:color="auto"/>
            <w:bottom w:val="none" w:sz="0" w:space="0" w:color="auto"/>
            <w:right w:val="none" w:sz="0" w:space="0" w:color="auto"/>
          </w:divBdr>
        </w:div>
        <w:div w:id="1511066719">
          <w:marLeft w:val="274"/>
          <w:marRight w:val="0"/>
          <w:marTop w:val="0"/>
          <w:marBottom w:val="220"/>
          <w:divBdr>
            <w:top w:val="none" w:sz="0" w:space="0" w:color="auto"/>
            <w:left w:val="none" w:sz="0" w:space="0" w:color="auto"/>
            <w:bottom w:val="none" w:sz="0" w:space="0" w:color="auto"/>
            <w:right w:val="none" w:sz="0" w:space="0" w:color="auto"/>
          </w:divBdr>
        </w:div>
        <w:div w:id="1672954392">
          <w:marLeft w:val="274"/>
          <w:marRight w:val="0"/>
          <w:marTop w:val="0"/>
          <w:marBottom w:val="220"/>
          <w:divBdr>
            <w:top w:val="none" w:sz="0" w:space="0" w:color="auto"/>
            <w:left w:val="none" w:sz="0" w:space="0" w:color="auto"/>
            <w:bottom w:val="none" w:sz="0" w:space="0" w:color="auto"/>
            <w:right w:val="none" w:sz="0" w:space="0" w:color="auto"/>
          </w:divBdr>
        </w:div>
        <w:div w:id="1694381059">
          <w:marLeft w:val="274"/>
          <w:marRight w:val="0"/>
          <w:marTop w:val="0"/>
          <w:marBottom w:val="220"/>
          <w:divBdr>
            <w:top w:val="none" w:sz="0" w:space="0" w:color="auto"/>
            <w:left w:val="none" w:sz="0" w:space="0" w:color="auto"/>
            <w:bottom w:val="none" w:sz="0" w:space="0" w:color="auto"/>
            <w:right w:val="none" w:sz="0" w:space="0" w:color="auto"/>
          </w:divBdr>
        </w:div>
        <w:div w:id="2070685639">
          <w:marLeft w:val="274"/>
          <w:marRight w:val="0"/>
          <w:marTop w:val="0"/>
          <w:marBottom w:val="220"/>
          <w:divBdr>
            <w:top w:val="none" w:sz="0" w:space="0" w:color="auto"/>
            <w:left w:val="none" w:sz="0" w:space="0" w:color="auto"/>
            <w:bottom w:val="none" w:sz="0" w:space="0" w:color="auto"/>
            <w:right w:val="none" w:sz="0" w:space="0" w:color="auto"/>
          </w:divBdr>
        </w:div>
        <w:div w:id="2088721934">
          <w:marLeft w:val="274"/>
          <w:marRight w:val="0"/>
          <w:marTop w:val="0"/>
          <w:marBottom w:val="220"/>
          <w:divBdr>
            <w:top w:val="none" w:sz="0" w:space="0" w:color="auto"/>
            <w:left w:val="none" w:sz="0" w:space="0" w:color="auto"/>
            <w:bottom w:val="none" w:sz="0" w:space="0" w:color="auto"/>
            <w:right w:val="none" w:sz="0" w:space="0" w:color="auto"/>
          </w:divBdr>
        </w:div>
      </w:divsChild>
    </w:div>
    <w:div w:id="797181123">
      <w:bodyDiv w:val="1"/>
      <w:marLeft w:val="0"/>
      <w:marRight w:val="0"/>
      <w:marTop w:val="0"/>
      <w:marBottom w:val="0"/>
      <w:divBdr>
        <w:top w:val="none" w:sz="0" w:space="0" w:color="auto"/>
        <w:left w:val="none" w:sz="0" w:space="0" w:color="auto"/>
        <w:bottom w:val="none" w:sz="0" w:space="0" w:color="auto"/>
        <w:right w:val="none" w:sz="0" w:space="0" w:color="auto"/>
      </w:divBdr>
    </w:div>
    <w:div w:id="855311617">
      <w:bodyDiv w:val="1"/>
      <w:marLeft w:val="0"/>
      <w:marRight w:val="0"/>
      <w:marTop w:val="0"/>
      <w:marBottom w:val="0"/>
      <w:divBdr>
        <w:top w:val="none" w:sz="0" w:space="0" w:color="auto"/>
        <w:left w:val="none" w:sz="0" w:space="0" w:color="auto"/>
        <w:bottom w:val="none" w:sz="0" w:space="0" w:color="auto"/>
        <w:right w:val="none" w:sz="0" w:space="0" w:color="auto"/>
      </w:divBdr>
    </w:div>
    <w:div w:id="940259163">
      <w:bodyDiv w:val="1"/>
      <w:marLeft w:val="0"/>
      <w:marRight w:val="0"/>
      <w:marTop w:val="0"/>
      <w:marBottom w:val="0"/>
      <w:divBdr>
        <w:top w:val="none" w:sz="0" w:space="0" w:color="auto"/>
        <w:left w:val="none" w:sz="0" w:space="0" w:color="auto"/>
        <w:bottom w:val="none" w:sz="0" w:space="0" w:color="auto"/>
        <w:right w:val="none" w:sz="0" w:space="0" w:color="auto"/>
      </w:divBdr>
      <w:divsChild>
        <w:div w:id="96414144">
          <w:marLeft w:val="446"/>
          <w:marRight w:val="0"/>
          <w:marTop w:val="0"/>
          <w:marBottom w:val="220"/>
          <w:divBdr>
            <w:top w:val="none" w:sz="0" w:space="0" w:color="auto"/>
            <w:left w:val="none" w:sz="0" w:space="0" w:color="auto"/>
            <w:bottom w:val="none" w:sz="0" w:space="0" w:color="auto"/>
            <w:right w:val="none" w:sz="0" w:space="0" w:color="auto"/>
          </w:divBdr>
        </w:div>
        <w:div w:id="374932334">
          <w:marLeft w:val="446"/>
          <w:marRight w:val="0"/>
          <w:marTop w:val="0"/>
          <w:marBottom w:val="220"/>
          <w:divBdr>
            <w:top w:val="none" w:sz="0" w:space="0" w:color="auto"/>
            <w:left w:val="none" w:sz="0" w:space="0" w:color="auto"/>
            <w:bottom w:val="none" w:sz="0" w:space="0" w:color="auto"/>
            <w:right w:val="none" w:sz="0" w:space="0" w:color="auto"/>
          </w:divBdr>
        </w:div>
        <w:div w:id="404105962">
          <w:marLeft w:val="446"/>
          <w:marRight w:val="0"/>
          <w:marTop w:val="0"/>
          <w:marBottom w:val="220"/>
          <w:divBdr>
            <w:top w:val="none" w:sz="0" w:space="0" w:color="auto"/>
            <w:left w:val="none" w:sz="0" w:space="0" w:color="auto"/>
            <w:bottom w:val="none" w:sz="0" w:space="0" w:color="auto"/>
            <w:right w:val="none" w:sz="0" w:space="0" w:color="auto"/>
          </w:divBdr>
        </w:div>
        <w:div w:id="431974114">
          <w:marLeft w:val="446"/>
          <w:marRight w:val="0"/>
          <w:marTop w:val="0"/>
          <w:marBottom w:val="220"/>
          <w:divBdr>
            <w:top w:val="none" w:sz="0" w:space="0" w:color="auto"/>
            <w:left w:val="none" w:sz="0" w:space="0" w:color="auto"/>
            <w:bottom w:val="none" w:sz="0" w:space="0" w:color="auto"/>
            <w:right w:val="none" w:sz="0" w:space="0" w:color="auto"/>
          </w:divBdr>
        </w:div>
        <w:div w:id="559680223">
          <w:marLeft w:val="446"/>
          <w:marRight w:val="0"/>
          <w:marTop w:val="0"/>
          <w:marBottom w:val="220"/>
          <w:divBdr>
            <w:top w:val="none" w:sz="0" w:space="0" w:color="auto"/>
            <w:left w:val="none" w:sz="0" w:space="0" w:color="auto"/>
            <w:bottom w:val="none" w:sz="0" w:space="0" w:color="auto"/>
            <w:right w:val="none" w:sz="0" w:space="0" w:color="auto"/>
          </w:divBdr>
        </w:div>
        <w:div w:id="967316221">
          <w:marLeft w:val="446"/>
          <w:marRight w:val="0"/>
          <w:marTop w:val="0"/>
          <w:marBottom w:val="220"/>
          <w:divBdr>
            <w:top w:val="none" w:sz="0" w:space="0" w:color="auto"/>
            <w:left w:val="none" w:sz="0" w:space="0" w:color="auto"/>
            <w:bottom w:val="none" w:sz="0" w:space="0" w:color="auto"/>
            <w:right w:val="none" w:sz="0" w:space="0" w:color="auto"/>
          </w:divBdr>
        </w:div>
        <w:div w:id="1562867601">
          <w:marLeft w:val="446"/>
          <w:marRight w:val="0"/>
          <w:marTop w:val="0"/>
          <w:marBottom w:val="220"/>
          <w:divBdr>
            <w:top w:val="none" w:sz="0" w:space="0" w:color="auto"/>
            <w:left w:val="none" w:sz="0" w:space="0" w:color="auto"/>
            <w:bottom w:val="none" w:sz="0" w:space="0" w:color="auto"/>
            <w:right w:val="none" w:sz="0" w:space="0" w:color="auto"/>
          </w:divBdr>
        </w:div>
        <w:div w:id="2102481327">
          <w:marLeft w:val="446"/>
          <w:marRight w:val="0"/>
          <w:marTop w:val="0"/>
          <w:marBottom w:val="220"/>
          <w:divBdr>
            <w:top w:val="none" w:sz="0" w:space="0" w:color="auto"/>
            <w:left w:val="none" w:sz="0" w:space="0" w:color="auto"/>
            <w:bottom w:val="none" w:sz="0" w:space="0" w:color="auto"/>
            <w:right w:val="none" w:sz="0" w:space="0" w:color="auto"/>
          </w:divBdr>
        </w:div>
      </w:divsChild>
    </w:div>
    <w:div w:id="940336160">
      <w:bodyDiv w:val="1"/>
      <w:marLeft w:val="0"/>
      <w:marRight w:val="0"/>
      <w:marTop w:val="0"/>
      <w:marBottom w:val="0"/>
      <w:divBdr>
        <w:top w:val="none" w:sz="0" w:space="0" w:color="auto"/>
        <w:left w:val="none" w:sz="0" w:space="0" w:color="auto"/>
        <w:bottom w:val="none" w:sz="0" w:space="0" w:color="auto"/>
        <w:right w:val="none" w:sz="0" w:space="0" w:color="auto"/>
      </w:divBdr>
    </w:div>
    <w:div w:id="966086924">
      <w:bodyDiv w:val="1"/>
      <w:marLeft w:val="0"/>
      <w:marRight w:val="0"/>
      <w:marTop w:val="0"/>
      <w:marBottom w:val="0"/>
      <w:divBdr>
        <w:top w:val="none" w:sz="0" w:space="0" w:color="auto"/>
        <w:left w:val="none" w:sz="0" w:space="0" w:color="auto"/>
        <w:bottom w:val="none" w:sz="0" w:space="0" w:color="auto"/>
        <w:right w:val="none" w:sz="0" w:space="0" w:color="auto"/>
      </w:divBdr>
    </w:div>
    <w:div w:id="999502067">
      <w:bodyDiv w:val="1"/>
      <w:marLeft w:val="0"/>
      <w:marRight w:val="0"/>
      <w:marTop w:val="0"/>
      <w:marBottom w:val="0"/>
      <w:divBdr>
        <w:top w:val="none" w:sz="0" w:space="0" w:color="auto"/>
        <w:left w:val="none" w:sz="0" w:space="0" w:color="auto"/>
        <w:bottom w:val="none" w:sz="0" w:space="0" w:color="auto"/>
        <w:right w:val="none" w:sz="0" w:space="0" w:color="auto"/>
      </w:divBdr>
    </w:div>
    <w:div w:id="1035081313">
      <w:bodyDiv w:val="1"/>
      <w:marLeft w:val="0"/>
      <w:marRight w:val="0"/>
      <w:marTop w:val="0"/>
      <w:marBottom w:val="0"/>
      <w:divBdr>
        <w:top w:val="none" w:sz="0" w:space="0" w:color="auto"/>
        <w:left w:val="none" w:sz="0" w:space="0" w:color="auto"/>
        <w:bottom w:val="none" w:sz="0" w:space="0" w:color="auto"/>
        <w:right w:val="none" w:sz="0" w:space="0" w:color="auto"/>
      </w:divBdr>
      <w:divsChild>
        <w:div w:id="117064273">
          <w:marLeft w:val="446"/>
          <w:marRight w:val="0"/>
          <w:marTop w:val="0"/>
          <w:marBottom w:val="220"/>
          <w:divBdr>
            <w:top w:val="none" w:sz="0" w:space="0" w:color="auto"/>
            <w:left w:val="none" w:sz="0" w:space="0" w:color="auto"/>
            <w:bottom w:val="none" w:sz="0" w:space="0" w:color="auto"/>
            <w:right w:val="none" w:sz="0" w:space="0" w:color="auto"/>
          </w:divBdr>
        </w:div>
        <w:div w:id="281696013">
          <w:marLeft w:val="446"/>
          <w:marRight w:val="0"/>
          <w:marTop w:val="0"/>
          <w:marBottom w:val="220"/>
          <w:divBdr>
            <w:top w:val="none" w:sz="0" w:space="0" w:color="auto"/>
            <w:left w:val="none" w:sz="0" w:space="0" w:color="auto"/>
            <w:bottom w:val="none" w:sz="0" w:space="0" w:color="auto"/>
            <w:right w:val="none" w:sz="0" w:space="0" w:color="auto"/>
          </w:divBdr>
        </w:div>
        <w:div w:id="1610551170">
          <w:marLeft w:val="446"/>
          <w:marRight w:val="0"/>
          <w:marTop w:val="0"/>
          <w:marBottom w:val="220"/>
          <w:divBdr>
            <w:top w:val="none" w:sz="0" w:space="0" w:color="auto"/>
            <w:left w:val="none" w:sz="0" w:space="0" w:color="auto"/>
            <w:bottom w:val="none" w:sz="0" w:space="0" w:color="auto"/>
            <w:right w:val="none" w:sz="0" w:space="0" w:color="auto"/>
          </w:divBdr>
        </w:div>
        <w:div w:id="2091853255">
          <w:marLeft w:val="446"/>
          <w:marRight w:val="0"/>
          <w:marTop w:val="0"/>
          <w:marBottom w:val="220"/>
          <w:divBdr>
            <w:top w:val="none" w:sz="0" w:space="0" w:color="auto"/>
            <w:left w:val="none" w:sz="0" w:space="0" w:color="auto"/>
            <w:bottom w:val="none" w:sz="0" w:space="0" w:color="auto"/>
            <w:right w:val="none" w:sz="0" w:space="0" w:color="auto"/>
          </w:divBdr>
        </w:div>
        <w:div w:id="2101756472">
          <w:marLeft w:val="446"/>
          <w:marRight w:val="0"/>
          <w:marTop w:val="0"/>
          <w:marBottom w:val="220"/>
          <w:divBdr>
            <w:top w:val="none" w:sz="0" w:space="0" w:color="auto"/>
            <w:left w:val="none" w:sz="0" w:space="0" w:color="auto"/>
            <w:bottom w:val="none" w:sz="0" w:space="0" w:color="auto"/>
            <w:right w:val="none" w:sz="0" w:space="0" w:color="auto"/>
          </w:divBdr>
        </w:div>
      </w:divsChild>
    </w:div>
    <w:div w:id="1071463268">
      <w:bodyDiv w:val="1"/>
      <w:marLeft w:val="0"/>
      <w:marRight w:val="0"/>
      <w:marTop w:val="0"/>
      <w:marBottom w:val="0"/>
      <w:divBdr>
        <w:top w:val="none" w:sz="0" w:space="0" w:color="auto"/>
        <w:left w:val="none" w:sz="0" w:space="0" w:color="auto"/>
        <w:bottom w:val="none" w:sz="0" w:space="0" w:color="auto"/>
        <w:right w:val="none" w:sz="0" w:space="0" w:color="auto"/>
      </w:divBdr>
      <w:divsChild>
        <w:div w:id="530605939">
          <w:marLeft w:val="547"/>
          <w:marRight w:val="0"/>
          <w:marTop w:val="0"/>
          <w:marBottom w:val="0"/>
          <w:divBdr>
            <w:top w:val="none" w:sz="0" w:space="0" w:color="auto"/>
            <w:left w:val="none" w:sz="0" w:space="0" w:color="auto"/>
            <w:bottom w:val="none" w:sz="0" w:space="0" w:color="auto"/>
            <w:right w:val="none" w:sz="0" w:space="0" w:color="auto"/>
          </w:divBdr>
        </w:div>
        <w:div w:id="1240098921">
          <w:marLeft w:val="547"/>
          <w:marRight w:val="0"/>
          <w:marTop w:val="0"/>
          <w:marBottom w:val="0"/>
          <w:divBdr>
            <w:top w:val="none" w:sz="0" w:space="0" w:color="auto"/>
            <w:left w:val="none" w:sz="0" w:space="0" w:color="auto"/>
            <w:bottom w:val="none" w:sz="0" w:space="0" w:color="auto"/>
            <w:right w:val="none" w:sz="0" w:space="0" w:color="auto"/>
          </w:divBdr>
        </w:div>
        <w:div w:id="1527790933">
          <w:marLeft w:val="547"/>
          <w:marRight w:val="0"/>
          <w:marTop w:val="0"/>
          <w:marBottom w:val="0"/>
          <w:divBdr>
            <w:top w:val="none" w:sz="0" w:space="0" w:color="auto"/>
            <w:left w:val="none" w:sz="0" w:space="0" w:color="auto"/>
            <w:bottom w:val="none" w:sz="0" w:space="0" w:color="auto"/>
            <w:right w:val="none" w:sz="0" w:space="0" w:color="auto"/>
          </w:divBdr>
        </w:div>
        <w:div w:id="1594699811">
          <w:marLeft w:val="547"/>
          <w:marRight w:val="0"/>
          <w:marTop w:val="0"/>
          <w:marBottom w:val="0"/>
          <w:divBdr>
            <w:top w:val="none" w:sz="0" w:space="0" w:color="auto"/>
            <w:left w:val="none" w:sz="0" w:space="0" w:color="auto"/>
            <w:bottom w:val="none" w:sz="0" w:space="0" w:color="auto"/>
            <w:right w:val="none" w:sz="0" w:space="0" w:color="auto"/>
          </w:divBdr>
        </w:div>
        <w:div w:id="2143496782">
          <w:marLeft w:val="547"/>
          <w:marRight w:val="0"/>
          <w:marTop w:val="0"/>
          <w:marBottom w:val="0"/>
          <w:divBdr>
            <w:top w:val="none" w:sz="0" w:space="0" w:color="auto"/>
            <w:left w:val="none" w:sz="0" w:space="0" w:color="auto"/>
            <w:bottom w:val="none" w:sz="0" w:space="0" w:color="auto"/>
            <w:right w:val="none" w:sz="0" w:space="0" w:color="auto"/>
          </w:divBdr>
        </w:div>
      </w:divsChild>
    </w:div>
    <w:div w:id="1072890631">
      <w:bodyDiv w:val="1"/>
      <w:marLeft w:val="0"/>
      <w:marRight w:val="0"/>
      <w:marTop w:val="0"/>
      <w:marBottom w:val="0"/>
      <w:divBdr>
        <w:top w:val="none" w:sz="0" w:space="0" w:color="auto"/>
        <w:left w:val="none" w:sz="0" w:space="0" w:color="auto"/>
        <w:bottom w:val="none" w:sz="0" w:space="0" w:color="auto"/>
        <w:right w:val="none" w:sz="0" w:space="0" w:color="auto"/>
      </w:divBdr>
    </w:div>
    <w:div w:id="1101025762">
      <w:bodyDiv w:val="1"/>
      <w:marLeft w:val="0"/>
      <w:marRight w:val="0"/>
      <w:marTop w:val="0"/>
      <w:marBottom w:val="0"/>
      <w:divBdr>
        <w:top w:val="none" w:sz="0" w:space="0" w:color="auto"/>
        <w:left w:val="none" w:sz="0" w:space="0" w:color="auto"/>
        <w:bottom w:val="none" w:sz="0" w:space="0" w:color="auto"/>
        <w:right w:val="none" w:sz="0" w:space="0" w:color="auto"/>
      </w:divBdr>
      <w:divsChild>
        <w:div w:id="20402606">
          <w:marLeft w:val="0"/>
          <w:marRight w:val="0"/>
          <w:marTop w:val="0"/>
          <w:marBottom w:val="0"/>
          <w:divBdr>
            <w:top w:val="none" w:sz="0" w:space="0" w:color="auto"/>
            <w:left w:val="none" w:sz="0" w:space="0" w:color="auto"/>
            <w:bottom w:val="none" w:sz="0" w:space="0" w:color="auto"/>
            <w:right w:val="none" w:sz="0" w:space="0" w:color="auto"/>
          </w:divBdr>
          <w:divsChild>
            <w:div w:id="1283146233">
              <w:marLeft w:val="0"/>
              <w:marRight w:val="0"/>
              <w:marTop w:val="0"/>
              <w:marBottom w:val="0"/>
              <w:divBdr>
                <w:top w:val="none" w:sz="0" w:space="0" w:color="auto"/>
                <w:left w:val="none" w:sz="0" w:space="0" w:color="auto"/>
                <w:bottom w:val="none" w:sz="0" w:space="0" w:color="auto"/>
                <w:right w:val="none" w:sz="0" w:space="0" w:color="auto"/>
              </w:divBdr>
            </w:div>
          </w:divsChild>
        </w:div>
        <w:div w:id="38290800">
          <w:marLeft w:val="0"/>
          <w:marRight w:val="0"/>
          <w:marTop w:val="0"/>
          <w:marBottom w:val="0"/>
          <w:divBdr>
            <w:top w:val="none" w:sz="0" w:space="0" w:color="auto"/>
            <w:left w:val="none" w:sz="0" w:space="0" w:color="auto"/>
            <w:bottom w:val="none" w:sz="0" w:space="0" w:color="auto"/>
            <w:right w:val="none" w:sz="0" w:space="0" w:color="auto"/>
          </w:divBdr>
          <w:divsChild>
            <w:div w:id="732240778">
              <w:marLeft w:val="0"/>
              <w:marRight w:val="0"/>
              <w:marTop w:val="0"/>
              <w:marBottom w:val="0"/>
              <w:divBdr>
                <w:top w:val="none" w:sz="0" w:space="0" w:color="auto"/>
                <w:left w:val="none" w:sz="0" w:space="0" w:color="auto"/>
                <w:bottom w:val="none" w:sz="0" w:space="0" w:color="auto"/>
                <w:right w:val="none" w:sz="0" w:space="0" w:color="auto"/>
              </w:divBdr>
            </w:div>
          </w:divsChild>
        </w:div>
        <w:div w:id="60521920">
          <w:marLeft w:val="0"/>
          <w:marRight w:val="0"/>
          <w:marTop w:val="0"/>
          <w:marBottom w:val="0"/>
          <w:divBdr>
            <w:top w:val="none" w:sz="0" w:space="0" w:color="auto"/>
            <w:left w:val="none" w:sz="0" w:space="0" w:color="auto"/>
            <w:bottom w:val="none" w:sz="0" w:space="0" w:color="auto"/>
            <w:right w:val="none" w:sz="0" w:space="0" w:color="auto"/>
          </w:divBdr>
          <w:divsChild>
            <w:div w:id="2077970387">
              <w:marLeft w:val="0"/>
              <w:marRight w:val="0"/>
              <w:marTop w:val="0"/>
              <w:marBottom w:val="0"/>
              <w:divBdr>
                <w:top w:val="none" w:sz="0" w:space="0" w:color="auto"/>
                <w:left w:val="none" w:sz="0" w:space="0" w:color="auto"/>
                <w:bottom w:val="none" w:sz="0" w:space="0" w:color="auto"/>
                <w:right w:val="none" w:sz="0" w:space="0" w:color="auto"/>
              </w:divBdr>
            </w:div>
          </w:divsChild>
        </w:div>
        <w:div w:id="168057490">
          <w:marLeft w:val="0"/>
          <w:marRight w:val="0"/>
          <w:marTop w:val="0"/>
          <w:marBottom w:val="0"/>
          <w:divBdr>
            <w:top w:val="none" w:sz="0" w:space="0" w:color="auto"/>
            <w:left w:val="none" w:sz="0" w:space="0" w:color="auto"/>
            <w:bottom w:val="none" w:sz="0" w:space="0" w:color="auto"/>
            <w:right w:val="none" w:sz="0" w:space="0" w:color="auto"/>
          </w:divBdr>
          <w:divsChild>
            <w:div w:id="1996569197">
              <w:marLeft w:val="0"/>
              <w:marRight w:val="0"/>
              <w:marTop w:val="0"/>
              <w:marBottom w:val="0"/>
              <w:divBdr>
                <w:top w:val="none" w:sz="0" w:space="0" w:color="auto"/>
                <w:left w:val="none" w:sz="0" w:space="0" w:color="auto"/>
                <w:bottom w:val="none" w:sz="0" w:space="0" w:color="auto"/>
                <w:right w:val="none" w:sz="0" w:space="0" w:color="auto"/>
              </w:divBdr>
            </w:div>
          </w:divsChild>
        </w:div>
        <w:div w:id="201138690">
          <w:marLeft w:val="0"/>
          <w:marRight w:val="0"/>
          <w:marTop w:val="0"/>
          <w:marBottom w:val="0"/>
          <w:divBdr>
            <w:top w:val="none" w:sz="0" w:space="0" w:color="auto"/>
            <w:left w:val="none" w:sz="0" w:space="0" w:color="auto"/>
            <w:bottom w:val="none" w:sz="0" w:space="0" w:color="auto"/>
            <w:right w:val="none" w:sz="0" w:space="0" w:color="auto"/>
          </w:divBdr>
          <w:divsChild>
            <w:div w:id="1932935673">
              <w:marLeft w:val="0"/>
              <w:marRight w:val="0"/>
              <w:marTop w:val="0"/>
              <w:marBottom w:val="0"/>
              <w:divBdr>
                <w:top w:val="none" w:sz="0" w:space="0" w:color="auto"/>
                <w:left w:val="none" w:sz="0" w:space="0" w:color="auto"/>
                <w:bottom w:val="none" w:sz="0" w:space="0" w:color="auto"/>
                <w:right w:val="none" w:sz="0" w:space="0" w:color="auto"/>
              </w:divBdr>
            </w:div>
          </w:divsChild>
        </w:div>
        <w:div w:id="228342307">
          <w:marLeft w:val="0"/>
          <w:marRight w:val="0"/>
          <w:marTop w:val="0"/>
          <w:marBottom w:val="0"/>
          <w:divBdr>
            <w:top w:val="none" w:sz="0" w:space="0" w:color="auto"/>
            <w:left w:val="none" w:sz="0" w:space="0" w:color="auto"/>
            <w:bottom w:val="none" w:sz="0" w:space="0" w:color="auto"/>
            <w:right w:val="none" w:sz="0" w:space="0" w:color="auto"/>
          </w:divBdr>
          <w:divsChild>
            <w:div w:id="1812404796">
              <w:marLeft w:val="0"/>
              <w:marRight w:val="0"/>
              <w:marTop w:val="0"/>
              <w:marBottom w:val="0"/>
              <w:divBdr>
                <w:top w:val="none" w:sz="0" w:space="0" w:color="auto"/>
                <w:left w:val="none" w:sz="0" w:space="0" w:color="auto"/>
                <w:bottom w:val="none" w:sz="0" w:space="0" w:color="auto"/>
                <w:right w:val="none" w:sz="0" w:space="0" w:color="auto"/>
              </w:divBdr>
            </w:div>
          </w:divsChild>
        </w:div>
        <w:div w:id="278296830">
          <w:marLeft w:val="0"/>
          <w:marRight w:val="0"/>
          <w:marTop w:val="0"/>
          <w:marBottom w:val="0"/>
          <w:divBdr>
            <w:top w:val="none" w:sz="0" w:space="0" w:color="auto"/>
            <w:left w:val="none" w:sz="0" w:space="0" w:color="auto"/>
            <w:bottom w:val="none" w:sz="0" w:space="0" w:color="auto"/>
            <w:right w:val="none" w:sz="0" w:space="0" w:color="auto"/>
          </w:divBdr>
          <w:divsChild>
            <w:div w:id="627781115">
              <w:marLeft w:val="0"/>
              <w:marRight w:val="0"/>
              <w:marTop w:val="0"/>
              <w:marBottom w:val="0"/>
              <w:divBdr>
                <w:top w:val="none" w:sz="0" w:space="0" w:color="auto"/>
                <w:left w:val="none" w:sz="0" w:space="0" w:color="auto"/>
                <w:bottom w:val="none" w:sz="0" w:space="0" w:color="auto"/>
                <w:right w:val="none" w:sz="0" w:space="0" w:color="auto"/>
              </w:divBdr>
            </w:div>
          </w:divsChild>
        </w:div>
        <w:div w:id="400447889">
          <w:marLeft w:val="0"/>
          <w:marRight w:val="0"/>
          <w:marTop w:val="0"/>
          <w:marBottom w:val="0"/>
          <w:divBdr>
            <w:top w:val="none" w:sz="0" w:space="0" w:color="auto"/>
            <w:left w:val="none" w:sz="0" w:space="0" w:color="auto"/>
            <w:bottom w:val="none" w:sz="0" w:space="0" w:color="auto"/>
            <w:right w:val="none" w:sz="0" w:space="0" w:color="auto"/>
          </w:divBdr>
          <w:divsChild>
            <w:div w:id="135069950">
              <w:marLeft w:val="0"/>
              <w:marRight w:val="0"/>
              <w:marTop w:val="0"/>
              <w:marBottom w:val="0"/>
              <w:divBdr>
                <w:top w:val="none" w:sz="0" w:space="0" w:color="auto"/>
                <w:left w:val="none" w:sz="0" w:space="0" w:color="auto"/>
                <w:bottom w:val="none" w:sz="0" w:space="0" w:color="auto"/>
                <w:right w:val="none" w:sz="0" w:space="0" w:color="auto"/>
              </w:divBdr>
            </w:div>
          </w:divsChild>
        </w:div>
        <w:div w:id="490371237">
          <w:marLeft w:val="0"/>
          <w:marRight w:val="0"/>
          <w:marTop w:val="0"/>
          <w:marBottom w:val="0"/>
          <w:divBdr>
            <w:top w:val="none" w:sz="0" w:space="0" w:color="auto"/>
            <w:left w:val="none" w:sz="0" w:space="0" w:color="auto"/>
            <w:bottom w:val="none" w:sz="0" w:space="0" w:color="auto"/>
            <w:right w:val="none" w:sz="0" w:space="0" w:color="auto"/>
          </w:divBdr>
          <w:divsChild>
            <w:div w:id="1053889425">
              <w:marLeft w:val="0"/>
              <w:marRight w:val="0"/>
              <w:marTop w:val="0"/>
              <w:marBottom w:val="0"/>
              <w:divBdr>
                <w:top w:val="none" w:sz="0" w:space="0" w:color="auto"/>
                <w:left w:val="none" w:sz="0" w:space="0" w:color="auto"/>
                <w:bottom w:val="none" w:sz="0" w:space="0" w:color="auto"/>
                <w:right w:val="none" w:sz="0" w:space="0" w:color="auto"/>
              </w:divBdr>
            </w:div>
          </w:divsChild>
        </w:div>
        <w:div w:id="620461271">
          <w:marLeft w:val="0"/>
          <w:marRight w:val="0"/>
          <w:marTop w:val="0"/>
          <w:marBottom w:val="0"/>
          <w:divBdr>
            <w:top w:val="none" w:sz="0" w:space="0" w:color="auto"/>
            <w:left w:val="none" w:sz="0" w:space="0" w:color="auto"/>
            <w:bottom w:val="none" w:sz="0" w:space="0" w:color="auto"/>
            <w:right w:val="none" w:sz="0" w:space="0" w:color="auto"/>
          </w:divBdr>
          <w:divsChild>
            <w:div w:id="1434210130">
              <w:marLeft w:val="0"/>
              <w:marRight w:val="0"/>
              <w:marTop w:val="0"/>
              <w:marBottom w:val="0"/>
              <w:divBdr>
                <w:top w:val="none" w:sz="0" w:space="0" w:color="auto"/>
                <w:left w:val="none" w:sz="0" w:space="0" w:color="auto"/>
                <w:bottom w:val="none" w:sz="0" w:space="0" w:color="auto"/>
                <w:right w:val="none" w:sz="0" w:space="0" w:color="auto"/>
              </w:divBdr>
            </w:div>
          </w:divsChild>
        </w:div>
        <w:div w:id="683673002">
          <w:marLeft w:val="0"/>
          <w:marRight w:val="0"/>
          <w:marTop w:val="0"/>
          <w:marBottom w:val="0"/>
          <w:divBdr>
            <w:top w:val="none" w:sz="0" w:space="0" w:color="auto"/>
            <w:left w:val="none" w:sz="0" w:space="0" w:color="auto"/>
            <w:bottom w:val="none" w:sz="0" w:space="0" w:color="auto"/>
            <w:right w:val="none" w:sz="0" w:space="0" w:color="auto"/>
          </w:divBdr>
          <w:divsChild>
            <w:div w:id="1866216166">
              <w:marLeft w:val="0"/>
              <w:marRight w:val="0"/>
              <w:marTop w:val="0"/>
              <w:marBottom w:val="0"/>
              <w:divBdr>
                <w:top w:val="none" w:sz="0" w:space="0" w:color="auto"/>
                <w:left w:val="none" w:sz="0" w:space="0" w:color="auto"/>
                <w:bottom w:val="none" w:sz="0" w:space="0" w:color="auto"/>
                <w:right w:val="none" w:sz="0" w:space="0" w:color="auto"/>
              </w:divBdr>
            </w:div>
          </w:divsChild>
        </w:div>
        <w:div w:id="862281063">
          <w:marLeft w:val="0"/>
          <w:marRight w:val="0"/>
          <w:marTop w:val="0"/>
          <w:marBottom w:val="0"/>
          <w:divBdr>
            <w:top w:val="none" w:sz="0" w:space="0" w:color="auto"/>
            <w:left w:val="none" w:sz="0" w:space="0" w:color="auto"/>
            <w:bottom w:val="none" w:sz="0" w:space="0" w:color="auto"/>
            <w:right w:val="none" w:sz="0" w:space="0" w:color="auto"/>
          </w:divBdr>
          <w:divsChild>
            <w:div w:id="656810791">
              <w:marLeft w:val="0"/>
              <w:marRight w:val="0"/>
              <w:marTop w:val="0"/>
              <w:marBottom w:val="0"/>
              <w:divBdr>
                <w:top w:val="none" w:sz="0" w:space="0" w:color="auto"/>
                <w:left w:val="none" w:sz="0" w:space="0" w:color="auto"/>
                <w:bottom w:val="none" w:sz="0" w:space="0" w:color="auto"/>
                <w:right w:val="none" w:sz="0" w:space="0" w:color="auto"/>
              </w:divBdr>
            </w:div>
          </w:divsChild>
        </w:div>
        <w:div w:id="969633600">
          <w:marLeft w:val="0"/>
          <w:marRight w:val="0"/>
          <w:marTop w:val="0"/>
          <w:marBottom w:val="0"/>
          <w:divBdr>
            <w:top w:val="none" w:sz="0" w:space="0" w:color="auto"/>
            <w:left w:val="none" w:sz="0" w:space="0" w:color="auto"/>
            <w:bottom w:val="none" w:sz="0" w:space="0" w:color="auto"/>
            <w:right w:val="none" w:sz="0" w:space="0" w:color="auto"/>
          </w:divBdr>
          <w:divsChild>
            <w:div w:id="382600727">
              <w:marLeft w:val="0"/>
              <w:marRight w:val="0"/>
              <w:marTop w:val="0"/>
              <w:marBottom w:val="0"/>
              <w:divBdr>
                <w:top w:val="none" w:sz="0" w:space="0" w:color="auto"/>
                <w:left w:val="none" w:sz="0" w:space="0" w:color="auto"/>
                <w:bottom w:val="none" w:sz="0" w:space="0" w:color="auto"/>
                <w:right w:val="none" w:sz="0" w:space="0" w:color="auto"/>
              </w:divBdr>
            </w:div>
          </w:divsChild>
        </w:div>
        <w:div w:id="1004628402">
          <w:marLeft w:val="0"/>
          <w:marRight w:val="0"/>
          <w:marTop w:val="0"/>
          <w:marBottom w:val="0"/>
          <w:divBdr>
            <w:top w:val="none" w:sz="0" w:space="0" w:color="auto"/>
            <w:left w:val="none" w:sz="0" w:space="0" w:color="auto"/>
            <w:bottom w:val="none" w:sz="0" w:space="0" w:color="auto"/>
            <w:right w:val="none" w:sz="0" w:space="0" w:color="auto"/>
          </w:divBdr>
          <w:divsChild>
            <w:div w:id="1225483099">
              <w:marLeft w:val="0"/>
              <w:marRight w:val="0"/>
              <w:marTop w:val="0"/>
              <w:marBottom w:val="0"/>
              <w:divBdr>
                <w:top w:val="none" w:sz="0" w:space="0" w:color="auto"/>
                <w:left w:val="none" w:sz="0" w:space="0" w:color="auto"/>
                <w:bottom w:val="none" w:sz="0" w:space="0" w:color="auto"/>
                <w:right w:val="none" w:sz="0" w:space="0" w:color="auto"/>
              </w:divBdr>
            </w:div>
          </w:divsChild>
        </w:div>
        <w:div w:id="1259946424">
          <w:marLeft w:val="0"/>
          <w:marRight w:val="0"/>
          <w:marTop w:val="0"/>
          <w:marBottom w:val="0"/>
          <w:divBdr>
            <w:top w:val="none" w:sz="0" w:space="0" w:color="auto"/>
            <w:left w:val="none" w:sz="0" w:space="0" w:color="auto"/>
            <w:bottom w:val="none" w:sz="0" w:space="0" w:color="auto"/>
            <w:right w:val="none" w:sz="0" w:space="0" w:color="auto"/>
          </w:divBdr>
          <w:divsChild>
            <w:div w:id="459692083">
              <w:marLeft w:val="0"/>
              <w:marRight w:val="0"/>
              <w:marTop w:val="0"/>
              <w:marBottom w:val="0"/>
              <w:divBdr>
                <w:top w:val="none" w:sz="0" w:space="0" w:color="auto"/>
                <w:left w:val="none" w:sz="0" w:space="0" w:color="auto"/>
                <w:bottom w:val="none" w:sz="0" w:space="0" w:color="auto"/>
                <w:right w:val="none" w:sz="0" w:space="0" w:color="auto"/>
              </w:divBdr>
            </w:div>
          </w:divsChild>
        </w:div>
        <w:div w:id="1274552220">
          <w:marLeft w:val="0"/>
          <w:marRight w:val="0"/>
          <w:marTop w:val="0"/>
          <w:marBottom w:val="0"/>
          <w:divBdr>
            <w:top w:val="none" w:sz="0" w:space="0" w:color="auto"/>
            <w:left w:val="none" w:sz="0" w:space="0" w:color="auto"/>
            <w:bottom w:val="none" w:sz="0" w:space="0" w:color="auto"/>
            <w:right w:val="none" w:sz="0" w:space="0" w:color="auto"/>
          </w:divBdr>
          <w:divsChild>
            <w:div w:id="65230369">
              <w:marLeft w:val="0"/>
              <w:marRight w:val="0"/>
              <w:marTop w:val="0"/>
              <w:marBottom w:val="0"/>
              <w:divBdr>
                <w:top w:val="none" w:sz="0" w:space="0" w:color="auto"/>
                <w:left w:val="none" w:sz="0" w:space="0" w:color="auto"/>
                <w:bottom w:val="none" w:sz="0" w:space="0" w:color="auto"/>
                <w:right w:val="none" w:sz="0" w:space="0" w:color="auto"/>
              </w:divBdr>
            </w:div>
          </w:divsChild>
        </w:div>
        <w:div w:id="1405957914">
          <w:marLeft w:val="0"/>
          <w:marRight w:val="0"/>
          <w:marTop w:val="0"/>
          <w:marBottom w:val="0"/>
          <w:divBdr>
            <w:top w:val="none" w:sz="0" w:space="0" w:color="auto"/>
            <w:left w:val="none" w:sz="0" w:space="0" w:color="auto"/>
            <w:bottom w:val="none" w:sz="0" w:space="0" w:color="auto"/>
            <w:right w:val="none" w:sz="0" w:space="0" w:color="auto"/>
          </w:divBdr>
          <w:divsChild>
            <w:div w:id="784034702">
              <w:marLeft w:val="0"/>
              <w:marRight w:val="0"/>
              <w:marTop w:val="0"/>
              <w:marBottom w:val="0"/>
              <w:divBdr>
                <w:top w:val="none" w:sz="0" w:space="0" w:color="auto"/>
                <w:left w:val="none" w:sz="0" w:space="0" w:color="auto"/>
                <w:bottom w:val="none" w:sz="0" w:space="0" w:color="auto"/>
                <w:right w:val="none" w:sz="0" w:space="0" w:color="auto"/>
              </w:divBdr>
            </w:div>
          </w:divsChild>
        </w:div>
        <w:div w:id="1488128922">
          <w:marLeft w:val="0"/>
          <w:marRight w:val="0"/>
          <w:marTop w:val="0"/>
          <w:marBottom w:val="0"/>
          <w:divBdr>
            <w:top w:val="none" w:sz="0" w:space="0" w:color="auto"/>
            <w:left w:val="none" w:sz="0" w:space="0" w:color="auto"/>
            <w:bottom w:val="none" w:sz="0" w:space="0" w:color="auto"/>
            <w:right w:val="none" w:sz="0" w:space="0" w:color="auto"/>
          </w:divBdr>
          <w:divsChild>
            <w:div w:id="2057661063">
              <w:marLeft w:val="0"/>
              <w:marRight w:val="0"/>
              <w:marTop w:val="0"/>
              <w:marBottom w:val="0"/>
              <w:divBdr>
                <w:top w:val="none" w:sz="0" w:space="0" w:color="auto"/>
                <w:left w:val="none" w:sz="0" w:space="0" w:color="auto"/>
                <w:bottom w:val="none" w:sz="0" w:space="0" w:color="auto"/>
                <w:right w:val="none" w:sz="0" w:space="0" w:color="auto"/>
              </w:divBdr>
            </w:div>
          </w:divsChild>
        </w:div>
        <w:div w:id="1531215293">
          <w:marLeft w:val="0"/>
          <w:marRight w:val="0"/>
          <w:marTop w:val="0"/>
          <w:marBottom w:val="0"/>
          <w:divBdr>
            <w:top w:val="none" w:sz="0" w:space="0" w:color="auto"/>
            <w:left w:val="none" w:sz="0" w:space="0" w:color="auto"/>
            <w:bottom w:val="none" w:sz="0" w:space="0" w:color="auto"/>
            <w:right w:val="none" w:sz="0" w:space="0" w:color="auto"/>
          </w:divBdr>
          <w:divsChild>
            <w:div w:id="496922988">
              <w:marLeft w:val="0"/>
              <w:marRight w:val="0"/>
              <w:marTop w:val="0"/>
              <w:marBottom w:val="0"/>
              <w:divBdr>
                <w:top w:val="none" w:sz="0" w:space="0" w:color="auto"/>
                <w:left w:val="none" w:sz="0" w:space="0" w:color="auto"/>
                <w:bottom w:val="none" w:sz="0" w:space="0" w:color="auto"/>
                <w:right w:val="none" w:sz="0" w:space="0" w:color="auto"/>
              </w:divBdr>
            </w:div>
          </w:divsChild>
        </w:div>
        <w:div w:id="1546214991">
          <w:marLeft w:val="0"/>
          <w:marRight w:val="0"/>
          <w:marTop w:val="0"/>
          <w:marBottom w:val="0"/>
          <w:divBdr>
            <w:top w:val="none" w:sz="0" w:space="0" w:color="auto"/>
            <w:left w:val="none" w:sz="0" w:space="0" w:color="auto"/>
            <w:bottom w:val="none" w:sz="0" w:space="0" w:color="auto"/>
            <w:right w:val="none" w:sz="0" w:space="0" w:color="auto"/>
          </w:divBdr>
          <w:divsChild>
            <w:div w:id="1856193503">
              <w:marLeft w:val="0"/>
              <w:marRight w:val="0"/>
              <w:marTop w:val="0"/>
              <w:marBottom w:val="0"/>
              <w:divBdr>
                <w:top w:val="none" w:sz="0" w:space="0" w:color="auto"/>
                <w:left w:val="none" w:sz="0" w:space="0" w:color="auto"/>
                <w:bottom w:val="none" w:sz="0" w:space="0" w:color="auto"/>
                <w:right w:val="none" w:sz="0" w:space="0" w:color="auto"/>
              </w:divBdr>
            </w:div>
          </w:divsChild>
        </w:div>
        <w:div w:id="1628782684">
          <w:marLeft w:val="0"/>
          <w:marRight w:val="0"/>
          <w:marTop w:val="0"/>
          <w:marBottom w:val="0"/>
          <w:divBdr>
            <w:top w:val="none" w:sz="0" w:space="0" w:color="auto"/>
            <w:left w:val="none" w:sz="0" w:space="0" w:color="auto"/>
            <w:bottom w:val="none" w:sz="0" w:space="0" w:color="auto"/>
            <w:right w:val="none" w:sz="0" w:space="0" w:color="auto"/>
          </w:divBdr>
          <w:divsChild>
            <w:div w:id="1856723029">
              <w:marLeft w:val="0"/>
              <w:marRight w:val="0"/>
              <w:marTop w:val="0"/>
              <w:marBottom w:val="0"/>
              <w:divBdr>
                <w:top w:val="none" w:sz="0" w:space="0" w:color="auto"/>
                <w:left w:val="none" w:sz="0" w:space="0" w:color="auto"/>
                <w:bottom w:val="none" w:sz="0" w:space="0" w:color="auto"/>
                <w:right w:val="none" w:sz="0" w:space="0" w:color="auto"/>
              </w:divBdr>
            </w:div>
          </w:divsChild>
        </w:div>
        <w:div w:id="1640458778">
          <w:marLeft w:val="0"/>
          <w:marRight w:val="0"/>
          <w:marTop w:val="0"/>
          <w:marBottom w:val="0"/>
          <w:divBdr>
            <w:top w:val="none" w:sz="0" w:space="0" w:color="auto"/>
            <w:left w:val="none" w:sz="0" w:space="0" w:color="auto"/>
            <w:bottom w:val="none" w:sz="0" w:space="0" w:color="auto"/>
            <w:right w:val="none" w:sz="0" w:space="0" w:color="auto"/>
          </w:divBdr>
          <w:divsChild>
            <w:div w:id="1570723495">
              <w:marLeft w:val="0"/>
              <w:marRight w:val="0"/>
              <w:marTop w:val="0"/>
              <w:marBottom w:val="0"/>
              <w:divBdr>
                <w:top w:val="none" w:sz="0" w:space="0" w:color="auto"/>
                <w:left w:val="none" w:sz="0" w:space="0" w:color="auto"/>
                <w:bottom w:val="none" w:sz="0" w:space="0" w:color="auto"/>
                <w:right w:val="none" w:sz="0" w:space="0" w:color="auto"/>
              </w:divBdr>
            </w:div>
          </w:divsChild>
        </w:div>
        <w:div w:id="1733768991">
          <w:marLeft w:val="0"/>
          <w:marRight w:val="0"/>
          <w:marTop w:val="0"/>
          <w:marBottom w:val="0"/>
          <w:divBdr>
            <w:top w:val="none" w:sz="0" w:space="0" w:color="auto"/>
            <w:left w:val="none" w:sz="0" w:space="0" w:color="auto"/>
            <w:bottom w:val="none" w:sz="0" w:space="0" w:color="auto"/>
            <w:right w:val="none" w:sz="0" w:space="0" w:color="auto"/>
          </w:divBdr>
          <w:divsChild>
            <w:div w:id="106045191">
              <w:marLeft w:val="0"/>
              <w:marRight w:val="0"/>
              <w:marTop w:val="0"/>
              <w:marBottom w:val="0"/>
              <w:divBdr>
                <w:top w:val="none" w:sz="0" w:space="0" w:color="auto"/>
                <w:left w:val="none" w:sz="0" w:space="0" w:color="auto"/>
                <w:bottom w:val="none" w:sz="0" w:space="0" w:color="auto"/>
                <w:right w:val="none" w:sz="0" w:space="0" w:color="auto"/>
              </w:divBdr>
            </w:div>
          </w:divsChild>
        </w:div>
        <w:div w:id="1736006172">
          <w:marLeft w:val="0"/>
          <w:marRight w:val="0"/>
          <w:marTop w:val="0"/>
          <w:marBottom w:val="0"/>
          <w:divBdr>
            <w:top w:val="none" w:sz="0" w:space="0" w:color="auto"/>
            <w:left w:val="none" w:sz="0" w:space="0" w:color="auto"/>
            <w:bottom w:val="none" w:sz="0" w:space="0" w:color="auto"/>
            <w:right w:val="none" w:sz="0" w:space="0" w:color="auto"/>
          </w:divBdr>
          <w:divsChild>
            <w:div w:id="46034381">
              <w:marLeft w:val="0"/>
              <w:marRight w:val="0"/>
              <w:marTop w:val="0"/>
              <w:marBottom w:val="0"/>
              <w:divBdr>
                <w:top w:val="none" w:sz="0" w:space="0" w:color="auto"/>
                <w:left w:val="none" w:sz="0" w:space="0" w:color="auto"/>
                <w:bottom w:val="none" w:sz="0" w:space="0" w:color="auto"/>
                <w:right w:val="none" w:sz="0" w:space="0" w:color="auto"/>
              </w:divBdr>
            </w:div>
          </w:divsChild>
        </w:div>
        <w:div w:id="1773892025">
          <w:marLeft w:val="0"/>
          <w:marRight w:val="0"/>
          <w:marTop w:val="0"/>
          <w:marBottom w:val="0"/>
          <w:divBdr>
            <w:top w:val="none" w:sz="0" w:space="0" w:color="auto"/>
            <w:left w:val="none" w:sz="0" w:space="0" w:color="auto"/>
            <w:bottom w:val="none" w:sz="0" w:space="0" w:color="auto"/>
            <w:right w:val="none" w:sz="0" w:space="0" w:color="auto"/>
          </w:divBdr>
          <w:divsChild>
            <w:div w:id="1989745141">
              <w:marLeft w:val="0"/>
              <w:marRight w:val="0"/>
              <w:marTop w:val="0"/>
              <w:marBottom w:val="0"/>
              <w:divBdr>
                <w:top w:val="none" w:sz="0" w:space="0" w:color="auto"/>
                <w:left w:val="none" w:sz="0" w:space="0" w:color="auto"/>
                <w:bottom w:val="none" w:sz="0" w:space="0" w:color="auto"/>
                <w:right w:val="none" w:sz="0" w:space="0" w:color="auto"/>
              </w:divBdr>
            </w:div>
          </w:divsChild>
        </w:div>
        <w:div w:id="1838809494">
          <w:marLeft w:val="0"/>
          <w:marRight w:val="0"/>
          <w:marTop w:val="0"/>
          <w:marBottom w:val="0"/>
          <w:divBdr>
            <w:top w:val="none" w:sz="0" w:space="0" w:color="auto"/>
            <w:left w:val="none" w:sz="0" w:space="0" w:color="auto"/>
            <w:bottom w:val="none" w:sz="0" w:space="0" w:color="auto"/>
            <w:right w:val="none" w:sz="0" w:space="0" w:color="auto"/>
          </w:divBdr>
          <w:divsChild>
            <w:div w:id="2112236683">
              <w:marLeft w:val="0"/>
              <w:marRight w:val="0"/>
              <w:marTop w:val="0"/>
              <w:marBottom w:val="0"/>
              <w:divBdr>
                <w:top w:val="none" w:sz="0" w:space="0" w:color="auto"/>
                <w:left w:val="none" w:sz="0" w:space="0" w:color="auto"/>
                <w:bottom w:val="none" w:sz="0" w:space="0" w:color="auto"/>
                <w:right w:val="none" w:sz="0" w:space="0" w:color="auto"/>
              </w:divBdr>
            </w:div>
          </w:divsChild>
        </w:div>
        <w:div w:id="1847475124">
          <w:marLeft w:val="0"/>
          <w:marRight w:val="0"/>
          <w:marTop w:val="0"/>
          <w:marBottom w:val="0"/>
          <w:divBdr>
            <w:top w:val="none" w:sz="0" w:space="0" w:color="auto"/>
            <w:left w:val="none" w:sz="0" w:space="0" w:color="auto"/>
            <w:bottom w:val="none" w:sz="0" w:space="0" w:color="auto"/>
            <w:right w:val="none" w:sz="0" w:space="0" w:color="auto"/>
          </w:divBdr>
          <w:divsChild>
            <w:div w:id="1095709986">
              <w:marLeft w:val="0"/>
              <w:marRight w:val="0"/>
              <w:marTop w:val="0"/>
              <w:marBottom w:val="0"/>
              <w:divBdr>
                <w:top w:val="none" w:sz="0" w:space="0" w:color="auto"/>
                <w:left w:val="none" w:sz="0" w:space="0" w:color="auto"/>
                <w:bottom w:val="none" w:sz="0" w:space="0" w:color="auto"/>
                <w:right w:val="none" w:sz="0" w:space="0" w:color="auto"/>
              </w:divBdr>
            </w:div>
          </w:divsChild>
        </w:div>
        <w:div w:id="1913657569">
          <w:marLeft w:val="0"/>
          <w:marRight w:val="0"/>
          <w:marTop w:val="0"/>
          <w:marBottom w:val="0"/>
          <w:divBdr>
            <w:top w:val="none" w:sz="0" w:space="0" w:color="auto"/>
            <w:left w:val="none" w:sz="0" w:space="0" w:color="auto"/>
            <w:bottom w:val="none" w:sz="0" w:space="0" w:color="auto"/>
            <w:right w:val="none" w:sz="0" w:space="0" w:color="auto"/>
          </w:divBdr>
          <w:divsChild>
            <w:div w:id="431826146">
              <w:marLeft w:val="0"/>
              <w:marRight w:val="0"/>
              <w:marTop w:val="0"/>
              <w:marBottom w:val="0"/>
              <w:divBdr>
                <w:top w:val="none" w:sz="0" w:space="0" w:color="auto"/>
                <w:left w:val="none" w:sz="0" w:space="0" w:color="auto"/>
                <w:bottom w:val="none" w:sz="0" w:space="0" w:color="auto"/>
                <w:right w:val="none" w:sz="0" w:space="0" w:color="auto"/>
              </w:divBdr>
            </w:div>
          </w:divsChild>
        </w:div>
        <w:div w:id="2038583169">
          <w:marLeft w:val="0"/>
          <w:marRight w:val="0"/>
          <w:marTop w:val="0"/>
          <w:marBottom w:val="0"/>
          <w:divBdr>
            <w:top w:val="none" w:sz="0" w:space="0" w:color="auto"/>
            <w:left w:val="none" w:sz="0" w:space="0" w:color="auto"/>
            <w:bottom w:val="none" w:sz="0" w:space="0" w:color="auto"/>
            <w:right w:val="none" w:sz="0" w:space="0" w:color="auto"/>
          </w:divBdr>
          <w:divsChild>
            <w:div w:id="1453205647">
              <w:marLeft w:val="0"/>
              <w:marRight w:val="0"/>
              <w:marTop w:val="0"/>
              <w:marBottom w:val="0"/>
              <w:divBdr>
                <w:top w:val="none" w:sz="0" w:space="0" w:color="auto"/>
                <w:left w:val="none" w:sz="0" w:space="0" w:color="auto"/>
                <w:bottom w:val="none" w:sz="0" w:space="0" w:color="auto"/>
                <w:right w:val="none" w:sz="0" w:space="0" w:color="auto"/>
              </w:divBdr>
            </w:div>
          </w:divsChild>
        </w:div>
        <w:div w:id="2145080488">
          <w:marLeft w:val="0"/>
          <w:marRight w:val="0"/>
          <w:marTop w:val="0"/>
          <w:marBottom w:val="0"/>
          <w:divBdr>
            <w:top w:val="none" w:sz="0" w:space="0" w:color="auto"/>
            <w:left w:val="none" w:sz="0" w:space="0" w:color="auto"/>
            <w:bottom w:val="none" w:sz="0" w:space="0" w:color="auto"/>
            <w:right w:val="none" w:sz="0" w:space="0" w:color="auto"/>
          </w:divBdr>
          <w:divsChild>
            <w:div w:id="7168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2848">
      <w:bodyDiv w:val="1"/>
      <w:marLeft w:val="0"/>
      <w:marRight w:val="0"/>
      <w:marTop w:val="0"/>
      <w:marBottom w:val="0"/>
      <w:divBdr>
        <w:top w:val="none" w:sz="0" w:space="0" w:color="auto"/>
        <w:left w:val="none" w:sz="0" w:space="0" w:color="auto"/>
        <w:bottom w:val="none" w:sz="0" w:space="0" w:color="auto"/>
        <w:right w:val="none" w:sz="0" w:space="0" w:color="auto"/>
      </w:divBdr>
      <w:divsChild>
        <w:div w:id="86006557">
          <w:marLeft w:val="0"/>
          <w:marRight w:val="0"/>
          <w:marTop w:val="0"/>
          <w:marBottom w:val="0"/>
          <w:divBdr>
            <w:top w:val="none" w:sz="0" w:space="0" w:color="auto"/>
            <w:left w:val="none" w:sz="0" w:space="0" w:color="auto"/>
            <w:bottom w:val="none" w:sz="0" w:space="0" w:color="auto"/>
            <w:right w:val="none" w:sz="0" w:space="0" w:color="auto"/>
          </w:divBdr>
          <w:divsChild>
            <w:div w:id="1956600795">
              <w:marLeft w:val="0"/>
              <w:marRight w:val="0"/>
              <w:marTop w:val="0"/>
              <w:marBottom w:val="0"/>
              <w:divBdr>
                <w:top w:val="none" w:sz="0" w:space="0" w:color="auto"/>
                <w:left w:val="none" w:sz="0" w:space="0" w:color="auto"/>
                <w:bottom w:val="none" w:sz="0" w:space="0" w:color="auto"/>
                <w:right w:val="none" w:sz="0" w:space="0" w:color="auto"/>
              </w:divBdr>
            </w:div>
          </w:divsChild>
        </w:div>
        <w:div w:id="740758582">
          <w:marLeft w:val="0"/>
          <w:marRight w:val="0"/>
          <w:marTop w:val="0"/>
          <w:marBottom w:val="0"/>
          <w:divBdr>
            <w:top w:val="none" w:sz="0" w:space="0" w:color="auto"/>
            <w:left w:val="none" w:sz="0" w:space="0" w:color="auto"/>
            <w:bottom w:val="none" w:sz="0" w:space="0" w:color="auto"/>
            <w:right w:val="none" w:sz="0" w:space="0" w:color="auto"/>
          </w:divBdr>
          <w:divsChild>
            <w:div w:id="1968660755">
              <w:marLeft w:val="0"/>
              <w:marRight w:val="0"/>
              <w:marTop w:val="0"/>
              <w:marBottom w:val="0"/>
              <w:divBdr>
                <w:top w:val="none" w:sz="0" w:space="0" w:color="auto"/>
                <w:left w:val="none" w:sz="0" w:space="0" w:color="auto"/>
                <w:bottom w:val="none" w:sz="0" w:space="0" w:color="auto"/>
                <w:right w:val="none" w:sz="0" w:space="0" w:color="auto"/>
              </w:divBdr>
            </w:div>
          </w:divsChild>
        </w:div>
        <w:div w:id="1099563989">
          <w:marLeft w:val="0"/>
          <w:marRight w:val="0"/>
          <w:marTop w:val="0"/>
          <w:marBottom w:val="0"/>
          <w:divBdr>
            <w:top w:val="none" w:sz="0" w:space="0" w:color="auto"/>
            <w:left w:val="none" w:sz="0" w:space="0" w:color="auto"/>
            <w:bottom w:val="none" w:sz="0" w:space="0" w:color="auto"/>
            <w:right w:val="none" w:sz="0" w:space="0" w:color="auto"/>
          </w:divBdr>
          <w:divsChild>
            <w:div w:id="361177969">
              <w:marLeft w:val="0"/>
              <w:marRight w:val="0"/>
              <w:marTop w:val="0"/>
              <w:marBottom w:val="0"/>
              <w:divBdr>
                <w:top w:val="none" w:sz="0" w:space="0" w:color="auto"/>
                <w:left w:val="none" w:sz="0" w:space="0" w:color="auto"/>
                <w:bottom w:val="none" w:sz="0" w:space="0" w:color="auto"/>
                <w:right w:val="none" w:sz="0" w:space="0" w:color="auto"/>
              </w:divBdr>
            </w:div>
            <w:div w:id="1102722000">
              <w:marLeft w:val="0"/>
              <w:marRight w:val="0"/>
              <w:marTop w:val="0"/>
              <w:marBottom w:val="0"/>
              <w:divBdr>
                <w:top w:val="none" w:sz="0" w:space="0" w:color="auto"/>
                <w:left w:val="none" w:sz="0" w:space="0" w:color="auto"/>
                <w:bottom w:val="none" w:sz="0" w:space="0" w:color="auto"/>
                <w:right w:val="none" w:sz="0" w:space="0" w:color="auto"/>
              </w:divBdr>
            </w:div>
          </w:divsChild>
        </w:div>
        <w:div w:id="1372264203">
          <w:marLeft w:val="0"/>
          <w:marRight w:val="0"/>
          <w:marTop w:val="0"/>
          <w:marBottom w:val="0"/>
          <w:divBdr>
            <w:top w:val="none" w:sz="0" w:space="0" w:color="auto"/>
            <w:left w:val="none" w:sz="0" w:space="0" w:color="auto"/>
            <w:bottom w:val="none" w:sz="0" w:space="0" w:color="auto"/>
            <w:right w:val="none" w:sz="0" w:space="0" w:color="auto"/>
          </w:divBdr>
          <w:divsChild>
            <w:div w:id="507602183">
              <w:marLeft w:val="0"/>
              <w:marRight w:val="0"/>
              <w:marTop w:val="0"/>
              <w:marBottom w:val="0"/>
              <w:divBdr>
                <w:top w:val="none" w:sz="0" w:space="0" w:color="auto"/>
                <w:left w:val="none" w:sz="0" w:space="0" w:color="auto"/>
                <w:bottom w:val="none" w:sz="0" w:space="0" w:color="auto"/>
                <w:right w:val="none" w:sz="0" w:space="0" w:color="auto"/>
              </w:divBdr>
            </w:div>
          </w:divsChild>
        </w:div>
        <w:div w:id="1376588282">
          <w:marLeft w:val="0"/>
          <w:marRight w:val="0"/>
          <w:marTop w:val="0"/>
          <w:marBottom w:val="0"/>
          <w:divBdr>
            <w:top w:val="none" w:sz="0" w:space="0" w:color="auto"/>
            <w:left w:val="none" w:sz="0" w:space="0" w:color="auto"/>
            <w:bottom w:val="none" w:sz="0" w:space="0" w:color="auto"/>
            <w:right w:val="none" w:sz="0" w:space="0" w:color="auto"/>
          </w:divBdr>
          <w:divsChild>
            <w:div w:id="1764451961">
              <w:marLeft w:val="0"/>
              <w:marRight w:val="0"/>
              <w:marTop w:val="0"/>
              <w:marBottom w:val="0"/>
              <w:divBdr>
                <w:top w:val="none" w:sz="0" w:space="0" w:color="auto"/>
                <w:left w:val="none" w:sz="0" w:space="0" w:color="auto"/>
                <w:bottom w:val="none" w:sz="0" w:space="0" w:color="auto"/>
                <w:right w:val="none" w:sz="0" w:space="0" w:color="auto"/>
              </w:divBdr>
            </w:div>
          </w:divsChild>
        </w:div>
        <w:div w:id="1583569076">
          <w:marLeft w:val="0"/>
          <w:marRight w:val="0"/>
          <w:marTop w:val="0"/>
          <w:marBottom w:val="0"/>
          <w:divBdr>
            <w:top w:val="none" w:sz="0" w:space="0" w:color="auto"/>
            <w:left w:val="none" w:sz="0" w:space="0" w:color="auto"/>
            <w:bottom w:val="none" w:sz="0" w:space="0" w:color="auto"/>
            <w:right w:val="none" w:sz="0" w:space="0" w:color="auto"/>
          </w:divBdr>
          <w:divsChild>
            <w:div w:id="13769631">
              <w:marLeft w:val="0"/>
              <w:marRight w:val="0"/>
              <w:marTop w:val="0"/>
              <w:marBottom w:val="0"/>
              <w:divBdr>
                <w:top w:val="none" w:sz="0" w:space="0" w:color="auto"/>
                <w:left w:val="none" w:sz="0" w:space="0" w:color="auto"/>
                <w:bottom w:val="none" w:sz="0" w:space="0" w:color="auto"/>
                <w:right w:val="none" w:sz="0" w:space="0" w:color="auto"/>
              </w:divBdr>
            </w:div>
            <w:div w:id="49809172">
              <w:marLeft w:val="0"/>
              <w:marRight w:val="0"/>
              <w:marTop w:val="0"/>
              <w:marBottom w:val="0"/>
              <w:divBdr>
                <w:top w:val="none" w:sz="0" w:space="0" w:color="auto"/>
                <w:left w:val="none" w:sz="0" w:space="0" w:color="auto"/>
                <w:bottom w:val="none" w:sz="0" w:space="0" w:color="auto"/>
                <w:right w:val="none" w:sz="0" w:space="0" w:color="auto"/>
              </w:divBdr>
            </w:div>
            <w:div w:id="175468098">
              <w:marLeft w:val="0"/>
              <w:marRight w:val="0"/>
              <w:marTop w:val="0"/>
              <w:marBottom w:val="0"/>
              <w:divBdr>
                <w:top w:val="none" w:sz="0" w:space="0" w:color="auto"/>
                <w:left w:val="none" w:sz="0" w:space="0" w:color="auto"/>
                <w:bottom w:val="none" w:sz="0" w:space="0" w:color="auto"/>
                <w:right w:val="none" w:sz="0" w:space="0" w:color="auto"/>
              </w:divBdr>
            </w:div>
            <w:div w:id="223762970">
              <w:marLeft w:val="0"/>
              <w:marRight w:val="0"/>
              <w:marTop w:val="0"/>
              <w:marBottom w:val="0"/>
              <w:divBdr>
                <w:top w:val="none" w:sz="0" w:space="0" w:color="auto"/>
                <w:left w:val="none" w:sz="0" w:space="0" w:color="auto"/>
                <w:bottom w:val="none" w:sz="0" w:space="0" w:color="auto"/>
                <w:right w:val="none" w:sz="0" w:space="0" w:color="auto"/>
              </w:divBdr>
            </w:div>
            <w:div w:id="508522279">
              <w:marLeft w:val="0"/>
              <w:marRight w:val="0"/>
              <w:marTop w:val="0"/>
              <w:marBottom w:val="0"/>
              <w:divBdr>
                <w:top w:val="none" w:sz="0" w:space="0" w:color="auto"/>
                <w:left w:val="none" w:sz="0" w:space="0" w:color="auto"/>
                <w:bottom w:val="none" w:sz="0" w:space="0" w:color="auto"/>
                <w:right w:val="none" w:sz="0" w:space="0" w:color="auto"/>
              </w:divBdr>
            </w:div>
            <w:div w:id="572665777">
              <w:marLeft w:val="0"/>
              <w:marRight w:val="0"/>
              <w:marTop w:val="0"/>
              <w:marBottom w:val="0"/>
              <w:divBdr>
                <w:top w:val="none" w:sz="0" w:space="0" w:color="auto"/>
                <w:left w:val="none" w:sz="0" w:space="0" w:color="auto"/>
                <w:bottom w:val="none" w:sz="0" w:space="0" w:color="auto"/>
                <w:right w:val="none" w:sz="0" w:space="0" w:color="auto"/>
              </w:divBdr>
            </w:div>
            <w:div w:id="614216237">
              <w:marLeft w:val="0"/>
              <w:marRight w:val="0"/>
              <w:marTop w:val="0"/>
              <w:marBottom w:val="0"/>
              <w:divBdr>
                <w:top w:val="none" w:sz="0" w:space="0" w:color="auto"/>
                <w:left w:val="none" w:sz="0" w:space="0" w:color="auto"/>
                <w:bottom w:val="none" w:sz="0" w:space="0" w:color="auto"/>
                <w:right w:val="none" w:sz="0" w:space="0" w:color="auto"/>
              </w:divBdr>
            </w:div>
            <w:div w:id="769744120">
              <w:marLeft w:val="0"/>
              <w:marRight w:val="0"/>
              <w:marTop w:val="0"/>
              <w:marBottom w:val="0"/>
              <w:divBdr>
                <w:top w:val="none" w:sz="0" w:space="0" w:color="auto"/>
                <w:left w:val="none" w:sz="0" w:space="0" w:color="auto"/>
                <w:bottom w:val="none" w:sz="0" w:space="0" w:color="auto"/>
                <w:right w:val="none" w:sz="0" w:space="0" w:color="auto"/>
              </w:divBdr>
            </w:div>
            <w:div w:id="942105532">
              <w:marLeft w:val="0"/>
              <w:marRight w:val="0"/>
              <w:marTop w:val="0"/>
              <w:marBottom w:val="0"/>
              <w:divBdr>
                <w:top w:val="none" w:sz="0" w:space="0" w:color="auto"/>
                <w:left w:val="none" w:sz="0" w:space="0" w:color="auto"/>
                <w:bottom w:val="none" w:sz="0" w:space="0" w:color="auto"/>
                <w:right w:val="none" w:sz="0" w:space="0" w:color="auto"/>
              </w:divBdr>
            </w:div>
            <w:div w:id="964501956">
              <w:marLeft w:val="0"/>
              <w:marRight w:val="0"/>
              <w:marTop w:val="0"/>
              <w:marBottom w:val="0"/>
              <w:divBdr>
                <w:top w:val="none" w:sz="0" w:space="0" w:color="auto"/>
                <w:left w:val="none" w:sz="0" w:space="0" w:color="auto"/>
                <w:bottom w:val="none" w:sz="0" w:space="0" w:color="auto"/>
                <w:right w:val="none" w:sz="0" w:space="0" w:color="auto"/>
              </w:divBdr>
            </w:div>
            <w:div w:id="1058044730">
              <w:marLeft w:val="0"/>
              <w:marRight w:val="0"/>
              <w:marTop w:val="0"/>
              <w:marBottom w:val="0"/>
              <w:divBdr>
                <w:top w:val="none" w:sz="0" w:space="0" w:color="auto"/>
                <w:left w:val="none" w:sz="0" w:space="0" w:color="auto"/>
                <w:bottom w:val="none" w:sz="0" w:space="0" w:color="auto"/>
                <w:right w:val="none" w:sz="0" w:space="0" w:color="auto"/>
              </w:divBdr>
            </w:div>
            <w:div w:id="1071537380">
              <w:marLeft w:val="0"/>
              <w:marRight w:val="0"/>
              <w:marTop w:val="0"/>
              <w:marBottom w:val="0"/>
              <w:divBdr>
                <w:top w:val="none" w:sz="0" w:space="0" w:color="auto"/>
                <w:left w:val="none" w:sz="0" w:space="0" w:color="auto"/>
                <w:bottom w:val="none" w:sz="0" w:space="0" w:color="auto"/>
                <w:right w:val="none" w:sz="0" w:space="0" w:color="auto"/>
              </w:divBdr>
            </w:div>
            <w:div w:id="1287464383">
              <w:marLeft w:val="0"/>
              <w:marRight w:val="0"/>
              <w:marTop w:val="0"/>
              <w:marBottom w:val="0"/>
              <w:divBdr>
                <w:top w:val="none" w:sz="0" w:space="0" w:color="auto"/>
                <w:left w:val="none" w:sz="0" w:space="0" w:color="auto"/>
                <w:bottom w:val="none" w:sz="0" w:space="0" w:color="auto"/>
                <w:right w:val="none" w:sz="0" w:space="0" w:color="auto"/>
              </w:divBdr>
            </w:div>
            <w:div w:id="1470514791">
              <w:marLeft w:val="0"/>
              <w:marRight w:val="0"/>
              <w:marTop w:val="0"/>
              <w:marBottom w:val="0"/>
              <w:divBdr>
                <w:top w:val="none" w:sz="0" w:space="0" w:color="auto"/>
                <w:left w:val="none" w:sz="0" w:space="0" w:color="auto"/>
                <w:bottom w:val="none" w:sz="0" w:space="0" w:color="auto"/>
                <w:right w:val="none" w:sz="0" w:space="0" w:color="auto"/>
              </w:divBdr>
              <w:divsChild>
                <w:div w:id="664553446">
                  <w:marLeft w:val="0"/>
                  <w:marRight w:val="0"/>
                  <w:marTop w:val="30"/>
                  <w:marBottom w:val="30"/>
                  <w:divBdr>
                    <w:top w:val="none" w:sz="0" w:space="0" w:color="auto"/>
                    <w:left w:val="none" w:sz="0" w:space="0" w:color="auto"/>
                    <w:bottom w:val="none" w:sz="0" w:space="0" w:color="auto"/>
                    <w:right w:val="none" w:sz="0" w:space="0" w:color="auto"/>
                  </w:divBdr>
                  <w:divsChild>
                    <w:div w:id="422187042">
                      <w:marLeft w:val="0"/>
                      <w:marRight w:val="0"/>
                      <w:marTop w:val="0"/>
                      <w:marBottom w:val="0"/>
                      <w:divBdr>
                        <w:top w:val="none" w:sz="0" w:space="0" w:color="auto"/>
                        <w:left w:val="none" w:sz="0" w:space="0" w:color="auto"/>
                        <w:bottom w:val="none" w:sz="0" w:space="0" w:color="auto"/>
                        <w:right w:val="none" w:sz="0" w:space="0" w:color="auto"/>
                      </w:divBdr>
                      <w:divsChild>
                        <w:div w:id="662205002">
                          <w:marLeft w:val="0"/>
                          <w:marRight w:val="0"/>
                          <w:marTop w:val="0"/>
                          <w:marBottom w:val="0"/>
                          <w:divBdr>
                            <w:top w:val="none" w:sz="0" w:space="0" w:color="auto"/>
                            <w:left w:val="none" w:sz="0" w:space="0" w:color="auto"/>
                            <w:bottom w:val="none" w:sz="0" w:space="0" w:color="auto"/>
                            <w:right w:val="none" w:sz="0" w:space="0" w:color="auto"/>
                          </w:divBdr>
                        </w:div>
                      </w:divsChild>
                    </w:div>
                    <w:div w:id="629895492">
                      <w:marLeft w:val="0"/>
                      <w:marRight w:val="0"/>
                      <w:marTop w:val="0"/>
                      <w:marBottom w:val="0"/>
                      <w:divBdr>
                        <w:top w:val="none" w:sz="0" w:space="0" w:color="auto"/>
                        <w:left w:val="none" w:sz="0" w:space="0" w:color="auto"/>
                        <w:bottom w:val="none" w:sz="0" w:space="0" w:color="auto"/>
                        <w:right w:val="none" w:sz="0" w:space="0" w:color="auto"/>
                      </w:divBdr>
                      <w:divsChild>
                        <w:div w:id="1393504677">
                          <w:marLeft w:val="0"/>
                          <w:marRight w:val="0"/>
                          <w:marTop w:val="0"/>
                          <w:marBottom w:val="0"/>
                          <w:divBdr>
                            <w:top w:val="none" w:sz="0" w:space="0" w:color="auto"/>
                            <w:left w:val="none" w:sz="0" w:space="0" w:color="auto"/>
                            <w:bottom w:val="none" w:sz="0" w:space="0" w:color="auto"/>
                            <w:right w:val="none" w:sz="0" w:space="0" w:color="auto"/>
                          </w:divBdr>
                        </w:div>
                      </w:divsChild>
                    </w:div>
                    <w:div w:id="739795573">
                      <w:marLeft w:val="0"/>
                      <w:marRight w:val="0"/>
                      <w:marTop w:val="0"/>
                      <w:marBottom w:val="0"/>
                      <w:divBdr>
                        <w:top w:val="none" w:sz="0" w:space="0" w:color="auto"/>
                        <w:left w:val="none" w:sz="0" w:space="0" w:color="auto"/>
                        <w:bottom w:val="none" w:sz="0" w:space="0" w:color="auto"/>
                        <w:right w:val="none" w:sz="0" w:space="0" w:color="auto"/>
                      </w:divBdr>
                      <w:divsChild>
                        <w:div w:id="2059352746">
                          <w:marLeft w:val="0"/>
                          <w:marRight w:val="0"/>
                          <w:marTop w:val="0"/>
                          <w:marBottom w:val="0"/>
                          <w:divBdr>
                            <w:top w:val="none" w:sz="0" w:space="0" w:color="auto"/>
                            <w:left w:val="none" w:sz="0" w:space="0" w:color="auto"/>
                            <w:bottom w:val="none" w:sz="0" w:space="0" w:color="auto"/>
                            <w:right w:val="none" w:sz="0" w:space="0" w:color="auto"/>
                          </w:divBdr>
                        </w:div>
                      </w:divsChild>
                    </w:div>
                    <w:div w:id="769080710">
                      <w:marLeft w:val="0"/>
                      <w:marRight w:val="0"/>
                      <w:marTop w:val="0"/>
                      <w:marBottom w:val="0"/>
                      <w:divBdr>
                        <w:top w:val="none" w:sz="0" w:space="0" w:color="auto"/>
                        <w:left w:val="none" w:sz="0" w:space="0" w:color="auto"/>
                        <w:bottom w:val="none" w:sz="0" w:space="0" w:color="auto"/>
                        <w:right w:val="none" w:sz="0" w:space="0" w:color="auto"/>
                      </w:divBdr>
                      <w:divsChild>
                        <w:div w:id="2028215122">
                          <w:marLeft w:val="0"/>
                          <w:marRight w:val="0"/>
                          <w:marTop w:val="0"/>
                          <w:marBottom w:val="0"/>
                          <w:divBdr>
                            <w:top w:val="none" w:sz="0" w:space="0" w:color="auto"/>
                            <w:left w:val="none" w:sz="0" w:space="0" w:color="auto"/>
                            <w:bottom w:val="none" w:sz="0" w:space="0" w:color="auto"/>
                            <w:right w:val="none" w:sz="0" w:space="0" w:color="auto"/>
                          </w:divBdr>
                        </w:div>
                      </w:divsChild>
                    </w:div>
                    <w:div w:id="827525928">
                      <w:marLeft w:val="0"/>
                      <w:marRight w:val="0"/>
                      <w:marTop w:val="0"/>
                      <w:marBottom w:val="0"/>
                      <w:divBdr>
                        <w:top w:val="none" w:sz="0" w:space="0" w:color="auto"/>
                        <w:left w:val="none" w:sz="0" w:space="0" w:color="auto"/>
                        <w:bottom w:val="none" w:sz="0" w:space="0" w:color="auto"/>
                        <w:right w:val="none" w:sz="0" w:space="0" w:color="auto"/>
                      </w:divBdr>
                      <w:divsChild>
                        <w:div w:id="201137572">
                          <w:marLeft w:val="0"/>
                          <w:marRight w:val="0"/>
                          <w:marTop w:val="0"/>
                          <w:marBottom w:val="0"/>
                          <w:divBdr>
                            <w:top w:val="none" w:sz="0" w:space="0" w:color="auto"/>
                            <w:left w:val="none" w:sz="0" w:space="0" w:color="auto"/>
                            <w:bottom w:val="none" w:sz="0" w:space="0" w:color="auto"/>
                            <w:right w:val="none" w:sz="0" w:space="0" w:color="auto"/>
                          </w:divBdr>
                        </w:div>
                      </w:divsChild>
                    </w:div>
                    <w:div w:id="867063490">
                      <w:marLeft w:val="0"/>
                      <w:marRight w:val="0"/>
                      <w:marTop w:val="0"/>
                      <w:marBottom w:val="0"/>
                      <w:divBdr>
                        <w:top w:val="none" w:sz="0" w:space="0" w:color="auto"/>
                        <w:left w:val="none" w:sz="0" w:space="0" w:color="auto"/>
                        <w:bottom w:val="none" w:sz="0" w:space="0" w:color="auto"/>
                        <w:right w:val="none" w:sz="0" w:space="0" w:color="auto"/>
                      </w:divBdr>
                      <w:divsChild>
                        <w:div w:id="767115617">
                          <w:marLeft w:val="0"/>
                          <w:marRight w:val="0"/>
                          <w:marTop w:val="0"/>
                          <w:marBottom w:val="0"/>
                          <w:divBdr>
                            <w:top w:val="none" w:sz="0" w:space="0" w:color="auto"/>
                            <w:left w:val="none" w:sz="0" w:space="0" w:color="auto"/>
                            <w:bottom w:val="none" w:sz="0" w:space="0" w:color="auto"/>
                            <w:right w:val="none" w:sz="0" w:space="0" w:color="auto"/>
                          </w:divBdr>
                        </w:div>
                      </w:divsChild>
                    </w:div>
                    <w:div w:id="876622506">
                      <w:marLeft w:val="0"/>
                      <w:marRight w:val="0"/>
                      <w:marTop w:val="0"/>
                      <w:marBottom w:val="0"/>
                      <w:divBdr>
                        <w:top w:val="none" w:sz="0" w:space="0" w:color="auto"/>
                        <w:left w:val="none" w:sz="0" w:space="0" w:color="auto"/>
                        <w:bottom w:val="none" w:sz="0" w:space="0" w:color="auto"/>
                        <w:right w:val="none" w:sz="0" w:space="0" w:color="auto"/>
                      </w:divBdr>
                      <w:divsChild>
                        <w:div w:id="1623923348">
                          <w:marLeft w:val="0"/>
                          <w:marRight w:val="0"/>
                          <w:marTop w:val="0"/>
                          <w:marBottom w:val="0"/>
                          <w:divBdr>
                            <w:top w:val="none" w:sz="0" w:space="0" w:color="auto"/>
                            <w:left w:val="none" w:sz="0" w:space="0" w:color="auto"/>
                            <w:bottom w:val="none" w:sz="0" w:space="0" w:color="auto"/>
                            <w:right w:val="none" w:sz="0" w:space="0" w:color="auto"/>
                          </w:divBdr>
                        </w:div>
                      </w:divsChild>
                    </w:div>
                    <w:div w:id="981689961">
                      <w:marLeft w:val="0"/>
                      <w:marRight w:val="0"/>
                      <w:marTop w:val="0"/>
                      <w:marBottom w:val="0"/>
                      <w:divBdr>
                        <w:top w:val="none" w:sz="0" w:space="0" w:color="auto"/>
                        <w:left w:val="none" w:sz="0" w:space="0" w:color="auto"/>
                        <w:bottom w:val="none" w:sz="0" w:space="0" w:color="auto"/>
                        <w:right w:val="none" w:sz="0" w:space="0" w:color="auto"/>
                      </w:divBdr>
                      <w:divsChild>
                        <w:div w:id="949436055">
                          <w:marLeft w:val="0"/>
                          <w:marRight w:val="0"/>
                          <w:marTop w:val="0"/>
                          <w:marBottom w:val="0"/>
                          <w:divBdr>
                            <w:top w:val="none" w:sz="0" w:space="0" w:color="auto"/>
                            <w:left w:val="none" w:sz="0" w:space="0" w:color="auto"/>
                            <w:bottom w:val="none" w:sz="0" w:space="0" w:color="auto"/>
                            <w:right w:val="none" w:sz="0" w:space="0" w:color="auto"/>
                          </w:divBdr>
                        </w:div>
                      </w:divsChild>
                    </w:div>
                    <w:div w:id="1091851710">
                      <w:marLeft w:val="0"/>
                      <w:marRight w:val="0"/>
                      <w:marTop w:val="0"/>
                      <w:marBottom w:val="0"/>
                      <w:divBdr>
                        <w:top w:val="none" w:sz="0" w:space="0" w:color="auto"/>
                        <w:left w:val="none" w:sz="0" w:space="0" w:color="auto"/>
                        <w:bottom w:val="none" w:sz="0" w:space="0" w:color="auto"/>
                        <w:right w:val="none" w:sz="0" w:space="0" w:color="auto"/>
                      </w:divBdr>
                      <w:divsChild>
                        <w:div w:id="1820153557">
                          <w:marLeft w:val="0"/>
                          <w:marRight w:val="0"/>
                          <w:marTop w:val="0"/>
                          <w:marBottom w:val="0"/>
                          <w:divBdr>
                            <w:top w:val="none" w:sz="0" w:space="0" w:color="auto"/>
                            <w:left w:val="none" w:sz="0" w:space="0" w:color="auto"/>
                            <w:bottom w:val="none" w:sz="0" w:space="0" w:color="auto"/>
                            <w:right w:val="none" w:sz="0" w:space="0" w:color="auto"/>
                          </w:divBdr>
                        </w:div>
                      </w:divsChild>
                    </w:div>
                    <w:div w:id="1196312285">
                      <w:marLeft w:val="0"/>
                      <w:marRight w:val="0"/>
                      <w:marTop w:val="0"/>
                      <w:marBottom w:val="0"/>
                      <w:divBdr>
                        <w:top w:val="none" w:sz="0" w:space="0" w:color="auto"/>
                        <w:left w:val="none" w:sz="0" w:space="0" w:color="auto"/>
                        <w:bottom w:val="none" w:sz="0" w:space="0" w:color="auto"/>
                        <w:right w:val="none" w:sz="0" w:space="0" w:color="auto"/>
                      </w:divBdr>
                      <w:divsChild>
                        <w:div w:id="1444571285">
                          <w:marLeft w:val="0"/>
                          <w:marRight w:val="0"/>
                          <w:marTop w:val="0"/>
                          <w:marBottom w:val="0"/>
                          <w:divBdr>
                            <w:top w:val="none" w:sz="0" w:space="0" w:color="auto"/>
                            <w:left w:val="none" w:sz="0" w:space="0" w:color="auto"/>
                            <w:bottom w:val="none" w:sz="0" w:space="0" w:color="auto"/>
                            <w:right w:val="none" w:sz="0" w:space="0" w:color="auto"/>
                          </w:divBdr>
                        </w:div>
                      </w:divsChild>
                    </w:div>
                    <w:div w:id="1353603375">
                      <w:marLeft w:val="0"/>
                      <w:marRight w:val="0"/>
                      <w:marTop w:val="0"/>
                      <w:marBottom w:val="0"/>
                      <w:divBdr>
                        <w:top w:val="none" w:sz="0" w:space="0" w:color="auto"/>
                        <w:left w:val="none" w:sz="0" w:space="0" w:color="auto"/>
                        <w:bottom w:val="none" w:sz="0" w:space="0" w:color="auto"/>
                        <w:right w:val="none" w:sz="0" w:space="0" w:color="auto"/>
                      </w:divBdr>
                      <w:divsChild>
                        <w:div w:id="1368989760">
                          <w:marLeft w:val="0"/>
                          <w:marRight w:val="0"/>
                          <w:marTop w:val="0"/>
                          <w:marBottom w:val="0"/>
                          <w:divBdr>
                            <w:top w:val="none" w:sz="0" w:space="0" w:color="auto"/>
                            <w:left w:val="none" w:sz="0" w:space="0" w:color="auto"/>
                            <w:bottom w:val="none" w:sz="0" w:space="0" w:color="auto"/>
                            <w:right w:val="none" w:sz="0" w:space="0" w:color="auto"/>
                          </w:divBdr>
                        </w:div>
                      </w:divsChild>
                    </w:div>
                    <w:div w:id="1631279999">
                      <w:marLeft w:val="0"/>
                      <w:marRight w:val="0"/>
                      <w:marTop w:val="0"/>
                      <w:marBottom w:val="0"/>
                      <w:divBdr>
                        <w:top w:val="none" w:sz="0" w:space="0" w:color="auto"/>
                        <w:left w:val="none" w:sz="0" w:space="0" w:color="auto"/>
                        <w:bottom w:val="none" w:sz="0" w:space="0" w:color="auto"/>
                        <w:right w:val="none" w:sz="0" w:space="0" w:color="auto"/>
                      </w:divBdr>
                      <w:divsChild>
                        <w:div w:id="1168015205">
                          <w:marLeft w:val="0"/>
                          <w:marRight w:val="0"/>
                          <w:marTop w:val="0"/>
                          <w:marBottom w:val="0"/>
                          <w:divBdr>
                            <w:top w:val="none" w:sz="0" w:space="0" w:color="auto"/>
                            <w:left w:val="none" w:sz="0" w:space="0" w:color="auto"/>
                            <w:bottom w:val="none" w:sz="0" w:space="0" w:color="auto"/>
                            <w:right w:val="none" w:sz="0" w:space="0" w:color="auto"/>
                          </w:divBdr>
                        </w:div>
                      </w:divsChild>
                    </w:div>
                    <w:div w:id="1644650671">
                      <w:marLeft w:val="0"/>
                      <w:marRight w:val="0"/>
                      <w:marTop w:val="0"/>
                      <w:marBottom w:val="0"/>
                      <w:divBdr>
                        <w:top w:val="none" w:sz="0" w:space="0" w:color="auto"/>
                        <w:left w:val="none" w:sz="0" w:space="0" w:color="auto"/>
                        <w:bottom w:val="none" w:sz="0" w:space="0" w:color="auto"/>
                        <w:right w:val="none" w:sz="0" w:space="0" w:color="auto"/>
                      </w:divBdr>
                      <w:divsChild>
                        <w:div w:id="722287889">
                          <w:marLeft w:val="0"/>
                          <w:marRight w:val="0"/>
                          <w:marTop w:val="0"/>
                          <w:marBottom w:val="0"/>
                          <w:divBdr>
                            <w:top w:val="none" w:sz="0" w:space="0" w:color="auto"/>
                            <w:left w:val="none" w:sz="0" w:space="0" w:color="auto"/>
                            <w:bottom w:val="none" w:sz="0" w:space="0" w:color="auto"/>
                            <w:right w:val="none" w:sz="0" w:space="0" w:color="auto"/>
                          </w:divBdr>
                        </w:div>
                      </w:divsChild>
                    </w:div>
                    <w:div w:id="1936789683">
                      <w:marLeft w:val="0"/>
                      <w:marRight w:val="0"/>
                      <w:marTop w:val="0"/>
                      <w:marBottom w:val="0"/>
                      <w:divBdr>
                        <w:top w:val="none" w:sz="0" w:space="0" w:color="auto"/>
                        <w:left w:val="none" w:sz="0" w:space="0" w:color="auto"/>
                        <w:bottom w:val="none" w:sz="0" w:space="0" w:color="auto"/>
                        <w:right w:val="none" w:sz="0" w:space="0" w:color="auto"/>
                      </w:divBdr>
                      <w:divsChild>
                        <w:div w:id="1444180556">
                          <w:marLeft w:val="0"/>
                          <w:marRight w:val="0"/>
                          <w:marTop w:val="0"/>
                          <w:marBottom w:val="0"/>
                          <w:divBdr>
                            <w:top w:val="none" w:sz="0" w:space="0" w:color="auto"/>
                            <w:left w:val="none" w:sz="0" w:space="0" w:color="auto"/>
                            <w:bottom w:val="none" w:sz="0" w:space="0" w:color="auto"/>
                            <w:right w:val="none" w:sz="0" w:space="0" w:color="auto"/>
                          </w:divBdr>
                        </w:div>
                      </w:divsChild>
                    </w:div>
                    <w:div w:id="1948727886">
                      <w:marLeft w:val="0"/>
                      <w:marRight w:val="0"/>
                      <w:marTop w:val="0"/>
                      <w:marBottom w:val="0"/>
                      <w:divBdr>
                        <w:top w:val="none" w:sz="0" w:space="0" w:color="auto"/>
                        <w:left w:val="none" w:sz="0" w:space="0" w:color="auto"/>
                        <w:bottom w:val="none" w:sz="0" w:space="0" w:color="auto"/>
                        <w:right w:val="none" w:sz="0" w:space="0" w:color="auto"/>
                      </w:divBdr>
                      <w:divsChild>
                        <w:div w:id="2085488633">
                          <w:marLeft w:val="0"/>
                          <w:marRight w:val="0"/>
                          <w:marTop w:val="0"/>
                          <w:marBottom w:val="0"/>
                          <w:divBdr>
                            <w:top w:val="none" w:sz="0" w:space="0" w:color="auto"/>
                            <w:left w:val="none" w:sz="0" w:space="0" w:color="auto"/>
                            <w:bottom w:val="none" w:sz="0" w:space="0" w:color="auto"/>
                            <w:right w:val="none" w:sz="0" w:space="0" w:color="auto"/>
                          </w:divBdr>
                        </w:div>
                      </w:divsChild>
                    </w:div>
                    <w:div w:id="1978339862">
                      <w:marLeft w:val="0"/>
                      <w:marRight w:val="0"/>
                      <w:marTop w:val="0"/>
                      <w:marBottom w:val="0"/>
                      <w:divBdr>
                        <w:top w:val="none" w:sz="0" w:space="0" w:color="auto"/>
                        <w:left w:val="none" w:sz="0" w:space="0" w:color="auto"/>
                        <w:bottom w:val="none" w:sz="0" w:space="0" w:color="auto"/>
                        <w:right w:val="none" w:sz="0" w:space="0" w:color="auto"/>
                      </w:divBdr>
                      <w:divsChild>
                        <w:div w:id="916137509">
                          <w:marLeft w:val="0"/>
                          <w:marRight w:val="0"/>
                          <w:marTop w:val="0"/>
                          <w:marBottom w:val="0"/>
                          <w:divBdr>
                            <w:top w:val="none" w:sz="0" w:space="0" w:color="auto"/>
                            <w:left w:val="none" w:sz="0" w:space="0" w:color="auto"/>
                            <w:bottom w:val="none" w:sz="0" w:space="0" w:color="auto"/>
                            <w:right w:val="none" w:sz="0" w:space="0" w:color="auto"/>
                          </w:divBdr>
                        </w:div>
                      </w:divsChild>
                    </w:div>
                    <w:div w:id="2092656713">
                      <w:marLeft w:val="0"/>
                      <w:marRight w:val="0"/>
                      <w:marTop w:val="0"/>
                      <w:marBottom w:val="0"/>
                      <w:divBdr>
                        <w:top w:val="none" w:sz="0" w:space="0" w:color="auto"/>
                        <w:left w:val="none" w:sz="0" w:space="0" w:color="auto"/>
                        <w:bottom w:val="none" w:sz="0" w:space="0" w:color="auto"/>
                        <w:right w:val="none" w:sz="0" w:space="0" w:color="auto"/>
                      </w:divBdr>
                      <w:divsChild>
                        <w:div w:id="561911149">
                          <w:marLeft w:val="0"/>
                          <w:marRight w:val="0"/>
                          <w:marTop w:val="0"/>
                          <w:marBottom w:val="0"/>
                          <w:divBdr>
                            <w:top w:val="none" w:sz="0" w:space="0" w:color="auto"/>
                            <w:left w:val="none" w:sz="0" w:space="0" w:color="auto"/>
                            <w:bottom w:val="none" w:sz="0" w:space="0" w:color="auto"/>
                            <w:right w:val="none" w:sz="0" w:space="0" w:color="auto"/>
                          </w:divBdr>
                        </w:div>
                      </w:divsChild>
                    </w:div>
                    <w:div w:id="2117558733">
                      <w:marLeft w:val="0"/>
                      <w:marRight w:val="0"/>
                      <w:marTop w:val="0"/>
                      <w:marBottom w:val="0"/>
                      <w:divBdr>
                        <w:top w:val="none" w:sz="0" w:space="0" w:color="auto"/>
                        <w:left w:val="none" w:sz="0" w:space="0" w:color="auto"/>
                        <w:bottom w:val="none" w:sz="0" w:space="0" w:color="auto"/>
                        <w:right w:val="none" w:sz="0" w:space="0" w:color="auto"/>
                      </w:divBdr>
                      <w:divsChild>
                        <w:div w:id="21266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0845">
              <w:marLeft w:val="0"/>
              <w:marRight w:val="0"/>
              <w:marTop w:val="0"/>
              <w:marBottom w:val="0"/>
              <w:divBdr>
                <w:top w:val="none" w:sz="0" w:space="0" w:color="auto"/>
                <w:left w:val="none" w:sz="0" w:space="0" w:color="auto"/>
                <w:bottom w:val="none" w:sz="0" w:space="0" w:color="auto"/>
                <w:right w:val="none" w:sz="0" w:space="0" w:color="auto"/>
              </w:divBdr>
            </w:div>
            <w:div w:id="1764761354">
              <w:marLeft w:val="0"/>
              <w:marRight w:val="0"/>
              <w:marTop w:val="0"/>
              <w:marBottom w:val="0"/>
              <w:divBdr>
                <w:top w:val="none" w:sz="0" w:space="0" w:color="auto"/>
                <w:left w:val="none" w:sz="0" w:space="0" w:color="auto"/>
                <w:bottom w:val="none" w:sz="0" w:space="0" w:color="auto"/>
                <w:right w:val="none" w:sz="0" w:space="0" w:color="auto"/>
              </w:divBdr>
            </w:div>
            <w:div w:id="2090880328">
              <w:marLeft w:val="0"/>
              <w:marRight w:val="0"/>
              <w:marTop w:val="0"/>
              <w:marBottom w:val="0"/>
              <w:divBdr>
                <w:top w:val="none" w:sz="0" w:space="0" w:color="auto"/>
                <w:left w:val="none" w:sz="0" w:space="0" w:color="auto"/>
                <w:bottom w:val="none" w:sz="0" w:space="0" w:color="auto"/>
                <w:right w:val="none" w:sz="0" w:space="0" w:color="auto"/>
              </w:divBdr>
            </w:div>
          </w:divsChild>
        </w:div>
        <w:div w:id="1836413800">
          <w:marLeft w:val="0"/>
          <w:marRight w:val="0"/>
          <w:marTop w:val="0"/>
          <w:marBottom w:val="0"/>
          <w:divBdr>
            <w:top w:val="none" w:sz="0" w:space="0" w:color="auto"/>
            <w:left w:val="none" w:sz="0" w:space="0" w:color="auto"/>
            <w:bottom w:val="none" w:sz="0" w:space="0" w:color="auto"/>
            <w:right w:val="none" w:sz="0" w:space="0" w:color="auto"/>
          </w:divBdr>
          <w:divsChild>
            <w:div w:id="2195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05581">
      <w:bodyDiv w:val="1"/>
      <w:marLeft w:val="0"/>
      <w:marRight w:val="0"/>
      <w:marTop w:val="0"/>
      <w:marBottom w:val="0"/>
      <w:divBdr>
        <w:top w:val="none" w:sz="0" w:space="0" w:color="auto"/>
        <w:left w:val="none" w:sz="0" w:space="0" w:color="auto"/>
        <w:bottom w:val="none" w:sz="0" w:space="0" w:color="auto"/>
        <w:right w:val="none" w:sz="0" w:space="0" w:color="auto"/>
      </w:divBdr>
    </w:div>
    <w:div w:id="1156150375">
      <w:bodyDiv w:val="1"/>
      <w:marLeft w:val="0"/>
      <w:marRight w:val="0"/>
      <w:marTop w:val="0"/>
      <w:marBottom w:val="0"/>
      <w:divBdr>
        <w:top w:val="none" w:sz="0" w:space="0" w:color="auto"/>
        <w:left w:val="none" w:sz="0" w:space="0" w:color="auto"/>
        <w:bottom w:val="none" w:sz="0" w:space="0" w:color="auto"/>
        <w:right w:val="none" w:sz="0" w:space="0" w:color="auto"/>
      </w:divBdr>
      <w:divsChild>
        <w:div w:id="108665313">
          <w:marLeft w:val="274"/>
          <w:marRight w:val="0"/>
          <w:marTop w:val="0"/>
          <w:marBottom w:val="220"/>
          <w:divBdr>
            <w:top w:val="none" w:sz="0" w:space="0" w:color="auto"/>
            <w:left w:val="none" w:sz="0" w:space="0" w:color="auto"/>
            <w:bottom w:val="none" w:sz="0" w:space="0" w:color="auto"/>
            <w:right w:val="none" w:sz="0" w:space="0" w:color="auto"/>
          </w:divBdr>
        </w:div>
        <w:div w:id="570165100">
          <w:marLeft w:val="274"/>
          <w:marRight w:val="0"/>
          <w:marTop w:val="0"/>
          <w:marBottom w:val="220"/>
          <w:divBdr>
            <w:top w:val="none" w:sz="0" w:space="0" w:color="auto"/>
            <w:left w:val="none" w:sz="0" w:space="0" w:color="auto"/>
            <w:bottom w:val="none" w:sz="0" w:space="0" w:color="auto"/>
            <w:right w:val="none" w:sz="0" w:space="0" w:color="auto"/>
          </w:divBdr>
        </w:div>
        <w:div w:id="867379715">
          <w:marLeft w:val="274"/>
          <w:marRight w:val="0"/>
          <w:marTop w:val="0"/>
          <w:marBottom w:val="220"/>
          <w:divBdr>
            <w:top w:val="none" w:sz="0" w:space="0" w:color="auto"/>
            <w:left w:val="none" w:sz="0" w:space="0" w:color="auto"/>
            <w:bottom w:val="none" w:sz="0" w:space="0" w:color="auto"/>
            <w:right w:val="none" w:sz="0" w:space="0" w:color="auto"/>
          </w:divBdr>
        </w:div>
        <w:div w:id="2116510405">
          <w:marLeft w:val="274"/>
          <w:marRight w:val="0"/>
          <w:marTop w:val="0"/>
          <w:marBottom w:val="220"/>
          <w:divBdr>
            <w:top w:val="none" w:sz="0" w:space="0" w:color="auto"/>
            <w:left w:val="none" w:sz="0" w:space="0" w:color="auto"/>
            <w:bottom w:val="none" w:sz="0" w:space="0" w:color="auto"/>
            <w:right w:val="none" w:sz="0" w:space="0" w:color="auto"/>
          </w:divBdr>
        </w:div>
      </w:divsChild>
    </w:div>
    <w:div w:id="1191457642">
      <w:bodyDiv w:val="1"/>
      <w:marLeft w:val="0"/>
      <w:marRight w:val="0"/>
      <w:marTop w:val="0"/>
      <w:marBottom w:val="0"/>
      <w:divBdr>
        <w:top w:val="none" w:sz="0" w:space="0" w:color="auto"/>
        <w:left w:val="none" w:sz="0" w:space="0" w:color="auto"/>
        <w:bottom w:val="none" w:sz="0" w:space="0" w:color="auto"/>
        <w:right w:val="none" w:sz="0" w:space="0" w:color="auto"/>
      </w:divBdr>
    </w:div>
    <w:div w:id="1218054162">
      <w:bodyDiv w:val="1"/>
      <w:marLeft w:val="0"/>
      <w:marRight w:val="0"/>
      <w:marTop w:val="0"/>
      <w:marBottom w:val="0"/>
      <w:divBdr>
        <w:top w:val="none" w:sz="0" w:space="0" w:color="auto"/>
        <w:left w:val="none" w:sz="0" w:space="0" w:color="auto"/>
        <w:bottom w:val="none" w:sz="0" w:space="0" w:color="auto"/>
        <w:right w:val="none" w:sz="0" w:space="0" w:color="auto"/>
      </w:divBdr>
    </w:div>
    <w:div w:id="1244947718">
      <w:bodyDiv w:val="1"/>
      <w:marLeft w:val="0"/>
      <w:marRight w:val="0"/>
      <w:marTop w:val="0"/>
      <w:marBottom w:val="0"/>
      <w:divBdr>
        <w:top w:val="none" w:sz="0" w:space="0" w:color="auto"/>
        <w:left w:val="none" w:sz="0" w:space="0" w:color="auto"/>
        <w:bottom w:val="none" w:sz="0" w:space="0" w:color="auto"/>
        <w:right w:val="none" w:sz="0" w:space="0" w:color="auto"/>
      </w:divBdr>
    </w:div>
    <w:div w:id="1246112637">
      <w:bodyDiv w:val="1"/>
      <w:marLeft w:val="0"/>
      <w:marRight w:val="0"/>
      <w:marTop w:val="0"/>
      <w:marBottom w:val="0"/>
      <w:divBdr>
        <w:top w:val="none" w:sz="0" w:space="0" w:color="auto"/>
        <w:left w:val="none" w:sz="0" w:space="0" w:color="auto"/>
        <w:bottom w:val="none" w:sz="0" w:space="0" w:color="auto"/>
        <w:right w:val="none" w:sz="0" w:space="0" w:color="auto"/>
      </w:divBdr>
      <w:divsChild>
        <w:div w:id="251864060">
          <w:marLeft w:val="446"/>
          <w:marRight w:val="0"/>
          <w:marTop w:val="0"/>
          <w:marBottom w:val="120"/>
          <w:divBdr>
            <w:top w:val="none" w:sz="0" w:space="0" w:color="auto"/>
            <w:left w:val="none" w:sz="0" w:space="0" w:color="auto"/>
            <w:bottom w:val="none" w:sz="0" w:space="0" w:color="auto"/>
            <w:right w:val="none" w:sz="0" w:space="0" w:color="auto"/>
          </w:divBdr>
        </w:div>
        <w:div w:id="664938154">
          <w:marLeft w:val="446"/>
          <w:marRight w:val="0"/>
          <w:marTop w:val="0"/>
          <w:marBottom w:val="120"/>
          <w:divBdr>
            <w:top w:val="none" w:sz="0" w:space="0" w:color="auto"/>
            <w:left w:val="none" w:sz="0" w:space="0" w:color="auto"/>
            <w:bottom w:val="none" w:sz="0" w:space="0" w:color="auto"/>
            <w:right w:val="none" w:sz="0" w:space="0" w:color="auto"/>
          </w:divBdr>
        </w:div>
        <w:div w:id="1199589134">
          <w:marLeft w:val="446"/>
          <w:marRight w:val="0"/>
          <w:marTop w:val="0"/>
          <w:marBottom w:val="120"/>
          <w:divBdr>
            <w:top w:val="none" w:sz="0" w:space="0" w:color="auto"/>
            <w:left w:val="none" w:sz="0" w:space="0" w:color="auto"/>
            <w:bottom w:val="none" w:sz="0" w:space="0" w:color="auto"/>
            <w:right w:val="none" w:sz="0" w:space="0" w:color="auto"/>
          </w:divBdr>
        </w:div>
        <w:div w:id="1280643314">
          <w:marLeft w:val="446"/>
          <w:marRight w:val="0"/>
          <w:marTop w:val="0"/>
          <w:marBottom w:val="120"/>
          <w:divBdr>
            <w:top w:val="none" w:sz="0" w:space="0" w:color="auto"/>
            <w:left w:val="none" w:sz="0" w:space="0" w:color="auto"/>
            <w:bottom w:val="none" w:sz="0" w:space="0" w:color="auto"/>
            <w:right w:val="none" w:sz="0" w:space="0" w:color="auto"/>
          </w:divBdr>
        </w:div>
        <w:div w:id="1576744456">
          <w:marLeft w:val="446"/>
          <w:marRight w:val="0"/>
          <w:marTop w:val="0"/>
          <w:marBottom w:val="120"/>
          <w:divBdr>
            <w:top w:val="none" w:sz="0" w:space="0" w:color="auto"/>
            <w:left w:val="none" w:sz="0" w:space="0" w:color="auto"/>
            <w:bottom w:val="none" w:sz="0" w:space="0" w:color="auto"/>
            <w:right w:val="none" w:sz="0" w:space="0" w:color="auto"/>
          </w:divBdr>
        </w:div>
        <w:div w:id="2024701221">
          <w:marLeft w:val="446"/>
          <w:marRight w:val="0"/>
          <w:marTop w:val="0"/>
          <w:marBottom w:val="220"/>
          <w:divBdr>
            <w:top w:val="none" w:sz="0" w:space="0" w:color="auto"/>
            <w:left w:val="none" w:sz="0" w:space="0" w:color="auto"/>
            <w:bottom w:val="none" w:sz="0" w:space="0" w:color="auto"/>
            <w:right w:val="none" w:sz="0" w:space="0" w:color="auto"/>
          </w:divBdr>
        </w:div>
      </w:divsChild>
    </w:div>
    <w:div w:id="1281767821">
      <w:bodyDiv w:val="1"/>
      <w:marLeft w:val="0"/>
      <w:marRight w:val="0"/>
      <w:marTop w:val="0"/>
      <w:marBottom w:val="0"/>
      <w:divBdr>
        <w:top w:val="none" w:sz="0" w:space="0" w:color="auto"/>
        <w:left w:val="none" w:sz="0" w:space="0" w:color="auto"/>
        <w:bottom w:val="none" w:sz="0" w:space="0" w:color="auto"/>
        <w:right w:val="none" w:sz="0" w:space="0" w:color="auto"/>
      </w:divBdr>
      <w:divsChild>
        <w:div w:id="2243080">
          <w:marLeft w:val="274"/>
          <w:marRight w:val="0"/>
          <w:marTop w:val="0"/>
          <w:marBottom w:val="220"/>
          <w:divBdr>
            <w:top w:val="none" w:sz="0" w:space="0" w:color="auto"/>
            <w:left w:val="none" w:sz="0" w:space="0" w:color="auto"/>
            <w:bottom w:val="none" w:sz="0" w:space="0" w:color="auto"/>
            <w:right w:val="none" w:sz="0" w:space="0" w:color="auto"/>
          </w:divBdr>
        </w:div>
        <w:div w:id="874580411">
          <w:marLeft w:val="274"/>
          <w:marRight w:val="0"/>
          <w:marTop w:val="0"/>
          <w:marBottom w:val="220"/>
          <w:divBdr>
            <w:top w:val="none" w:sz="0" w:space="0" w:color="auto"/>
            <w:left w:val="none" w:sz="0" w:space="0" w:color="auto"/>
            <w:bottom w:val="none" w:sz="0" w:space="0" w:color="auto"/>
            <w:right w:val="none" w:sz="0" w:space="0" w:color="auto"/>
          </w:divBdr>
        </w:div>
        <w:div w:id="1077560694">
          <w:marLeft w:val="274"/>
          <w:marRight w:val="0"/>
          <w:marTop w:val="0"/>
          <w:marBottom w:val="220"/>
          <w:divBdr>
            <w:top w:val="none" w:sz="0" w:space="0" w:color="auto"/>
            <w:left w:val="none" w:sz="0" w:space="0" w:color="auto"/>
            <w:bottom w:val="none" w:sz="0" w:space="0" w:color="auto"/>
            <w:right w:val="none" w:sz="0" w:space="0" w:color="auto"/>
          </w:divBdr>
        </w:div>
        <w:div w:id="1099761648">
          <w:marLeft w:val="274"/>
          <w:marRight w:val="0"/>
          <w:marTop w:val="0"/>
          <w:marBottom w:val="220"/>
          <w:divBdr>
            <w:top w:val="none" w:sz="0" w:space="0" w:color="auto"/>
            <w:left w:val="none" w:sz="0" w:space="0" w:color="auto"/>
            <w:bottom w:val="none" w:sz="0" w:space="0" w:color="auto"/>
            <w:right w:val="none" w:sz="0" w:space="0" w:color="auto"/>
          </w:divBdr>
        </w:div>
        <w:div w:id="1167011661">
          <w:marLeft w:val="274"/>
          <w:marRight w:val="0"/>
          <w:marTop w:val="0"/>
          <w:marBottom w:val="220"/>
          <w:divBdr>
            <w:top w:val="none" w:sz="0" w:space="0" w:color="auto"/>
            <w:left w:val="none" w:sz="0" w:space="0" w:color="auto"/>
            <w:bottom w:val="none" w:sz="0" w:space="0" w:color="auto"/>
            <w:right w:val="none" w:sz="0" w:space="0" w:color="auto"/>
          </w:divBdr>
        </w:div>
        <w:div w:id="1582566659">
          <w:marLeft w:val="274"/>
          <w:marRight w:val="0"/>
          <w:marTop w:val="0"/>
          <w:marBottom w:val="220"/>
          <w:divBdr>
            <w:top w:val="none" w:sz="0" w:space="0" w:color="auto"/>
            <w:left w:val="none" w:sz="0" w:space="0" w:color="auto"/>
            <w:bottom w:val="none" w:sz="0" w:space="0" w:color="auto"/>
            <w:right w:val="none" w:sz="0" w:space="0" w:color="auto"/>
          </w:divBdr>
        </w:div>
        <w:div w:id="1758482360">
          <w:marLeft w:val="274"/>
          <w:marRight w:val="0"/>
          <w:marTop w:val="0"/>
          <w:marBottom w:val="220"/>
          <w:divBdr>
            <w:top w:val="none" w:sz="0" w:space="0" w:color="auto"/>
            <w:left w:val="none" w:sz="0" w:space="0" w:color="auto"/>
            <w:bottom w:val="none" w:sz="0" w:space="0" w:color="auto"/>
            <w:right w:val="none" w:sz="0" w:space="0" w:color="auto"/>
          </w:divBdr>
        </w:div>
        <w:div w:id="1830366686">
          <w:marLeft w:val="274"/>
          <w:marRight w:val="0"/>
          <w:marTop w:val="0"/>
          <w:marBottom w:val="220"/>
          <w:divBdr>
            <w:top w:val="none" w:sz="0" w:space="0" w:color="auto"/>
            <w:left w:val="none" w:sz="0" w:space="0" w:color="auto"/>
            <w:bottom w:val="none" w:sz="0" w:space="0" w:color="auto"/>
            <w:right w:val="none" w:sz="0" w:space="0" w:color="auto"/>
          </w:divBdr>
        </w:div>
        <w:div w:id="2053066480">
          <w:marLeft w:val="274"/>
          <w:marRight w:val="0"/>
          <w:marTop w:val="0"/>
          <w:marBottom w:val="220"/>
          <w:divBdr>
            <w:top w:val="none" w:sz="0" w:space="0" w:color="auto"/>
            <w:left w:val="none" w:sz="0" w:space="0" w:color="auto"/>
            <w:bottom w:val="none" w:sz="0" w:space="0" w:color="auto"/>
            <w:right w:val="none" w:sz="0" w:space="0" w:color="auto"/>
          </w:divBdr>
        </w:div>
      </w:divsChild>
    </w:div>
    <w:div w:id="1345206145">
      <w:bodyDiv w:val="1"/>
      <w:marLeft w:val="0"/>
      <w:marRight w:val="0"/>
      <w:marTop w:val="0"/>
      <w:marBottom w:val="0"/>
      <w:divBdr>
        <w:top w:val="none" w:sz="0" w:space="0" w:color="auto"/>
        <w:left w:val="none" w:sz="0" w:space="0" w:color="auto"/>
        <w:bottom w:val="none" w:sz="0" w:space="0" w:color="auto"/>
        <w:right w:val="none" w:sz="0" w:space="0" w:color="auto"/>
      </w:divBdr>
    </w:div>
    <w:div w:id="1476994969">
      <w:bodyDiv w:val="1"/>
      <w:marLeft w:val="0"/>
      <w:marRight w:val="0"/>
      <w:marTop w:val="0"/>
      <w:marBottom w:val="0"/>
      <w:divBdr>
        <w:top w:val="none" w:sz="0" w:space="0" w:color="auto"/>
        <w:left w:val="none" w:sz="0" w:space="0" w:color="auto"/>
        <w:bottom w:val="none" w:sz="0" w:space="0" w:color="auto"/>
        <w:right w:val="none" w:sz="0" w:space="0" w:color="auto"/>
      </w:divBdr>
    </w:div>
    <w:div w:id="1497303766">
      <w:bodyDiv w:val="1"/>
      <w:marLeft w:val="0"/>
      <w:marRight w:val="0"/>
      <w:marTop w:val="0"/>
      <w:marBottom w:val="0"/>
      <w:divBdr>
        <w:top w:val="none" w:sz="0" w:space="0" w:color="auto"/>
        <w:left w:val="none" w:sz="0" w:space="0" w:color="auto"/>
        <w:bottom w:val="none" w:sz="0" w:space="0" w:color="auto"/>
        <w:right w:val="none" w:sz="0" w:space="0" w:color="auto"/>
      </w:divBdr>
      <w:divsChild>
        <w:div w:id="98764798">
          <w:marLeft w:val="0"/>
          <w:marRight w:val="0"/>
          <w:marTop w:val="0"/>
          <w:marBottom w:val="0"/>
          <w:divBdr>
            <w:top w:val="none" w:sz="0" w:space="0" w:color="auto"/>
            <w:left w:val="none" w:sz="0" w:space="0" w:color="auto"/>
            <w:bottom w:val="none" w:sz="0" w:space="0" w:color="auto"/>
            <w:right w:val="none" w:sz="0" w:space="0" w:color="auto"/>
          </w:divBdr>
        </w:div>
        <w:div w:id="189803152">
          <w:marLeft w:val="0"/>
          <w:marRight w:val="0"/>
          <w:marTop w:val="0"/>
          <w:marBottom w:val="0"/>
          <w:divBdr>
            <w:top w:val="none" w:sz="0" w:space="0" w:color="auto"/>
            <w:left w:val="none" w:sz="0" w:space="0" w:color="auto"/>
            <w:bottom w:val="none" w:sz="0" w:space="0" w:color="auto"/>
            <w:right w:val="none" w:sz="0" w:space="0" w:color="auto"/>
          </w:divBdr>
        </w:div>
        <w:div w:id="384569457">
          <w:marLeft w:val="0"/>
          <w:marRight w:val="0"/>
          <w:marTop w:val="0"/>
          <w:marBottom w:val="0"/>
          <w:divBdr>
            <w:top w:val="none" w:sz="0" w:space="0" w:color="auto"/>
            <w:left w:val="none" w:sz="0" w:space="0" w:color="auto"/>
            <w:bottom w:val="none" w:sz="0" w:space="0" w:color="auto"/>
            <w:right w:val="none" w:sz="0" w:space="0" w:color="auto"/>
          </w:divBdr>
        </w:div>
      </w:divsChild>
    </w:div>
    <w:div w:id="1520505208">
      <w:bodyDiv w:val="1"/>
      <w:marLeft w:val="0"/>
      <w:marRight w:val="0"/>
      <w:marTop w:val="0"/>
      <w:marBottom w:val="0"/>
      <w:divBdr>
        <w:top w:val="none" w:sz="0" w:space="0" w:color="auto"/>
        <w:left w:val="none" w:sz="0" w:space="0" w:color="auto"/>
        <w:bottom w:val="none" w:sz="0" w:space="0" w:color="auto"/>
        <w:right w:val="none" w:sz="0" w:space="0" w:color="auto"/>
      </w:divBdr>
    </w:div>
    <w:div w:id="1522205889">
      <w:bodyDiv w:val="1"/>
      <w:marLeft w:val="0"/>
      <w:marRight w:val="0"/>
      <w:marTop w:val="0"/>
      <w:marBottom w:val="0"/>
      <w:divBdr>
        <w:top w:val="none" w:sz="0" w:space="0" w:color="auto"/>
        <w:left w:val="none" w:sz="0" w:space="0" w:color="auto"/>
        <w:bottom w:val="none" w:sz="0" w:space="0" w:color="auto"/>
        <w:right w:val="none" w:sz="0" w:space="0" w:color="auto"/>
      </w:divBdr>
    </w:div>
    <w:div w:id="1583756098">
      <w:bodyDiv w:val="1"/>
      <w:marLeft w:val="0"/>
      <w:marRight w:val="0"/>
      <w:marTop w:val="0"/>
      <w:marBottom w:val="0"/>
      <w:divBdr>
        <w:top w:val="none" w:sz="0" w:space="0" w:color="auto"/>
        <w:left w:val="none" w:sz="0" w:space="0" w:color="auto"/>
        <w:bottom w:val="none" w:sz="0" w:space="0" w:color="auto"/>
        <w:right w:val="none" w:sz="0" w:space="0" w:color="auto"/>
      </w:divBdr>
    </w:div>
    <w:div w:id="1622612195">
      <w:bodyDiv w:val="1"/>
      <w:marLeft w:val="0"/>
      <w:marRight w:val="0"/>
      <w:marTop w:val="0"/>
      <w:marBottom w:val="0"/>
      <w:divBdr>
        <w:top w:val="none" w:sz="0" w:space="0" w:color="auto"/>
        <w:left w:val="none" w:sz="0" w:space="0" w:color="auto"/>
        <w:bottom w:val="none" w:sz="0" w:space="0" w:color="auto"/>
        <w:right w:val="none" w:sz="0" w:space="0" w:color="auto"/>
      </w:divBdr>
    </w:div>
    <w:div w:id="1639802939">
      <w:bodyDiv w:val="1"/>
      <w:marLeft w:val="0"/>
      <w:marRight w:val="0"/>
      <w:marTop w:val="0"/>
      <w:marBottom w:val="0"/>
      <w:divBdr>
        <w:top w:val="none" w:sz="0" w:space="0" w:color="auto"/>
        <w:left w:val="none" w:sz="0" w:space="0" w:color="auto"/>
        <w:bottom w:val="none" w:sz="0" w:space="0" w:color="auto"/>
        <w:right w:val="none" w:sz="0" w:space="0" w:color="auto"/>
      </w:divBdr>
    </w:div>
    <w:div w:id="1646155225">
      <w:bodyDiv w:val="1"/>
      <w:marLeft w:val="0"/>
      <w:marRight w:val="0"/>
      <w:marTop w:val="0"/>
      <w:marBottom w:val="0"/>
      <w:divBdr>
        <w:top w:val="none" w:sz="0" w:space="0" w:color="auto"/>
        <w:left w:val="none" w:sz="0" w:space="0" w:color="auto"/>
        <w:bottom w:val="none" w:sz="0" w:space="0" w:color="auto"/>
        <w:right w:val="none" w:sz="0" w:space="0" w:color="auto"/>
      </w:divBdr>
      <w:divsChild>
        <w:div w:id="59914823">
          <w:marLeft w:val="0"/>
          <w:marRight w:val="0"/>
          <w:marTop w:val="0"/>
          <w:marBottom w:val="0"/>
          <w:divBdr>
            <w:top w:val="none" w:sz="0" w:space="0" w:color="auto"/>
            <w:left w:val="none" w:sz="0" w:space="0" w:color="auto"/>
            <w:bottom w:val="none" w:sz="0" w:space="0" w:color="auto"/>
            <w:right w:val="none" w:sz="0" w:space="0" w:color="auto"/>
          </w:divBdr>
          <w:divsChild>
            <w:div w:id="303628438">
              <w:marLeft w:val="0"/>
              <w:marRight w:val="0"/>
              <w:marTop w:val="0"/>
              <w:marBottom w:val="0"/>
              <w:divBdr>
                <w:top w:val="none" w:sz="0" w:space="0" w:color="auto"/>
                <w:left w:val="none" w:sz="0" w:space="0" w:color="auto"/>
                <w:bottom w:val="none" w:sz="0" w:space="0" w:color="auto"/>
                <w:right w:val="none" w:sz="0" w:space="0" w:color="auto"/>
              </w:divBdr>
            </w:div>
          </w:divsChild>
        </w:div>
        <w:div w:id="120540248">
          <w:marLeft w:val="0"/>
          <w:marRight w:val="0"/>
          <w:marTop w:val="0"/>
          <w:marBottom w:val="0"/>
          <w:divBdr>
            <w:top w:val="none" w:sz="0" w:space="0" w:color="auto"/>
            <w:left w:val="none" w:sz="0" w:space="0" w:color="auto"/>
            <w:bottom w:val="none" w:sz="0" w:space="0" w:color="auto"/>
            <w:right w:val="none" w:sz="0" w:space="0" w:color="auto"/>
          </w:divBdr>
          <w:divsChild>
            <w:div w:id="1632327619">
              <w:marLeft w:val="0"/>
              <w:marRight w:val="0"/>
              <w:marTop w:val="0"/>
              <w:marBottom w:val="0"/>
              <w:divBdr>
                <w:top w:val="none" w:sz="0" w:space="0" w:color="auto"/>
                <w:left w:val="none" w:sz="0" w:space="0" w:color="auto"/>
                <w:bottom w:val="none" w:sz="0" w:space="0" w:color="auto"/>
                <w:right w:val="none" w:sz="0" w:space="0" w:color="auto"/>
              </w:divBdr>
            </w:div>
          </w:divsChild>
        </w:div>
        <w:div w:id="192965990">
          <w:marLeft w:val="0"/>
          <w:marRight w:val="0"/>
          <w:marTop w:val="0"/>
          <w:marBottom w:val="0"/>
          <w:divBdr>
            <w:top w:val="none" w:sz="0" w:space="0" w:color="auto"/>
            <w:left w:val="none" w:sz="0" w:space="0" w:color="auto"/>
            <w:bottom w:val="none" w:sz="0" w:space="0" w:color="auto"/>
            <w:right w:val="none" w:sz="0" w:space="0" w:color="auto"/>
          </w:divBdr>
          <w:divsChild>
            <w:div w:id="362051476">
              <w:marLeft w:val="0"/>
              <w:marRight w:val="0"/>
              <w:marTop w:val="0"/>
              <w:marBottom w:val="0"/>
              <w:divBdr>
                <w:top w:val="none" w:sz="0" w:space="0" w:color="auto"/>
                <w:left w:val="none" w:sz="0" w:space="0" w:color="auto"/>
                <w:bottom w:val="none" w:sz="0" w:space="0" w:color="auto"/>
                <w:right w:val="none" w:sz="0" w:space="0" w:color="auto"/>
              </w:divBdr>
            </w:div>
          </w:divsChild>
        </w:div>
        <w:div w:id="238173214">
          <w:marLeft w:val="0"/>
          <w:marRight w:val="0"/>
          <w:marTop w:val="0"/>
          <w:marBottom w:val="0"/>
          <w:divBdr>
            <w:top w:val="none" w:sz="0" w:space="0" w:color="auto"/>
            <w:left w:val="none" w:sz="0" w:space="0" w:color="auto"/>
            <w:bottom w:val="none" w:sz="0" w:space="0" w:color="auto"/>
            <w:right w:val="none" w:sz="0" w:space="0" w:color="auto"/>
          </w:divBdr>
          <w:divsChild>
            <w:div w:id="527720688">
              <w:marLeft w:val="0"/>
              <w:marRight w:val="0"/>
              <w:marTop w:val="0"/>
              <w:marBottom w:val="0"/>
              <w:divBdr>
                <w:top w:val="none" w:sz="0" w:space="0" w:color="auto"/>
                <w:left w:val="none" w:sz="0" w:space="0" w:color="auto"/>
                <w:bottom w:val="none" w:sz="0" w:space="0" w:color="auto"/>
                <w:right w:val="none" w:sz="0" w:space="0" w:color="auto"/>
              </w:divBdr>
            </w:div>
          </w:divsChild>
        </w:div>
        <w:div w:id="265970674">
          <w:marLeft w:val="0"/>
          <w:marRight w:val="0"/>
          <w:marTop w:val="0"/>
          <w:marBottom w:val="0"/>
          <w:divBdr>
            <w:top w:val="none" w:sz="0" w:space="0" w:color="auto"/>
            <w:left w:val="none" w:sz="0" w:space="0" w:color="auto"/>
            <w:bottom w:val="none" w:sz="0" w:space="0" w:color="auto"/>
            <w:right w:val="none" w:sz="0" w:space="0" w:color="auto"/>
          </w:divBdr>
          <w:divsChild>
            <w:div w:id="1730298458">
              <w:marLeft w:val="0"/>
              <w:marRight w:val="0"/>
              <w:marTop w:val="0"/>
              <w:marBottom w:val="0"/>
              <w:divBdr>
                <w:top w:val="none" w:sz="0" w:space="0" w:color="auto"/>
                <w:left w:val="none" w:sz="0" w:space="0" w:color="auto"/>
                <w:bottom w:val="none" w:sz="0" w:space="0" w:color="auto"/>
                <w:right w:val="none" w:sz="0" w:space="0" w:color="auto"/>
              </w:divBdr>
            </w:div>
          </w:divsChild>
        </w:div>
        <w:div w:id="283075178">
          <w:marLeft w:val="0"/>
          <w:marRight w:val="0"/>
          <w:marTop w:val="0"/>
          <w:marBottom w:val="0"/>
          <w:divBdr>
            <w:top w:val="none" w:sz="0" w:space="0" w:color="auto"/>
            <w:left w:val="none" w:sz="0" w:space="0" w:color="auto"/>
            <w:bottom w:val="none" w:sz="0" w:space="0" w:color="auto"/>
            <w:right w:val="none" w:sz="0" w:space="0" w:color="auto"/>
          </w:divBdr>
          <w:divsChild>
            <w:div w:id="1053384241">
              <w:marLeft w:val="0"/>
              <w:marRight w:val="0"/>
              <w:marTop w:val="0"/>
              <w:marBottom w:val="0"/>
              <w:divBdr>
                <w:top w:val="none" w:sz="0" w:space="0" w:color="auto"/>
                <w:left w:val="none" w:sz="0" w:space="0" w:color="auto"/>
                <w:bottom w:val="none" w:sz="0" w:space="0" w:color="auto"/>
                <w:right w:val="none" w:sz="0" w:space="0" w:color="auto"/>
              </w:divBdr>
            </w:div>
          </w:divsChild>
        </w:div>
        <w:div w:id="326055663">
          <w:marLeft w:val="0"/>
          <w:marRight w:val="0"/>
          <w:marTop w:val="0"/>
          <w:marBottom w:val="0"/>
          <w:divBdr>
            <w:top w:val="none" w:sz="0" w:space="0" w:color="auto"/>
            <w:left w:val="none" w:sz="0" w:space="0" w:color="auto"/>
            <w:bottom w:val="none" w:sz="0" w:space="0" w:color="auto"/>
            <w:right w:val="none" w:sz="0" w:space="0" w:color="auto"/>
          </w:divBdr>
          <w:divsChild>
            <w:div w:id="2050572303">
              <w:marLeft w:val="0"/>
              <w:marRight w:val="0"/>
              <w:marTop w:val="0"/>
              <w:marBottom w:val="0"/>
              <w:divBdr>
                <w:top w:val="none" w:sz="0" w:space="0" w:color="auto"/>
                <w:left w:val="none" w:sz="0" w:space="0" w:color="auto"/>
                <w:bottom w:val="none" w:sz="0" w:space="0" w:color="auto"/>
                <w:right w:val="none" w:sz="0" w:space="0" w:color="auto"/>
              </w:divBdr>
            </w:div>
          </w:divsChild>
        </w:div>
        <w:div w:id="329018924">
          <w:marLeft w:val="0"/>
          <w:marRight w:val="0"/>
          <w:marTop w:val="0"/>
          <w:marBottom w:val="0"/>
          <w:divBdr>
            <w:top w:val="none" w:sz="0" w:space="0" w:color="auto"/>
            <w:left w:val="none" w:sz="0" w:space="0" w:color="auto"/>
            <w:bottom w:val="none" w:sz="0" w:space="0" w:color="auto"/>
            <w:right w:val="none" w:sz="0" w:space="0" w:color="auto"/>
          </w:divBdr>
          <w:divsChild>
            <w:div w:id="1186286191">
              <w:marLeft w:val="0"/>
              <w:marRight w:val="0"/>
              <w:marTop w:val="0"/>
              <w:marBottom w:val="0"/>
              <w:divBdr>
                <w:top w:val="none" w:sz="0" w:space="0" w:color="auto"/>
                <w:left w:val="none" w:sz="0" w:space="0" w:color="auto"/>
                <w:bottom w:val="none" w:sz="0" w:space="0" w:color="auto"/>
                <w:right w:val="none" w:sz="0" w:space="0" w:color="auto"/>
              </w:divBdr>
            </w:div>
          </w:divsChild>
        </w:div>
        <w:div w:id="331881149">
          <w:marLeft w:val="0"/>
          <w:marRight w:val="0"/>
          <w:marTop w:val="0"/>
          <w:marBottom w:val="0"/>
          <w:divBdr>
            <w:top w:val="none" w:sz="0" w:space="0" w:color="auto"/>
            <w:left w:val="none" w:sz="0" w:space="0" w:color="auto"/>
            <w:bottom w:val="none" w:sz="0" w:space="0" w:color="auto"/>
            <w:right w:val="none" w:sz="0" w:space="0" w:color="auto"/>
          </w:divBdr>
          <w:divsChild>
            <w:div w:id="352656306">
              <w:marLeft w:val="0"/>
              <w:marRight w:val="0"/>
              <w:marTop w:val="0"/>
              <w:marBottom w:val="0"/>
              <w:divBdr>
                <w:top w:val="none" w:sz="0" w:space="0" w:color="auto"/>
                <w:left w:val="none" w:sz="0" w:space="0" w:color="auto"/>
                <w:bottom w:val="none" w:sz="0" w:space="0" w:color="auto"/>
                <w:right w:val="none" w:sz="0" w:space="0" w:color="auto"/>
              </w:divBdr>
            </w:div>
          </w:divsChild>
        </w:div>
        <w:div w:id="347028327">
          <w:marLeft w:val="0"/>
          <w:marRight w:val="0"/>
          <w:marTop w:val="0"/>
          <w:marBottom w:val="0"/>
          <w:divBdr>
            <w:top w:val="none" w:sz="0" w:space="0" w:color="auto"/>
            <w:left w:val="none" w:sz="0" w:space="0" w:color="auto"/>
            <w:bottom w:val="none" w:sz="0" w:space="0" w:color="auto"/>
            <w:right w:val="none" w:sz="0" w:space="0" w:color="auto"/>
          </w:divBdr>
          <w:divsChild>
            <w:div w:id="89132037">
              <w:marLeft w:val="0"/>
              <w:marRight w:val="0"/>
              <w:marTop w:val="0"/>
              <w:marBottom w:val="0"/>
              <w:divBdr>
                <w:top w:val="none" w:sz="0" w:space="0" w:color="auto"/>
                <w:left w:val="none" w:sz="0" w:space="0" w:color="auto"/>
                <w:bottom w:val="none" w:sz="0" w:space="0" w:color="auto"/>
                <w:right w:val="none" w:sz="0" w:space="0" w:color="auto"/>
              </w:divBdr>
            </w:div>
          </w:divsChild>
        </w:div>
        <w:div w:id="372921701">
          <w:marLeft w:val="0"/>
          <w:marRight w:val="0"/>
          <w:marTop w:val="0"/>
          <w:marBottom w:val="0"/>
          <w:divBdr>
            <w:top w:val="none" w:sz="0" w:space="0" w:color="auto"/>
            <w:left w:val="none" w:sz="0" w:space="0" w:color="auto"/>
            <w:bottom w:val="none" w:sz="0" w:space="0" w:color="auto"/>
            <w:right w:val="none" w:sz="0" w:space="0" w:color="auto"/>
          </w:divBdr>
          <w:divsChild>
            <w:div w:id="186254497">
              <w:marLeft w:val="0"/>
              <w:marRight w:val="0"/>
              <w:marTop w:val="0"/>
              <w:marBottom w:val="0"/>
              <w:divBdr>
                <w:top w:val="none" w:sz="0" w:space="0" w:color="auto"/>
                <w:left w:val="none" w:sz="0" w:space="0" w:color="auto"/>
                <w:bottom w:val="none" w:sz="0" w:space="0" w:color="auto"/>
                <w:right w:val="none" w:sz="0" w:space="0" w:color="auto"/>
              </w:divBdr>
            </w:div>
          </w:divsChild>
        </w:div>
        <w:div w:id="385685381">
          <w:marLeft w:val="0"/>
          <w:marRight w:val="0"/>
          <w:marTop w:val="0"/>
          <w:marBottom w:val="0"/>
          <w:divBdr>
            <w:top w:val="none" w:sz="0" w:space="0" w:color="auto"/>
            <w:left w:val="none" w:sz="0" w:space="0" w:color="auto"/>
            <w:bottom w:val="none" w:sz="0" w:space="0" w:color="auto"/>
            <w:right w:val="none" w:sz="0" w:space="0" w:color="auto"/>
          </w:divBdr>
          <w:divsChild>
            <w:div w:id="2033262825">
              <w:marLeft w:val="0"/>
              <w:marRight w:val="0"/>
              <w:marTop w:val="0"/>
              <w:marBottom w:val="0"/>
              <w:divBdr>
                <w:top w:val="none" w:sz="0" w:space="0" w:color="auto"/>
                <w:left w:val="none" w:sz="0" w:space="0" w:color="auto"/>
                <w:bottom w:val="none" w:sz="0" w:space="0" w:color="auto"/>
                <w:right w:val="none" w:sz="0" w:space="0" w:color="auto"/>
              </w:divBdr>
            </w:div>
          </w:divsChild>
        </w:div>
        <w:div w:id="535119379">
          <w:marLeft w:val="0"/>
          <w:marRight w:val="0"/>
          <w:marTop w:val="0"/>
          <w:marBottom w:val="0"/>
          <w:divBdr>
            <w:top w:val="none" w:sz="0" w:space="0" w:color="auto"/>
            <w:left w:val="none" w:sz="0" w:space="0" w:color="auto"/>
            <w:bottom w:val="none" w:sz="0" w:space="0" w:color="auto"/>
            <w:right w:val="none" w:sz="0" w:space="0" w:color="auto"/>
          </w:divBdr>
          <w:divsChild>
            <w:div w:id="1035472544">
              <w:marLeft w:val="0"/>
              <w:marRight w:val="0"/>
              <w:marTop w:val="0"/>
              <w:marBottom w:val="0"/>
              <w:divBdr>
                <w:top w:val="none" w:sz="0" w:space="0" w:color="auto"/>
                <w:left w:val="none" w:sz="0" w:space="0" w:color="auto"/>
                <w:bottom w:val="none" w:sz="0" w:space="0" w:color="auto"/>
                <w:right w:val="none" w:sz="0" w:space="0" w:color="auto"/>
              </w:divBdr>
            </w:div>
          </w:divsChild>
        </w:div>
        <w:div w:id="577054546">
          <w:marLeft w:val="0"/>
          <w:marRight w:val="0"/>
          <w:marTop w:val="0"/>
          <w:marBottom w:val="0"/>
          <w:divBdr>
            <w:top w:val="none" w:sz="0" w:space="0" w:color="auto"/>
            <w:left w:val="none" w:sz="0" w:space="0" w:color="auto"/>
            <w:bottom w:val="none" w:sz="0" w:space="0" w:color="auto"/>
            <w:right w:val="none" w:sz="0" w:space="0" w:color="auto"/>
          </w:divBdr>
          <w:divsChild>
            <w:div w:id="1061173603">
              <w:marLeft w:val="0"/>
              <w:marRight w:val="0"/>
              <w:marTop w:val="0"/>
              <w:marBottom w:val="0"/>
              <w:divBdr>
                <w:top w:val="none" w:sz="0" w:space="0" w:color="auto"/>
                <w:left w:val="none" w:sz="0" w:space="0" w:color="auto"/>
                <w:bottom w:val="none" w:sz="0" w:space="0" w:color="auto"/>
                <w:right w:val="none" w:sz="0" w:space="0" w:color="auto"/>
              </w:divBdr>
            </w:div>
          </w:divsChild>
        </w:div>
        <w:div w:id="582179070">
          <w:marLeft w:val="0"/>
          <w:marRight w:val="0"/>
          <w:marTop w:val="0"/>
          <w:marBottom w:val="0"/>
          <w:divBdr>
            <w:top w:val="none" w:sz="0" w:space="0" w:color="auto"/>
            <w:left w:val="none" w:sz="0" w:space="0" w:color="auto"/>
            <w:bottom w:val="none" w:sz="0" w:space="0" w:color="auto"/>
            <w:right w:val="none" w:sz="0" w:space="0" w:color="auto"/>
          </w:divBdr>
          <w:divsChild>
            <w:div w:id="69616352">
              <w:marLeft w:val="0"/>
              <w:marRight w:val="0"/>
              <w:marTop w:val="0"/>
              <w:marBottom w:val="0"/>
              <w:divBdr>
                <w:top w:val="none" w:sz="0" w:space="0" w:color="auto"/>
                <w:left w:val="none" w:sz="0" w:space="0" w:color="auto"/>
                <w:bottom w:val="none" w:sz="0" w:space="0" w:color="auto"/>
                <w:right w:val="none" w:sz="0" w:space="0" w:color="auto"/>
              </w:divBdr>
            </w:div>
          </w:divsChild>
        </w:div>
        <w:div w:id="613172857">
          <w:marLeft w:val="0"/>
          <w:marRight w:val="0"/>
          <w:marTop w:val="0"/>
          <w:marBottom w:val="0"/>
          <w:divBdr>
            <w:top w:val="none" w:sz="0" w:space="0" w:color="auto"/>
            <w:left w:val="none" w:sz="0" w:space="0" w:color="auto"/>
            <w:bottom w:val="none" w:sz="0" w:space="0" w:color="auto"/>
            <w:right w:val="none" w:sz="0" w:space="0" w:color="auto"/>
          </w:divBdr>
          <w:divsChild>
            <w:div w:id="1520463861">
              <w:marLeft w:val="0"/>
              <w:marRight w:val="0"/>
              <w:marTop w:val="0"/>
              <w:marBottom w:val="0"/>
              <w:divBdr>
                <w:top w:val="none" w:sz="0" w:space="0" w:color="auto"/>
                <w:left w:val="none" w:sz="0" w:space="0" w:color="auto"/>
                <w:bottom w:val="none" w:sz="0" w:space="0" w:color="auto"/>
                <w:right w:val="none" w:sz="0" w:space="0" w:color="auto"/>
              </w:divBdr>
            </w:div>
          </w:divsChild>
        </w:div>
        <w:div w:id="621033633">
          <w:marLeft w:val="0"/>
          <w:marRight w:val="0"/>
          <w:marTop w:val="0"/>
          <w:marBottom w:val="0"/>
          <w:divBdr>
            <w:top w:val="none" w:sz="0" w:space="0" w:color="auto"/>
            <w:left w:val="none" w:sz="0" w:space="0" w:color="auto"/>
            <w:bottom w:val="none" w:sz="0" w:space="0" w:color="auto"/>
            <w:right w:val="none" w:sz="0" w:space="0" w:color="auto"/>
          </w:divBdr>
          <w:divsChild>
            <w:div w:id="1759447372">
              <w:marLeft w:val="0"/>
              <w:marRight w:val="0"/>
              <w:marTop w:val="0"/>
              <w:marBottom w:val="0"/>
              <w:divBdr>
                <w:top w:val="none" w:sz="0" w:space="0" w:color="auto"/>
                <w:left w:val="none" w:sz="0" w:space="0" w:color="auto"/>
                <w:bottom w:val="none" w:sz="0" w:space="0" w:color="auto"/>
                <w:right w:val="none" w:sz="0" w:space="0" w:color="auto"/>
              </w:divBdr>
            </w:div>
          </w:divsChild>
        </w:div>
        <w:div w:id="631908417">
          <w:marLeft w:val="0"/>
          <w:marRight w:val="0"/>
          <w:marTop w:val="0"/>
          <w:marBottom w:val="0"/>
          <w:divBdr>
            <w:top w:val="none" w:sz="0" w:space="0" w:color="auto"/>
            <w:left w:val="none" w:sz="0" w:space="0" w:color="auto"/>
            <w:bottom w:val="none" w:sz="0" w:space="0" w:color="auto"/>
            <w:right w:val="none" w:sz="0" w:space="0" w:color="auto"/>
          </w:divBdr>
          <w:divsChild>
            <w:div w:id="1082219664">
              <w:marLeft w:val="0"/>
              <w:marRight w:val="0"/>
              <w:marTop w:val="0"/>
              <w:marBottom w:val="0"/>
              <w:divBdr>
                <w:top w:val="none" w:sz="0" w:space="0" w:color="auto"/>
                <w:left w:val="none" w:sz="0" w:space="0" w:color="auto"/>
                <w:bottom w:val="none" w:sz="0" w:space="0" w:color="auto"/>
                <w:right w:val="none" w:sz="0" w:space="0" w:color="auto"/>
              </w:divBdr>
            </w:div>
          </w:divsChild>
        </w:div>
        <w:div w:id="790055145">
          <w:marLeft w:val="0"/>
          <w:marRight w:val="0"/>
          <w:marTop w:val="0"/>
          <w:marBottom w:val="0"/>
          <w:divBdr>
            <w:top w:val="none" w:sz="0" w:space="0" w:color="auto"/>
            <w:left w:val="none" w:sz="0" w:space="0" w:color="auto"/>
            <w:bottom w:val="none" w:sz="0" w:space="0" w:color="auto"/>
            <w:right w:val="none" w:sz="0" w:space="0" w:color="auto"/>
          </w:divBdr>
          <w:divsChild>
            <w:div w:id="1241254797">
              <w:marLeft w:val="0"/>
              <w:marRight w:val="0"/>
              <w:marTop w:val="0"/>
              <w:marBottom w:val="0"/>
              <w:divBdr>
                <w:top w:val="none" w:sz="0" w:space="0" w:color="auto"/>
                <w:left w:val="none" w:sz="0" w:space="0" w:color="auto"/>
                <w:bottom w:val="none" w:sz="0" w:space="0" w:color="auto"/>
                <w:right w:val="none" w:sz="0" w:space="0" w:color="auto"/>
              </w:divBdr>
            </w:div>
          </w:divsChild>
        </w:div>
        <w:div w:id="799112512">
          <w:marLeft w:val="0"/>
          <w:marRight w:val="0"/>
          <w:marTop w:val="0"/>
          <w:marBottom w:val="0"/>
          <w:divBdr>
            <w:top w:val="none" w:sz="0" w:space="0" w:color="auto"/>
            <w:left w:val="none" w:sz="0" w:space="0" w:color="auto"/>
            <w:bottom w:val="none" w:sz="0" w:space="0" w:color="auto"/>
            <w:right w:val="none" w:sz="0" w:space="0" w:color="auto"/>
          </w:divBdr>
          <w:divsChild>
            <w:div w:id="1419214314">
              <w:marLeft w:val="0"/>
              <w:marRight w:val="0"/>
              <w:marTop w:val="0"/>
              <w:marBottom w:val="0"/>
              <w:divBdr>
                <w:top w:val="none" w:sz="0" w:space="0" w:color="auto"/>
                <w:left w:val="none" w:sz="0" w:space="0" w:color="auto"/>
                <w:bottom w:val="none" w:sz="0" w:space="0" w:color="auto"/>
                <w:right w:val="none" w:sz="0" w:space="0" w:color="auto"/>
              </w:divBdr>
            </w:div>
          </w:divsChild>
        </w:div>
        <w:div w:id="819493246">
          <w:marLeft w:val="0"/>
          <w:marRight w:val="0"/>
          <w:marTop w:val="0"/>
          <w:marBottom w:val="0"/>
          <w:divBdr>
            <w:top w:val="none" w:sz="0" w:space="0" w:color="auto"/>
            <w:left w:val="none" w:sz="0" w:space="0" w:color="auto"/>
            <w:bottom w:val="none" w:sz="0" w:space="0" w:color="auto"/>
            <w:right w:val="none" w:sz="0" w:space="0" w:color="auto"/>
          </w:divBdr>
          <w:divsChild>
            <w:div w:id="2107462550">
              <w:marLeft w:val="0"/>
              <w:marRight w:val="0"/>
              <w:marTop w:val="0"/>
              <w:marBottom w:val="0"/>
              <w:divBdr>
                <w:top w:val="none" w:sz="0" w:space="0" w:color="auto"/>
                <w:left w:val="none" w:sz="0" w:space="0" w:color="auto"/>
                <w:bottom w:val="none" w:sz="0" w:space="0" w:color="auto"/>
                <w:right w:val="none" w:sz="0" w:space="0" w:color="auto"/>
              </w:divBdr>
            </w:div>
          </w:divsChild>
        </w:div>
        <w:div w:id="852495840">
          <w:marLeft w:val="0"/>
          <w:marRight w:val="0"/>
          <w:marTop w:val="0"/>
          <w:marBottom w:val="0"/>
          <w:divBdr>
            <w:top w:val="none" w:sz="0" w:space="0" w:color="auto"/>
            <w:left w:val="none" w:sz="0" w:space="0" w:color="auto"/>
            <w:bottom w:val="none" w:sz="0" w:space="0" w:color="auto"/>
            <w:right w:val="none" w:sz="0" w:space="0" w:color="auto"/>
          </w:divBdr>
          <w:divsChild>
            <w:div w:id="1805847280">
              <w:marLeft w:val="0"/>
              <w:marRight w:val="0"/>
              <w:marTop w:val="0"/>
              <w:marBottom w:val="0"/>
              <w:divBdr>
                <w:top w:val="none" w:sz="0" w:space="0" w:color="auto"/>
                <w:left w:val="none" w:sz="0" w:space="0" w:color="auto"/>
                <w:bottom w:val="none" w:sz="0" w:space="0" w:color="auto"/>
                <w:right w:val="none" w:sz="0" w:space="0" w:color="auto"/>
              </w:divBdr>
            </w:div>
          </w:divsChild>
        </w:div>
        <w:div w:id="857475026">
          <w:marLeft w:val="0"/>
          <w:marRight w:val="0"/>
          <w:marTop w:val="0"/>
          <w:marBottom w:val="0"/>
          <w:divBdr>
            <w:top w:val="none" w:sz="0" w:space="0" w:color="auto"/>
            <w:left w:val="none" w:sz="0" w:space="0" w:color="auto"/>
            <w:bottom w:val="none" w:sz="0" w:space="0" w:color="auto"/>
            <w:right w:val="none" w:sz="0" w:space="0" w:color="auto"/>
          </w:divBdr>
          <w:divsChild>
            <w:div w:id="2057924400">
              <w:marLeft w:val="0"/>
              <w:marRight w:val="0"/>
              <w:marTop w:val="0"/>
              <w:marBottom w:val="0"/>
              <w:divBdr>
                <w:top w:val="none" w:sz="0" w:space="0" w:color="auto"/>
                <w:left w:val="none" w:sz="0" w:space="0" w:color="auto"/>
                <w:bottom w:val="none" w:sz="0" w:space="0" w:color="auto"/>
                <w:right w:val="none" w:sz="0" w:space="0" w:color="auto"/>
              </w:divBdr>
            </w:div>
          </w:divsChild>
        </w:div>
        <w:div w:id="897403372">
          <w:marLeft w:val="0"/>
          <w:marRight w:val="0"/>
          <w:marTop w:val="0"/>
          <w:marBottom w:val="0"/>
          <w:divBdr>
            <w:top w:val="none" w:sz="0" w:space="0" w:color="auto"/>
            <w:left w:val="none" w:sz="0" w:space="0" w:color="auto"/>
            <w:bottom w:val="none" w:sz="0" w:space="0" w:color="auto"/>
            <w:right w:val="none" w:sz="0" w:space="0" w:color="auto"/>
          </w:divBdr>
          <w:divsChild>
            <w:div w:id="687609559">
              <w:marLeft w:val="0"/>
              <w:marRight w:val="0"/>
              <w:marTop w:val="0"/>
              <w:marBottom w:val="0"/>
              <w:divBdr>
                <w:top w:val="none" w:sz="0" w:space="0" w:color="auto"/>
                <w:left w:val="none" w:sz="0" w:space="0" w:color="auto"/>
                <w:bottom w:val="none" w:sz="0" w:space="0" w:color="auto"/>
                <w:right w:val="none" w:sz="0" w:space="0" w:color="auto"/>
              </w:divBdr>
            </w:div>
          </w:divsChild>
        </w:div>
        <w:div w:id="911430561">
          <w:marLeft w:val="0"/>
          <w:marRight w:val="0"/>
          <w:marTop w:val="0"/>
          <w:marBottom w:val="0"/>
          <w:divBdr>
            <w:top w:val="none" w:sz="0" w:space="0" w:color="auto"/>
            <w:left w:val="none" w:sz="0" w:space="0" w:color="auto"/>
            <w:bottom w:val="none" w:sz="0" w:space="0" w:color="auto"/>
            <w:right w:val="none" w:sz="0" w:space="0" w:color="auto"/>
          </w:divBdr>
          <w:divsChild>
            <w:div w:id="646589921">
              <w:marLeft w:val="0"/>
              <w:marRight w:val="0"/>
              <w:marTop w:val="0"/>
              <w:marBottom w:val="0"/>
              <w:divBdr>
                <w:top w:val="none" w:sz="0" w:space="0" w:color="auto"/>
                <w:left w:val="none" w:sz="0" w:space="0" w:color="auto"/>
                <w:bottom w:val="none" w:sz="0" w:space="0" w:color="auto"/>
                <w:right w:val="none" w:sz="0" w:space="0" w:color="auto"/>
              </w:divBdr>
            </w:div>
          </w:divsChild>
        </w:div>
        <w:div w:id="967661854">
          <w:marLeft w:val="0"/>
          <w:marRight w:val="0"/>
          <w:marTop w:val="0"/>
          <w:marBottom w:val="0"/>
          <w:divBdr>
            <w:top w:val="none" w:sz="0" w:space="0" w:color="auto"/>
            <w:left w:val="none" w:sz="0" w:space="0" w:color="auto"/>
            <w:bottom w:val="none" w:sz="0" w:space="0" w:color="auto"/>
            <w:right w:val="none" w:sz="0" w:space="0" w:color="auto"/>
          </w:divBdr>
          <w:divsChild>
            <w:div w:id="1858889546">
              <w:marLeft w:val="0"/>
              <w:marRight w:val="0"/>
              <w:marTop w:val="0"/>
              <w:marBottom w:val="0"/>
              <w:divBdr>
                <w:top w:val="none" w:sz="0" w:space="0" w:color="auto"/>
                <w:left w:val="none" w:sz="0" w:space="0" w:color="auto"/>
                <w:bottom w:val="none" w:sz="0" w:space="0" w:color="auto"/>
                <w:right w:val="none" w:sz="0" w:space="0" w:color="auto"/>
              </w:divBdr>
            </w:div>
          </w:divsChild>
        </w:div>
        <w:div w:id="1046175623">
          <w:marLeft w:val="0"/>
          <w:marRight w:val="0"/>
          <w:marTop w:val="0"/>
          <w:marBottom w:val="0"/>
          <w:divBdr>
            <w:top w:val="none" w:sz="0" w:space="0" w:color="auto"/>
            <w:left w:val="none" w:sz="0" w:space="0" w:color="auto"/>
            <w:bottom w:val="none" w:sz="0" w:space="0" w:color="auto"/>
            <w:right w:val="none" w:sz="0" w:space="0" w:color="auto"/>
          </w:divBdr>
          <w:divsChild>
            <w:div w:id="830608584">
              <w:marLeft w:val="0"/>
              <w:marRight w:val="0"/>
              <w:marTop w:val="0"/>
              <w:marBottom w:val="0"/>
              <w:divBdr>
                <w:top w:val="none" w:sz="0" w:space="0" w:color="auto"/>
                <w:left w:val="none" w:sz="0" w:space="0" w:color="auto"/>
                <w:bottom w:val="none" w:sz="0" w:space="0" w:color="auto"/>
                <w:right w:val="none" w:sz="0" w:space="0" w:color="auto"/>
              </w:divBdr>
            </w:div>
          </w:divsChild>
        </w:div>
        <w:div w:id="1064451295">
          <w:marLeft w:val="0"/>
          <w:marRight w:val="0"/>
          <w:marTop w:val="0"/>
          <w:marBottom w:val="0"/>
          <w:divBdr>
            <w:top w:val="none" w:sz="0" w:space="0" w:color="auto"/>
            <w:left w:val="none" w:sz="0" w:space="0" w:color="auto"/>
            <w:bottom w:val="none" w:sz="0" w:space="0" w:color="auto"/>
            <w:right w:val="none" w:sz="0" w:space="0" w:color="auto"/>
          </w:divBdr>
          <w:divsChild>
            <w:div w:id="564920338">
              <w:marLeft w:val="0"/>
              <w:marRight w:val="0"/>
              <w:marTop w:val="0"/>
              <w:marBottom w:val="0"/>
              <w:divBdr>
                <w:top w:val="none" w:sz="0" w:space="0" w:color="auto"/>
                <w:left w:val="none" w:sz="0" w:space="0" w:color="auto"/>
                <w:bottom w:val="none" w:sz="0" w:space="0" w:color="auto"/>
                <w:right w:val="none" w:sz="0" w:space="0" w:color="auto"/>
              </w:divBdr>
            </w:div>
          </w:divsChild>
        </w:div>
        <w:div w:id="1152334641">
          <w:marLeft w:val="0"/>
          <w:marRight w:val="0"/>
          <w:marTop w:val="0"/>
          <w:marBottom w:val="0"/>
          <w:divBdr>
            <w:top w:val="none" w:sz="0" w:space="0" w:color="auto"/>
            <w:left w:val="none" w:sz="0" w:space="0" w:color="auto"/>
            <w:bottom w:val="none" w:sz="0" w:space="0" w:color="auto"/>
            <w:right w:val="none" w:sz="0" w:space="0" w:color="auto"/>
          </w:divBdr>
          <w:divsChild>
            <w:div w:id="1912344942">
              <w:marLeft w:val="0"/>
              <w:marRight w:val="0"/>
              <w:marTop w:val="0"/>
              <w:marBottom w:val="0"/>
              <w:divBdr>
                <w:top w:val="none" w:sz="0" w:space="0" w:color="auto"/>
                <w:left w:val="none" w:sz="0" w:space="0" w:color="auto"/>
                <w:bottom w:val="none" w:sz="0" w:space="0" w:color="auto"/>
                <w:right w:val="none" w:sz="0" w:space="0" w:color="auto"/>
              </w:divBdr>
            </w:div>
          </w:divsChild>
        </w:div>
        <w:div w:id="1205749276">
          <w:marLeft w:val="0"/>
          <w:marRight w:val="0"/>
          <w:marTop w:val="0"/>
          <w:marBottom w:val="0"/>
          <w:divBdr>
            <w:top w:val="none" w:sz="0" w:space="0" w:color="auto"/>
            <w:left w:val="none" w:sz="0" w:space="0" w:color="auto"/>
            <w:bottom w:val="none" w:sz="0" w:space="0" w:color="auto"/>
            <w:right w:val="none" w:sz="0" w:space="0" w:color="auto"/>
          </w:divBdr>
          <w:divsChild>
            <w:div w:id="1503621623">
              <w:marLeft w:val="0"/>
              <w:marRight w:val="0"/>
              <w:marTop w:val="0"/>
              <w:marBottom w:val="0"/>
              <w:divBdr>
                <w:top w:val="none" w:sz="0" w:space="0" w:color="auto"/>
                <w:left w:val="none" w:sz="0" w:space="0" w:color="auto"/>
                <w:bottom w:val="none" w:sz="0" w:space="0" w:color="auto"/>
                <w:right w:val="none" w:sz="0" w:space="0" w:color="auto"/>
              </w:divBdr>
            </w:div>
          </w:divsChild>
        </w:div>
        <w:div w:id="1211768179">
          <w:marLeft w:val="0"/>
          <w:marRight w:val="0"/>
          <w:marTop w:val="0"/>
          <w:marBottom w:val="0"/>
          <w:divBdr>
            <w:top w:val="none" w:sz="0" w:space="0" w:color="auto"/>
            <w:left w:val="none" w:sz="0" w:space="0" w:color="auto"/>
            <w:bottom w:val="none" w:sz="0" w:space="0" w:color="auto"/>
            <w:right w:val="none" w:sz="0" w:space="0" w:color="auto"/>
          </w:divBdr>
          <w:divsChild>
            <w:div w:id="1523083350">
              <w:marLeft w:val="0"/>
              <w:marRight w:val="0"/>
              <w:marTop w:val="0"/>
              <w:marBottom w:val="0"/>
              <w:divBdr>
                <w:top w:val="none" w:sz="0" w:space="0" w:color="auto"/>
                <w:left w:val="none" w:sz="0" w:space="0" w:color="auto"/>
                <w:bottom w:val="none" w:sz="0" w:space="0" w:color="auto"/>
                <w:right w:val="none" w:sz="0" w:space="0" w:color="auto"/>
              </w:divBdr>
            </w:div>
          </w:divsChild>
        </w:div>
        <w:div w:id="1246956294">
          <w:marLeft w:val="0"/>
          <w:marRight w:val="0"/>
          <w:marTop w:val="0"/>
          <w:marBottom w:val="0"/>
          <w:divBdr>
            <w:top w:val="none" w:sz="0" w:space="0" w:color="auto"/>
            <w:left w:val="none" w:sz="0" w:space="0" w:color="auto"/>
            <w:bottom w:val="none" w:sz="0" w:space="0" w:color="auto"/>
            <w:right w:val="none" w:sz="0" w:space="0" w:color="auto"/>
          </w:divBdr>
          <w:divsChild>
            <w:div w:id="641810538">
              <w:marLeft w:val="0"/>
              <w:marRight w:val="0"/>
              <w:marTop w:val="0"/>
              <w:marBottom w:val="0"/>
              <w:divBdr>
                <w:top w:val="none" w:sz="0" w:space="0" w:color="auto"/>
                <w:left w:val="none" w:sz="0" w:space="0" w:color="auto"/>
                <w:bottom w:val="none" w:sz="0" w:space="0" w:color="auto"/>
                <w:right w:val="none" w:sz="0" w:space="0" w:color="auto"/>
              </w:divBdr>
            </w:div>
          </w:divsChild>
        </w:div>
        <w:div w:id="1267691520">
          <w:marLeft w:val="0"/>
          <w:marRight w:val="0"/>
          <w:marTop w:val="0"/>
          <w:marBottom w:val="0"/>
          <w:divBdr>
            <w:top w:val="none" w:sz="0" w:space="0" w:color="auto"/>
            <w:left w:val="none" w:sz="0" w:space="0" w:color="auto"/>
            <w:bottom w:val="none" w:sz="0" w:space="0" w:color="auto"/>
            <w:right w:val="none" w:sz="0" w:space="0" w:color="auto"/>
          </w:divBdr>
          <w:divsChild>
            <w:div w:id="1996837515">
              <w:marLeft w:val="0"/>
              <w:marRight w:val="0"/>
              <w:marTop w:val="0"/>
              <w:marBottom w:val="0"/>
              <w:divBdr>
                <w:top w:val="none" w:sz="0" w:space="0" w:color="auto"/>
                <w:left w:val="none" w:sz="0" w:space="0" w:color="auto"/>
                <w:bottom w:val="none" w:sz="0" w:space="0" w:color="auto"/>
                <w:right w:val="none" w:sz="0" w:space="0" w:color="auto"/>
              </w:divBdr>
            </w:div>
          </w:divsChild>
        </w:div>
        <w:div w:id="1309243506">
          <w:marLeft w:val="0"/>
          <w:marRight w:val="0"/>
          <w:marTop w:val="0"/>
          <w:marBottom w:val="0"/>
          <w:divBdr>
            <w:top w:val="none" w:sz="0" w:space="0" w:color="auto"/>
            <w:left w:val="none" w:sz="0" w:space="0" w:color="auto"/>
            <w:bottom w:val="none" w:sz="0" w:space="0" w:color="auto"/>
            <w:right w:val="none" w:sz="0" w:space="0" w:color="auto"/>
          </w:divBdr>
          <w:divsChild>
            <w:div w:id="613942918">
              <w:marLeft w:val="0"/>
              <w:marRight w:val="0"/>
              <w:marTop w:val="0"/>
              <w:marBottom w:val="0"/>
              <w:divBdr>
                <w:top w:val="none" w:sz="0" w:space="0" w:color="auto"/>
                <w:left w:val="none" w:sz="0" w:space="0" w:color="auto"/>
                <w:bottom w:val="none" w:sz="0" w:space="0" w:color="auto"/>
                <w:right w:val="none" w:sz="0" w:space="0" w:color="auto"/>
              </w:divBdr>
            </w:div>
          </w:divsChild>
        </w:div>
        <w:div w:id="1328940296">
          <w:marLeft w:val="0"/>
          <w:marRight w:val="0"/>
          <w:marTop w:val="0"/>
          <w:marBottom w:val="0"/>
          <w:divBdr>
            <w:top w:val="none" w:sz="0" w:space="0" w:color="auto"/>
            <w:left w:val="none" w:sz="0" w:space="0" w:color="auto"/>
            <w:bottom w:val="none" w:sz="0" w:space="0" w:color="auto"/>
            <w:right w:val="none" w:sz="0" w:space="0" w:color="auto"/>
          </w:divBdr>
          <w:divsChild>
            <w:div w:id="889539204">
              <w:marLeft w:val="0"/>
              <w:marRight w:val="0"/>
              <w:marTop w:val="0"/>
              <w:marBottom w:val="0"/>
              <w:divBdr>
                <w:top w:val="none" w:sz="0" w:space="0" w:color="auto"/>
                <w:left w:val="none" w:sz="0" w:space="0" w:color="auto"/>
                <w:bottom w:val="none" w:sz="0" w:space="0" w:color="auto"/>
                <w:right w:val="none" w:sz="0" w:space="0" w:color="auto"/>
              </w:divBdr>
            </w:div>
          </w:divsChild>
        </w:div>
        <w:div w:id="1339506003">
          <w:marLeft w:val="0"/>
          <w:marRight w:val="0"/>
          <w:marTop w:val="0"/>
          <w:marBottom w:val="0"/>
          <w:divBdr>
            <w:top w:val="none" w:sz="0" w:space="0" w:color="auto"/>
            <w:left w:val="none" w:sz="0" w:space="0" w:color="auto"/>
            <w:bottom w:val="none" w:sz="0" w:space="0" w:color="auto"/>
            <w:right w:val="none" w:sz="0" w:space="0" w:color="auto"/>
          </w:divBdr>
          <w:divsChild>
            <w:div w:id="1620212286">
              <w:marLeft w:val="0"/>
              <w:marRight w:val="0"/>
              <w:marTop w:val="0"/>
              <w:marBottom w:val="0"/>
              <w:divBdr>
                <w:top w:val="none" w:sz="0" w:space="0" w:color="auto"/>
                <w:left w:val="none" w:sz="0" w:space="0" w:color="auto"/>
                <w:bottom w:val="none" w:sz="0" w:space="0" w:color="auto"/>
                <w:right w:val="none" w:sz="0" w:space="0" w:color="auto"/>
              </w:divBdr>
            </w:div>
          </w:divsChild>
        </w:div>
        <w:div w:id="1369528834">
          <w:marLeft w:val="0"/>
          <w:marRight w:val="0"/>
          <w:marTop w:val="0"/>
          <w:marBottom w:val="0"/>
          <w:divBdr>
            <w:top w:val="none" w:sz="0" w:space="0" w:color="auto"/>
            <w:left w:val="none" w:sz="0" w:space="0" w:color="auto"/>
            <w:bottom w:val="none" w:sz="0" w:space="0" w:color="auto"/>
            <w:right w:val="none" w:sz="0" w:space="0" w:color="auto"/>
          </w:divBdr>
          <w:divsChild>
            <w:div w:id="310057754">
              <w:marLeft w:val="0"/>
              <w:marRight w:val="0"/>
              <w:marTop w:val="0"/>
              <w:marBottom w:val="0"/>
              <w:divBdr>
                <w:top w:val="none" w:sz="0" w:space="0" w:color="auto"/>
                <w:left w:val="none" w:sz="0" w:space="0" w:color="auto"/>
                <w:bottom w:val="none" w:sz="0" w:space="0" w:color="auto"/>
                <w:right w:val="none" w:sz="0" w:space="0" w:color="auto"/>
              </w:divBdr>
            </w:div>
          </w:divsChild>
        </w:div>
        <w:div w:id="1391152530">
          <w:marLeft w:val="0"/>
          <w:marRight w:val="0"/>
          <w:marTop w:val="0"/>
          <w:marBottom w:val="0"/>
          <w:divBdr>
            <w:top w:val="none" w:sz="0" w:space="0" w:color="auto"/>
            <w:left w:val="none" w:sz="0" w:space="0" w:color="auto"/>
            <w:bottom w:val="none" w:sz="0" w:space="0" w:color="auto"/>
            <w:right w:val="none" w:sz="0" w:space="0" w:color="auto"/>
          </w:divBdr>
          <w:divsChild>
            <w:div w:id="1296334715">
              <w:marLeft w:val="0"/>
              <w:marRight w:val="0"/>
              <w:marTop w:val="0"/>
              <w:marBottom w:val="0"/>
              <w:divBdr>
                <w:top w:val="none" w:sz="0" w:space="0" w:color="auto"/>
                <w:left w:val="none" w:sz="0" w:space="0" w:color="auto"/>
                <w:bottom w:val="none" w:sz="0" w:space="0" w:color="auto"/>
                <w:right w:val="none" w:sz="0" w:space="0" w:color="auto"/>
              </w:divBdr>
            </w:div>
          </w:divsChild>
        </w:div>
        <w:div w:id="1409112725">
          <w:marLeft w:val="0"/>
          <w:marRight w:val="0"/>
          <w:marTop w:val="0"/>
          <w:marBottom w:val="0"/>
          <w:divBdr>
            <w:top w:val="none" w:sz="0" w:space="0" w:color="auto"/>
            <w:left w:val="none" w:sz="0" w:space="0" w:color="auto"/>
            <w:bottom w:val="none" w:sz="0" w:space="0" w:color="auto"/>
            <w:right w:val="none" w:sz="0" w:space="0" w:color="auto"/>
          </w:divBdr>
          <w:divsChild>
            <w:div w:id="387538596">
              <w:marLeft w:val="0"/>
              <w:marRight w:val="0"/>
              <w:marTop w:val="0"/>
              <w:marBottom w:val="0"/>
              <w:divBdr>
                <w:top w:val="none" w:sz="0" w:space="0" w:color="auto"/>
                <w:left w:val="none" w:sz="0" w:space="0" w:color="auto"/>
                <w:bottom w:val="none" w:sz="0" w:space="0" w:color="auto"/>
                <w:right w:val="none" w:sz="0" w:space="0" w:color="auto"/>
              </w:divBdr>
            </w:div>
          </w:divsChild>
        </w:div>
        <w:div w:id="1465348548">
          <w:marLeft w:val="0"/>
          <w:marRight w:val="0"/>
          <w:marTop w:val="0"/>
          <w:marBottom w:val="0"/>
          <w:divBdr>
            <w:top w:val="none" w:sz="0" w:space="0" w:color="auto"/>
            <w:left w:val="none" w:sz="0" w:space="0" w:color="auto"/>
            <w:bottom w:val="none" w:sz="0" w:space="0" w:color="auto"/>
            <w:right w:val="none" w:sz="0" w:space="0" w:color="auto"/>
          </w:divBdr>
          <w:divsChild>
            <w:div w:id="84041800">
              <w:marLeft w:val="0"/>
              <w:marRight w:val="0"/>
              <w:marTop w:val="0"/>
              <w:marBottom w:val="0"/>
              <w:divBdr>
                <w:top w:val="none" w:sz="0" w:space="0" w:color="auto"/>
                <w:left w:val="none" w:sz="0" w:space="0" w:color="auto"/>
                <w:bottom w:val="none" w:sz="0" w:space="0" w:color="auto"/>
                <w:right w:val="none" w:sz="0" w:space="0" w:color="auto"/>
              </w:divBdr>
            </w:div>
          </w:divsChild>
        </w:div>
        <w:div w:id="1477262017">
          <w:marLeft w:val="0"/>
          <w:marRight w:val="0"/>
          <w:marTop w:val="0"/>
          <w:marBottom w:val="0"/>
          <w:divBdr>
            <w:top w:val="none" w:sz="0" w:space="0" w:color="auto"/>
            <w:left w:val="none" w:sz="0" w:space="0" w:color="auto"/>
            <w:bottom w:val="none" w:sz="0" w:space="0" w:color="auto"/>
            <w:right w:val="none" w:sz="0" w:space="0" w:color="auto"/>
          </w:divBdr>
          <w:divsChild>
            <w:div w:id="10033036">
              <w:marLeft w:val="0"/>
              <w:marRight w:val="0"/>
              <w:marTop w:val="0"/>
              <w:marBottom w:val="0"/>
              <w:divBdr>
                <w:top w:val="none" w:sz="0" w:space="0" w:color="auto"/>
                <w:left w:val="none" w:sz="0" w:space="0" w:color="auto"/>
                <w:bottom w:val="none" w:sz="0" w:space="0" w:color="auto"/>
                <w:right w:val="none" w:sz="0" w:space="0" w:color="auto"/>
              </w:divBdr>
            </w:div>
          </w:divsChild>
        </w:div>
        <w:div w:id="1487630663">
          <w:marLeft w:val="0"/>
          <w:marRight w:val="0"/>
          <w:marTop w:val="0"/>
          <w:marBottom w:val="0"/>
          <w:divBdr>
            <w:top w:val="none" w:sz="0" w:space="0" w:color="auto"/>
            <w:left w:val="none" w:sz="0" w:space="0" w:color="auto"/>
            <w:bottom w:val="none" w:sz="0" w:space="0" w:color="auto"/>
            <w:right w:val="none" w:sz="0" w:space="0" w:color="auto"/>
          </w:divBdr>
          <w:divsChild>
            <w:div w:id="554238731">
              <w:marLeft w:val="0"/>
              <w:marRight w:val="0"/>
              <w:marTop w:val="0"/>
              <w:marBottom w:val="0"/>
              <w:divBdr>
                <w:top w:val="none" w:sz="0" w:space="0" w:color="auto"/>
                <w:left w:val="none" w:sz="0" w:space="0" w:color="auto"/>
                <w:bottom w:val="none" w:sz="0" w:space="0" w:color="auto"/>
                <w:right w:val="none" w:sz="0" w:space="0" w:color="auto"/>
              </w:divBdr>
            </w:div>
          </w:divsChild>
        </w:div>
        <w:div w:id="1489831119">
          <w:marLeft w:val="0"/>
          <w:marRight w:val="0"/>
          <w:marTop w:val="0"/>
          <w:marBottom w:val="0"/>
          <w:divBdr>
            <w:top w:val="none" w:sz="0" w:space="0" w:color="auto"/>
            <w:left w:val="none" w:sz="0" w:space="0" w:color="auto"/>
            <w:bottom w:val="none" w:sz="0" w:space="0" w:color="auto"/>
            <w:right w:val="none" w:sz="0" w:space="0" w:color="auto"/>
          </w:divBdr>
          <w:divsChild>
            <w:div w:id="1372996391">
              <w:marLeft w:val="0"/>
              <w:marRight w:val="0"/>
              <w:marTop w:val="0"/>
              <w:marBottom w:val="0"/>
              <w:divBdr>
                <w:top w:val="none" w:sz="0" w:space="0" w:color="auto"/>
                <w:left w:val="none" w:sz="0" w:space="0" w:color="auto"/>
                <w:bottom w:val="none" w:sz="0" w:space="0" w:color="auto"/>
                <w:right w:val="none" w:sz="0" w:space="0" w:color="auto"/>
              </w:divBdr>
            </w:div>
          </w:divsChild>
        </w:div>
        <w:div w:id="1559364505">
          <w:marLeft w:val="0"/>
          <w:marRight w:val="0"/>
          <w:marTop w:val="0"/>
          <w:marBottom w:val="0"/>
          <w:divBdr>
            <w:top w:val="none" w:sz="0" w:space="0" w:color="auto"/>
            <w:left w:val="none" w:sz="0" w:space="0" w:color="auto"/>
            <w:bottom w:val="none" w:sz="0" w:space="0" w:color="auto"/>
            <w:right w:val="none" w:sz="0" w:space="0" w:color="auto"/>
          </w:divBdr>
          <w:divsChild>
            <w:div w:id="262694228">
              <w:marLeft w:val="0"/>
              <w:marRight w:val="0"/>
              <w:marTop w:val="0"/>
              <w:marBottom w:val="0"/>
              <w:divBdr>
                <w:top w:val="none" w:sz="0" w:space="0" w:color="auto"/>
                <w:left w:val="none" w:sz="0" w:space="0" w:color="auto"/>
                <w:bottom w:val="none" w:sz="0" w:space="0" w:color="auto"/>
                <w:right w:val="none" w:sz="0" w:space="0" w:color="auto"/>
              </w:divBdr>
            </w:div>
          </w:divsChild>
        </w:div>
        <w:div w:id="1677031416">
          <w:marLeft w:val="0"/>
          <w:marRight w:val="0"/>
          <w:marTop w:val="0"/>
          <w:marBottom w:val="0"/>
          <w:divBdr>
            <w:top w:val="none" w:sz="0" w:space="0" w:color="auto"/>
            <w:left w:val="none" w:sz="0" w:space="0" w:color="auto"/>
            <w:bottom w:val="none" w:sz="0" w:space="0" w:color="auto"/>
            <w:right w:val="none" w:sz="0" w:space="0" w:color="auto"/>
          </w:divBdr>
          <w:divsChild>
            <w:div w:id="16203493">
              <w:marLeft w:val="0"/>
              <w:marRight w:val="0"/>
              <w:marTop w:val="0"/>
              <w:marBottom w:val="0"/>
              <w:divBdr>
                <w:top w:val="none" w:sz="0" w:space="0" w:color="auto"/>
                <w:left w:val="none" w:sz="0" w:space="0" w:color="auto"/>
                <w:bottom w:val="none" w:sz="0" w:space="0" w:color="auto"/>
                <w:right w:val="none" w:sz="0" w:space="0" w:color="auto"/>
              </w:divBdr>
            </w:div>
          </w:divsChild>
        </w:div>
        <w:div w:id="1746024096">
          <w:marLeft w:val="0"/>
          <w:marRight w:val="0"/>
          <w:marTop w:val="0"/>
          <w:marBottom w:val="0"/>
          <w:divBdr>
            <w:top w:val="none" w:sz="0" w:space="0" w:color="auto"/>
            <w:left w:val="none" w:sz="0" w:space="0" w:color="auto"/>
            <w:bottom w:val="none" w:sz="0" w:space="0" w:color="auto"/>
            <w:right w:val="none" w:sz="0" w:space="0" w:color="auto"/>
          </w:divBdr>
          <w:divsChild>
            <w:div w:id="1057238986">
              <w:marLeft w:val="0"/>
              <w:marRight w:val="0"/>
              <w:marTop w:val="0"/>
              <w:marBottom w:val="0"/>
              <w:divBdr>
                <w:top w:val="none" w:sz="0" w:space="0" w:color="auto"/>
                <w:left w:val="none" w:sz="0" w:space="0" w:color="auto"/>
                <w:bottom w:val="none" w:sz="0" w:space="0" w:color="auto"/>
                <w:right w:val="none" w:sz="0" w:space="0" w:color="auto"/>
              </w:divBdr>
            </w:div>
          </w:divsChild>
        </w:div>
        <w:div w:id="1766681492">
          <w:marLeft w:val="0"/>
          <w:marRight w:val="0"/>
          <w:marTop w:val="0"/>
          <w:marBottom w:val="0"/>
          <w:divBdr>
            <w:top w:val="none" w:sz="0" w:space="0" w:color="auto"/>
            <w:left w:val="none" w:sz="0" w:space="0" w:color="auto"/>
            <w:bottom w:val="none" w:sz="0" w:space="0" w:color="auto"/>
            <w:right w:val="none" w:sz="0" w:space="0" w:color="auto"/>
          </w:divBdr>
          <w:divsChild>
            <w:div w:id="1722631352">
              <w:marLeft w:val="0"/>
              <w:marRight w:val="0"/>
              <w:marTop w:val="0"/>
              <w:marBottom w:val="0"/>
              <w:divBdr>
                <w:top w:val="none" w:sz="0" w:space="0" w:color="auto"/>
                <w:left w:val="none" w:sz="0" w:space="0" w:color="auto"/>
                <w:bottom w:val="none" w:sz="0" w:space="0" w:color="auto"/>
                <w:right w:val="none" w:sz="0" w:space="0" w:color="auto"/>
              </w:divBdr>
            </w:div>
          </w:divsChild>
        </w:div>
        <w:div w:id="1772121645">
          <w:marLeft w:val="0"/>
          <w:marRight w:val="0"/>
          <w:marTop w:val="0"/>
          <w:marBottom w:val="0"/>
          <w:divBdr>
            <w:top w:val="none" w:sz="0" w:space="0" w:color="auto"/>
            <w:left w:val="none" w:sz="0" w:space="0" w:color="auto"/>
            <w:bottom w:val="none" w:sz="0" w:space="0" w:color="auto"/>
            <w:right w:val="none" w:sz="0" w:space="0" w:color="auto"/>
          </w:divBdr>
          <w:divsChild>
            <w:div w:id="1191214608">
              <w:marLeft w:val="0"/>
              <w:marRight w:val="0"/>
              <w:marTop w:val="0"/>
              <w:marBottom w:val="0"/>
              <w:divBdr>
                <w:top w:val="none" w:sz="0" w:space="0" w:color="auto"/>
                <w:left w:val="none" w:sz="0" w:space="0" w:color="auto"/>
                <w:bottom w:val="none" w:sz="0" w:space="0" w:color="auto"/>
                <w:right w:val="none" w:sz="0" w:space="0" w:color="auto"/>
              </w:divBdr>
            </w:div>
          </w:divsChild>
        </w:div>
        <w:div w:id="1877964649">
          <w:marLeft w:val="0"/>
          <w:marRight w:val="0"/>
          <w:marTop w:val="0"/>
          <w:marBottom w:val="0"/>
          <w:divBdr>
            <w:top w:val="none" w:sz="0" w:space="0" w:color="auto"/>
            <w:left w:val="none" w:sz="0" w:space="0" w:color="auto"/>
            <w:bottom w:val="none" w:sz="0" w:space="0" w:color="auto"/>
            <w:right w:val="none" w:sz="0" w:space="0" w:color="auto"/>
          </w:divBdr>
          <w:divsChild>
            <w:div w:id="808326739">
              <w:marLeft w:val="0"/>
              <w:marRight w:val="0"/>
              <w:marTop w:val="0"/>
              <w:marBottom w:val="0"/>
              <w:divBdr>
                <w:top w:val="none" w:sz="0" w:space="0" w:color="auto"/>
                <w:left w:val="none" w:sz="0" w:space="0" w:color="auto"/>
                <w:bottom w:val="none" w:sz="0" w:space="0" w:color="auto"/>
                <w:right w:val="none" w:sz="0" w:space="0" w:color="auto"/>
              </w:divBdr>
            </w:div>
          </w:divsChild>
        </w:div>
        <w:div w:id="1904674719">
          <w:marLeft w:val="0"/>
          <w:marRight w:val="0"/>
          <w:marTop w:val="0"/>
          <w:marBottom w:val="0"/>
          <w:divBdr>
            <w:top w:val="none" w:sz="0" w:space="0" w:color="auto"/>
            <w:left w:val="none" w:sz="0" w:space="0" w:color="auto"/>
            <w:bottom w:val="none" w:sz="0" w:space="0" w:color="auto"/>
            <w:right w:val="none" w:sz="0" w:space="0" w:color="auto"/>
          </w:divBdr>
          <w:divsChild>
            <w:div w:id="2097894075">
              <w:marLeft w:val="0"/>
              <w:marRight w:val="0"/>
              <w:marTop w:val="0"/>
              <w:marBottom w:val="0"/>
              <w:divBdr>
                <w:top w:val="none" w:sz="0" w:space="0" w:color="auto"/>
                <w:left w:val="none" w:sz="0" w:space="0" w:color="auto"/>
                <w:bottom w:val="none" w:sz="0" w:space="0" w:color="auto"/>
                <w:right w:val="none" w:sz="0" w:space="0" w:color="auto"/>
              </w:divBdr>
            </w:div>
          </w:divsChild>
        </w:div>
        <w:div w:id="1928077545">
          <w:marLeft w:val="0"/>
          <w:marRight w:val="0"/>
          <w:marTop w:val="0"/>
          <w:marBottom w:val="0"/>
          <w:divBdr>
            <w:top w:val="none" w:sz="0" w:space="0" w:color="auto"/>
            <w:left w:val="none" w:sz="0" w:space="0" w:color="auto"/>
            <w:bottom w:val="none" w:sz="0" w:space="0" w:color="auto"/>
            <w:right w:val="none" w:sz="0" w:space="0" w:color="auto"/>
          </w:divBdr>
          <w:divsChild>
            <w:div w:id="1120025891">
              <w:marLeft w:val="0"/>
              <w:marRight w:val="0"/>
              <w:marTop w:val="0"/>
              <w:marBottom w:val="0"/>
              <w:divBdr>
                <w:top w:val="none" w:sz="0" w:space="0" w:color="auto"/>
                <w:left w:val="none" w:sz="0" w:space="0" w:color="auto"/>
                <w:bottom w:val="none" w:sz="0" w:space="0" w:color="auto"/>
                <w:right w:val="none" w:sz="0" w:space="0" w:color="auto"/>
              </w:divBdr>
            </w:div>
          </w:divsChild>
        </w:div>
        <w:div w:id="1933275691">
          <w:marLeft w:val="0"/>
          <w:marRight w:val="0"/>
          <w:marTop w:val="0"/>
          <w:marBottom w:val="0"/>
          <w:divBdr>
            <w:top w:val="none" w:sz="0" w:space="0" w:color="auto"/>
            <w:left w:val="none" w:sz="0" w:space="0" w:color="auto"/>
            <w:bottom w:val="none" w:sz="0" w:space="0" w:color="auto"/>
            <w:right w:val="none" w:sz="0" w:space="0" w:color="auto"/>
          </w:divBdr>
          <w:divsChild>
            <w:div w:id="742684476">
              <w:marLeft w:val="0"/>
              <w:marRight w:val="0"/>
              <w:marTop w:val="0"/>
              <w:marBottom w:val="0"/>
              <w:divBdr>
                <w:top w:val="none" w:sz="0" w:space="0" w:color="auto"/>
                <w:left w:val="none" w:sz="0" w:space="0" w:color="auto"/>
                <w:bottom w:val="none" w:sz="0" w:space="0" w:color="auto"/>
                <w:right w:val="none" w:sz="0" w:space="0" w:color="auto"/>
              </w:divBdr>
            </w:div>
          </w:divsChild>
        </w:div>
        <w:div w:id="2053456986">
          <w:marLeft w:val="0"/>
          <w:marRight w:val="0"/>
          <w:marTop w:val="0"/>
          <w:marBottom w:val="0"/>
          <w:divBdr>
            <w:top w:val="none" w:sz="0" w:space="0" w:color="auto"/>
            <w:left w:val="none" w:sz="0" w:space="0" w:color="auto"/>
            <w:bottom w:val="none" w:sz="0" w:space="0" w:color="auto"/>
            <w:right w:val="none" w:sz="0" w:space="0" w:color="auto"/>
          </w:divBdr>
          <w:divsChild>
            <w:div w:id="1292899282">
              <w:marLeft w:val="0"/>
              <w:marRight w:val="0"/>
              <w:marTop w:val="0"/>
              <w:marBottom w:val="0"/>
              <w:divBdr>
                <w:top w:val="none" w:sz="0" w:space="0" w:color="auto"/>
                <w:left w:val="none" w:sz="0" w:space="0" w:color="auto"/>
                <w:bottom w:val="none" w:sz="0" w:space="0" w:color="auto"/>
                <w:right w:val="none" w:sz="0" w:space="0" w:color="auto"/>
              </w:divBdr>
            </w:div>
          </w:divsChild>
        </w:div>
        <w:div w:id="2103138258">
          <w:marLeft w:val="0"/>
          <w:marRight w:val="0"/>
          <w:marTop w:val="0"/>
          <w:marBottom w:val="0"/>
          <w:divBdr>
            <w:top w:val="none" w:sz="0" w:space="0" w:color="auto"/>
            <w:left w:val="none" w:sz="0" w:space="0" w:color="auto"/>
            <w:bottom w:val="none" w:sz="0" w:space="0" w:color="auto"/>
            <w:right w:val="none" w:sz="0" w:space="0" w:color="auto"/>
          </w:divBdr>
          <w:divsChild>
            <w:div w:id="2233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37916">
      <w:bodyDiv w:val="1"/>
      <w:marLeft w:val="0"/>
      <w:marRight w:val="0"/>
      <w:marTop w:val="0"/>
      <w:marBottom w:val="0"/>
      <w:divBdr>
        <w:top w:val="none" w:sz="0" w:space="0" w:color="auto"/>
        <w:left w:val="none" w:sz="0" w:space="0" w:color="auto"/>
        <w:bottom w:val="none" w:sz="0" w:space="0" w:color="auto"/>
        <w:right w:val="none" w:sz="0" w:space="0" w:color="auto"/>
      </w:divBdr>
    </w:div>
    <w:div w:id="1729693955">
      <w:bodyDiv w:val="1"/>
      <w:marLeft w:val="0"/>
      <w:marRight w:val="0"/>
      <w:marTop w:val="0"/>
      <w:marBottom w:val="0"/>
      <w:divBdr>
        <w:top w:val="none" w:sz="0" w:space="0" w:color="auto"/>
        <w:left w:val="none" w:sz="0" w:space="0" w:color="auto"/>
        <w:bottom w:val="none" w:sz="0" w:space="0" w:color="auto"/>
        <w:right w:val="none" w:sz="0" w:space="0" w:color="auto"/>
      </w:divBdr>
      <w:divsChild>
        <w:div w:id="193269800">
          <w:marLeft w:val="0"/>
          <w:marRight w:val="0"/>
          <w:marTop w:val="0"/>
          <w:marBottom w:val="0"/>
          <w:divBdr>
            <w:top w:val="none" w:sz="0" w:space="0" w:color="auto"/>
            <w:left w:val="none" w:sz="0" w:space="0" w:color="auto"/>
            <w:bottom w:val="none" w:sz="0" w:space="0" w:color="auto"/>
            <w:right w:val="none" w:sz="0" w:space="0" w:color="auto"/>
          </w:divBdr>
          <w:divsChild>
            <w:div w:id="951211514">
              <w:marLeft w:val="0"/>
              <w:marRight w:val="0"/>
              <w:marTop w:val="0"/>
              <w:marBottom w:val="0"/>
              <w:divBdr>
                <w:top w:val="none" w:sz="0" w:space="0" w:color="auto"/>
                <w:left w:val="none" w:sz="0" w:space="0" w:color="auto"/>
                <w:bottom w:val="none" w:sz="0" w:space="0" w:color="auto"/>
                <w:right w:val="none" w:sz="0" w:space="0" w:color="auto"/>
              </w:divBdr>
            </w:div>
          </w:divsChild>
        </w:div>
        <w:div w:id="199249385">
          <w:marLeft w:val="0"/>
          <w:marRight w:val="0"/>
          <w:marTop w:val="0"/>
          <w:marBottom w:val="0"/>
          <w:divBdr>
            <w:top w:val="none" w:sz="0" w:space="0" w:color="auto"/>
            <w:left w:val="none" w:sz="0" w:space="0" w:color="auto"/>
            <w:bottom w:val="none" w:sz="0" w:space="0" w:color="auto"/>
            <w:right w:val="none" w:sz="0" w:space="0" w:color="auto"/>
          </w:divBdr>
          <w:divsChild>
            <w:div w:id="205945484">
              <w:marLeft w:val="0"/>
              <w:marRight w:val="0"/>
              <w:marTop w:val="0"/>
              <w:marBottom w:val="0"/>
              <w:divBdr>
                <w:top w:val="none" w:sz="0" w:space="0" w:color="auto"/>
                <w:left w:val="none" w:sz="0" w:space="0" w:color="auto"/>
                <w:bottom w:val="none" w:sz="0" w:space="0" w:color="auto"/>
                <w:right w:val="none" w:sz="0" w:space="0" w:color="auto"/>
              </w:divBdr>
            </w:div>
          </w:divsChild>
        </w:div>
        <w:div w:id="229274472">
          <w:marLeft w:val="0"/>
          <w:marRight w:val="0"/>
          <w:marTop w:val="0"/>
          <w:marBottom w:val="0"/>
          <w:divBdr>
            <w:top w:val="none" w:sz="0" w:space="0" w:color="auto"/>
            <w:left w:val="none" w:sz="0" w:space="0" w:color="auto"/>
            <w:bottom w:val="none" w:sz="0" w:space="0" w:color="auto"/>
            <w:right w:val="none" w:sz="0" w:space="0" w:color="auto"/>
          </w:divBdr>
          <w:divsChild>
            <w:div w:id="316881623">
              <w:marLeft w:val="0"/>
              <w:marRight w:val="0"/>
              <w:marTop w:val="0"/>
              <w:marBottom w:val="0"/>
              <w:divBdr>
                <w:top w:val="none" w:sz="0" w:space="0" w:color="auto"/>
                <w:left w:val="none" w:sz="0" w:space="0" w:color="auto"/>
                <w:bottom w:val="none" w:sz="0" w:space="0" w:color="auto"/>
                <w:right w:val="none" w:sz="0" w:space="0" w:color="auto"/>
              </w:divBdr>
            </w:div>
            <w:div w:id="1982539339">
              <w:marLeft w:val="0"/>
              <w:marRight w:val="0"/>
              <w:marTop w:val="0"/>
              <w:marBottom w:val="0"/>
              <w:divBdr>
                <w:top w:val="none" w:sz="0" w:space="0" w:color="auto"/>
                <w:left w:val="none" w:sz="0" w:space="0" w:color="auto"/>
                <w:bottom w:val="none" w:sz="0" w:space="0" w:color="auto"/>
                <w:right w:val="none" w:sz="0" w:space="0" w:color="auto"/>
              </w:divBdr>
            </w:div>
          </w:divsChild>
        </w:div>
        <w:div w:id="393940110">
          <w:marLeft w:val="0"/>
          <w:marRight w:val="0"/>
          <w:marTop w:val="0"/>
          <w:marBottom w:val="0"/>
          <w:divBdr>
            <w:top w:val="none" w:sz="0" w:space="0" w:color="auto"/>
            <w:left w:val="none" w:sz="0" w:space="0" w:color="auto"/>
            <w:bottom w:val="none" w:sz="0" w:space="0" w:color="auto"/>
            <w:right w:val="none" w:sz="0" w:space="0" w:color="auto"/>
          </w:divBdr>
          <w:divsChild>
            <w:div w:id="1357541217">
              <w:marLeft w:val="0"/>
              <w:marRight w:val="0"/>
              <w:marTop w:val="0"/>
              <w:marBottom w:val="0"/>
              <w:divBdr>
                <w:top w:val="none" w:sz="0" w:space="0" w:color="auto"/>
                <w:left w:val="none" w:sz="0" w:space="0" w:color="auto"/>
                <w:bottom w:val="none" w:sz="0" w:space="0" w:color="auto"/>
                <w:right w:val="none" w:sz="0" w:space="0" w:color="auto"/>
              </w:divBdr>
            </w:div>
          </w:divsChild>
        </w:div>
        <w:div w:id="414009570">
          <w:marLeft w:val="0"/>
          <w:marRight w:val="0"/>
          <w:marTop w:val="0"/>
          <w:marBottom w:val="0"/>
          <w:divBdr>
            <w:top w:val="none" w:sz="0" w:space="0" w:color="auto"/>
            <w:left w:val="none" w:sz="0" w:space="0" w:color="auto"/>
            <w:bottom w:val="none" w:sz="0" w:space="0" w:color="auto"/>
            <w:right w:val="none" w:sz="0" w:space="0" w:color="auto"/>
          </w:divBdr>
          <w:divsChild>
            <w:div w:id="182592608">
              <w:marLeft w:val="0"/>
              <w:marRight w:val="0"/>
              <w:marTop w:val="0"/>
              <w:marBottom w:val="0"/>
              <w:divBdr>
                <w:top w:val="none" w:sz="0" w:space="0" w:color="auto"/>
                <w:left w:val="none" w:sz="0" w:space="0" w:color="auto"/>
                <w:bottom w:val="none" w:sz="0" w:space="0" w:color="auto"/>
                <w:right w:val="none" w:sz="0" w:space="0" w:color="auto"/>
              </w:divBdr>
            </w:div>
          </w:divsChild>
        </w:div>
        <w:div w:id="665322638">
          <w:marLeft w:val="0"/>
          <w:marRight w:val="0"/>
          <w:marTop w:val="0"/>
          <w:marBottom w:val="0"/>
          <w:divBdr>
            <w:top w:val="none" w:sz="0" w:space="0" w:color="auto"/>
            <w:left w:val="none" w:sz="0" w:space="0" w:color="auto"/>
            <w:bottom w:val="none" w:sz="0" w:space="0" w:color="auto"/>
            <w:right w:val="none" w:sz="0" w:space="0" w:color="auto"/>
          </w:divBdr>
          <w:divsChild>
            <w:div w:id="758064825">
              <w:marLeft w:val="0"/>
              <w:marRight w:val="0"/>
              <w:marTop w:val="0"/>
              <w:marBottom w:val="0"/>
              <w:divBdr>
                <w:top w:val="none" w:sz="0" w:space="0" w:color="auto"/>
                <w:left w:val="none" w:sz="0" w:space="0" w:color="auto"/>
                <w:bottom w:val="none" w:sz="0" w:space="0" w:color="auto"/>
                <w:right w:val="none" w:sz="0" w:space="0" w:color="auto"/>
              </w:divBdr>
            </w:div>
          </w:divsChild>
        </w:div>
        <w:div w:id="804741845">
          <w:marLeft w:val="0"/>
          <w:marRight w:val="0"/>
          <w:marTop w:val="0"/>
          <w:marBottom w:val="0"/>
          <w:divBdr>
            <w:top w:val="none" w:sz="0" w:space="0" w:color="auto"/>
            <w:left w:val="none" w:sz="0" w:space="0" w:color="auto"/>
            <w:bottom w:val="none" w:sz="0" w:space="0" w:color="auto"/>
            <w:right w:val="none" w:sz="0" w:space="0" w:color="auto"/>
          </w:divBdr>
          <w:divsChild>
            <w:div w:id="1299989240">
              <w:marLeft w:val="0"/>
              <w:marRight w:val="0"/>
              <w:marTop w:val="0"/>
              <w:marBottom w:val="0"/>
              <w:divBdr>
                <w:top w:val="none" w:sz="0" w:space="0" w:color="auto"/>
                <w:left w:val="none" w:sz="0" w:space="0" w:color="auto"/>
                <w:bottom w:val="none" w:sz="0" w:space="0" w:color="auto"/>
                <w:right w:val="none" w:sz="0" w:space="0" w:color="auto"/>
              </w:divBdr>
            </w:div>
          </w:divsChild>
        </w:div>
        <w:div w:id="928580019">
          <w:marLeft w:val="0"/>
          <w:marRight w:val="0"/>
          <w:marTop w:val="0"/>
          <w:marBottom w:val="0"/>
          <w:divBdr>
            <w:top w:val="none" w:sz="0" w:space="0" w:color="auto"/>
            <w:left w:val="none" w:sz="0" w:space="0" w:color="auto"/>
            <w:bottom w:val="none" w:sz="0" w:space="0" w:color="auto"/>
            <w:right w:val="none" w:sz="0" w:space="0" w:color="auto"/>
          </w:divBdr>
          <w:divsChild>
            <w:div w:id="1547332764">
              <w:marLeft w:val="0"/>
              <w:marRight w:val="0"/>
              <w:marTop w:val="0"/>
              <w:marBottom w:val="0"/>
              <w:divBdr>
                <w:top w:val="none" w:sz="0" w:space="0" w:color="auto"/>
                <w:left w:val="none" w:sz="0" w:space="0" w:color="auto"/>
                <w:bottom w:val="none" w:sz="0" w:space="0" w:color="auto"/>
                <w:right w:val="none" w:sz="0" w:space="0" w:color="auto"/>
              </w:divBdr>
            </w:div>
          </w:divsChild>
        </w:div>
        <w:div w:id="1096051050">
          <w:marLeft w:val="0"/>
          <w:marRight w:val="0"/>
          <w:marTop w:val="0"/>
          <w:marBottom w:val="0"/>
          <w:divBdr>
            <w:top w:val="none" w:sz="0" w:space="0" w:color="auto"/>
            <w:left w:val="none" w:sz="0" w:space="0" w:color="auto"/>
            <w:bottom w:val="none" w:sz="0" w:space="0" w:color="auto"/>
            <w:right w:val="none" w:sz="0" w:space="0" w:color="auto"/>
          </w:divBdr>
          <w:divsChild>
            <w:div w:id="741608934">
              <w:marLeft w:val="0"/>
              <w:marRight w:val="0"/>
              <w:marTop w:val="0"/>
              <w:marBottom w:val="0"/>
              <w:divBdr>
                <w:top w:val="none" w:sz="0" w:space="0" w:color="auto"/>
                <w:left w:val="none" w:sz="0" w:space="0" w:color="auto"/>
                <w:bottom w:val="none" w:sz="0" w:space="0" w:color="auto"/>
                <w:right w:val="none" w:sz="0" w:space="0" w:color="auto"/>
              </w:divBdr>
            </w:div>
          </w:divsChild>
        </w:div>
        <w:div w:id="1125318719">
          <w:marLeft w:val="0"/>
          <w:marRight w:val="0"/>
          <w:marTop w:val="0"/>
          <w:marBottom w:val="0"/>
          <w:divBdr>
            <w:top w:val="none" w:sz="0" w:space="0" w:color="auto"/>
            <w:left w:val="none" w:sz="0" w:space="0" w:color="auto"/>
            <w:bottom w:val="none" w:sz="0" w:space="0" w:color="auto"/>
            <w:right w:val="none" w:sz="0" w:space="0" w:color="auto"/>
          </w:divBdr>
          <w:divsChild>
            <w:div w:id="2028672373">
              <w:marLeft w:val="0"/>
              <w:marRight w:val="0"/>
              <w:marTop w:val="0"/>
              <w:marBottom w:val="0"/>
              <w:divBdr>
                <w:top w:val="none" w:sz="0" w:space="0" w:color="auto"/>
                <w:left w:val="none" w:sz="0" w:space="0" w:color="auto"/>
                <w:bottom w:val="none" w:sz="0" w:space="0" w:color="auto"/>
                <w:right w:val="none" w:sz="0" w:space="0" w:color="auto"/>
              </w:divBdr>
            </w:div>
          </w:divsChild>
        </w:div>
        <w:div w:id="1251236138">
          <w:marLeft w:val="0"/>
          <w:marRight w:val="0"/>
          <w:marTop w:val="0"/>
          <w:marBottom w:val="0"/>
          <w:divBdr>
            <w:top w:val="none" w:sz="0" w:space="0" w:color="auto"/>
            <w:left w:val="none" w:sz="0" w:space="0" w:color="auto"/>
            <w:bottom w:val="none" w:sz="0" w:space="0" w:color="auto"/>
            <w:right w:val="none" w:sz="0" w:space="0" w:color="auto"/>
          </w:divBdr>
          <w:divsChild>
            <w:div w:id="865093329">
              <w:marLeft w:val="0"/>
              <w:marRight w:val="0"/>
              <w:marTop w:val="0"/>
              <w:marBottom w:val="0"/>
              <w:divBdr>
                <w:top w:val="none" w:sz="0" w:space="0" w:color="auto"/>
                <w:left w:val="none" w:sz="0" w:space="0" w:color="auto"/>
                <w:bottom w:val="none" w:sz="0" w:space="0" w:color="auto"/>
                <w:right w:val="none" w:sz="0" w:space="0" w:color="auto"/>
              </w:divBdr>
            </w:div>
          </w:divsChild>
        </w:div>
        <w:div w:id="1485468013">
          <w:marLeft w:val="0"/>
          <w:marRight w:val="0"/>
          <w:marTop w:val="0"/>
          <w:marBottom w:val="0"/>
          <w:divBdr>
            <w:top w:val="none" w:sz="0" w:space="0" w:color="auto"/>
            <w:left w:val="none" w:sz="0" w:space="0" w:color="auto"/>
            <w:bottom w:val="none" w:sz="0" w:space="0" w:color="auto"/>
            <w:right w:val="none" w:sz="0" w:space="0" w:color="auto"/>
          </w:divBdr>
          <w:divsChild>
            <w:div w:id="179465483">
              <w:marLeft w:val="0"/>
              <w:marRight w:val="0"/>
              <w:marTop w:val="0"/>
              <w:marBottom w:val="0"/>
              <w:divBdr>
                <w:top w:val="none" w:sz="0" w:space="0" w:color="auto"/>
                <w:left w:val="none" w:sz="0" w:space="0" w:color="auto"/>
                <w:bottom w:val="none" w:sz="0" w:space="0" w:color="auto"/>
                <w:right w:val="none" w:sz="0" w:space="0" w:color="auto"/>
              </w:divBdr>
            </w:div>
          </w:divsChild>
        </w:div>
        <w:div w:id="1570458114">
          <w:marLeft w:val="0"/>
          <w:marRight w:val="0"/>
          <w:marTop w:val="0"/>
          <w:marBottom w:val="0"/>
          <w:divBdr>
            <w:top w:val="none" w:sz="0" w:space="0" w:color="auto"/>
            <w:left w:val="none" w:sz="0" w:space="0" w:color="auto"/>
            <w:bottom w:val="none" w:sz="0" w:space="0" w:color="auto"/>
            <w:right w:val="none" w:sz="0" w:space="0" w:color="auto"/>
          </w:divBdr>
          <w:divsChild>
            <w:div w:id="1051491766">
              <w:marLeft w:val="0"/>
              <w:marRight w:val="0"/>
              <w:marTop w:val="0"/>
              <w:marBottom w:val="0"/>
              <w:divBdr>
                <w:top w:val="none" w:sz="0" w:space="0" w:color="auto"/>
                <w:left w:val="none" w:sz="0" w:space="0" w:color="auto"/>
                <w:bottom w:val="none" w:sz="0" w:space="0" w:color="auto"/>
                <w:right w:val="none" w:sz="0" w:space="0" w:color="auto"/>
              </w:divBdr>
            </w:div>
          </w:divsChild>
        </w:div>
        <w:div w:id="1827091182">
          <w:marLeft w:val="0"/>
          <w:marRight w:val="0"/>
          <w:marTop w:val="0"/>
          <w:marBottom w:val="0"/>
          <w:divBdr>
            <w:top w:val="none" w:sz="0" w:space="0" w:color="auto"/>
            <w:left w:val="none" w:sz="0" w:space="0" w:color="auto"/>
            <w:bottom w:val="none" w:sz="0" w:space="0" w:color="auto"/>
            <w:right w:val="none" w:sz="0" w:space="0" w:color="auto"/>
          </w:divBdr>
          <w:divsChild>
            <w:div w:id="2060934313">
              <w:marLeft w:val="0"/>
              <w:marRight w:val="0"/>
              <w:marTop w:val="0"/>
              <w:marBottom w:val="0"/>
              <w:divBdr>
                <w:top w:val="none" w:sz="0" w:space="0" w:color="auto"/>
                <w:left w:val="none" w:sz="0" w:space="0" w:color="auto"/>
                <w:bottom w:val="none" w:sz="0" w:space="0" w:color="auto"/>
                <w:right w:val="none" w:sz="0" w:space="0" w:color="auto"/>
              </w:divBdr>
            </w:div>
          </w:divsChild>
        </w:div>
        <w:div w:id="2117092319">
          <w:marLeft w:val="0"/>
          <w:marRight w:val="0"/>
          <w:marTop w:val="0"/>
          <w:marBottom w:val="0"/>
          <w:divBdr>
            <w:top w:val="none" w:sz="0" w:space="0" w:color="auto"/>
            <w:left w:val="none" w:sz="0" w:space="0" w:color="auto"/>
            <w:bottom w:val="none" w:sz="0" w:space="0" w:color="auto"/>
            <w:right w:val="none" w:sz="0" w:space="0" w:color="auto"/>
          </w:divBdr>
          <w:divsChild>
            <w:div w:id="12129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3261">
      <w:bodyDiv w:val="1"/>
      <w:marLeft w:val="0"/>
      <w:marRight w:val="0"/>
      <w:marTop w:val="0"/>
      <w:marBottom w:val="0"/>
      <w:divBdr>
        <w:top w:val="none" w:sz="0" w:space="0" w:color="auto"/>
        <w:left w:val="none" w:sz="0" w:space="0" w:color="auto"/>
        <w:bottom w:val="none" w:sz="0" w:space="0" w:color="auto"/>
        <w:right w:val="none" w:sz="0" w:space="0" w:color="auto"/>
      </w:divBdr>
      <w:divsChild>
        <w:div w:id="161941474">
          <w:marLeft w:val="274"/>
          <w:marRight w:val="0"/>
          <w:marTop w:val="0"/>
          <w:marBottom w:val="220"/>
          <w:divBdr>
            <w:top w:val="none" w:sz="0" w:space="0" w:color="auto"/>
            <w:left w:val="none" w:sz="0" w:space="0" w:color="auto"/>
            <w:bottom w:val="none" w:sz="0" w:space="0" w:color="auto"/>
            <w:right w:val="none" w:sz="0" w:space="0" w:color="auto"/>
          </w:divBdr>
        </w:div>
        <w:div w:id="844512686">
          <w:marLeft w:val="274"/>
          <w:marRight w:val="0"/>
          <w:marTop w:val="0"/>
          <w:marBottom w:val="220"/>
          <w:divBdr>
            <w:top w:val="none" w:sz="0" w:space="0" w:color="auto"/>
            <w:left w:val="none" w:sz="0" w:space="0" w:color="auto"/>
            <w:bottom w:val="none" w:sz="0" w:space="0" w:color="auto"/>
            <w:right w:val="none" w:sz="0" w:space="0" w:color="auto"/>
          </w:divBdr>
        </w:div>
        <w:div w:id="1181430497">
          <w:marLeft w:val="274"/>
          <w:marRight w:val="0"/>
          <w:marTop w:val="0"/>
          <w:marBottom w:val="220"/>
          <w:divBdr>
            <w:top w:val="none" w:sz="0" w:space="0" w:color="auto"/>
            <w:left w:val="none" w:sz="0" w:space="0" w:color="auto"/>
            <w:bottom w:val="none" w:sz="0" w:space="0" w:color="auto"/>
            <w:right w:val="none" w:sz="0" w:space="0" w:color="auto"/>
          </w:divBdr>
        </w:div>
        <w:div w:id="1311405601">
          <w:marLeft w:val="274"/>
          <w:marRight w:val="0"/>
          <w:marTop w:val="0"/>
          <w:marBottom w:val="220"/>
          <w:divBdr>
            <w:top w:val="none" w:sz="0" w:space="0" w:color="auto"/>
            <w:left w:val="none" w:sz="0" w:space="0" w:color="auto"/>
            <w:bottom w:val="none" w:sz="0" w:space="0" w:color="auto"/>
            <w:right w:val="none" w:sz="0" w:space="0" w:color="auto"/>
          </w:divBdr>
        </w:div>
        <w:div w:id="1581212065">
          <w:marLeft w:val="274"/>
          <w:marRight w:val="0"/>
          <w:marTop w:val="0"/>
          <w:marBottom w:val="220"/>
          <w:divBdr>
            <w:top w:val="none" w:sz="0" w:space="0" w:color="auto"/>
            <w:left w:val="none" w:sz="0" w:space="0" w:color="auto"/>
            <w:bottom w:val="none" w:sz="0" w:space="0" w:color="auto"/>
            <w:right w:val="none" w:sz="0" w:space="0" w:color="auto"/>
          </w:divBdr>
        </w:div>
        <w:div w:id="1707683641">
          <w:marLeft w:val="274"/>
          <w:marRight w:val="0"/>
          <w:marTop w:val="0"/>
          <w:marBottom w:val="220"/>
          <w:divBdr>
            <w:top w:val="none" w:sz="0" w:space="0" w:color="auto"/>
            <w:left w:val="none" w:sz="0" w:space="0" w:color="auto"/>
            <w:bottom w:val="none" w:sz="0" w:space="0" w:color="auto"/>
            <w:right w:val="none" w:sz="0" w:space="0" w:color="auto"/>
          </w:divBdr>
        </w:div>
        <w:div w:id="2018461553">
          <w:marLeft w:val="274"/>
          <w:marRight w:val="0"/>
          <w:marTop w:val="0"/>
          <w:marBottom w:val="220"/>
          <w:divBdr>
            <w:top w:val="none" w:sz="0" w:space="0" w:color="auto"/>
            <w:left w:val="none" w:sz="0" w:space="0" w:color="auto"/>
            <w:bottom w:val="none" w:sz="0" w:space="0" w:color="auto"/>
            <w:right w:val="none" w:sz="0" w:space="0" w:color="auto"/>
          </w:divBdr>
        </w:div>
      </w:divsChild>
    </w:div>
    <w:div w:id="1797985628">
      <w:bodyDiv w:val="1"/>
      <w:marLeft w:val="0"/>
      <w:marRight w:val="0"/>
      <w:marTop w:val="0"/>
      <w:marBottom w:val="0"/>
      <w:divBdr>
        <w:top w:val="none" w:sz="0" w:space="0" w:color="auto"/>
        <w:left w:val="none" w:sz="0" w:space="0" w:color="auto"/>
        <w:bottom w:val="none" w:sz="0" w:space="0" w:color="auto"/>
        <w:right w:val="none" w:sz="0" w:space="0" w:color="auto"/>
      </w:divBdr>
      <w:divsChild>
        <w:div w:id="75827481">
          <w:marLeft w:val="446"/>
          <w:marRight w:val="0"/>
          <w:marTop w:val="0"/>
          <w:marBottom w:val="220"/>
          <w:divBdr>
            <w:top w:val="none" w:sz="0" w:space="0" w:color="auto"/>
            <w:left w:val="none" w:sz="0" w:space="0" w:color="auto"/>
            <w:bottom w:val="none" w:sz="0" w:space="0" w:color="auto"/>
            <w:right w:val="none" w:sz="0" w:space="0" w:color="auto"/>
          </w:divBdr>
        </w:div>
        <w:div w:id="257450126">
          <w:marLeft w:val="446"/>
          <w:marRight w:val="0"/>
          <w:marTop w:val="0"/>
          <w:marBottom w:val="220"/>
          <w:divBdr>
            <w:top w:val="none" w:sz="0" w:space="0" w:color="auto"/>
            <w:left w:val="none" w:sz="0" w:space="0" w:color="auto"/>
            <w:bottom w:val="none" w:sz="0" w:space="0" w:color="auto"/>
            <w:right w:val="none" w:sz="0" w:space="0" w:color="auto"/>
          </w:divBdr>
        </w:div>
        <w:div w:id="565536463">
          <w:marLeft w:val="446"/>
          <w:marRight w:val="0"/>
          <w:marTop w:val="0"/>
          <w:marBottom w:val="220"/>
          <w:divBdr>
            <w:top w:val="none" w:sz="0" w:space="0" w:color="auto"/>
            <w:left w:val="none" w:sz="0" w:space="0" w:color="auto"/>
            <w:bottom w:val="none" w:sz="0" w:space="0" w:color="auto"/>
            <w:right w:val="none" w:sz="0" w:space="0" w:color="auto"/>
          </w:divBdr>
        </w:div>
        <w:div w:id="642664182">
          <w:marLeft w:val="446"/>
          <w:marRight w:val="0"/>
          <w:marTop w:val="0"/>
          <w:marBottom w:val="220"/>
          <w:divBdr>
            <w:top w:val="none" w:sz="0" w:space="0" w:color="auto"/>
            <w:left w:val="none" w:sz="0" w:space="0" w:color="auto"/>
            <w:bottom w:val="none" w:sz="0" w:space="0" w:color="auto"/>
            <w:right w:val="none" w:sz="0" w:space="0" w:color="auto"/>
          </w:divBdr>
        </w:div>
        <w:div w:id="1040739195">
          <w:marLeft w:val="446"/>
          <w:marRight w:val="0"/>
          <w:marTop w:val="0"/>
          <w:marBottom w:val="220"/>
          <w:divBdr>
            <w:top w:val="none" w:sz="0" w:space="0" w:color="auto"/>
            <w:left w:val="none" w:sz="0" w:space="0" w:color="auto"/>
            <w:bottom w:val="none" w:sz="0" w:space="0" w:color="auto"/>
            <w:right w:val="none" w:sz="0" w:space="0" w:color="auto"/>
          </w:divBdr>
        </w:div>
        <w:div w:id="1437560344">
          <w:marLeft w:val="446"/>
          <w:marRight w:val="0"/>
          <w:marTop w:val="0"/>
          <w:marBottom w:val="220"/>
          <w:divBdr>
            <w:top w:val="none" w:sz="0" w:space="0" w:color="auto"/>
            <w:left w:val="none" w:sz="0" w:space="0" w:color="auto"/>
            <w:bottom w:val="none" w:sz="0" w:space="0" w:color="auto"/>
            <w:right w:val="none" w:sz="0" w:space="0" w:color="auto"/>
          </w:divBdr>
        </w:div>
        <w:div w:id="1672567081">
          <w:marLeft w:val="446"/>
          <w:marRight w:val="0"/>
          <w:marTop w:val="0"/>
          <w:marBottom w:val="220"/>
          <w:divBdr>
            <w:top w:val="none" w:sz="0" w:space="0" w:color="auto"/>
            <w:left w:val="none" w:sz="0" w:space="0" w:color="auto"/>
            <w:bottom w:val="none" w:sz="0" w:space="0" w:color="auto"/>
            <w:right w:val="none" w:sz="0" w:space="0" w:color="auto"/>
          </w:divBdr>
        </w:div>
        <w:div w:id="1718552529">
          <w:marLeft w:val="446"/>
          <w:marRight w:val="0"/>
          <w:marTop w:val="0"/>
          <w:marBottom w:val="220"/>
          <w:divBdr>
            <w:top w:val="none" w:sz="0" w:space="0" w:color="auto"/>
            <w:left w:val="none" w:sz="0" w:space="0" w:color="auto"/>
            <w:bottom w:val="none" w:sz="0" w:space="0" w:color="auto"/>
            <w:right w:val="none" w:sz="0" w:space="0" w:color="auto"/>
          </w:divBdr>
        </w:div>
        <w:div w:id="1928953614">
          <w:marLeft w:val="446"/>
          <w:marRight w:val="0"/>
          <w:marTop w:val="0"/>
          <w:marBottom w:val="220"/>
          <w:divBdr>
            <w:top w:val="none" w:sz="0" w:space="0" w:color="auto"/>
            <w:left w:val="none" w:sz="0" w:space="0" w:color="auto"/>
            <w:bottom w:val="none" w:sz="0" w:space="0" w:color="auto"/>
            <w:right w:val="none" w:sz="0" w:space="0" w:color="auto"/>
          </w:divBdr>
        </w:div>
      </w:divsChild>
    </w:div>
    <w:div w:id="1809779795">
      <w:bodyDiv w:val="1"/>
      <w:marLeft w:val="0"/>
      <w:marRight w:val="0"/>
      <w:marTop w:val="0"/>
      <w:marBottom w:val="0"/>
      <w:divBdr>
        <w:top w:val="none" w:sz="0" w:space="0" w:color="auto"/>
        <w:left w:val="none" w:sz="0" w:space="0" w:color="auto"/>
        <w:bottom w:val="none" w:sz="0" w:space="0" w:color="auto"/>
        <w:right w:val="none" w:sz="0" w:space="0" w:color="auto"/>
      </w:divBdr>
      <w:divsChild>
        <w:div w:id="214050678">
          <w:marLeft w:val="274"/>
          <w:marRight w:val="0"/>
          <w:marTop w:val="0"/>
          <w:marBottom w:val="220"/>
          <w:divBdr>
            <w:top w:val="none" w:sz="0" w:space="0" w:color="auto"/>
            <w:left w:val="none" w:sz="0" w:space="0" w:color="auto"/>
            <w:bottom w:val="none" w:sz="0" w:space="0" w:color="auto"/>
            <w:right w:val="none" w:sz="0" w:space="0" w:color="auto"/>
          </w:divBdr>
        </w:div>
        <w:div w:id="664670341">
          <w:marLeft w:val="274"/>
          <w:marRight w:val="0"/>
          <w:marTop w:val="0"/>
          <w:marBottom w:val="220"/>
          <w:divBdr>
            <w:top w:val="none" w:sz="0" w:space="0" w:color="auto"/>
            <w:left w:val="none" w:sz="0" w:space="0" w:color="auto"/>
            <w:bottom w:val="none" w:sz="0" w:space="0" w:color="auto"/>
            <w:right w:val="none" w:sz="0" w:space="0" w:color="auto"/>
          </w:divBdr>
        </w:div>
        <w:div w:id="680162335">
          <w:marLeft w:val="274"/>
          <w:marRight w:val="0"/>
          <w:marTop w:val="0"/>
          <w:marBottom w:val="220"/>
          <w:divBdr>
            <w:top w:val="none" w:sz="0" w:space="0" w:color="auto"/>
            <w:left w:val="none" w:sz="0" w:space="0" w:color="auto"/>
            <w:bottom w:val="none" w:sz="0" w:space="0" w:color="auto"/>
            <w:right w:val="none" w:sz="0" w:space="0" w:color="auto"/>
          </w:divBdr>
        </w:div>
        <w:div w:id="755247907">
          <w:marLeft w:val="274"/>
          <w:marRight w:val="0"/>
          <w:marTop w:val="0"/>
          <w:marBottom w:val="220"/>
          <w:divBdr>
            <w:top w:val="none" w:sz="0" w:space="0" w:color="auto"/>
            <w:left w:val="none" w:sz="0" w:space="0" w:color="auto"/>
            <w:bottom w:val="none" w:sz="0" w:space="0" w:color="auto"/>
            <w:right w:val="none" w:sz="0" w:space="0" w:color="auto"/>
          </w:divBdr>
        </w:div>
        <w:div w:id="760027529">
          <w:marLeft w:val="274"/>
          <w:marRight w:val="0"/>
          <w:marTop w:val="0"/>
          <w:marBottom w:val="220"/>
          <w:divBdr>
            <w:top w:val="none" w:sz="0" w:space="0" w:color="auto"/>
            <w:left w:val="none" w:sz="0" w:space="0" w:color="auto"/>
            <w:bottom w:val="none" w:sz="0" w:space="0" w:color="auto"/>
            <w:right w:val="none" w:sz="0" w:space="0" w:color="auto"/>
          </w:divBdr>
        </w:div>
        <w:div w:id="1000961078">
          <w:marLeft w:val="274"/>
          <w:marRight w:val="0"/>
          <w:marTop w:val="0"/>
          <w:marBottom w:val="220"/>
          <w:divBdr>
            <w:top w:val="none" w:sz="0" w:space="0" w:color="auto"/>
            <w:left w:val="none" w:sz="0" w:space="0" w:color="auto"/>
            <w:bottom w:val="none" w:sz="0" w:space="0" w:color="auto"/>
            <w:right w:val="none" w:sz="0" w:space="0" w:color="auto"/>
          </w:divBdr>
        </w:div>
        <w:div w:id="1216510520">
          <w:marLeft w:val="274"/>
          <w:marRight w:val="0"/>
          <w:marTop w:val="0"/>
          <w:marBottom w:val="220"/>
          <w:divBdr>
            <w:top w:val="none" w:sz="0" w:space="0" w:color="auto"/>
            <w:left w:val="none" w:sz="0" w:space="0" w:color="auto"/>
            <w:bottom w:val="none" w:sz="0" w:space="0" w:color="auto"/>
            <w:right w:val="none" w:sz="0" w:space="0" w:color="auto"/>
          </w:divBdr>
        </w:div>
        <w:div w:id="1385837962">
          <w:marLeft w:val="274"/>
          <w:marRight w:val="0"/>
          <w:marTop w:val="0"/>
          <w:marBottom w:val="220"/>
          <w:divBdr>
            <w:top w:val="none" w:sz="0" w:space="0" w:color="auto"/>
            <w:left w:val="none" w:sz="0" w:space="0" w:color="auto"/>
            <w:bottom w:val="none" w:sz="0" w:space="0" w:color="auto"/>
            <w:right w:val="none" w:sz="0" w:space="0" w:color="auto"/>
          </w:divBdr>
        </w:div>
        <w:div w:id="1863545097">
          <w:marLeft w:val="274"/>
          <w:marRight w:val="0"/>
          <w:marTop w:val="0"/>
          <w:marBottom w:val="220"/>
          <w:divBdr>
            <w:top w:val="none" w:sz="0" w:space="0" w:color="auto"/>
            <w:left w:val="none" w:sz="0" w:space="0" w:color="auto"/>
            <w:bottom w:val="none" w:sz="0" w:space="0" w:color="auto"/>
            <w:right w:val="none" w:sz="0" w:space="0" w:color="auto"/>
          </w:divBdr>
        </w:div>
        <w:div w:id="1881164753">
          <w:marLeft w:val="274"/>
          <w:marRight w:val="0"/>
          <w:marTop w:val="0"/>
          <w:marBottom w:val="220"/>
          <w:divBdr>
            <w:top w:val="none" w:sz="0" w:space="0" w:color="auto"/>
            <w:left w:val="none" w:sz="0" w:space="0" w:color="auto"/>
            <w:bottom w:val="none" w:sz="0" w:space="0" w:color="auto"/>
            <w:right w:val="none" w:sz="0" w:space="0" w:color="auto"/>
          </w:divBdr>
        </w:div>
      </w:divsChild>
    </w:div>
    <w:div w:id="1830243841">
      <w:bodyDiv w:val="1"/>
      <w:marLeft w:val="0"/>
      <w:marRight w:val="0"/>
      <w:marTop w:val="0"/>
      <w:marBottom w:val="0"/>
      <w:divBdr>
        <w:top w:val="none" w:sz="0" w:space="0" w:color="auto"/>
        <w:left w:val="none" w:sz="0" w:space="0" w:color="auto"/>
        <w:bottom w:val="none" w:sz="0" w:space="0" w:color="auto"/>
        <w:right w:val="none" w:sz="0" w:space="0" w:color="auto"/>
      </w:divBdr>
      <w:divsChild>
        <w:div w:id="214463801">
          <w:marLeft w:val="446"/>
          <w:marRight w:val="0"/>
          <w:marTop w:val="0"/>
          <w:marBottom w:val="220"/>
          <w:divBdr>
            <w:top w:val="none" w:sz="0" w:space="0" w:color="auto"/>
            <w:left w:val="none" w:sz="0" w:space="0" w:color="auto"/>
            <w:bottom w:val="none" w:sz="0" w:space="0" w:color="auto"/>
            <w:right w:val="none" w:sz="0" w:space="0" w:color="auto"/>
          </w:divBdr>
        </w:div>
        <w:div w:id="601189219">
          <w:marLeft w:val="446"/>
          <w:marRight w:val="0"/>
          <w:marTop w:val="0"/>
          <w:marBottom w:val="220"/>
          <w:divBdr>
            <w:top w:val="none" w:sz="0" w:space="0" w:color="auto"/>
            <w:left w:val="none" w:sz="0" w:space="0" w:color="auto"/>
            <w:bottom w:val="none" w:sz="0" w:space="0" w:color="auto"/>
            <w:right w:val="none" w:sz="0" w:space="0" w:color="auto"/>
          </w:divBdr>
        </w:div>
        <w:div w:id="1006638901">
          <w:marLeft w:val="446"/>
          <w:marRight w:val="0"/>
          <w:marTop w:val="0"/>
          <w:marBottom w:val="220"/>
          <w:divBdr>
            <w:top w:val="none" w:sz="0" w:space="0" w:color="auto"/>
            <w:left w:val="none" w:sz="0" w:space="0" w:color="auto"/>
            <w:bottom w:val="none" w:sz="0" w:space="0" w:color="auto"/>
            <w:right w:val="none" w:sz="0" w:space="0" w:color="auto"/>
          </w:divBdr>
        </w:div>
        <w:div w:id="1446538001">
          <w:marLeft w:val="446"/>
          <w:marRight w:val="0"/>
          <w:marTop w:val="0"/>
          <w:marBottom w:val="220"/>
          <w:divBdr>
            <w:top w:val="none" w:sz="0" w:space="0" w:color="auto"/>
            <w:left w:val="none" w:sz="0" w:space="0" w:color="auto"/>
            <w:bottom w:val="none" w:sz="0" w:space="0" w:color="auto"/>
            <w:right w:val="none" w:sz="0" w:space="0" w:color="auto"/>
          </w:divBdr>
        </w:div>
      </w:divsChild>
    </w:div>
    <w:div w:id="1879900340">
      <w:bodyDiv w:val="1"/>
      <w:marLeft w:val="0"/>
      <w:marRight w:val="0"/>
      <w:marTop w:val="0"/>
      <w:marBottom w:val="0"/>
      <w:divBdr>
        <w:top w:val="none" w:sz="0" w:space="0" w:color="auto"/>
        <w:left w:val="none" w:sz="0" w:space="0" w:color="auto"/>
        <w:bottom w:val="none" w:sz="0" w:space="0" w:color="auto"/>
        <w:right w:val="none" w:sz="0" w:space="0" w:color="auto"/>
      </w:divBdr>
    </w:div>
    <w:div w:id="1890917608">
      <w:bodyDiv w:val="1"/>
      <w:marLeft w:val="0"/>
      <w:marRight w:val="0"/>
      <w:marTop w:val="0"/>
      <w:marBottom w:val="0"/>
      <w:divBdr>
        <w:top w:val="none" w:sz="0" w:space="0" w:color="auto"/>
        <w:left w:val="none" w:sz="0" w:space="0" w:color="auto"/>
        <w:bottom w:val="none" w:sz="0" w:space="0" w:color="auto"/>
        <w:right w:val="none" w:sz="0" w:space="0" w:color="auto"/>
      </w:divBdr>
      <w:divsChild>
        <w:div w:id="32654612">
          <w:marLeft w:val="547"/>
          <w:marRight w:val="0"/>
          <w:marTop w:val="0"/>
          <w:marBottom w:val="0"/>
          <w:divBdr>
            <w:top w:val="none" w:sz="0" w:space="0" w:color="auto"/>
            <w:left w:val="none" w:sz="0" w:space="0" w:color="auto"/>
            <w:bottom w:val="none" w:sz="0" w:space="0" w:color="auto"/>
            <w:right w:val="none" w:sz="0" w:space="0" w:color="auto"/>
          </w:divBdr>
        </w:div>
        <w:div w:id="1227305753">
          <w:marLeft w:val="547"/>
          <w:marRight w:val="0"/>
          <w:marTop w:val="0"/>
          <w:marBottom w:val="0"/>
          <w:divBdr>
            <w:top w:val="none" w:sz="0" w:space="0" w:color="auto"/>
            <w:left w:val="none" w:sz="0" w:space="0" w:color="auto"/>
            <w:bottom w:val="none" w:sz="0" w:space="0" w:color="auto"/>
            <w:right w:val="none" w:sz="0" w:space="0" w:color="auto"/>
          </w:divBdr>
        </w:div>
        <w:div w:id="1303999938">
          <w:marLeft w:val="547"/>
          <w:marRight w:val="0"/>
          <w:marTop w:val="0"/>
          <w:marBottom w:val="0"/>
          <w:divBdr>
            <w:top w:val="none" w:sz="0" w:space="0" w:color="auto"/>
            <w:left w:val="none" w:sz="0" w:space="0" w:color="auto"/>
            <w:bottom w:val="none" w:sz="0" w:space="0" w:color="auto"/>
            <w:right w:val="none" w:sz="0" w:space="0" w:color="auto"/>
          </w:divBdr>
        </w:div>
        <w:div w:id="1409303119">
          <w:marLeft w:val="547"/>
          <w:marRight w:val="0"/>
          <w:marTop w:val="0"/>
          <w:marBottom w:val="0"/>
          <w:divBdr>
            <w:top w:val="none" w:sz="0" w:space="0" w:color="auto"/>
            <w:left w:val="none" w:sz="0" w:space="0" w:color="auto"/>
            <w:bottom w:val="none" w:sz="0" w:space="0" w:color="auto"/>
            <w:right w:val="none" w:sz="0" w:space="0" w:color="auto"/>
          </w:divBdr>
        </w:div>
        <w:div w:id="2011643050">
          <w:marLeft w:val="547"/>
          <w:marRight w:val="0"/>
          <w:marTop w:val="0"/>
          <w:marBottom w:val="0"/>
          <w:divBdr>
            <w:top w:val="none" w:sz="0" w:space="0" w:color="auto"/>
            <w:left w:val="none" w:sz="0" w:space="0" w:color="auto"/>
            <w:bottom w:val="none" w:sz="0" w:space="0" w:color="auto"/>
            <w:right w:val="none" w:sz="0" w:space="0" w:color="auto"/>
          </w:divBdr>
        </w:div>
        <w:div w:id="2105607735">
          <w:marLeft w:val="547"/>
          <w:marRight w:val="0"/>
          <w:marTop w:val="0"/>
          <w:marBottom w:val="0"/>
          <w:divBdr>
            <w:top w:val="none" w:sz="0" w:space="0" w:color="auto"/>
            <w:left w:val="none" w:sz="0" w:space="0" w:color="auto"/>
            <w:bottom w:val="none" w:sz="0" w:space="0" w:color="auto"/>
            <w:right w:val="none" w:sz="0" w:space="0" w:color="auto"/>
          </w:divBdr>
        </w:div>
      </w:divsChild>
    </w:div>
    <w:div w:id="1931114997">
      <w:bodyDiv w:val="1"/>
      <w:marLeft w:val="0"/>
      <w:marRight w:val="0"/>
      <w:marTop w:val="0"/>
      <w:marBottom w:val="0"/>
      <w:divBdr>
        <w:top w:val="none" w:sz="0" w:space="0" w:color="auto"/>
        <w:left w:val="none" w:sz="0" w:space="0" w:color="auto"/>
        <w:bottom w:val="none" w:sz="0" w:space="0" w:color="auto"/>
        <w:right w:val="none" w:sz="0" w:space="0" w:color="auto"/>
      </w:divBdr>
    </w:div>
    <w:div w:id="1980306536">
      <w:bodyDiv w:val="1"/>
      <w:marLeft w:val="0"/>
      <w:marRight w:val="0"/>
      <w:marTop w:val="0"/>
      <w:marBottom w:val="0"/>
      <w:divBdr>
        <w:top w:val="none" w:sz="0" w:space="0" w:color="auto"/>
        <w:left w:val="none" w:sz="0" w:space="0" w:color="auto"/>
        <w:bottom w:val="none" w:sz="0" w:space="0" w:color="auto"/>
        <w:right w:val="none" w:sz="0" w:space="0" w:color="auto"/>
      </w:divBdr>
    </w:div>
    <w:div w:id="1986158045">
      <w:bodyDiv w:val="1"/>
      <w:marLeft w:val="0"/>
      <w:marRight w:val="0"/>
      <w:marTop w:val="0"/>
      <w:marBottom w:val="0"/>
      <w:divBdr>
        <w:top w:val="none" w:sz="0" w:space="0" w:color="auto"/>
        <w:left w:val="none" w:sz="0" w:space="0" w:color="auto"/>
        <w:bottom w:val="none" w:sz="0" w:space="0" w:color="auto"/>
        <w:right w:val="none" w:sz="0" w:space="0" w:color="auto"/>
      </w:divBdr>
      <w:divsChild>
        <w:div w:id="167330245">
          <w:marLeft w:val="446"/>
          <w:marRight w:val="0"/>
          <w:marTop w:val="0"/>
          <w:marBottom w:val="220"/>
          <w:divBdr>
            <w:top w:val="none" w:sz="0" w:space="0" w:color="auto"/>
            <w:left w:val="none" w:sz="0" w:space="0" w:color="auto"/>
            <w:bottom w:val="none" w:sz="0" w:space="0" w:color="auto"/>
            <w:right w:val="none" w:sz="0" w:space="0" w:color="auto"/>
          </w:divBdr>
        </w:div>
        <w:div w:id="341055074">
          <w:marLeft w:val="446"/>
          <w:marRight w:val="0"/>
          <w:marTop w:val="0"/>
          <w:marBottom w:val="220"/>
          <w:divBdr>
            <w:top w:val="none" w:sz="0" w:space="0" w:color="auto"/>
            <w:left w:val="none" w:sz="0" w:space="0" w:color="auto"/>
            <w:bottom w:val="none" w:sz="0" w:space="0" w:color="auto"/>
            <w:right w:val="none" w:sz="0" w:space="0" w:color="auto"/>
          </w:divBdr>
        </w:div>
        <w:div w:id="902643358">
          <w:marLeft w:val="446"/>
          <w:marRight w:val="0"/>
          <w:marTop w:val="0"/>
          <w:marBottom w:val="220"/>
          <w:divBdr>
            <w:top w:val="none" w:sz="0" w:space="0" w:color="auto"/>
            <w:left w:val="none" w:sz="0" w:space="0" w:color="auto"/>
            <w:bottom w:val="none" w:sz="0" w:space="0" w:color="auto"/>
            <w:right w:val="none" w:sz="0" w:space="0" w:color="auto"/>
          </w:divBdr>
        </w:div>
        <w:div w:id="1351449306">
          <w:marLeft w:val="446"/>
          <w:marRight w:val="0"/>
          <w:marTop w:val="0"/>
          <w:marBottom w:val="220"/>
          <w:divBdr>
            <w:top w:val="none" w:sz="0" w:space="0" w:color="auto"/>
            <w:left w:val="none" w:sz="0" w:space="0" w:color="auto"/>
            <w:bottom w:val="none" w:sz="0" w:space="0" w:color="auto"/>
            <w:right w:val="none" w:sz="0" w:space="0" w:color="auto"/>
          </w:divBdr>
        </w:div>
        <w:div w:id="1499033184">
          <w:marLeft w:val="446"/>
          <w:marRight w:val="0"/>
          <w:marTop w:val="0"/>
          <w:marBottom w:val="220"/>
          <w:divBdr>
            <w:top w:val="none" w:sz="0" w:space="0" w:color="auto"/>
            <w:left w:val="none" w:sz="0" w:space="0" w:color="auto"/>
            <w:bottom w:val="none" w:sz="0" w:space="0" w:color="auto"/>
            <w:right w:val="none" w:sz="0" w:space="0" w:color="auto"/>
          </w:divBdr>
        </w:div>
        <w:div w:id="2014840756">
          <w:marLeft w:val="446"/>
          <w:marRight w:val="0"/>
          <w:marTop w:val="0"/>
          <w:marBottom w:val="220"/>
          <w:divBdr>
            <w:top w:val="none" w:sz="0" w:space="0" w:color="auto"/>
            <w:left w:val="none" w:sz="0" w:space="0" w:color="auto"/>
            <w:bottom w:val="none" w:sz="0" w:space="0" w:color="auto"/>
            <w:right w:val="none" w:sz="0" w:space="0" w:color="auto"/>
          </w:divBdr>
        </w:div>
      </w:divsChild>
    </w:div>
    <w:div w:id="1989431831">
      <w:bodyDiv w:val="1"/>
      <w:marLeft w:val="0"/>
      <w:marRight w:val="0"/>
      <w:marTop w:val="0"/>
      <w:marBottom w:val="0"/>
      <w:divBdr>
        <w:top w:val="none" w:sz="0" w:space="0" w:color="auto"/>
        <w:left w:val="none" w:sz="0" w:space="0" w:color="auto"/>
        <w:bottom w:val="none" w:sz="0" w:space="0" w:color="auto"/>
        <w:right w:val="none" w:sz="0" w:space="0" w:color="auto"/>
      </w:divBdr>
      <w:divsChild>
        <w:div w:id="57244040">
          <w:marLeft w:val="274"/>
          <w:marRight w:val="0"/>
          <w:marTop w:val="0"/>
          <w:marBottom w:val="220"/>
          <w:divBdr>
            <w:top w:val="none" w:sz="0" w:space="0" w:color="auto"/>
            <w:left w:val="none" w:sz="0" w:space="0" w:color="auto"/>
            <w:bottom w:val="none" w:sz="0" w:space="0" w:color="auto"/>
            <w:right w:val="none" w:sz="0" w:space="0" w:color="auto"/>
          </w:divBdr>
        </w:div>
        <w:div w:id="617416627">
          <w:marLeft w:val="274"/>
          <w:marRight w:val="0"/>
          <w:marTop w:val="0"/>
          <w:marBottom w:val="220"/>
          <w:divBdr>
            <w:top w:val="none" w:sz="0" w:space="0" w:color="auto"/>
            <w:left w:val="none" w:sz="0" w:space="0" w:color="auto"/>
            <w:bottom w:val="none" w:sz="0" w:space="0" w:color="auto"/>
            <w:right w:val="none" w:sz="0" w:space="0" w:color="auto"/>
          </w:divBdr>
        </w:div>
        <w:div w:id="1356613050">
          <w:marLeft w:val="274"/>
          <w:marRight w:val="0"/>
          <w:marTop w:val="0"/>
          <w:marBottom w:val="220"/>
          <w:divBdr>
            <w:top w:val="none" w:sz="0" w:space="0" w:color="auto"/>
            <w:left w:val="none" w:sz="0" w:space="0" w:color="auto"/>
            <w:bottom w:val="none" w:sz="0" w:space="0" w:color="auto"/>
            <w:right w:val="none" w:sz="0" w:space="0" w:color="auto"/>
          </w:divBdr>
        </w:div>
        <w:div w:id="1935673101">
          <w:marLeft w:val="274"/>
          <w:marRight w:val="0"/>
          <w:marTop w:val="0"/>
          <w:marBottom w:val="220"/>
          <w:divBdr>
            <w:top w:val="none" w:sz="0" w:space="0" w:color="auto"/>
            <w:left w:val="none" w:sz="0" w:space="0" w:color="auto"/>
            <w:bottom w:val="none" w:sz="0" w:space="0" w:color="auto"/>
            <w:right w:val="none" w:sz="0" w:space="0" w:color="auto"/>
          </w:divBdr>
        </w:div>
      </w:divsChild>
    </w:div>
    <w:div w:id="2002614578">
      <w:bodyDiv w:val="1"/>
      <w:marLeft w:val="0"/>
      <w:marRight w:val="0"/>
      <w:marTop w:val="0"/>
      <w:marBottom w:val="0"/>
      <w:divBdr>
        <w:top w:val="none" w:sz="0" w:space="0" w:color="auto"/>
        <w:left w:val="none" w:sz="0" w:space="0" w:color="auto"/>
        <w:bottom w:val="none" w:sz="0" w:space="0" w:color="auto"/>
        <w:right w:val="none" w:sz="0" w:space="0" w:color="auto"/>
      </w:divBdr>
    </w:div>
    <w:div w:id="2018923361">
      <w:bodyDiv w:val="1"/>
      <w:marLeft w:val="0"/>
      <w:marRight w:val="0"/>
      <w:marTop w:val="0"/>
      <w:marBottom w:val="0"/>
      <w:divBdr>
        <w:top w:val="none" w:sz="0" w:space="0" w:color="auto"/>
        <w:left w:val="none" w:sz="0" w:space="0" w:color="auto"/>
        <w:bottom w:val="none" w:sz="0" w:space="0" w:color="auto"/>
        <w:right w:val="none" w:sz="0" w:space="0" w:color="auto"/>
      </w:divBdr>
    </w:div>
    <w:div w:id="210779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beamexchange.org/resources/14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publications/aid/guidance-note-engaging-private-sector" TargetMode="External"/><Relationship Id="rId13" Type="http://schemas.openxmlformats.org/officeDocument/2006/relationships/hyperlink" Target="https://www.dfat.gov.au/sites/default/files/private-sector-engagement-in-australias-aid-program-operational-framework.pdf" TargetMode="External"/><Relationship Id="rId3" Type="http://schemas.openxmlformats.org/officeDocument/2006/relationships/hyperlink" Target="https://devpolicy.org/talking-about-tok-stori-20200828/" TargetMode="External"/><Relationship Id="rId7" Type="http://schemas.openxmlformats.org/officeDocument/2006/relationships/hyperlink" Target="https://www.dfat.gov.au/publications/aid/guidance-note-engaging-private-sector" TargetMode="External"/><Relationship Id="rId12" Type="http://schemas.openxmlformats.org/officeDocument/2006/relationships/hyperlink" Target="https://www.dfat.gov.au/publications/aid/guidance-note-engaging-private-sector" TargetMode="External"/><Relationship Id="rId2" Type="http://schemas.openxmlformats.org/officeDocument/2006/relationships/hyperlink" Target="https://archive.doingbusiness.org/content/dam/doingBusiness/country/s/solomon-islands/SLB.pdf" TargetMode="External"/><Relationship Id="rId1" Type="http://schemas.openxmlformats.org/officeDocument/2006/relationships/hyperlink" Target="https://archive.doingbusiness.org/content/dam/doingBusiness/country/s/solomon-islands/SLB.pdf" TargetMode="External"/><Relationship Id="rId6" Type="http://schemas.openxmlformats.org/officeDocument/2006/relationships/hyperlink" Target="https://www.enterprise-development.org/wp-content/uploads/BDS-Guiding-Principles-2001-English.pdf" TargetMode="External"/><Relationship Id="rId11" Type="http://schemas.openxmlformats.org/officeDocument/2006/relationships/hyperlink" Target="https://beamexchange.org/resources/1406/" TargetMode="External"/><Relationship Id="rId5" Type="http://schemas.openxmlformats.org/officeDocument/2006/relationships/hyperlink" Target="https://www.dfat.gov.au/about-us/publications/Pages/dfat-monitoring-and-evaluation-standards" TargetMode="External"/><Relationship Id="rId10" Type="http://schemas.openxmlformats.org/officeDocument/2006/relationships/hyperlink" Target="https://www.dfat.gov.au/publications/aid/guidance-note-engaging-private-sector" TargetMode="External"/><Relationship Id="rId4" Type="http://schemas.openxmlformats.org/officeDocument/2006/relationships/hyperlink" Target="https://beamexchange.org/market-systems/what-market-system/mapping-system/" TargetMode="External"/><Relationship Id="rId9" Type="http://schemas.openxmlformats.org/officeDocument/2006/relationships/hyperlink" Target="https://www.dfat.gov.au/about-us/publications/Pages/dfat-monitoring-and-evaluation-standar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6A397EF62F466DBA81FB3DCA4F8791"/>
        <w:category>
          <w:name w:val="General"/>
          <w:gallery w:val="placeholder"/>
        </w:category>
        <w:types>
          <w:type w:val="bbPlcHdr"/>
        </w:types>
        <w:behaviors>
          <w:behavior w:val="content"/>
        </w:behaviors>
        <w:guid w:val="{B1579B2D-5A3C-44CB-A4A3-F2699E38A2CD}"/>
      </w:docPartPr>
      <w:docPartBody>
        <w:p w:rsidR="008C7208" w:rsidRDefault="00106CF0">
          <w:pPr>
            <w:pStyle w:val="EE6A397EF62F466DBA81FB3DCA4F8791"/>
          </w:pPr>
          <w:r w:rsidRPr="003725EF">
            <w:rPr>
              <w:rStyle w:val="PlaceholderText"/>
            </w:rPr>
            <w:t>Click or tap here to enter text.</w:t>
          </w:r>
        </w:p>
      </w:docPartBody>
    </w:docPart>
    <w:docPart>
      <w:docPartPr>
        <w:name w:val="F9A43D19C0F443479B1EAFE5F983538C"/>
        <w:category>
          <w:name w:val="General"/>
          <w:gallery w:val="placeholder"/>
        </w:category>
        <w:types>
          <w:type w:val="bbPlcHdr"/>
        </w:types>
        <w:behaviors>
          <w:behavior w:val="content"/>
        </w:behaviors>
        <w:guid w:val="{9B9C3FCA-62F0-4AF3-A981-BDC63FE8D5EF}"/>
      </w:docPartPr>
      <w:docPartBody>
        <w:p w:rsidR="00AD2F87" w:rsidRDefault="000A7EC9" w:rsidP="000A7EC9">
          <w:pPr>
            <w:pStyle w:val="F9A43D19C0F443479B1EAFE5F983538C"/>
          </w:pPr>
          <w:r>
            <w:t>Date</w:t>
          </w:r>
        </w:p>
      </w:docPartBody>
    </w:docPart>
    <w:docPart>
      <w:docPartPr>
        <w:name w:val="BDC388F6B63B4E42B87BBBC09E24383B"/>
        <w:category>
          <w:name w:val="General"/>
          <w:gallery w:val="placeholder"/>
        </w:category>
        <w:types>
          <w:type w:val="bbPlcHdr"/>
        </w:types>
        <w:behaviors>
          <w:behavior w:val="content"/>
        </w:behaviors>
        <w:guid w:val="{B75AF552-05F2-4849-A2A3-386E9219FBDB}"/>
      </w:docPartPr>
      <w:docPartBody>
        <w:p w:rsidR="00A32284" w:rsidRDefault="002D1601" w:rsidP="002D1601">
          <w:pPr>
            <w:pStyle w:val="BDC388F6B63B4E42B87BBBC09E24383B"/>
          </w:pPr>
          <w:r w:rsidRPr="00415976">
            <w:rPr>
              <w:rStyle w:val="PlaceholderText"/>
              <w:highlight w:val="yellow"/>
            </w:rPr>
            <w:t>XXXXXXX</w:t>
          </w:r>
          <w:r w:rsidRPr="00415976">
            <w:rPr>
              <w:rStyle w:val="PlaceholderText"/>
            </w:rPr>
            <w:t>.</w:t>
          </w:r>
        </w:p>
      </w:docPartBody>
    </w:docPart>
    <w:docPart>
      <w:docPartPr>
        <w:name w:val="04AA8CF618A443C3880DB071747BF2C2"/>
        <w:category>
          <w:name w:val="General"/>
          <w:gallery w:val="placeholder"/>
        </w:category>
        <w:types>
          <w:type w:val="bbPlcHdr"/>
        </w:types>
        <w:behaviors>
          <w:behavior w:val="content"/>
        </w:behaviors>
        <w:guid w:val="{206A124B-005A-4D2B-8113-9651482A21EA}"/>
      </w:docPartPr>
      <w:docPartBody>
        <w:p w:rsidR="00A32284" w:rsidRDefault="002D1601" w:rsidP="002D1601">
          <w:pPr>
            <w:pStyle w:val="04AA8CF618A443C3880DB071747BF2C2"/>
          </w:pPr>
          <w:r w:rsidRPr="00415976">
            <w:rPr>
              <w:rStyle w:val="PlaceholderText"/>
              <w:highlight w:val="yellow"/>
            </w:rPr>
            <w:t>XXXXXXX</w:t>
          </w:r>
          <w:r w:rsidRPr="00415976">
            <w:rPr>
              <w:rStyle w:val="PlaceholderText"/>
            </w:rPr>
            <w:t>.</w:t>
          </w:r>
        </w:p>
      </w:docPartBody>
    </w:docPart>
    <w:docPart>
      <w:docPartPr>
        <w:name w:val="413B70CAAC914E6D9801C5D9F60908D7"/>
        <w:category>
          <w:name w:val="General"/>
          <w:gallery w:val="placeholder"/>
        </w:category>
        <w:types>
          <w:type w:val="bbPlcHdr"/>
        </w:types>
        <w:behaviors>
          <w:behavior w:val="content"/>
        </w:behaviors>
        <w:guid w:val="{A53C8606-2CF3-4143-A49E-1A06ECD3F03D}"/>
      </w:docPartPr>
      <w:docPartBody>
        <w:p w:rsidR="00A32284" w:rsidRDefault="002D1601" w:rsidP="002D1601">
          <w:pPr>
            <w:pStyle w:val="413B70CAAC914E6D9801C5D9F60908D7"/>
          </w:pPr>
          <w:r w:rsidRPr="00145656">
            <w:rPr>
              <w:rStyle w:val="PlaceholderText"/>
              <w:highlight w:val="yellow"/>
            </w:rPr>
            <w:t>[Cover photo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AA5"/>
    <w:rsid w:val="000606F4"/>
    <w:rsid w:val="000626B2"/>
    <w:rsid w:val="00075DC8"/>
    <w:rsid w:val="000A7EC9"/>
    <w:rsid w:val="000C5688"/>
    <w:rsid w:val="000E5EAB"/>
    <w:rsid w:val="00106CF0"/>
    <w:rsid w:val="001A41FF"/>
    <w:rsid w:val="001F5B00"/>
    <w:rsid w:val="00206FF4"/>
    <w:rsid w:val="0024163A"/>
    <w:rsid w:val="002D1601"/>
    <w:rsid w:val="003928CE"/>
    <w:rsid w:val="00485060"/>
    <w:rsid w:val="004B06E6"/>
    <w:rsid w:val="004B7AA5"/>
    <w:rsid w:val="00570D80"/>
    <w:rsid w:val="00603153"/>
    <w:rsid w:val="00733819"/>
    <w:rsid w:val="0089614C"/>
    <w:rsid w:val="008C7208"/>
    <w:rsid w:val="00995A0E"/>
    <w:rsid w:val="00A1383B"/>
    <w:rsid w:val="00A32284"/>
    <w:rsid w:val="00A54ACE"/>
    <w:rsid w:val="00AD2F87"/>
    <w:rsid w:val="00AF4432"/>
    <w:rsid w:val="00B345AE"/>
    <w:rsid w:val="00C366FB"/>
    <w:rsid w:val="00C50738"/>
    <w:rsid w:val="00C56D3B"/>
    <w:rsid w:val="00D26492"/>
    <w:rsid w:val="00DA7221"/>
    <w:rsid w:val="00DB7533"/>
    <w:rsid w:val="00E177A5"/>
    <w:rsid w:val="00E428F1"/>
    <w:rsid w:val="00F771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1EC5F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1601"/>
    <w:rPr>
      <w:vanish w:val="0"/>
      <w:color w:val="FF0000"/>
    </w:rPr>
  </w:style>
  <w:style w:type="paragraph" w:customStyle="1" w:styleId="EE6A397EF62F466DBA81FB3DCA4F8791">
    <w:name w:val="EE6A397EF62F466DBA81FB3DCA4F8791"/>
  </w:style>
  <w:style w:type="paragraph" w:customStyle="1" w:styleId="F9A43D19C0F443479B1EAFE5F983538C">
    <w:name w:val="F9A43D19C0F443479B1EAFE5F983538C"/>
    <w:rsid w:val="000A7EC9"/>
  </w:style>
  <w:style w:type="paragraph" w:customStyle="1" w:styleId="BDC388F6B63B4E42B87BBBC09E24383B">
    <w:name w:val="BDC388F6B63B4E42B87BBBC09E24383B"/>
    <w:rsid w:val="002D1601"/>
  </w:style>
  <w:style w:type="paragraph" w:customStyle="1" w:styleId="04AA8CF618A443C3880DB071747BF2C2">
    <w:name w:val="04AA8CF618A443C3880DB071747BF2C2"/>
    <w:rsid w:val="002D1601"/>
  </w:style>
  <w:style w:type="paragraph" w:customStyle="1" w:styleId="413B70CAAC914E6D9801C5D9F60908D7">
    <w:name w:val="413B70CAAC914E6D9801C5D9F60908D7"/>
    <w:rsid w:val="002D1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21545</Words>
  <Characters>124828</Characters>
  <Application>Microsoft Office Word</Application>
  <DocSecurity>0</DocSecurity>
  <Lines>4042</Lines>
  <Paragraphs>2113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144857</CharactersWithSpaces>
  <SharedDoc>false</SharedDoc>
  <HLinks>
    <vt:vector size="270" baseType="variant">
      <vt:variant>
        <vt:i4>4194304</vt:i4>
      </vt:variant>
      <vt:variant>
        <vt:i4>177</vt:i4>
      </vt:variant>
      <vt:variant>
        <vt:i4>0</vt:i4>
      </vt:variant>
      <vt:variant>
        <vt:i4>5</vt:i4>
      </vt:variant>
      <vt:variant>
        <vt:lpwstr>https://beamexchange.org/resources/1406/</vt:lpwstr>
      </vt:variant>
      <vt:variant>
        <vt:lpwstr/>
      </vt:variant>
      <vt:variant>
        <vt:i4>1245235</vt:i4>
      </vt:variant>
      <vt:variant>
        <vt:i4>170</vt:i4>
      </vt:variant>
      <vt:variant>
        <vt:i4>0</vt:i4>
      </vt:variant>
      <vt:variant>
        <vt:i4>5</vt:i4>
      </vt:variant>
      <vt:variant>
        <vt:lpwstr/>
      </vt:variant>
      <vt:variant>
        <vt:lpwstr>_Toc131170460</vt:lpwstr>
      </vt:variant>
      <vt:variant>
        <vt:i4>1048627</vt:i4>
      </vt:variant>
      <vt:variant>
        <vt:i4>164</vt:i4>
      </vt:variant>
      <vt:variant>
        <vt:i4>0</vt:i4>
      </vt:variant>
      <vt:variant>
        <vt:i4>5</vt:i4>
      </vt:variant>
      <vt:variant>
        <vt:lpwstr/>
      </vt:variant>
      <vt:variant>
        <vt:lpwstr>_Toc131170459</vt:lpwstr>
      </vt:variant>
      <vt:variant>
        <vt:i4>1048627</vt:i4>
      </vt:variant>
      <vt:variant>
        <vt:i4>158</vt:i4>
      </vt:variant>
      <vt:variant>
        <vt:i4>0</vt:i4>
      </vt:variant>
      <vt:variant>
        <vt:i4>5</vt:i4>
      </vt:variant>
      <vt:variant>
        <vt:lpwstr/>
      </vt:variant>
      <vt:variant>
        <vt:lpwstr>_Toc131170458</vt:lpwstr>
      </vt:variant>
      <vt:variant>
        <vt:i4>1048627</vt:i4>
      </vt:variant>
      <vt:variant>
        <vt:i4>152</vt:i4>
      </vt:variant>
      <vt:variant>
        <vt:i4>0</vt:i4>
      </vt:variant>
      <vt:variant>
        <vt:i4>5</vt:i4>
      </vt:variant>
      <vt:variant>
        <vt:lpwstr/>
      </vt:variant>
      <vt:variant>
        <vt:lpwstr>_Toc131170457</vt:lpwstr>
      </vt:variant>
      <vt:variant>
        <vt:i4>1048627</vt:i4>
      </vt:variant>
      <vt:variant>
        <vt:i4>146</vt:i4>
      </vt:variant>
      <vt:variant>
        <vt:i4>0</vt:i4>
      </vt:variant>
      <vt:variant>
        <vt:i4>5</vt:i4>
      </vt:variant>
      <vt:variant>
        <vt:lpwstr/>
      </vt:variant>
      <vt:variant>
        <vt:lpwstr>_Toc131170456</vt:lpwstr>
      </vt:variant>
      <vt:variant>
        <vt:i4>1048627</vt:i4>
      </vt:variant>
      <vt:variant>
        <vt:i4>140</vt:i4>
      </vt:variant>
      <vt:variant>
        <vt:i4>0</vt:i4>
      </vt:variant>
      <vt:variant>
        <vt:i4>5</vt:i4>
      </vt:variant>
      <vt:variant>
        <vt:lpwstr/>
      </vt:variant>
      <vt:variant>
        <vt:lpwstr>_Toc131170455</vt:lpwstr>
      </vt:variant>
      <vt:variant>
        <vt:i4>1048627</vt:i4>
      </vt:variant>
      <vt:variant>
        <vt:i4>134</vt:i4>
      </vt:variant>
      <vt:variant>
        <vt:i4>0</vt:i4>
      </vt:variant>
      <vt:variant>
        <vt:i4>5</vt:i4>
      </vt:variant>
      <vt:variant>
        <vt:lpwstr/>
      </vt:variant>
      <vt:variant>
        <vt:lpwstr>_Toc131170454</vt:lpwstr>
      </vt:variant>
      <vt:variant>
        <vt:i4>1048627</vt:i4>
      </vt:variant>
      <vt:variant>
        <vt:i4>128</vt:i4>
      </vt:variant>
      <vt:variant>
        <vt:i4>0</vt:i4>
      </vt:variant>
      <vt:variant>
        <vt:i4>5</vt:i4>
      </vt:variant>
      <vt:variant>
        <vt:lpwstr/>
      </vt:variant>
      <vt:variant>
        <vt:lpwstr>_Toc131170453</vt:lpwstr>
      </vt:variant>
      <vt:variant>
        <vt:i4>1048627</vt:i4>
      </vt:variant>
      <vt:variant>
        <vt:i4>122</vt:i4>
      </vt:variant>
      <vt:variant>
        <vt:i4>0</vt:i4>
      </vt:variant>
      <vt:variant>
        <vt:i4>5</vt:i4>
      </vt:variant>
      <vt:variant>
        <vt:lpwstr/>
      </vt:variant>
      <vt:variant>
        <vt:lpwstr>_Toc131170452</vt:lpwstr>
      </vt:variant>
      <vt:variant>
        <vt:i4>1048627</vt:i4>
      </vt:variant>
      <vt:variant>
        <vt:i4>116</vt:i4>
      </vt:variant>
      <vt:variant>
        <vt:i4>0</vt:i4>
      </vt:variant>
      <vt:variant>
        <vt:i4>5</vt:i4>
      </vt:variant>
      <vt:variant>
        <vt:lpwstr/>
      </vt:variant>
      <vt:variant>
        <vt:lpwstr>_Toc131170451</vt:lpwstr>
      </vt:variant>
      <vt:variant>
        <vt:i4>1048627</vt:i4>
      </vt:variant>
      <vt:variant>
        <vt:i4>110</vt:i4>
      </vt:variant>
      <vt:variant>
        <vt:i4>0</vt:i4>
      </vt:variant>
      <vt:variant>
        <vt:i4>5</vt:i4>
      </vt:variant>
      <vt:variant>
        <vt:lpwstr/>
      </vt:variant>
      <vt:variant>
        <vt:lpwstr>_Toc131170450</vt:lpwstr>
      </vt:variant>
      <vt:variant>
        <vt:i4>1114163</vt:i4>
      </vt:variant>
      <vt:variant>
        <vt:i4>104</vt:i4>
      </vt:variant>
      <vt:variant>
        <vt:i4>0</vt:i4>
      </vt:variant>
      <vt:variant>
        <vt:i4>5</vt:i4>
      </vt:variant>
      <vt:variant>
        <vt:lpwstr/>
      </vt:variant>
      <vt:variant>
        <vt:lpwstr>_Toc131170449</vt:lpwstr>
      </vt:variant>
      <vt:variant>
        <vt:i4>1114163</vt:i4>
      </vt:variant>
      <vt:variant>
        <vt:i4>98</vt:i4>
      </vt:variant>
      <vt:variant>
        <vt:i4>0</vt:i4>
      </vt:variant>
      <vt:variant>
        <vt:i4>5</vt:i4>
      </vt:variant>
      <vt:variant>
        <vt:lpwstr/>
      </vt:variant>
      <vt:variant>
        <vt:lpwstr>_Toc131170448</vt:lpwstr>
      </vt:variant>
      <vt:variant>
        <vt:i4>1114163</vt:i4>
      </vt:variant>
      <vt:variant>
        <vt:i4>92</vt:i4>
      </vt:variant>
      <vt:variant>
        <vt:i4>0</vt:i4>
      </vt:variant>
      <vt:variant>
        <vt:i4>5</vt:i4>
      </vt:variant>
      <vt:variant>
        <vt:lpwstr/>
      </vt:variant>
      <vt:variant>
        <vt:lpwstr>_Toc131170447</vt:lpwstr>
      </vt:variant>
      <vt:variant>
        <vt:i4>1114163</vt:i4>
      </vt:variant>
      <vt:variant>
        <vt:i4>86</vt:i4>
      </vt:variant>
      <vt:variant>
        <vt:i4>0</vt:i4>
      </vt:variant>
      <vt:variant>
        <vt:i4>5</vt:i4>
      </vt:variant>
      <vt:variant>
        <vt:lpwstr/>
      </vt:variant>
      <vt:variant>
        <vt:lpwstr>_Toc131170446</vt:lpwstr>
      </vt:variant>
      <vt:variant>
        <vt:i4>1114163</vt:i4>
      </vt:variant>
      <vt:variant>
        <vt:i4>80</vt:i4>
      </vt:variant>
      <vt:variant>
        <vt:i4>0</vt:i4>
      </vt:variant>
      <vt:variant>
        <vt:i4>5</vt:i4>
      </vt:variant>
      <vt:variant>
        <vt:lpwstr/>
      </vt:variant>
      <vt:variant>
        <vt:lpwstr>_Toc131170445</vt:lpwstr>
      </vt:variant>
      <vt:variant>
        <vt:i4>1114163</vt:i4>
      </vt:variant>
      <vt:variant>
        <vt:i4>74</vt:i4>
      </vt:variant>
      <vt:variant>
        <vt:i4>0</vt:i4>
      </vt:variant>
      <vt:variant>
        <vt:i4>5</vt:i4>
      </vt:variant>
      <vt:variant>
        <vt:lpwstr/>
      </vt:variant>
      <vt:variant>
        <vt:lpwstr>_Toc131170444</vt:lpwstr>
      </vt:variant>
      <vt:variant>
        <vt:i4>1114163</vt:i4>
      </vt:variant>
      <vt:variant>
        <vt:i4>68</vt:i4>
      </vt:variant>
      <vt:variant>
        <vt:i4>0</vt:i4>
      </vt:variant>
      <vt:variant>
        <vt:i4>5</vt:i4>
      </vt:variant>
      <vt:variant>
        <vt:lpwstr/>
      </vt:variant>
      <vt:variant>
        <vt:lpwstr>_Toc131170443</vt:lpwstr>
      </vt:variant>
      <vt:variant>
        <vt:i4>1114163</vt:i4>
      </vt:variant>
      <vt:variant>
        <vt:i4>62</vt:i4>
      </vt:variant>
      <vt:variant>
        <vt:i4>0</vt:i4>
      </vt:variant>
      <vt:variant>
        <vt:i4>5</vt:i4>
      </vt:variant>
      <vt:variant>
        <vt:lpwstr/>
      </vt:variant>
      <vt:variant>
        <vt:lpwstr>_Toc131170442</vt:lpwstr>
      </vt:variant>
      <vt:variant>
        <vt:i4>1114163</vt:i4>
      </vt:variant>
      <vt:variant>
        <vt:i4>56</vt:i4>
      </vt:variant>
      <vt:variant>
        <vt:i4>0</vt:i4>
      </vt:variant>
      <vt:variant>
        <vt:i4>5</vt:i4>
      </vt:variant>
      <vt:variant>
        <vt:lpwstr/>
      </vt:variant>
      <vt:variant>
        <vt:lpwstr>_Toc131170441</vt:lpwstr>
      </vt:variant>
      <vt:variant>
        <vt:i4>1114163</vt:i4>
      </vt:variant>
      <vt:variant>
        <vt:i4>50</vt:i4>
      </vt:variant>
      <vt:variant>
        <vt:i4>0</vt:i4>
      </vt:variant>
      <vt:variant>
        <vt:i4>5</vt:i4>
      </vt:variant>
      <vt:variant>
        <vt:lpwstr/>
      </vt:variant>
      <vt:variant>
        <vt:lpwstr>_Toc131170440</vt:lpwstr>
      </vt:variant>
      <vt:variant>
        <vt:i4>1441843</vt:i4>
      </vt:variant>
      <vt:variant>
        <vt:i4>44</vt:i4>
      </vt:variant>
      <vt:variant>
        <vt:i4>0</vt:i4>
      </vt:variant>
      <vt:variant>
        <vt:i4>5</vt:i4>
      </vt:variant>
      <vt:variant>
        <vt:lpwstr/>
      </vt:variant>
      <vt:variant>
        <vt:lpwstr>_Toc131170439</vt:lpwstr>
      </vt:variant>
      <vt:variant>
        <vt:i4>1441843</vt:i4>
      </vt:variant>
      <vt:variant>
        <vt:i4>38</vt:i4>
      </vt:variant>
      <vt:variant>
        <vt:i4>0</vt:i4>
      </vt:variant>
      <vt:variant>
        <vt:i4>5</vt:i4>
      </vt:variant>
      <vt:variant>
        <vt:lpwstr/>
      </vt:variant>
      <vt:variant>
        <vt:lpwstr>_Toc131170438</vt:lpwstr>
      </vt:variant>
      <vt:variant>
        <vt:i4>1441843</vt:i4>
      </vt:variant>
      <vt:variant>
        <vt:i4>32</vt:i4>
      </vt:variant>
      <vt:variant>
        <vt:i4>0</vt:i4>
      </vt:variant>
      <vt:variant>
        <vt:i4>5</vt:i4>
      </vt:variant>
      <vt:variant>
        <vt:lpwstr/>
      </vt:variant>
      <vt:variant>
        <vt:lpwstr>_Toc131170437</vt:lpwstr>
      </vt:variant>
      <vt:variant>
        <vt:i4>1441843</vt:i4>
      </vt:variant>
      <vt:variant>
        <vt:i4>26</vt:i4>
      </vt:variant>
      <vt:variant>
        <vt:i4>0</vt:i4>
      </vt:variant>
      <vt:variant>
        <vt:i4>5</vt:i4>
      </vt:variant>
      <vt:variant>
        <vt:lpwstr/>
      </vt:variant>
      <vt:variant>
        <vt:lpwstr>_Toc131170436</vt:lpwstr>
      </vt:variant>
      <vt:variant>
        <vt:i4>1441843</vt:i4>
      </vt:variant>
      <vt:variant>
        <vt:i4>20</vt:i4>
      </vt:variant>
      <vt:variant>
        <vt:i4>0</vt:i4>
      </vt:variant>
      <vt:variant>
        <vt:i4>5</vt:i4>
      </vt:variant>
      <vt:variant>
        <vt:lpwstr/>
      </vt:variant>
      <vt:variant>
        <vt:lpwstr>_Toc131170435</vt:lpwstr>
      </vt:variant>
      <vt:variant>
        <vt:i4>1441843</vt:i4>
      </vt:variant>
      <vt:variant>
        <vt:i4>14</vt:i4>
      </vt:variant>
      <vt:variant>
        <vt:i4>0</vt:i4>
      </vt:variant>
      <vt:variant>
        <vt:i4>5</vt:i4>
      </vt:variant>
      <vt:variant>
        <vt:lpwstr/>
      </vt:variant>
      <vt:variant>
        <vt:lpwstr>_Toc131170434</vt:lpwstr>
      </vt:variant>
      <vt:variant>
        <vt:i4>1441843</vt:i4>
      </vt:variant>
      <vt:variant>
        <vt:i4>8</vt:i4>
      </vt:variant>
      <vt:variant>
        <vt:i4>0</vt:i4>
      </vt:variant>
      <vt:variant>
        <vt:i4>5</vt:i4>
      </vt:variant>
      <vt:variant>
        <vt:lpwstr/>
      </vt:variant>
      <vt:variant>
        <vt:lpwstr>_Toc131170433</vt:lpwstr>
      </vt:variant>
      <vt:variant>
        <vt:i4>1441843</vt:i4>
      </vt:variant>
      <vt:variant>
        <vt:i4>2</vt:i4>
      </vt:variant>
      <vt:variant>
        <vt:i4>0</vt:i4>
      </vt:variant>
      <vt:variant>
        <vt:i4>5</vt:i4>
      </vt:variant>
      <vt:variant>
        <vt:lpwstr/>
      </vt:variant>
      <vt:variant>
        <vt:lpwstr>_Toc131170432</vt:lpwstr>
      </vt:variant>
      <vt:variant>
        <vt:i4>65608</vt:i4>
      </vt:variant>
      <vt:variant>
        <vt:i4>36</vt:i4>
      </vt:variant>
      <vt:variant>
        <vt:i4>0</vt:i4>
      </vt:variant>
      <vt:variant>
        <vt:i4>5</vt:i4>
      </vt:variant>
      <vt:variant>
        <vt:lpwstr>https://www.dfat.gov.au/sites/default/files/private-sector-engagement-in-australias-aid-program-operational-framework.pdf</vt:lpwstr>
      </vt:variant>
      <vt:variant>
        <vt:lpwstr/>
      </vt:variant>
      <vt:variant>
        <vt:i4>2162789</vt:i4>
      </vt:variant>
      <vt:variant>
        <vt:i4>33</vt:i4>
      </vt:variant>
      <vt:variant>
        <vt:i4>0</vt:i4>
      </vt:variant>
      <vt:variant>
        <vt:i4>5</vt:i4>
      </vt:variant>
      <vt:variant>
        <vt:lpwstr>https://www.dfat.gov.au/publications/aid/guidance-note-engaging-private-sector</vt:lpwstr>
      </vt:variant>
      <vt:variant>
        <vt:lpwstr/>
      </vt:variant>
      <vt:variant>
        <vt:i4>4194304</vt:i4>
      </vt:variant>
      <vt:variant>
        <vt:i4>30</vt:i4>
      </vt:variant>
      <vt:variant>
        <vt:i4>0</vt:i4>
      </vt:variant>
      <vt:variant>
        <vt:i4>5</vt:i4>
      </vt:variant>
      <vt:variant>
        <vt:lpwstr>https://beamexchange.org/resources/1406/</vt:lpwstr>
      </vt:variant>
      <vt:variant>
        <vt:lpwstr/>
      </vt:variant>
      <vt:variant>
        <vt:i4>2162789</vt:i4>
      </vt:variant>
      <vt:variant>
        <vt:i4>27</vt:i4>
      </vt:variant>
      <vt:variant>
        <vt:i4>0</vt:i4>
      </vt:variant>
      <vt:variant>
        <vt:i4>5</vt:i4>
      </vt:variant>
      <vt:variant>
        <vt:lpwstr>https://www.dfat.gov.au/publications/aid/guidance-note-engaging-private-sector</vt:lpwstr>
      </vt:variant>
      <vt:variant>
        <vt:lpwstr/>
      </vt:variant>
      <vt:variant>
        <vt:i4>4784155</vt:i4>
      </vt:variant>
      <vt:variant>
        <vt:i4>24</vt:i4>
      </vt:variant>
      <vt:variant>
        <vt:i4>0</vt:i4>
      </vt:variant>
      <vt:variant>
        <vt:i4>5</vt:i4>
      </vt:variant>
      <vt:variant>
        <vt:lpwstr>https://www.dfat.gov.au/about-us/publications/Pages/dfat-monitoring-and-evaluation-standards</vt:lpwstr>
      </vt:variant>
      <vt:variant>
        <vt:lpwstr/>
      </vt:variant>
      <vt:variant>
        <vt:i4>2162789</vt:i4>
      </vt:variant>
      <vt:variant>
        <vt:i4>21</vt:i4>
      </vt:variant>
      <vt:variant>
        <vt:i4>0</vt:i4>
      </vt:variant>
      <vt:variant>
        <vt:i4>5</vt:i4>
      </vt:variant>
      <vt:variant>
        <vt:lpwstr>https://www.dfat.gov.au/publications/aid/guidance-note-engaging-private-sector</vt:lpwstr>
      </vt:variant>
      <vt:variant>
        <vt:lpwstr/>
      </vt:variant>
      <vt:variant>
        <vt:i4>2162789</vt:i4>
      </vt:variant>
      <vt:variant>
        <vt:i4>18</vt:i4>
      </vt:variant>
      <vt:variant>
        <vt:i4>0</vt:i4>
      </vt:variant>
      <vt:variant>
        <vt:i4>5</vt:i4>
      </vt:variant>
      <vt:variant>
        <vt:lpwstr>https://www.dfat.gov.au/publications/aid/guidance-note-engaging-private-sector</vt:lpwstr>
      </vt:variant>
      <vt:variant>
        <vt:lpwstr/>
      </vt:variant>
      <vt:variant>
        <vt:i4>1638486</vt:i4>
      </vt:variant>
      <vt:variant>
        <vt:i4>15</vt:i4>
      </vt:variant>
      <vt:variant>
        <vt:i4>0</vt:i4>
      </vt:variant>
      <vt:variant>
        <vt:i4>5</vt:i4>
      </vt:variant>
      <vt:variant>
        <vt:lpwstr>https://www.enterprise-development.org/wp-content/uploads/BDS-Guiding-Principles-2001-English.pdf</vt:lpwstr>
      </vt:variant>
      <vt:variant>
        <vt:lpwstr/>
      </vt:variant>
      <vt:variant>
        <vt:i4>4784155</vt:i4>
      </vt:variant>
      <vt:variant>
        <vt:i4>12</vt:i4>
      </vt:variant>
      <vt:variant>
        <vt:i4>0</vt:i4>
      </vt:variant>
      <vt:variant>
        <vt:i4>5</vt:i4>
      </vt:variant>
      <vt:variant>
        <vt:lpwstr>https://www.dfat.gov.au/about-us/publications/Pages/dfat-monitoring-and-evaluation-standards</vt:lpwstr>
      </vt:variant>
      <vt:variant>
        <vt:lpwstr/>
      </vt:variant>
      <vt:variant>
        <vt:i4>6291557</vt:i4>
      </vt:variant>
      <vt:variant>
        <vt:i4>9</vt:i4>
      </vt:variant>
      <vt:variant>
        <vt:i4>0</vt:i4>
      </vt:variant>
      <vt:variant>
        <vt:i4>5</vt:i4>
      </vt:variant>
      <vt:variant>
        <vt:lpwstr>https://beamexchange.org/market-systems/what-market-system/mapping-system/</vt:lpwstr>
      </vt:variant>
      <vt:variant>
        <vt:lpwstr/>
      </vt:variant>
      <vt:variant>
        <vt:i4>6422561</vt:i4>
      </vt:variant>
      <vt:variant>
        <vt:i4>6</vt:i4>
      </vt:variant>
      <vt:variant>
        <vt:i4>0</vt:i4>
      </vt:variant>
      <vt:variant>
        <vt:i4>5</vt:i4>
      </vt:variant>
      <vt:variant>
        <vt:lpwstr>https://devpolicy.org/talking-about-tok-stori-20200828/</vt:lpwstr>
      </vt:variant>
      <vt:variant>
        <vt:lpwstr/>
      </vt:variant>
      <vt:variant>
        <vt:i4>5570654</vt:i4>
      </vt:variant>
      <vt:variant>
        <vt:i4>3</vt:i4>
      </vt:variant>
      <vt:variant>
        <vt:i4>0</vt:i4>
      </vt:variant>
      <vt:variant>
        <vt:i4>5</vt:i4>
      </vt:variant>
      <vt:variant>
        <vt:lpwstr>https://archive.doingbusiness.org/content/dam/doingBusiness/country/s/solomon-islands/SLB.pdf</vt:lpwstr>
      </vt:variant>
      <vt:variant>
        <vt:lpwstr/>
      </vt:variant>
      <vt:variant>
        <vt:i4>5570654</vt:i4>
      </vt:variant>
      <vt:variant>
        <vt:i4>0</vt:i4>
      </vt:variant>
      <vt:variant>
        <vt:i4>0</vt:i4>
      </vt:variant>
      <vt:variant>
        <vt:i4>5</vt:i4>
      </vt:variant>
      <vt:variant>
        <vt:lpwstr>https://archive.doingbusiness.org/content/dam/doingBusiness/country/s/solomon-islands/SLB.pdf</vt:lpwstr>
      </vt:variant>
      <vt:variant>
        <vt:lpwstr/>
      </vt:variant>
      <vt:variant>
        <vt:i4>7864327</vt:i4>
      </vt:variant>
      <vt:variant>
        <vt:i4>3</vt:i4>
      </vt:variant>
      <vt:variant>
        <vt:i4>0</vt:i4>
      </vt:variant>
      <vt:variant>
        <vt:i4>5</vt:i4>
      </vt:variant>
      <vt:variant>
        <vt:lpwstr>mailto:julie.delforce@alineainternational.com</vt:lpwstr>
      </vt:variant>
      <vt:variant>
        <vt:lpwstr/>
      </vt:variant>
      <vt:variant>
        <vt:i4>7864327</vt:i4>
      </vt:variant>
      <vt:variant>
        <vt:i4>0</vt:i4>
      </vt:variant>
      <vt:variant>
        <vt:i4>0</vt:i4>
      </vt:variant>
      <vt:variant>
        <vt:i4>5</vt:i4>
      </vt:variant>
      <vt:variant>
        <vt:lpwstr>mailto:julie.delforce@alineainternational.com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Strongim Bisnis Program (Phase 2) - Final evaluation report</dc:title>
  <dc:subject/>
  <dc:creator/>
  <cp:keywords>[SEC=OFFICIAL]</cp:keywords>
  <dc:description/>
  <cp:lastModifiedBy/>
  <cp:revision>1</cp:revision>
  <dcterms:created xsi:type="dcterms:W3CDTF">2023-11-29T03:35:00Z</dcterms:created>
  <dcterms:modified xsi:type="dcterms:W3CDTF">2023-11-29T03:35:00Z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v=2022.1;a=SHA256;h=24A0B82FFF8CFD6C2822BAE2277D7F063792BC6DFCD8B0F32FD6537992E8424D</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D9F6E5C82DFAF7AB6E3D596D48DD43C72EDFDAB4</vt:lpwstr>
  </property>
  <property fmtid="{D5CDD505-2E9C-101B-9397-08002B2CF9AE}" pid="9" name="PM_Originating_FileId">
    <vt:lpwstr>2D7B89189C80401DB99AA519F1DC1565</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2023-03-22T23:11:18Z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BEEAB1A1C88248EDE6705936315A271D</vt:lpwstr>
  </property>
  <property fmtid="{D5CDD505-2E9C-101B-9397-08002B2CF9AE}" pid="22" name="PM_Hash_Salt">
    <vt:lpwstr>E9A17828690C7CA228FEC20397A4CEBB</vt:lpwstr>
  </property>
  <property fmtid="{D5CDD505-2E9C-101B-9397-08002B2CF9AE}" pid="23" name="PM_Hash_SHA1">
    <vt:lpwstr>FC1EF8F07B8ADC3FE2127E1172F56AD38E364014</vt:lpwstr>
  </property>
  <property fmtid="{D5CDD505-2E9C-101B-9397-08002B2CF9AE}" pid="24" name="PM_OriginatorUserAccountName_SHA256">
    <vt:lpwstr>3E9DB5AB808CA91EB3E8EC398CDB7F67B110581D6BB28BC88565729DCE387350</vt:lpwstr>
  </property>
  <property fmtid="{D5CDD505-2E9C-101B-9397-08002B2CF9AE}" pid="25" name="PM_OriginatorDomainName_SHA256">
    <vt:lpwstr>6F3591835F3B2A8A025B00B5BA6418010DA3A17C9C26EA9C049FFD28039489A2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