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760FE" w14:textId="77777777" w:rsidR="00DB72BA" w:rsidRDefault="00DB72BA" w:rsidP="00917BFB">
      <w:pPr>
        <w:pStyle w:val="Title"/>
      </w:pPr>
      <w:r>
        <w:rPr>
          <w:noProof/>
          <w:lang w:eastAsia="en-AU"/>
        </w:rPr>
        <w:drawing>
          <wp:inline distT="0" distB="0" distL="0" distR="0" wp14:anchorId="724044BE" wp14:editId="076C00E6">
            <wp:extent cx="2753360" cy="48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 inline logo_black.eps"/>
                    <pic:cNvPicPr/>
                  </pic:nvPicPr>
                  <pic:blipFill>
                    <a:blip r:embed="rId9">
                      <a:extLst>
                        <a:ext uri="{28A0092B-C50C-407E-A947-70E740481C1C}">
                          <a14:useLocalDpi xmlns:a14="http://schemas.microsoft.com/office/drawing/2010/main" val="0"/>
                        </a:ext>
                      </a:extLst>
                    </a:blip>
                    <a:stretch>
                      <a:fillRect/>
                    </a:stretch>
                  </pic:blipFill>
                  <pic:spPr>
                    <a:xfrm>
                      <a:off x="0" y="0"/>
                      <a:ext cx="2753360" cy="482600"/>
                    </a:xfrm>
                    <a:prstGeom prst="rect">
                      <a:avLst/>
                    </a:prstGeom>
                  </pic:spPr>
                </pic:pic>
              </a:graphicData>
            </a:graphic>
          </wp:inline>
        </w:drawing>
      </w:r>
    </w:p>
    <w:p w14:paraId="556B3AD7" w14:textId="77777777" w:rsidR="006F6D55" w:rsidRDefault="006F6D55" w:rsidP="006F6D55">
      <w:pPr>
        <w:pStyle w:val="Title"/>
        <w:spacing w:before="720"/>
      </w:pPr>
    </w:p>
    <w:p w14:paraId="00EF4817" w14:textId="7FA0D74C" w:rsidR="006D1D7F" w:rsidRPr="00917BFB" w:rsidRDefault="00F92C3B" w:rsidP="006F6D55">
      <w:pPr>
        <w:pStyle w:val="Title"/>
        <w:spacing w:before="720"/>
      </w:pPr>
      <w:r w:rsidRPr="00C47EE4">
        <w:t>Strategy for Australia’s aid investments in social p</w:t>
      </w:r>
      <w:r w:rsidR="00BF6BD7" w:rsidRPr="00C47EE4">
        <w:t>rotection</w:t>
      </w:r>
    </w:p>
    <w:p w14:paraId="76AD425D" w14:textId="77777777" w:rsidR="00F92C3B" w:rsidRPr="006D1D7F" w:rsidRDefault="00F92C3B" w:rsidP="006D1D7F">
      <w:pPr>
        <w:rPr>
          <w:lang w:val="en-GB" w:eastAsia="ja-JP"/>
        </w:rPr>
        <w:sectPr w:rsidR="00F92C3B" w:rsidRPr="006D1D7F" w:rsidSect="00A3102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pPr>
    </w:p>
    <w:p w14:paraId="6FD7E9D6" w14:textId="77777777" w:rsidR="00F92C3B" w:rsidRPr="0021288A" w:rsidRDefault="00F92C3B" w:rsidP="006D1D7F">
      <w:pPr>
        <w:pStyle w:val="Heading2"/>
        <w:rPr>
          <w:i/>
        </w:rPr>
      </w:pPr>
      <w:bookmarkStart w:id="0" w:name="_Toc304799222"/>
      <w:r w:rsidRPr="0021288A">
        <w:lastRenderedPageBreak/>
        <w:t>Creative Com</w:t>
      </w:r>
      <w:r w:rsidRPr="006D1D7F">
        <w:t>mon</w:t>
      </w:r>
      <w:r w:rsidRPr="0021288A">
        <w:t>s</w:t>
      </w:r>
      <w:bookmarkEnd w:id="0"/>
    </w:p>
    <w:p w14:paraId="2E923A6C" w14:textId="3CB1B393" w:rsidR="00627B18" w:rsidRDefault="00F92C3B" w:rsidP="00627B18">
      <w:pPr>
        <w:pStyle w:val="04BODYTEXT"/>
        <w:spacing w:before="120"/>
      </w:pPr>
      <w:r w:rsidRPr="00DE16F6">
        <w:t xml:space="preserve">With the exception of the Commonwealth Coat of Arms and where otherwise noted, such as copyrighted images, this booklet is licensed under </w:t>
      </w:r>
      <w:r w:rsidRPr="006D1D7F">
        <w:t xml:space="preserve">a Creative Commons Attribution 3.0 Australia licence </w:t>
      </w:r>
      <w:hyperlink r:id="rId16" w:history="1">
        <w:r w:rsidR="00627B18" w:rsidRPr="00D21FC7">
          <w:rPr>
            <w:rStyle w:val="Hyperlink"/>
          </w:rPr>
          <w:t>http://creativecommons.org/licenses/by/3.0/au/</w:t>
        </w:r>
      </w:hyperlink>
      <w:r w:rsidRPr="006D1D7F">
        <w:t>.</w:t>
      </w:r>
    </w:p>
    <w:p w14:paraId="380EC5C4" w14:textId="0842E95E" w:rsidR="00F92C3B" w:rsidRDefault="00F92C3B" w:rsidP="00627B18">
      <w:pPr>
        <w:pStyle w:val="04BODYTEXT"/>
        <w:spacing w:before="120"/>
      </w:pPr>
      <w:r w:rsidRPr="00DE16F6">
        <w:t xml:space="preserve">The report should be attributed as Commonwealth of Australia, Department of Foreign Affairs and Trade, </w:t>
      </w:r>
      <w:r w:rsidRPr="00DE16F6">
        <w:rPr>
          <w:i/>
        </w:rPr>
        <w:t xml:space="preserve">Strategy for Australia’s aid investments in </w:t>
      </w:r>
      <w:r>
        <w:rPr>
          <w:i/>
        </w:rPr>
        <w:t>social protection</w:t>
      </w:r>
      <w:r w:rsidRPr="00DE16F6">
        <w:t>, September 2015.</w:t>
      </w:r>
    </w:p>
    <w:p w14:paraId="29C5D210" w14:textId="77777777" w:rsidR="00F92C3B" w:rsidRDefault="00F92C3B" w:rsidP="006D1D7F">
      <w:pPr>
        <w:pStyle w:val="04BODYTEXT"/>
      </w:pPr>
      <w:r>
        <w:t>ISBN 978-1-74322-273-7 (Print)</w:t>
      </w:r>
    </w:p>
    <w:p w14:paraId="25186BD5" w14:textId="77777777" w:rsidR="00F92C3B" w:rsidRDefault="00F92C3B" w:rsidP="006D1D7F">
      <w:pPr>
        <w:pStyle w:val="04BODYTEXT"/>
      </w:pPr>
      <w:r>
        <w:t>ISBN 978-1-74322-274-4 (PDF document)</w:t>
      </w:r>
    </w:p>
    <w:p w14:paraId="34ED90D0" w14:textId="77777777" w:rsidR="00F92C3B" w:rsidRPr="00F92C3B" w:rsidRDefault="00F92C3B" w:rsidP="006D1D7F">
      <w:pPr>
        <w:pStyle w:val="04BODYTEXT"/>
      </w:pPr>
      <w:r>
        <w:t>ISBN 978-1-74322-275-1 (Word document)</w:t>
      </w:r>
    </w:p>
    <w:p w14:paraId="18D94B84" w14:textId="77777777" w:rsidR="00F92C3B" w:rsidRPr="00DE16F6" w:rsidRDefault="00F92C3B" w:rsidP="006D1D7F">
      <w:pPr>
        <w:pStyle w:val="Heading2"/>
      </w:pPr>
      <w:bookmarkStart w:id="1" w:name="_Toc304799223"/>
      <w:r w:rsidRPr="00DE16F6">
        <w:t xml:space="preserve">Use of the </w:t>
      </w:r>
      <w:r w:rsidRPr="006D1D7F">
        <w:t>Coat of</w:t>
      </w:r>
      <w:r w:rsidRPr="00DE16F6">
        <w:t xml:space="preserve"> Arms</w:t>
      </w:r>
      <w:bookmarkEnd w:id="1"/>
    </w:p>
    <w:p w14:paraId="6332B329" w14:textId="77777777" w:rsidR="00F92C3B" w:rsidRPr="00DE16F6" w:rsidRDefault="00F92C3B" w:rsidP="006D1D7F">
      <w:pPr>
        <w:pStyle w:val="04BODYTEXT"/>
      </w:pPr>
      <w:r w:rsidRPr="00DE16F6">
        <w:t>The terms under which the Coat of Arms can be used are detailed on the ‘It’s an Honour’ website: &lt;http://www.itsanhonour.gov.au/coat-arms/index.cfm&gt;.</w:t>
      </w:r>
    </w:p>
    <w:p w14:paraId="2B100C2E" w14:textId="77777777" w:rsidR="00F92C3B" w:rsidRPr="00DE16F6" w:rsidRDefault="00F92C3B" w:rsidP="006D1D7F">
      <w:pPr>
        <w:pStyle w:val="04BODYTEXT"/>
      </w:pPr>
      <w:r w:rsidRPr="00DE16F6">
        <w:t>Inquiries regarding the licence and any use of the booklet are welcome at:</w:t>
      </w:r>
    </w:p>
    <w:p w14:paraId="653DB8AB" w14:textId="01B98616" w:rsidR="00BF6BD7" w:rsidRPr="00917BFB" w:rsidRDefault="00F92C3B" w:rsidP="00917BFB">
      <w:pPr>
        <w:pStyle w:val="04BODYTEXT"/>
      </w:pPr>
      <w:r w:rsidRPr="00DE16F6">
        <w:t xml:space="preserve">Department of Foreign Affairs and Trade </w:t>
      </w:r>
      <w:r w:rsidR="001E2B0F">
        <w:br/>
      </w:r>
      <w:r w:rsidRPr="00DE16F6">
        <w:t>R G Casey Building</w:t>
      </w:r>
      <w:r w:rsidR="001E2B0F">
        <w:br/>
      </w:r>
      <w:r w:rsidRPr="00DE16F6">
        <w:t>John McEwen Crescent</w:t>
      </w:r>
      <w:r w:rsidR="001E2B0F">
        <w:br/>
      </w:r>
      <w:r w:rsidRPr="00DE16F6">
        <w:t>Barton ACT 02</w:t>
      </w:r>
      <w:bookmarkStart w:id="2" w:name="_GoBack"/>
      <w:bookmarkEnd w:id="2"/>
      <w:r w:rsidRPr="00DE16F6">
        <w:t>21 Australia</w:t>
      </w:r>
      <w:r w:rsidR="001E2B0F">
        <w:br/>
        <w:t>Telephone +61 2 6261 1111</w:t>
      </w:r>
      <w:r w:rsidR="001E2B0F">
        <w:br/>
      </w:r>
      <w:r w:rsidRPr="00DE16F6">
        <w:t>Email: education@dfat.gov.au</w:t>
      </w:r>
    </w:p>
    <w:p w14:paraId="0BE261B3" w14:textId="77777777" w:rsidR="00F92C3B" w:rsidRDefault="00F92C3B" w:rsidP="004E6DB1">
      <w:pPr>
        <w:rPr>
          <w:rFonts w:asciiTheme="majorHAnsi" w:hAnsiTheme="majorHAnsi" w:cstheme="minorHAnsi"/>
          <w:b/>
          <w:color w:val="4F81BD" w:themeColor="accent1"/>
          <w:sz w:val="36"/>
          <w:szCs w:val="36"/>
        </w:rPr>
        <w:sectPr w:rsidR="00F92C3B" w:rsidSect="008E39E5">
          <w:pgSz w:w="11906" w:h="16838"/>
          <w:pgMar w:top="1440" w:right="1800" w:bottom="709" w:left="1800" w:header="708" w:footer="397" w:gutter="0"/>
          <w:cols w:space="708"/>
          <w:docGrid w:linePitch="360"/>
        </w:sectPr>
      </w:pPr>
    </w:p>
    <w:p w14:paraId="06CAC0E2" w14:textId="77777777" w:rsidR="00F92C3B" w:rsidRDefault="00F92C3B" w:rsidP="006D1D7F">
      <w:pPr>
        <w:pStyle w:val="Heading1"/>
      </w:pPr>
      <w:bookmarkStart w:id="3" w:name="_Toc304799224"/>
      <w:r>
        <w:lastRenderedPageBreak/>
        <w:t>Contents</w:t>
      </w:r>
      <w:bookmarkEnd w:id="3"/>
    </w:p>
    <w:p w14:paraId="408A3926" w14:textId="51F5A05D" w:rsidR="007D76DB" w:rsidRDefault="007D76DB" w:rsidP="007D76DB">
      <w:pPr>
        <w:pStyle w:val="TOC2"/>
        <w:tabs>
          <w:tab w:val="right" w:leader="dot" w:pos="9175"/>
        </w:tabs>
        <w:rPr>
          <w:rFonts w:asciiTheme="minorHAnsi" w:eastAsiaTheme="minorEastAsia" w:hAnsiTheme="minorHAnsi" w:cstheme="minorBidi"/>
          <w:noProof/>
          <w:lang w:val="en-US" w:eastAsia="ja-JP"/>
        </w:rPr>
      </w:pPr>
      <w:r>
        <w:rPr>
          <w:rFonts w:asciiTheme="majorHAnsi" w:hAnsiTheme="majorHAnsi" w:cstheme="minorHAnsi"/>
          <w:b/>
          <w:color w:val="4F81BD" w:themeColor="accent1"/>
          <w:sz w:val="36"/>
          <w:szCs w:val="36"/>
        </w:rPr>
        <w:fldChar w:fldCharType="begin"/>
      </w:r>
      <w:r>
        <w:rPr>
          <w:rFonts w:asciiTheme="majorHAnsi" w:hAnsiTheme="majorHAnsi" w:cstheme="minorHAnsi"/>
          <w:b/>
          <w:color w:val="4F81BD" w:themeColor="accent1"/>
          <w:sz w:val="36"/>
          <w:szCs w:val="36"/>
        </w:rPr>
        <w:instrText xml:space="preserve"> TOC \o "1-3" </w:instrText>
      </w:r>
      <w:r>
        <w:rPr>
          <w:rFonts w:asciiTheme="majorHAnsi" w:hAnsiTheme="majorHAnsi" w:cstheme="minorHAnsi"/>
          <w:b/>
          <w:color w:val="4F81BD" w:themeColor="accent1"/>
          <w:sz w:val="36"/>
          <w:szCs w:val="36"/>
        </w:rPr>
        <w:fldChar w:fldCharType="separate"/>
      </w:r>
    </w:p>
    <w:p w14:paraId="11BF4046" w14:textId="77777777" w:rsidR="007D76DB" w:rsidRDefault="007D76DB">
      <w:pPr>
        <w:pStyle w:val="TOC1"/>
        <w:tabs>
          <w:tab w:val="right" w:leader="dot" w:pos="9175"/>
        </w:tabs>
        <w:rPr>
          <w:rFonts w:asciiTheme="minorHAnsi" w:eastAsiaTheme="minorEastAsia" w:hAnsiTheme="minorHAnsi" w:cstheme="minorBidi"/>
          <w:noProof/>
          <w:lang w:val="en-US" w:eastAsia="ja-JP"/>
        </w:rPr>
      </w:pPr>
      <w:r>
        <w:rPr>
          <w:noProof/>
        </w:rPr>
        <w:t>Executive summary</w:t>
      </w:r>
      <w:r>
        <w:rPr>
          <w:noProof/>
        </w:rPr>
        <w:tab/>
      </w:r>
      <w:r>
        <w:rPr>
          <w:noProof/>
        </w:rPr>
        <w:fldChar w:fldCharType="begin"/>
      </w:r>
      <w:r>
        <w:rPr>
          <w:noProof/>
        </w:rPr>
        <w:instrText xml:space="preserve"> PAGEREF _Toc304799225 \h </w:instrText>
      </w:r>
      <w:r>
        <w:rPr>
          <w:noProof/>
        </w:rPr>
      </w:r>
      <w:r>
        <w:rPr>
          <w:noProof/>
        </w:rPr>
        <w:fldChar w:fldCharType="separate"/>
      </w:r>
      <w:r w:rsidR="00E92D23">
        <w:rPr>
          <w:noProof/>
        </w:rPr>
        <w:t>4</w:t>
      </w:r>
      <w:r>
        <w:rPr>
          <w:noProof/>
        </w:rPr>
        <w:fldChar w:fldCharType="end"/>
      </w:r>
    </w:p>
    <w:p w14:paraId="71116C42" w14:textId="02A7842B" w:rsidR="007D76DB" w:rsidRDefault="007D76DB">
      <w:pPr>
        <w:pStyle w:val="TOC1"/>
        <w:tabs>
          <w:tab w:val="right" w:leader="dot" w:pos="9175"/>
        </w:tabs>
        <w:rPr>
          <w:rFonts w:asciiTheme="minorHAnsi" w:eastAsiaTheme="minorEastAsia" w:hAnsiTheme="minorHAnsi" w:cstheme="minorBidi"/>
          <w:noProof/>
          <w:lang w:val="en-US" w:eastAsia="ja-JP"/>
        </w:rPr>
      </w:pPr>
      <w:r>
        <w:rPr>
          <w:noProof/>
        </w:rPr>
        <w:t>Purpose and definitions</w:t>
      </w:r>
      <w:r>
        <w:rPr>
          <w:noProof/>
        </w:rPr>
        <w:tab/>
      </w:r>
      <w:r>
        <w:rPr>
          <w:noProof/>
        </w:rPr>
        <w:fldChar w:fldCharType="begin"/>
      </w:r>
      <w:r>
        <w:rPr>
          <w:noProof/>
        </w:rPr>
        <w:instrText xml:space="preserve"> PAGEREF _Toc304799226 \h </w:instrText>
      </w:r>
      <w:r>
        <w:rPr>
          <w:noProof/>
        </w:rPr>
      </w:r>
      <w:r>
        <w:rPr>
          <w:noProof/>
        </w:rPr>
        <w:fldChar w:fldCharType="separate"/>
      </w:r>
      <w:r w:rsidR="00E92D23">
        <w:rPr>
          <w:noProof/>
        </w:rPr>
        <w:t>5</w:t>
      </w:r>
      <w:r>
        <w:rPr>
          <w:noProof/>
        </w:rPr>
        <w:fldChar w:fldCharType="end"/>
      </w:r>
    </w:p>
    <w:p w14:paraId="0CEBD5D0" w14:textId="77777777" w:rsidR="007D76DB" w:rsidRDefault="007D76DB">
      <w:pPr>
        <w:pStyle w:val="TOC1"/>
        <w:tabs>
          <w:tab w:val="right" w:leader="dot" w:pos="9175"/>
        </w:tabs>
        <w:rPr>
          <w:rFonts w:asciiTheme="minorHAnsi" w:eastAsiaTheme="minorEastAsia" w:hAnsiTheme="minorHAnsi" w:cstheme="minorBidi"/>
          <w:noProof/>
          <w:lang w:val="en-US" w:eastAsia="ja-JP"/>
        </w:rPr>
      </w:pPr>
      <w:r>
        <w:rPr>
          <w:noProof/>
        </w:rPr>
        <w:t>Evidence of the impacts of social protection</w:t>
      </w:r>
      <w:r>
        <w:rPr>
          <w:noProof/>
        </w:rPr>
        <w:tab/>
      </w:r>
      <w:r>
        <w:rPr>
          <w:noProof/>
        </w:rPr>
        <w:fldChar w:fldCharType="begin"/>
      </w:r>
      <w:r>
        <w:rPr>
          <w:noProof/>
        </w:rPr>
        <w:instrText xml:space="preserve"> PAGEREF _Toc304799228 \h </w:instrText>
      </w:r>
      <w:r>
        <w:rPr>
          <w:noProof/>
        </w:rPr>
      </w:r>
      <w:r>
        <w:rPr>
          <w:noProof/>
        </w:rPr>
        <w:fldChar w:fldCharType="separate"/>
      </w:r>
      <w:r w:rsidR="00E92D23">
        <w:rPr>
          <w:noProof/>
        </w:rPr>
        <w:t>7</w:t>
      </w:r>
      <w:r>
        <w:rPr>
          <w:noProof/>
        </w:rPr>
        <w:fldChar w:fldCharType="end"/>
      </w:r>
    </w:p>
    <w:p w14:paraId="4E76438F" w14:textId="77777777" w:rsidR="007D76DB" w:rsidRDefault="007D76DB">
      <w:pPr>
        <w:pStyle w:val="TOC1"/>
        <w:tabs>
          <w:tab w:val="right" w:leader="dot" w:pos="9175"/>
        </w:tabs>
        <w:rPr>
          <w:rFonts w:asciiTheme="minorHAnsi" w:eastAsiaTheme="minorEastAsia" w:hAnsiTheme="minorHAnsi" w:cstheme="minorBidi"/>
          <w:noProof/>
          <w:lang w:val="en-US" w:eastAsia="ja-JP"/>
        </w:rPr>
      </w:pPr>
      <w:r>
        <w:rPr>
          <w:noProof/>
        </w:rPr>
        <w:t>Context</w:t>
      </w:r>
      <w:r>
        <w:rPr>
          <w:noProof/>
        </w:rPr>
        <w:tab/>
      </w:r>
      <w:r>
        <w:rPr>
          <w:noProof/>
        </w:rPr>
        <w:fldChar w:fldCharType="begin"/>
      </w:r>
      <w:r>
        <w:rPr>
          <w:noProof/>
        </w:rPr>
        <w:instrText xml:space="preserve"> PAGEREF _Toc304799229 \h </w:instrText>
      </w:r>
      <w:r>
        <w:rPr>
          <w:noProof/>
        </w:rPr>
      </w:r>
      <w:r>
        <w:rPr>
          <w:noProof/>
        </w:rPr>
        <w:fldChar w:fldCharType="separate"/>
      </w:r>
      <w:r w:rsidR="00E92D23">
        <w:rPr>
          <w:noProof/>
        </w:rPr>
        <w:t>10</w:t>
      </w:r>
      <w:r>
        <w:rPr>
          <w:noProof/>
        </w:rPr>
        <w:fldChar w:fldCharType="end"/>
      </w:r>
    </w:p>
    <w:p w14:paraId="7657A795" w14:textId="77777777" w:rsidR="007D76DB" w:rsidRDefault="007D76DB">
      <w:pPr>
        <w:pStyle w:val="TOC1"/>
        <w:tabs>
          <w:tab w:val="right" w:leader="dot" w:pos="9175"/>
        </w:tabs>
        <w:rPr>
          <w:rFonts w:asciiTheme="minorHAnsi" w:eastAsiaTheme="minorEastAsia" w:hAnsiTheme="minorHAnsi" w:cstheme="minorBidi"/>
          <w:noProof/>
          <w:lang w:val="en-US" w:eastAsia="ja-JP"/>
        </w:rPr>
      </w:pPr>
      <w:r>
        <w:rPr>
          <w:noProof/>
        </w:rPr>
        <w:t>Objectives and priority areas of engagement</w:t>
      </w:r>
      <w:r>
        <w:rPr>
          <w:noProof/>
        </w:rPr>
        <w:tab/>
      </w:r>
      <w:r>
        <w:rPr>
          <w:noProof/>
        </w:rPr>
        <w:fldChar w:fldCharType="begin"/>
      </w:r>
      <w:r>
        <w:rPr>
          <w:noProof/>
        </w:rPr>
        <w:instrText xml:space="preserve"> PAGEREF _Toc304799231 \h </w:instrText>
      </w:r>
      <w:r>
        <w:rPr>
          <w:noProof/>
        </w:rPr>
      </w:r>
      <w:r>
        <w:rPr>
          <w:noProof/>
        </w:rPr>
        <w:fldChar w:fldCharType="separate"/>
      </w:r>
      <w:r w:rsidR="00E92D23">
        <w:rPr>
          <w:noProof/>
        </w:rPr>
        <w:t>11</w:t>
      </w:r>
      <w:r>
        <w:rPr>
          <w:noProof/>
        </w:rPr>
        <w:fldChar w:fldCharType="end"/>
      </w:r>
    </w:p>
    <w:p w14:paraId="1BC50554" w14:textId="77777777" w:rsidR="007D76DB" w:rsidRDefault="007D76DB">
      <w:pPr>
        <w:pStyle w:val="TOC1"/>
        <w:tabs>
          <w:tab w:val="right" w:leader="dot" w:pos="9175"/>
        </w:tabs>
        <w:rPr>
          <w:rFonts w:asciiTheme="minorHAnsi" w:eastAsiaTheme="minorEastAsia" w:hAnsiTheme="minorHAnsi" w:cstheme="minorBidi"/>
          <w:noProof/>
          <w:lang w:val="en-US" w:eastAsia="ja-JP"/>
        </w:rPr>
      </w:pPr>
      <w:r>
        <w:rPr>
          <w:noProof/>
        </w:rPr>
        <w:t>Approach and delivery</w:t>
      </w:r>
      <w:r>
        <w:rPr>
          <w:noProof/>
        </w:rPr>
        <w:tab/>
      </w:r>
      <w:r>
        <w:rPr>
          <w:noProof/>
        </w:rPr>
        <w:fldChar w:fldCharType="begin"/>
      </w:r>
      <w:r>
        <w:rPr>
          <w:noProof/>
        </w:rPr>
        <w:instrText xml:space="preserve"> PAGEREF _Toc304799232 \h </w:instrText>
      </w:r>
      <w:r>
        <w:rPr>
          <w:noProof/>
        </w:rPr>
      </w:r>
      <w:r>
        <w:rPr>
          <w:noProof/>
        </w:rPr>
        <w:fldChar w:fldCharType="separate"/>
      </w:r>
      <w:r w:rsidR="00E92D23">
        <w:rPr>
          <w:noProof/>
        </w:rPr>
        <w:t>13</w:t>
      </w:r>
      <w:r>
        <w:rPr>
          <w:noProof/>
        </w:rPr>
        <w:fldChar w:fldCharType="end"/>
      </w:r>
    </w:p>
    <w:p w14:paraId="706A2747" w14:textId="77777777" w:rsidR="007D76DB" w:rsidRDefault="007D76DB">
      <w:pPr>
        <w:pStyle w:val="TOC1"/>
        <w:tabs>
          <w:tab w:val="right" w:leader="dot" w:pos="9175"/>
        </w:tabs>
        <w:rPr>
          <w:rFonts w:asciiTheme="minorHAnsi" w:eastAsiaTheme="minorEastAsia" w:hAnsiTheme="minorHAnsi" w:cstheme="minorBidi"/>
          <w:noProof/>
          <w:lang w:val="en-US" w:eastAsia="ja-JP"/>
        </w:rPr>
      </w:pPr>
      <w:r>
        <w:rPr>
          <w:noProof/>
        </w:rPr>
        <w:t>Performance</w:t>
      </w:r>
      <w:r>
        <w:rPr>
          <w:noProof/>
        </w:rPr>
        <w:tab/>
      </w:r>
      <w:r>
        <w:rPr>
          <w:noProof/>
        </w:rPr>
        <w:fldChar w:fldCharType="begin"/>
      </w:r>
      <w:r>
        <w:rPr>
          <w:noProof/>
        </w:rPr>
        <w:instrText xml:space="preserve"> PAGEREF _Toc304799233 \h </w:instrText>
      </w:r>
      <w:r>
        <w:rPr>
          <w:noProof/>
        </w:rPr>
      </w:r>
      <w:r>
        <w:rPr>
          <w:noProof/>
        </w:rPr>
        <w:fldChar w:fldCharType="separate"/>
      </w:r>
      <w:r w:rsidR="00E92D23">
        <w:rPr>
          <w:noProof/>
        </w:rPr>
        <w:t>17</w:t>
      </w:r>
      <w:r>
        <w:rPr>
          <w:noProof/>
        </w:rPr>
        <w:fldChar w:fldCharType="end"/>
      </w:r>
    </w:p>
    <w:p w14:paraId="3371BEBD" w14:textId="77777777" w:rsidR="007D76DB" w:rsidRDefault="007D76DB">
      <w:pPr>
        <w:pStyle w:val="TOC1"/>
        <w:tabs>
          <w:tab w:val="right" w:leader="dot" w:pos="9175"/>
        </w:tabs>
        <w:rPr>
          <w:rFonts w:asciiTheme="minorHAnsi" w:eastAsiaTheme="minorEastAsia" w:hAnsiTheme="minorHAnsi" w:cstheme="minorBidi"/>
          <w:noProof/>
          <w:lang w:val="en-US" w:eastAsia="ja-JP"/>
        </w:rPr>
      </w:pPr>
      <w:r>
        <w:rPr>
          <w:noProof/>
        </w:rPr>
        <w:t>Resources</w:t>
      </w:r>
      <w:r>
        <w:rPr>
          <w:noProof/>
        </w:rPr>
        <w:tab/>
      </w:r>
      <w:r>
        <w:rPr>
          <w:noProof/>
        </w:rPr>
        <w:fldChar w:fldCharType="begin"/>
      </w:r>
      <w:r>
        <w:rPr>
          <w:noProof/>
        </w:rPr>
        <w:instrText xml:space="preserve"> PAGEREF _Toc304799234 \h </w:instrText>
      </w:r>
      <w:r>
        <w:rPr>
          <w:noProof/>
        </w:rPr>
      </w:r>
      <w:r>
        <w:rPr>
          <w:noProof/>
        </w:rPr>
        <w:fldChar w:fldCharType="separate"/>
      </w:r>
      <w:r w:rsidR="00E92D23">
        <w:rPr>
          <w:noProof/>
        </w:rPr>
        <w:t>19</w:t>
      </w:r>
      <w:r>
        <w:rPr>
          <w:noProof/>
        </w:rPr>
        <w:fldChar w:fldCharType="end"/>
      </w:r>
    </w:p>
    <w:p w14:paraId="2DAF1A86" w14:textId="77777777" w:rsidR="007D76DB" w:rsidRDefault="007D76DB">
      <w:pPr>
        <w:pStyle w:val="TOC1"/>
        <w:tabs>
          <w:tab w:val="right" w:leader="dot" w:pos="9175"/>
        </w:tabs>
        <w:rPr>
          <w:rFonts w:asciiTheme="minorHAnsi" w:eastAsiaTheme="minorEastAsia" w:hAnsiTheme="minorHAnsi" w:cstheme="minorBidi"/>
          <w:noProof/>
          <w:lang w:val="en-US" w:eastAsia="ja-JP"/>
        </w:rPr>
      </w:pPr>
      <w:r>
        <w:rPr>
          <w:noProof/>
        </w:rPr>
        <w:t>References</w:t>
      </w:r>
      <w:r>
        <w:rPr>
          <w:noProof/>
        </w:rPr>
        <w:tab/>
      </w:r>
      <w:r>
        <w:rPr>
          <w:noProof/>
        </w:rPr>
        <w:fldChar w:fldCharType="begin"/>
      </w:r>
      <w:r>
        <w:rPr>
          <w:noProof/>
        </w:rPr>
        <w:instrText xml:space="preserve"> PAGEREF _Toc304799235 \h </w:instrText>
      </w:r>
      <w:r>
        <w:rPr>
          <w:noProof/>
        </w:rPr>
      </w:r>
      <w:r>
        <w:rPr>
          <w:noProof/>
        </w:rPr>
        <w:fldChar w:fldCharType="separate"/>
      </w:r>
      <w:r w:rsidR="00E92D23">
        <w:rPr>
          <w:noProof/>
        </w:rPr>
        <w:t>20</w:t>
      </w:r>
      <w:r>
        <w:rPr>
          <w:noProof/>
        </w:rPr>
        <w:fldChar w:fldCharType="end"/>
      </w:r>
    </w:p>
    <w:p w14:paraId="3199538F" w14:textId="77777777" w:rsidR="007D76DB" w:rsidRDefault="007D76DB">
      <w:pPr>
        <w:pStyle w:val="TOC1"/>
        <w:tabs>
          <w:tab w:val="right" w:leader="dot" w:pos="9175"/>
        </w:tabs>
        <w:rPr>
          <w:rFonts w:asciiTheme="minorHAnsi" w:eastAsiaTheme="minorEastAsia" w:hAnsiTheme="minorHAnsi" w:cstheme="minorBidi"/>
          <w:noProof/>
          <w:lang w:val="en-US" w:eastAsia="ja-JP"/>
        </w:rPr>
      </w:pPr>
      <w:r>
        <w:rPr>
          <w:noProof/>
        </w:rPr>
        <w:t>Annex 1</w:t>
      </w:r>
      <w:r>
        <w:rPr>
          <w:noProof/>
        </w:rPr>
        <w:tab/>
      </w:r>
      <w:r>
        <w:rPr>
          <w:noProof/>
        </w:rPr>
        <w:fldChar w:fldCharType="begin"/>
      </w:r>
      <w:r>
        <w:rPr>
          <w:noProof/>
        </w:rPr>
        <w:instrText xml:space="preserve"> PAGEREF _Toc304799236 \h </w:instrText>
      </w:r>
      <w:r>
        <w:rPr>
          <w:noProof/>
        </w:rPr>
      </w:r>
      <w:r>
        <w:rPr>
          <w:noProof/>
        </w:rPr>
        <w:fldChar w:fldCharType="separate"/>
      </w:r>
      <w:r w:rsidR="00E92D23">
        <w:rPr>
          <w:noProof/>
        </w:rPr>
        <w:t>22</w:t>
      </w:r>
      <w:r>
        <w:rPr>
          <w:noProof/>
        </w:rPr>
        <w:fldChar w:fldCharType="end"/>
      </w:r>
    </w:p>
    <w:p w14:paraId="2129601A" w14:textId="20037E57" w:rsidR="006D1D7F" w:rsidRDefault="007D76DB">
      <w:pPr>
        <w:rPr>
          <w:rStyle w:val="Emphasis"/>
        </w:rPr>
      </w:pPr>
      <w:r>
        <w:rPr>
          <w:rFonts w:asciiTheme="majorHAnsi" w:hAnsiTheme="majorHAnsi" w:cstheme="minorHAnsi"/>
          <w:b/>
          <w:color w:val="4F81BD" w:themeColor="accent1"/>
          <w:sz w:val="36"/>
          <w:szCs w:val="36"/>
        </w:rPr>
        <w:fldChar w:fldCharType="end"/>
      </w:r>
      <w:r w:rsidR="006D1D7F">
        <w:rPr>
          <w:rStyle w:val="Emphasis"/>
        </w:rPr>
        <w:br w:type="page"/>
      </w:r>
    </w:p>
    <w:p w14:paraId="4B5889B4" w14:textId="7682CD4C" w:rsidR="00122D82" w:rsidRPr="00FB6763" w:rsidRDefault="00E6577D" w:rsidP="00FB6763">
      <w:pPr>
        <w:pStyle w:val="Heading1"/>
      </w:pPr>
      <w:bookmarkStart w:id="4" w:name="_Toc304799225"/>
      <w:r w:rsidRPr="00F92C3B">
        <w:lastRenderedPageBreak/>
        <w:t xml:space="preserve">Executive </w:t>
      </w:r>
      <w:r w:rsidR="00F92C3B">
        <w:t>s</w:t>
      </w:r>
      <w:r w:rsidR="00BF6BD7" w:rsidRPr="00F92C3B">
        <w:t>ummary</w:t>
      </w:r>
      <w:bookmarkEnd w:id="4"/>
    </w:p>
    <w:p w14:paraId="1EA7AA71" w14:textId="77777777" w:rsidR="00172FE0" w:rsidRDefault="00172FE0" w:rsidP="00FB6763">
      <w:pPr>
        <w:pStyle w:val="04BODYTEXT"/>
        <w:ind w:right="-483"/>
      </w:pPr>
      <w:r w:rsidRPr="00122D82">
        <w:t xml:space="preserve">Social protection is identified as one of the six priorities for the Australian </w:t>
      </w:r>
      <w:r>
        <w:t xml:space="preserve">aid program, </w:t>
      </w:r>
      <w:r w:rsidRPr="00122D82">
        <w:t>as part of its focus on building resilience</w:t>
      </w:r>
      <w:r w:rsidRPr="00122D82">
        <w:rPr>
          <w:i/>
        </w:rPr>
        <w:t>.</w:t>
      </w:r>
      <w:r w:rsidRPr="00122D82">
        <w:t xml:space="preserve"> This strategy </w:t>
      </w:r>
      <w:r>
        <w:t>describes</w:t>
      </w:r>
      <w:r w:rsidRPr="00122D82">
        <w:t xml:space="preserve"> how and why Australia will invest in social protection and provides the analytical framework to guide </w:t>
      </w:r>
      <w:r>
        <w:t xml:space="preserve">our </w:t>
      </w:r>
      <w:r w:rsidR="00F111C5">
        <w:t>decision-</w:t>
      </w:r>
      <w:r w:rsidRPr="00122D82">
        <w:t xml:space="preserve">making. </w:t>
      </w:r>
    </w:p>
    <w:p w14:paraId="214261AE" w14:textId="77777777" w:rsidR="008C6C80" w:rsidRDefault="00122D82" w:rsidP="006D1D7F">
      <w:pPr>
        <w:pStyle w:val="04BODYTEXT"/>
      </w:pPr>
      <w:r w:rsidRPr="00122D82">
        <w:t xml:space="preserve">Social protection refers to programs that address risk, vulnerability, inequality, and poverty through a system of transfers to people in cash or in kind.  </w:t>
      </w:r>
      <w:r w:rsidR="008C6C80">
        <w:t xml:space="preserve">It has three core functions: 1) </w:t>
      </w:r>
      <w:r w:rsidR="008C6C80" w:rsidRPr="008C6C80">
        <w:t>protection of the poor from the worst impacts of poverty, 2) prevention against income shocks and drops in well-being, 3) promotion of opportunities and livelihoods</w:t>
      </w:r>
      <w:r w:rsidR="008C6C80">
        <w:t>.</w:t>
      </w:r>
    </w:p>
    <w:p w14:paraId="0AAA25A2" w14:textId="77777777" w:rsidR="00172FE0" w:rsidRDefault="00172FE0" w:rsidP="006D1D7F">
      <w:pPr>
        <w:pStyle w:val="04BODYTEXT"/>
      </w:pPr>
      <w:r>
        <w:t xml:space="preserve">There is substantial evidence </w:t>
      </w:r>
      <w:r w:rsidR="00F111C5">
        <w:t>of</w:t>
      </w:r>
      <w:r>
        <w:t xml:space="preserve"> the positive impacts of social protection on food security, health, </w:t>
      </w:r>
      <w:r w:rsidRPr="008C6C80">
        <w:t xml:space="preserve">education, access to work, market stimulation and facilitating macroeconomic reforms.   The combination of social protection’s impacts make for a compelling story of how it underpins a country’s economic development.  </w:t>
      </w:r>
    </w:p>
    <w:p w14:paraId="3C726E06" w14:textId="77777777" w:rsidR="00172FE0" w:rsidRDefault="00172FE0" w:rsidP="006D1D7F">
      <w:pPr>
        <w:pStyle w:val="04BODYTEXT"/>
      </w:pPr>
      <w:r>
        <w:t xml:space="preserve">Fundamentally, Australia’s investment in social protection is about leverage. We rarely fund the actual transfers. Instead, we help improve partner government systems to more effectively distribute their own funds. </w:t>
      </w:r>
    </w:p>
    <w:p w14:paraId="0CF3C289" w14:textId="77777777" w:rsidR="003D6C9E" w:rsidRDefault="00056DCD" w:rsidP="006D1D7F">
      <w:pPr>
        <w:pStyle w:val="04BODYTEXT"/>
      </w:pPr>
      <w:r>
        <w:t>Investing in social protection</w:t>
      </w:r>
      <w:r w:rsidR="003D6C9E">
        <w:t xml:space="preserve"> is important for low income countries but </w:t>
      </w:r>
      <w:r w:rsidR="00F92C3B">
        <w:t xml:space="preserve">it </w:t>
      </w:r>
      <w:r w:rsidR="003D6C9E">
        <w:t xml:space="preserve">is particularly relevant in middle income countries, where social protection systems are </w:t>
      </w:r>
      <w:r w:rsidR="005163B9">
        <w:t xml:space="preserve">a </w:t>
      </w:r>
      <w:r>
        <w:t xml:space="preserve">key </w:t>
      </w:r>
      <w:r w:rsidR="003D6C9E">
        <w:t>part of a country’s economic development</w:t>
      </w:r>
      <w:r w:rsidR="00F92C3B">
        <w:t>,</w:t>
      </w:r>
      <w:r w:rsidR="003D6C9E">
        <w:t xml:space="preserve"> and political interest in their effectiveness is high. The results Australian aid has already achieved in social protection, the respect we have gained through our commitment to south-south learning, our willingness to adapt our support as partner’s needs change, and the seat at the global policy table our involvement to date has earned, provide our comparative advantage in this area. </w:t>
      </w:r>
    </w:p>
    <w:p w14:paraId="453A3B8A" w14:textId="10962CEA" w:rsidR="000936C9" w:rsidRPr="00627B18" w:rsidRDefault="00706D07" w:rsidP="00627B18">
      <w:pPr>
        <w:pStyle w:val="04BODYTEXT"/>
      </w:pPr>
      <w:r>
        <w:t>Australia</w:t>
      </w:r>
      <w:r w:rsidR="00A02938">
        <w:t>’s investment in social protection</w:t>
      </w:r>
      <w:r>
        <w:t xml:space="preserve"> will contribute to the wider aid program’s focus on economic growth and poverty reduction.  </w:t>
      </w:r>
      <w:r w:rsidR="000936C9">
        <w:t xml:space="preserve">It will do this through the pursuit of three strategic </w:t>
      </w:r>
      <w:r w:rsidR="00F92C3B">
        <w:t>objectives: 1) i</w:t>
      </w:r>
      <w:r w:rsidR="000936C9" w:rsidRPr="00975B31">
        <w:t xml:space="preserve">mprove social protection coverage in the </w:t>
      </w:r>
      <w:r w:rsidR="00626C75" w:rsidRPr="00975B31">
        <w:t>Indo-</w:t>
      </w:r>
      <w:r w:rsidR="00F92C3B">
        <w:t>Pacific, 2) i</w:t>
      </w:r>
      <w:r w:rsidR="000936C9" w:rsidRPr="00975B31">
        <w:t>mprove the quality of social prote</w:t>
      </w:r>
      <w:r w:rsidR="00F92C3B">
        <w:t>ction systems, and 3) e</w:t>
      </w:r>
      <w:r w:rsidR="000936C9" w:rsidRPr="00975B31">
        <w:t>nhance partner governments’ ability to make their own informed choices about social protection options</w:t>
      </w:r>
      <w:r w:rsidR="003A1311" w:rsidRPr="00975B31">
        <w:t>. Priority areas of engagement will be in two broad areas</w:t>
      </w:r>
      <w:r w:rsidR="00F92C3B">
        <w:t>: 1) r</w:t>
      </w:r>
      <w:r w:rsidR="001F4CDE" w:rsidRPr="00975B31">
        <w:t>efining</w:t>
      </w:r>
      <w:r w:rsidR="003A1311" w:rsidRPr="00975B31">
        <w:t xml:space="preserve"> and developing </w:t>
      </w:r>
      <w:r w:rsidR="002A1294" w:rsidRPr="00975B31">
        <w:t>social protection</w:t>
      </w:r>
      <w:r w:rsidR="003A1311" w:rsidRPr="00975B31">
        <w:t xml:space="preserve"> systems, and 2) </w:t>
      </w:r>
      <w:r w:rsidR="00F92C3B">
        <w:t>s</w:t>
      </w:r>
      <w:r w:rsidR="00483AE6" w:rsidRPr="00975B31">
        <w:t>trengthening</w:t>
      </w:r>
      <w:r w:rsidR="003A1311" w:rsidRPr="00975B31">
        <w:t xml:space="preserve"> partner </w:t>
      </w:r>
      <w:r w:rsidR="00483AE6" w:rsidRPr="00975B31">
        <w:t>government and other stakeholders’ knowledge on social protection.</w:t>
      </w:r>
    </w:p>
    <w:p w14:paraId="4F946A67" w14:textId="6C45B95D" w:rsidR="004E6DB1" w:rsidRPr="003A51E5" w:rsidRDefault="00BF6BD7" w:rsidP="003A51E5">
      <w:pPr>
        <w:pStyle w:val="Heading1"/>
      </w:pPr>
      <w:r w:rsidRPr="008C6C80">
        <w:rPr>
          <w:rFonts w:cstheme="minorHAnsi"/>
          <w:color w:val="4F81BD" w:themeColor="accent1"/>
          <w:sz w:val="28"/>
          <w:szCs w:val="28"/>
        </w:rPr>
        <w:br w:type="page"/>
      </w:r>
      <w:bookmarkStart w:id="5" w:name="_Toc304799226"/>
      <w:r w:rsidR="00C47EE4">
        <w:lastRenderedPageBreak/>
        <w:t>Purpose and definitions</w:t>
      </w:r>
      <w:bookmarkEnd w:id="5"/>
    </w:p>
    <w:p w14:paraId="0BC2C903" w14:textId="77777777" w:rsidR="00A844B1" w:rsidRPr="00FB6763" w:rsidRDefault="004E6DB1" w:rsidP="00FB6763">
      <w:pPr>
        <w:pStyle w:val="04BODYTEXT"/>
      </w:pPr>
      <w:r w:rsidRPr="0023282E">
        <w:t xml:space="preserve">Social protection is identified as </w:t>
      </w:r>
      <w:r w:rsidR="00864ED9">
        <w:t>one of the six priorities</w:t>
      </w:r>
      <w:r w:rsidRPr="0023282E">
        <w:t xml:space="preserve"> for the Australian Government as part of its focus on building resilience outli</w:t>
      </w:r>
      <w:r w:rsidR="009F3D5F">
        <w:t xml:space="preserve">ned in the development policy – </w:t>
      </w:r>
      <w:r w:rsidRPr="0023282E">
        <w:rPr>
          <w:i/>
        </w:rPr>
        <w:t>Australian aid: promoting prosperity, reducing poverty, enhancing stability.</w:t>
      </w:r>
      <w:r w:rsidRPr="00032660">
        <w:t xml:space="preserve"> </w:t>
      </w:r>
      <w:r w:rsidR="00864ED9">
        <w:t>T</w:t>
      </w:r>
      <w:r w:rsidR="00387619">
        <w:t xml:space="preserve">he overarching </w:t>
      </w:r>
      <w:r w:rsidR="00864ED9">
        <w:t xml:space="preserve">purpose of our investment in social protection </w:t>
      </w:r>
      <w:r w:rsidR="0099595F">
        <w:t>is:</w:t>
      </w:r>
      <w:r w:rsidR="00387619">
        <w:t xml:space="preserve"> </w:t>
      </w:r>
    </w:p>
    <w:p w14:paraId="4AA63887" w14:textId="7BCED5EA" w:rsidR="00AA0F9C" w:rsidRPr="00FB6763" w:rsidRDefault="006D1D7F" w:rsidP="00FB6763">
      <w:pPr>
        <w:pStyle w:val="04BODYTEXT"/>
        <w:ind w:left="567"/>
        <w:rPr>
          <w:b/>
        </w:rPr>
      </w:pPr>
      <w:r w:rsidRPr="006D1D7F">
        <w:rPr>
          <w:b/>
        </w:rPr>
        <w:t xml:space="preserve">Australia will invest in improving social protection systems across the </w:t>
      </w:r>
      <w:r>
        <w:rPr>
          <w:b/>
        </w:rPr>
        <w:br/>
      </w:r>
      <w:r w:rsidRPr="006D1D7F">
        <w:rPr>
          <w:b/>
        </w:rPr>
        <w:t>Indo-Pacific to reduce pover</w:t>
      </w:r>
      <w:r w:rsidR="00627B18">
        <w:rPr>
          <w:b/>
        </w:rPr>
        <w:t>ty and support economic growth.</w:t>
      </w:r>
    </w:p>
    <w:p w14:paraId="65D374F9" w14:textId="7416EEB1" w:rsidR="009F13A5" w:rsidRPr="00FB6763" w:rsidRDefault="00AA0F9C" w:rsidP="00FB6763">
      <w:pPr>
        <w:pStyle w:val="04BODYTEXT"/>
      </w:pPr>
      <w:r w:rsidRPr="0023282E">
        <w:t xml:space="preserve">This strategy </w:t>
      </w:r>
      <w:r w:rsidR="001A3266">
        <w:t>describes</w:t>
      </w:r>
      <w:r w:rsidRPr="0023282E">
        <w:t xml:space="preserve"> </w:t>
      </w:r>
      <w:r w:rsidR="00386870" w:rsidRPr="0023282E">
        <w:t>how and why Australia will invest in social protection and provides the analyti</w:t>
      </w:r>
      <w:r w:rsidR="00F111C5">
        <w:t>cal framework to guide decision-</w:t>
      </w:r>
      <w:r w:rsidR="00386870" w:rsidRPr="0023282E">
        <w:t>making in social protection</w:t>
      </w:r>
      <w:r w:rsidR="00386870">
        <w:t xml:space="preserve">. It details: 1) </w:t>
      </w:r>
      <w:r>
        <w:t>w</w:t>
      </w:r>
      <w:r w:rsidR="00C47EE4">
        <w:t>hat social protection is,</w:t>
      </w:r>
      <w:r w:rsidR="00F111C5">
        <w:t xml:space="preserve"> 2</w:t>
      </w:r>
      <w:r w:rsidR="00386870">
        <w:t>) the evidence</w:t>
      </w:r>
      <w:r w:rsidR="00C47EE4">
        <w:t xml:space="preserve"> of social protection’s impacts,</w:t>
      </w:r>
      <w:r w:rsidR="00386870">
        <w:t xml:space="preserve"> 3) its relatively recent rapid expansi</w:t>
      </w:r>
      <w:r w:rsidR="00C47EE4">
        <w:t>on across the developing world,</w:t>
      </w:r>
      <w:r w:rsidR="00386870">
        <w:t xml:space="preserve"> 4)</w:t>
      </w:r>
      <w:r>
        <w:t xml:space="preserve"> </w:t>
      </w:r>
      <w:r w:rsidR="00DE08D0">
        <w:t>objectives and</w:t>
      </w:r>
      <w:r w:rsidR="00C47EE4">
        <w:t xml:space="preserve"> priority areas of engagement, 5) the approach to investment,</w:t>
      </w:r>
      <w:r w:rsidR="00F43D4C">
        <w:t xml:space="preserve"> 6) performance management</w:t>
      </w:r>
      <w:r w:rsidR="00C47EE4">
        <w:t>,</w:t>
      </w:r>
      <w:r w:rsidR="00627B18">
        <w:t xml:space="preserve"> and 7) resources.</w:t>
      </w:r>
    </w:p>
    <w:p w14:paraId="7C3B5DCE" w14:textId="77777777" w:rsidR="004E6DB1" w:rsidRPr="006D1D7F" w:rsidRDefault="004E6DB1" w:rsidP="006D1D7F">
      <w:pPr>
        <w:pStyle w:val="Heading2"/>
        <w:rPr>
          <w:rFonts w:asciiTheme="minorHAnsi" w:hAnsiTheme="minorHAnsi" w:cs="HelveticaNeue-BoldCondObl"/>
        </w:rPr>
      </w:pPr>
      <w:bookmarkStart w:id="6" w:name="_Toc304799227"/>
      <w:r w:rsidRPr="0099595F">
        <w:t>What is social protection?</w:t>
      </w:r>
      <w:bookmarkEnd w:id="6"/>
    </w:p>
    <w:p w14:paraId="0C8A9084" w14:textId="77777777" w:rsidR="00CF0CE7" w:rsidRPr="00FB6763" w:rsidRDefault="00CF0CE7" w:rsidP="00FB6763">
      <w:pPr>
        <w:pStyle w:val="04BODYTEXT"/>
      </w:pPr>
      <w:r w:rsidRPr="005E17B6">
        <w:t xml:space="preserve">Social protection </w:t>
      </w:r>
      <w:r w:rsidRPr="00ED5C08">
        <w:t>refers to programs that address</w:t>
      </w:r>
      <w:r w:rsidR="00F111C5">
        <w:t xml:space="preserve"> risk, vulnerability, inequality</w:t>
      </w:r>
      <w:r w:rsidRPr="00ED5C08">
        <w:t xml:space="preserve"> and poverty </w:t>
      </w:r>
      <w:r w:rsidRPr="00C47EE4">
        <w:t xml:space="preserve">through a system of transfers to people in cash or in kind.  The transfers can be funded by contributions from recipients (social insurance) or by government (social assistance).  </w:t>
      </w:r>
      <w:r w:rsidR="001B6396" w:rsidRPr="00C47EE4">
        <w:t xml:space="preserve">The </w:t>
      </w:r>
      <w:r w:rsidR="00975B31" w:rsidRPr="00C47EE4">
        <w:t xml:space="preserve">Australian Government primarily </w:t>
      </w:r>
      <w:r w:rsidRPr="00C47EE4">
        <w:t xml:space="preserve">supports work on social assistance, also </w:t>
      </w:r>
      <w:r w:rsidR="00303133" w:rsidRPr="00C47EE4">
        <w:t>known</w:t>
      </w:r>
      <w:r w:rsidRPr="00C47EE4">
        <w:t xml:space="preserve"> as social safety nets, as the focus of these programs is normally on the poor and vulnerable (as opposed to social insurance which is mainly for the non-poor). The transfers can take</w:t>
      </w:r>
      <w:r w:rsidRPr="00046A2B">
        <w:t xml:space="preserve"> a variety of forms </w:t>
      </w:r>
      <w:r>
        <w:t>such</w:t>
      </w:r>
      <w:r w:rsidRPr="00046A2B">
        <w:t xml:space="preserve"> as </w:t>
      </w:r>
      <w:r w:rsidR="00303133">
        <w:t xml:space="preserve">financial grants, </w:t>
      </w:r>
      <w:r w:rsidRPr="00046A2B">
        <w:t>food transfers,</w:t>
      </w:r>
      <w:r>
        <w:t xml:space="preserve"> </w:t>
      </w:r>
      <w:r w:rsidRPr="00046A2B">
        <w:t>cash-for-work</w:t>
      </w:r>
      <w:r>
        <w:t>, and</w:t>
      </w:r>
      <w:r w:rsidRPr="00046A2B">
        <w:t xml:space="preserve"> </w:t>
      </w:r>
      <w:r w:rsidR="00F111C5">
        <w:t>school-</w:t>
      </w:r>
      <w:r>
        <w:t>feeding</w:t>
      </w:r>
      <w:r w:rsidRPr="00046A2B">
        <w:t xml:space="preserve">. </w:t>
      </w:r>
    </w:p>
    <w:p w14:paraId="3AD6C1FD" w14:textId="2BFF7E57" w:rsidR="00CF0CE7" w:rsidRPr="00FB6763" w:rsidRDefault="00CF0CE7" w:rsidP="00FB6763">
      <w:pPr>
        <w:pStyle w:val="04BODYTEXT"/>
      </w:pPr>
      <w:r w:rsidRPr="005E17B6">
        <w:rPr>
          <w:b/>
        </w:rPr>
        <w:t xml:space="preserve">Transfer programs </w:t>
      </w:r>
      <w:r>
        <w:rPr>
          <w:b/>
        </w:rPr>
        <w:t xml:space="preserve">generally aim to reach the poor and vulnerable but </w:t>
      </w:r>
      <w:r w:rsidRPr="005E17B6">
        <w:rPr>
          <w:b/>
        </w:rPr>
        <w:t>can be designed in many ways</w:t>
      </w:r>
      <w:r>
        <w:rPr>
          <w:b/>
        </w:rPr>
        <w:t>, depending on the objectives</w:t>
      </w:r>
      <w:r w:rsidRPr="005E17B6">
        <w:rPr>
          <w:b/>
        </w:rPr>
        <w:t>.</w:t>
      </w:r>
      <w:r>
        <w:t xml:space="preserve"> </w:t>
      </w:r>
      <w:r w:rsidRPr="00046A2B">
        <w:t xml:space="preserve">The transfers can be conditional or </w:t>
      </w:r>
      <w:r w:rsidRPr="00C47EE4">
        <w:t xml:space="preserve">unconditional. Conditions </w:t>
      </w:r>
      <w:r w:rsidR="00303133" w:rsidRPr="00C47EE4">
        <w:t>can</w:t>
      </w:r>
      <w:r w:rsidRPr="00C47EE4">
        <w:t xml:space="preserve"> include </w:t>
      </w:r>
      <w:r w:rsidR="00A40D49" w:rsidRPr="00C47EE4">
        <w:t>commitments to</w:t>
      </w:r>
      <w:r w:rsidRPr="00C47EE4">
        <w:t xml:space="preserve"> send children to school, hav</w:t>
      </w:r>
      <w:r w:rsidR="00303133" w:rsidRPr="00C47EE4">
        <w:t>ing</w:t>
      </w:r>
      <w:r w:rsidRPr="00C47EE4">
        <w:t xml:space="preserve"> pre- and post-natal care</w:t>
      </w:r>
      <w:r w:rsidR="00975B31" w:rsidRPr="00C47EE4">
        <w:t>,</w:t>
      </w:r>
      <w:r w:rsidRPr="00C47EE4">
        <w:t xml:space="preserve"> or </w:t>
      </w:r>
      <w:r w:rsidR="00975B31" w:rsidRPr="00C47EE4">
        <w:t xml:space="preserve">taking part in </w:t>
      </w:r>
      <w:r w:rsidR="00C47EE4">
        <w:t xml:space="preserve">cash-for-work </w:t>
      </w:r>
      <w:r w:rsidR="00975B31" w:rsidRPr="00C47EE4">
        <w:t xml:space="preserve">programs. </w:t>
      </w:r>
      <w:r w:rsidRPr="00C47EE4">
        <w:t xml:space="preserve">Conditional programs dominate in Latin America but are becoming more popular in Asia. They are used </w:t>
      </w:r>
      <w:r w:rsidR="00A40D49" w:rsidRPr="00C47EE4">
        <w:t>to promote</w:t>
      </w:r>
      <w:r w:rsidRPr="00C47EE4">
        <w:t xml:space="preserve"> behaviour</w:t>
      </w:r>
      <w:r w:rsidR="00A40D49" w:rsidRPr="00C47EE4">
        <w:t>al</w:t>
      </w:r>
      <w:r w:rsidRPr="00C47EE4">
        <w:t xml:space="preserve"> change, or for political reasons when only a conditional program is considered acceptable</w:t>
      </w:r>
      <w:r>
        <w:t>. The transfers can be targeted to the poor or to categories of the population (for example the elderly, families with children, people with disabilities) to ensure that resources reach the intended populat</w:t>
      </w:r>
      <w:r w:rsidR="00917BFB">
        <w:t>ion.</w:t>
      </w:r>
    </w:p>
    <w:p w14:paraId="5BDCDCED" w14:textId="130AC3DD" w:rsidR="00CF0CE7" w:rsidRPr="00FB6763" w:rsidRDefault="00CF0CE7" w:rsidP="00FB6763">
      <w:pPr>
        <w:pStyle w:val="04BODYTEXT"/>
      </w:pPr>
      <w:r w:rsidRPr="001B5DF0">
        <w:rPr>
          <w:b/>
        </w:rPr>
        <w:t>Social protection contributes to growth and poverty reduction.</w:t>
      </w:r>
      <w:r>
        <w:rPr>
          <w:b/>
        </w:rPr>
        <w:t xml:space="preserve"> </w:t>
      </w:r>
      <w:r w:rsidRPr="001B5DF0">
        <w:t xml:space="preserve">Social protection goes beyond the provision of basic needs and </w:t>
      </w:r>
      <w:r w:rsidR="00E10E0B">
        <w:t xml:space="preserve">is </w:t>
      </w:r>
      <w:r w:rsidRPr="001B5DF0">
        <w:t xml:space="preserve">a core </w:t>
      </w:r>
      <w:r>
        <w:t xml:space="preserve">contributor to </w:t>
      </w:r>
      <w:r w:rsidR="00E10E0B">
        <w:t>economic development</w:t>
      </w:r>
      <w:r w:rsidRPr="001B5DF0">
        <w:t xml:space="preserve"> by helping to</w:t>
      </w:r>
      <w:r>
        <w:t xml:space="preserve"> </w:t>
      </w:r>
      <w:r w:rsidRPr="001B5DF0">
        <w:t xml:space="preserve">mitigate risk, stimulate the economy, </w:t>
      </w:r>
      <w:r>
        <w:t>link people to the labour market</w:t>
      </w:r>
      <w:r w:rsidR="00BD5B9C">
        <w:t>,</w:t>
      </w:r>
      <w:r w:rsidRPr="001B5DF0">
        <w:t xml:space="preserve"> strengthen stability and build human capital.</w:t>
      </w:r>
      <w:r w:rsidR="00A40D49">
        <w:t xml:space="preserve"> It is also a key component of building resilience so people can better withstand and bounce back from shock</w:t>
      </w:r>
      <w:r w:rsidR="005163B9">
        <w:t>s</w:t>
      </w:r>
      <w:r w:rsidR="00A40D49">
        <w:t>.</w:t>
      </w:r>
    </w:p>
    <w:p w14:paraId="7F67AB32" w14:textId="039E8BED" w:rsidR="00FB6763" w:rsidRPr="00917BFB" w:rsidRDefault="00CF0CE7" w:rsidP="00917BFB">
      <w:pPr>
        <w:pStyle w:val="04BODYTEXT"/>
      </w:pPr>
      <w:r>
        <w:t>Social protection</w:t>
      </w:r>
      <w:r w:rsidRPr="00376958">
        <w:t xml:space="preserve"> </w:t>
      </w:r>
      <w:r>
        <w:t>is widely accepted as having three core functions:</w:t>
      </w:r>
      <w:r w:rsidRPr="00376958">
        <w:t xml:space="preserve"> </w:t>
      </w:r>
      <w:r>
        <w:t xml:space="preserve">1) </w:t>
      </w:r>
      <w:r w:rsidRPr="00376958">
        <w:t>protect</w:t>
      </w:r>
      <w:r w:rsidR="008C6C80">
        <w:t>ion of</w:t>
      </w:r>
      <w:r w:rsidRPr="00376958">
        <w:t xml:space="preserve"> the poor</w:t>
      </w:r>
      <w:r>
        <w:t xml:space="preserve"> fr</w:t>
      </w:r>
      <w:r w:rsidR="00C47EE4">
        <w:t>om the worst impacts of poverty,</w:t>
      </w:r>
      <w:r>
        <w:t xml:space="preserve"> 2)</w:t>
      </w:r>
      <w:r w:rsidRPr="00376958">
        <w:t xml:space="preserve"> prevent</w:t>
      </w:r>
      <w:r>
        <w:t>ion against income</w:t>
      </w:r>
      <w:r w:rsidR="00C47EE4">
        <w:t xml:space="preserve"> shocks and drops in well-being,</w:t>
      </w:r>
      <w:r>
        <w:t xml:space="preserve"> 3)</w:t>
      </w:r>
      <w:r w:rsidRPr="00376958">
        <w:t xml:space="preserve"> </w:t>
      </w:r>
      <w:r>
        <w:t>promotion of opportunities and livelihoods</w:t>
      </w:r>
      <w:r w:rsidR="000E7E99" w:rsidRPr="00F111C5">
        <w:rPr>
          <w:rStyle w:val="FootnoteReference"/>
          <w:rFonts w:asciiTheme="minorHAnsi" w:hAnsiTheme="minorHAnsi" w:cstheme="minorHAnsi"/>
          <w:b/>
        </w:rPr>
        <w:footnoteReference w:id="1"/>
      </w:r>
      <w:r w:rsidR="000E7E99">
        <w:t xml:space="preserve"> </w:t>
      </w:r>
      <w:r w:rsidRPr="001A3FAD">
        <w:rPr>
          <w:rStyle w:val="FootnoteReference"/>
          <w:rFonts w:asciiTheme="minorHAnsi" w:hAnsiTheme="minorHAnsi" w:cstheme="minorHAnsi"/>
          <w:b/>
          <w:i/>
        </w:rPr>
        <w:t xml:space="preserve"> </w:t>
      </w:r>
      <w:r w:rsidR="00083510">
        <w:t>(see Figure 1</w:t>
      </w:r>
      <w:r w:rsidR="00027BE5">
        <w:t>).</w:t>
      </w:r>
      <w:r w:rsidRPr="00376958">
        <w:t xml:space="preserve"> </w:t>
      </w:r>
      <w:r w:rsidR="00083510" w:rsidRPr="00083510">
        <w:t>Th</w:t>
      </w:r>
      <w:r w:rsidR="00083510">
        <w:t xml:space="preserve">ese functions work together to make people more resilient to stresses and shocks. </w:t>
      </w:r>
      <w:r w:rsidR="00FB6763">
        <w:br w:type="page"/>
      </w:r>
    </w:p>
    <w:p w14:paraId="471FA502" w14:textId="77777777" w:rsidR="00EF4D7C" w:rsidRDefault="006D1D7F" w:rsidP="006D1D7F">
      <w:pPr>
        <w:pStyle w:val="Figurehead"/>
      </w:pPr>
      <w:r>
        <w:lastRenderedPageBreak/>
        <w:t xml:space="preserve">Figure 1 — Core </w:t>
      </w:r>
      <w:r w:rsidR="0048337F">
        <w:t>functions of social p</w:t>
      </w:r>
      <w:r w:rsidR="00EF4D7C" w:rsidRPr="0048337F">
        <w:t>rotection</w:t>
      </w:r>
    </w:p>
    <w:p w14:paraId="34089266" w14:textId="3E2FC876" w:rsidR="00E12065" w:rsidRPr="00FB6763" w:rsidRDefault="00157835" w:rsidP="0020084A">
      <w:pPr>
        <w:pStyle w:val="Heading1"/>
      </w:pPr>
      <w:r>
        <w:rPr>
          <w:noProof/>
          <w:lang w:eastAsia="en-AU"/>
        </w:rPr>
        <w:drawing>
          <wp:anchor distT="0" distB="0" distL="114300" distR="114300" simplePos="0" relativeHeight="251658240" behindDoc="0" locked="0" layoutInCell="1" allowOverlap="1" wp14:anchorId="7A04275F" wp14:editId="7F66BE9C">
            <wp:simplePos x="0" y="0"/>
            <wp:positionH relativeFrom="column">
              <wp:align>left</wp:align>
            </wp:positionH>
            <wp:positionV relativeFrom="paragraph">
              <wp:posOffset>180340</wp:posOffset>
            </wp:positionV>
            <wp:extent cx="3747135" cy="3131185"/>
            <wp:effectExtent l="0" t="0" r="0" b="0"/>
            <wp:wrapSquare wrapText="bothSides"/>
            <wp:docPr id="5" name="Picture 5" descr="The core functions of social protection: prevention, promotion and protection."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WMF"/>
                    <pic:cNvPicPr/>
                  </pic:nvPicPr>
                  <pic:blipFill>
                    <a:blip r:embed="rId17">
                      <a:extLst>
                        <a:ext uri="{28A0092B-C50C-407E-A947-70E740481C1C}">
                          <a14:useLocalDpi xmlns:a14="http://schemas.microsoft.com/office/drawing/2010/main" val="0"/>
                        </a:ext>
                      </a:extLst>
                    </a:blip>
                    <a:stretch>
                      <a:fillRect/>
                    </a:stretch>
                  </pic:blipFill>
                  <pic:spPr>
                    <a:xfrm>
                      <a:off x="0" y="0"/>
                      <a:ext cx="3747135" cy="31311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4A77E1">
        <w:rPr>
          <w:color w:val="4F81BD" w:themeColor="accent1"/>
          <w:sz w:val="28"/>
          <w:szCs w:val="28"/>
        </w:rPr>
        <w:br w:type="page"/>
      </w:r>
      <w:bookmarkStart w:id="7" w:name="_Toc304799228"/>
      <w:r w:rsidR="0099595F" w:rsidRPr="000502A4">
        <w:lastRenderedPageBreak/>
        <w:t xml:space="preserve">Evidence </w:t>
      </w:r>
      <w:r w:rsidR="00083510" w:rsidRPr="000502A4">
        <w:t>of</w:t>
      </w:r>
      <w:r w:rsidR="0099595F" w:rsidRPr="000502A4">
        <w:t xml:space="preserve"> the i</w:t>
      </w:r>
      <w:r w:rsidR="0092067B" w:rsidRPr="000502A4">
        <w:t>mpacts of social protection</w:t>
      </w:r>
      <w:bookmarkEnd w:id="7"/>
    </w:p>
    <w:p w14:paraId="47E51D02" w14:textId="77777777" w:rsidR="007F5399" w:rsidRPr="007F5399" w:rsidRDefault="00E12065" w:rsidP="00CD243C">
      <w:pPr>
        <w:pStyle w:val="04BODYTEXT"/>
      </w:pPr>
      <w:r w:rsidRPr="003C6C07">
        <w:rPr>
          <w:b/>
        </w:rPr>
        <w:t xml:space="preserve">Australia’s support for social protection </w:t>
      </w:r>
      <w:r w:rsidR="0023282E" w:rsidRPr="003C6C07">
        <w:rPr>
          <w:b/>
        </w:rPr>
        <w:t xml:space="preserve">in the </w:t>
      </w:r>
      <w:r w:rsidRPr="003C6C07">
        <w:rPr>
          <w:b/>
        </w:rPr>
        <w:t>region stems from the clear evidence of what it has been able to achieve</w:t>
      </w:r>
      <w:r w:rsidRPr="003C6C07">
        <w:t>.</w:t>
      </w:r>
      <w:r>
        <w:t xml:space="preserve"> It has </w:t>
      </w:r>
      <w:r w:rsidR="0023282E">
        <w:t>both</w:t>
      </w:r>
      <w:r w:rsidR="00B87D1F">
        <w:t xml:space="preserve"> </w:t>
      </w:r>
      <w:r w:rsidR="0023282E">
        <w:t>short and long</w:t>
      </w:r>
      <w:r>
        <w:t xml:space="preserve"> term impacts </w:t>
      </w:r>
      <w:r w:rsidRPr="00975B31">
        <w:t xml:space="preserve">which support </w:t>
      </w:r>
      <w:r w:rsidR="00C47EE4">
        <w:t>the purpose of Australia’s aid program:</w:t>
      </w:r>
      <w:r w:rsidRPr="00975B31">
        <w:t xml:space="preserve"> economic growth and poverty reduction. </w:t>
      </w:r>
      <w:r w:rsidR="00A31E58" w:rsidRPr="00975B31">
        <w:t xml:space="preserve">More evidence </w:t>
      </w:r>
      <w:r w:rsidR="00474821" w:rsidRPr="00975B31">
        <w:t>is available</w:t>
      </w:r>
      <w:r w:rsidR="00A31E58" w:rsidRPr="00975B31">
        <w:t xml:space="preserve"> from regions where social protection has had a relatively longer existence</w:t>
      </w:r>
      <w:r w:rsidR="00582614" w:rsidRPr="00975B31">
        <w:t>,</w:t>
      </w:r>
      <w:r w:rsidR="00A31E58" w:rsidRPr="00975B31">
        <w:t xml:space="preserve"> such as Latin America and Africa</w:t>
      </w:r>
      <w:r w:rsidR="00582614" w:rsidRPr="00975B31">
        <w:t>,</w:t>
      </w:r>
      <w:r w:rsidR="00A31E58" w:rsidRPr="00975B31">
        <w:t xml:space="preserve"> but there are some impressive results now coming from the Indo-Pacific.</w:t>
      </w:r>
    </w:p>
    <w:p w14:paraId="3B96BA48" w14:textId="77777777" w:rsidR="00B87D1F" w:rsidRDefault="00E12065" w:rsidP="00CD243C">
      <w:pPr>
        <w:pStyle w:val="04BODYTEXT"/>
      </w:pPr>
      <w:r w:rsidRPr="00E12065">
        <w:rPr>
          <w:b/>
        </w:rPr>
        <w:t>Transfers assist the poor to purchase basic goods and services.</w:t>
      </w:r>
      <w:r>
        <w:t xml:space="preserve"> </w:t>
      </w:r>
      <w:r w:rsidRPr="002E6FE5">
        <w:t xml:space="preserve"> </w:t>
      </w:r>
      <w:r>
        <w:t>Th</w:t>
      </w:r>
      <w:r w:rsidR="00F111C5">
        <w:t>e</w:t>
      </w:r>
      <w:r>
        <w:t xml:space="preserve"> immediate benefit of </w:t>
      </w:r>
      <w:r w:rsidR="00F111C5">
        <w:t>enabling</w:t>
      </w:r>
      <w:r>
        <w:t xml:space="preserve"> households to have </w:t>
      </w:r>
      <w:r w:rsidR="00083510">
        <w:t>adequate food, clothing and shelter</w:t>
      </w:r>
      <w:r>
        <w:t xml:space="preserve"> has flow on benefits for schooling and </w:t>
      </w:r>
      <w:r w:rsidR="00F111C5">
        <w:t>workforce participation</w:t>
      </w:r>
      <w:r>
        <w:t xml:space="preserve">. </w:t>
      </w:r>
      <w:r w:rsidR="009F13A5">
        <w:t>By supporting these basic needs it is c</w:t>
      </w:r>
      <w:r w:rsidR="009F13A5" w:rsidRPr="00944117">
        <w:t>urrent</w:t>
      </w:r>
      <w:r w:rsidR="009F13A5">
        <w:t>ly</w:t>
      </w:r>
      <w:r w:rsidR="009F13A5" w:rsidRPr="00944117">
        <w:t xml:space="preserve"> estimate</w:t>
      </w:r>
      <w:r w:rsidR="009F13A5">
        <w:t>d</w:t>
      </w:r>
      <w:r w:rsidR="009F13A5" w:rsidRPr="00944117">
        <w:t xml:space="preserve"> that social protection prevents 150 million people from falling below the US$1.25 per day poverty line</w:t>
      </w:r>
      <w:r w:rsidR="000E7E99">
        <w:t>.</w:t>
      </w:r>
      <w:r w:rsidR="009F13A5" w:rsidRPr="00944117">
        <w:rPr>
          <w:rStyle w:val="FootnoteReference"/>
          <w:rFonts w:asciiTheme="minorHAnsi" w:hAnsiTheme="minorHAnsi" w:cstheme="minorHAnsi"/>
        </w:rPr>
        <w:footnoteReference w:id="2"/>
      </w:r>
      <w:r w:rsidR="00F84605">
        <w:t xml:space="preserve"> </w:t>
      </w:r>
      <w:r w:rsidR="00056DCD">
        <w:t>Nearly all mainstream discussions of the policies needed to combat poverty now refer to social protection as part of the solution. It is</w:t>
      </w:r>
      <w:r w:rsidR="00F84605">
        <w:t xml:space="preserve"> one of the five targets under the UN’s Sustainable Development Goal of ending poverty in all its forms. </w:t>
      </w:r>
      <w:r w:rsidR="00F74845">
        <w:t xml:space="preserve"> It is also part of the new Sendai Framework for Disaster Risk Reduction which calls for a strengthening of social safety net mechanisms. </w:t>
      </w:r>
    </w:p>
    <w:p w14:paraId="20752CDB" w14:textId="77777777" w:rsidR="005163B9" w:rsidRDefault="009C1DFE" w:rsidP="00CD243C">
      <w:pPr>
        <w:pStyle w:val="04BODYTEXT"/>
      </w:pPr>
      <w:r w:rsidRPr="003C6C07">
        <w:rPr>
          <w:b/>
        </w:rPr>
        <w:t>There is an immediate local economic impact.</w:t>
      </w:r>
      <w:r>
        <w:t xml:space="preserve"> </w:t>
      </w:r>
      <w:r w:rsidRPr="006424B9">
        <w:t xml:space="preserve"> </w:t>
      </w:r>
      <w:r>
        <w:t>C</w:t>
      </w:r>
      <w:r w:rsidRPr="006424B9">
        <w:t>ash injections lift aggregate demand and benefit local markets</w:t>
      </w:r>
      <w:r>
        <w:t xml:space="preserve"> as poor people spend</w:t>
      </w:r>
      <w:r w:rsidR="00474821">
        <w:t xml:space="preserve"> their transfers</w:t>
      </w:r>
      <w:r>
        <w:t>. N</w:t>
      </w:r>
      <w:r w:rsidRPr="006424B9">
        <w:t>on-</w:t>
      </w:r>
      <w:r>
        <w:t>recipients also benefit</w:t>
      </w:r>
      <w:r w:rsidRPr="006424B9">
        <w:t xml:space="preserve"> through the sale of goods and services.  Where this was studied in Malawi, Lesotho, Ghana and Ethiopia, every dollar spent on </w:t>
      </w:r>
      <w:r>
        <w:t>predictable payments to households</w:t>
      </w:r>
      <w:r w:rsidRPr="006424B9">
        <w:t xml:space="preserve"> generated approximately $2.50 in local communities</w:t>
      </w:r>
      <w:r>
        <w:t>.</w:t>
      </w:r>
      <w:r w:rsidRPr="006424B9">
        <w:rPr>
          <w:rStyle w:val="FootnoteReference"/>
          <w:rFonts w:asciiTheme="minorHAnsi" w:hAnsiTheme="minorHAnsi" w:cstheme="minorHAnsi"/>
        </w:rPr>
        <w:footnoteReference w:id="3"/>
      </w:r>
      <w:r w:rsidRPr="006424B9">
        <w:t xml:space="preserve"> </w:t>
      </w:r>
      <w:r w:rsidRPr="008E48DA">
        <w:t xml:space="preserve">In India, the national program which guarantees 100 days work per year to those </w:t>
      </w:r>
      <w:r w:rsidR="00D91CD8">
        <w:t>in need</w:t>
      </w:r>
      <w:r w:rsidRPr="008E48DA">
        <w:t xml:space="preserve"> has lifted the agricultural wage rate by 4.3 percent per year</w:t>
      </w:r>
      <w:r w:rsidR="008E48DA" w:rsidRPr="008E48DA">
        <w:t>. This</w:t>
      </w:r>
      <w:r w:rsidRPr="008E48DA">
        <w:t xml:space="preserve"> has had a significant impact on poor households</w:t>
      </w:r>
      <w:r w:rsidRPr="008E48DA">
        <w:rPr>
          <w:rStyle w:val="FootnoteReference"/>
          <w:rFonts w:asciiTheme="minorHAnsi" w:hAnsiTheme="minorHAnsi" w:cstheme="minorHAnsi"/>
        </w:rPr>
        <w:footnoteReference w:id="4"/>
      </w:r>
      <w:r w:rsidRPr="008E48DA">
        <w:t>.</w:t>
      </w:r>
      <w:r>
        <w:t xml:space="preserve"> Social protection can represent an important fiscal lever for our partner governments through the stimulation of the economy, influencing wage rates </w:t>
      </w:r>
      <w:r w:rsidRPr="00B43588">
        <w:t xml:space="preserve">and facilitating important macroeconomic reforms. </w:t>
      </w:r>
      <w:r>
        <w:t xml:space="preserve"> </w:t>
      </w:r>
    </w:p>
    <w:p w14:paraId="4A469916" w14:textId="77777777" w:rsidR="00B87D1F" w:rsidRPr="00FB6763" w:rsidRDefault="005163B9" w:rsidP="00FB6763">
      <w:pPr>
        <w:pStyle w:val="04BODYTEXT"/>
      </w:pPr>
      <w:r w:rsidRPr="003C6C07">
        <w:rPr>
          <w:b/>
        </w:rPr>
        <w:t>Social protection has clear positive impacts on people’s work lives</w:t>
      </w:r>
      <w:r w:rsidRPr="003C6C07">
        <w:t>.</w:t>
      </w:r>
      <w:r>
        <w:t xml:space="preserve"> It </w:t>
      </w:r>
      <w:r w:rsidRPr="006424B9">
        <w:t xml:space="preserve">helps people </w:t>
      </w:r>
      <w:r>
        <w:t xml:space="preserve">to </w:t>
      </w:r>
      <w:r w:rsidRPr="006424B9">
        <w:t xml:space="preserve">manage risk more effectively which can </w:t>
      </w:r>
      <w:r>
        <w:t>improve</w:t>
      </w:r>
      <w:r w:rsidRPr="006424B9">
        <w:t xml:space="preserve"> their livelihoods</w:t>
      </w:r>
      <w:r>
        <w:t>.</w:t>
      </w:r>
      <w:r w:rsidRPr="006424B9">
        <w:rPr>
          <w:rStyle w:val="FootnoteReference"/>
          <w:rFonts w:asciiTheme="minorHAnsi" w:hAnsiTheme="minorHAnsi" w:cstheme="minorHAnsi"/>
        </w:rPr>
        <w:footnoteReference w:id="5"/>
      </w:r>
      <w:r w:rsidRPr="006424B9">
        <w:t xml:space="preserve"> In Mexico, recipients had a 40 per cent higher rate of productive investment than non-recipients</w:t>
      </w:r>
      <w:r>
        <w:t>.</w:t>
      </w:r>
      <w:r w:rsidRPr="006424B9">
        <w:rPr>
          <w:rStyle w:val="FootnoteReference"/>
          <w:rFonts w:asciiTheme="minorHAnsi" w:hAnsiTheme="minorHAnsi" w:cstheme="minorHAnsi"/>
        </w:rPr>
        <w:footnoteReference w:id="6"/>
      </w:r>
      <w:r w:rsidRPr="006424B9">
        <w:t xml:space="preserve"> Social protection can also assist in linking poor people to the labour </w:t>
      </w:r>
      <w:r w:rsidRPr="00D91CD8">
        <w:t xml:space="preserve">market. </w:t>
      </w:r>
      <w:r w:rsidR="00120700" w:rsidRPr="00D91CD8">
        <w:t>In the Philippines, 92 percent of household</w:t>
      </w:r>
      <w:r w:rsidR="00BD5B9C" w:rsidRPr="00D91CD8">
        <w:t>s</w:t>
      </w:r>
      <w:r w:rsidR="00120700" w:rsidRPr="00D91CD8">
        <w:t xml:space="preserve"> participating in the 4Ps conditional cash transfer program were employed</w:t>
      </w:r>
      <w:r w:rsidR="008E48DA" w:rsidRPr="00D91CD8">
        <w:t xml:space="preserve">. This </w:t>
      </w:r>
      <w:r w:rsidR="00120700" w:rsidRPr="00D91CD8">
        <w:t xml:space="preserve">was higher than comparable groups not </w:t>
      </w:r>
      <w:r w:rsidR="007B40AA" w:rsidRPr="00D91CD8">
        <w:t>part of the program</w:t>
      </w:r>
      <w:r w:rsidR="000502A4">
        <w:t>.</w:t>
      </w:r>
      <w:r w:rsidR="00474821" w:rsidRPr="00D91CD8">
        <w:rPr>
          <w:rStyle w:val="FootnoteReference"/>
          <w:rFonts w:asciiTheme="minorHAnsi" w:hAnsiTheme="minorHAnsi" w:cstheme="minorHAnsi"/>
        </w:rPr>
        <w:footnoteReference w:id="7"/>
      </w:r>
      <w:r w:rsidR="00120700" w:rsidRPr="00D91CD8">
        <w:t xml:space="preserve"> </w:t>
      </w:r>
      <w:r w:rsidR="00582614" w:rsidRPr="00D91CD8">
        <w:t>Pakistan’s income support program contributed to improving employment by 10 percent among participating households</w:t>
      </w:r>
      <w:r w:rsidR="00582614" w:rsidRPr="00D91CD8">
        <w:rPr>
          <w:rStyle w:val="FootnoteReference"/>
          <w:rFonts w:asciiTheme="minorHAnsi" w:hAnsiTheme="minorHAnsi" w:cstheme="minorHAnsi"/>
        </w:rPr>
        <w:footnoteReference w:id="8"/>
      </w:r>
      <w:r w:rsidR="00BA49F2" w:rsidRPr="00D91CD8">
        <w:t xml:space="preserve"> and those in households</w:t>
      </w:r>
      <w:r w:rsidRPr="00D91CD8">
        <w:t xml:space="preserve"> receiving South Africa’s Child Support Grant were 18 per cent more likely to look for work than non-recipients.</w:t>
      </w:r>
      <w:r w:rsidRPr="00D91CD8">
        <w:rPr>
          <w:rStyle w:val="FootnoteReference"/>
          <w:rFonts w:asciiTheme="minorHAnsi" w:hAnsiTheme="minorHAnsi" w:cstheme="minorHAnsi"/>
        </w:rPr>
        <w:footnoteReference w:id="9"/>
      </w:r>
      <w:r w:rsidRPr="00D91CD8">
        <w:t xml:space="preserve"> </w:t>
      </w:r>
      <w:r w:rsidR="00BA49F2" w:rsidRPr="00D91CD8">
        <w:t>Research has</w:t>
      </w:r>
      <w:r w:rsidRPr="00D91CD8">
        <w:t xml:space="preserve"> found that the reason for </w:t>
      </w:r>
      <w:r w:rsidR="00BA49F2" w:rsidRPr="00D91CD8">
        <w:t>the</w:t>
      </w:r>
      <w:r w:rsidRPr="00D91CD8">
        <w:t xml:space="preserve"> increased propensity to look for work </w:t>
      </w:r>
      <w:r w:rsidR="00BA49F2" w:rsidRPr="00D91CD8">
        <w:t>is the ability to afford transport costs</w:t>
      </w:r>
      <w:r w:rsidRPr="00D91CD8">
        <w:t xml:space="preserve"> and appropriate clothes.</w:t>
      </w:r>
      <w:r w:rsidRPr="00D91CD8">
        <w:rPr>
          <w:rStyle w:val="FootnoteReference"/>
          <w:rFonts w:asciiTheme="minorHAnsi" w:hAnsiTheme="minorHAnsi" w:cstheme="minorHAnsi"/>
        </w:rPr>
        <w:footnoteReference w:id="10"/>
      </w:r>
      <w:r w:rsidRPr="00D91CD8">
        <w:t xml:space="preserve">  Social protection </w:t>
      </w:r>
      <w:r w:rsidR="00474821" w:rsidRPr="00D91CD8">
        <w:t xml:space="preserve">also </w:t>
      </w:r>
      <w:r w:rsidRPr="00D91CD8">
        <w:t>improve</w:t>
      </w:r>
      <w:r w:rsidR="00474821" w:rsidRPr="00D91CD8">
        <w:t>s</w:t>
      </w:r>
      <w:r w:rsidRPr="00D91CD8">
        <w:t xml:space="preserve"> women’s labour force participation</w:t>
      </w:r>
      <w:r w:rsidRPr="00D91CD8">
        <w:rPr>
          <w:rStyle w:val="FootnoteReference"/>
          <w:rFonts w:asciiTheme="minorHAnsi" w:hAnsiTheme="minorHAnsi" w:cstheme="minorHAnsi"/>
        </w:rPr>
        <w:footnoteReference w:id="11"/>
      </w:r>
      <w:r w:rsidR="00BA49F2" w:rsidRPr="00D91CD8">
        <w:t xml:space="preserve"> and </w:t>
      </w:r>
      <w:r w:rsidRPr="00D91CD8">
        <w:t>can impact positively</w:t>
      </w:r>
      <w:r w:rsidRPr="006424B9">
        <w:t xml:space="preserve"> on the employment of people with disabilities</w:t>
      </w:r>
      <w:r>
        <w:t>.</w:t>
      </w:r>
      <w:r w:rsidRPr="006424B9">
        <w:rPr>
          <w:rStyle w:val="FootnoteReference"/>
          <w:rFonts w:asciiTheme="minorHAnsi" w:hAnsiTheme="minorHAnsi" w:cstheme="minorHAnsi"/>
        </w:rPr>
        <w:footnoteReference w:id="12"/>
      </w:r>
      <w:r w:rsidRPr="006424B9">
        <w:t xml:space="preserve"> </w:t>
      </w:r>
    </w:p>
    <w:p w14:paraId="116BBE6E" w14:textId="77777777" w:rsidR="00B87D1F" w:rsidRPr="00FB6763" w:rsidRDefault="00B87D1F" w:rsidP="00FB6763">
      <w:pPr>
        <w:pStyle w:val="04BODYTEXT"/>
      </w:pPr>
      <w:r w:rsidRPr="003C6C07">
        <w:rPr>
          <w:b/>
        </w:rPr>
        <w:t>Mothers, babies and under-fives are often in better health.</w:t>
      </w:r>
      <w:r>
        <w:t xml:space="preserve"> Transfer programs often come </w:t>
      </w:r>
      <w:r w:rsidRPr="00D91CD8">
        <w:t>with an accompanying health focus, providing free access to clinics and pre</w:t>
      </w:r>
      <w:r w:rsidR="00B43588" w:rsidRPr="00D91CD8">
        <w:t>- and post-</w:t>
      </w:r>
      <w:r w:rsidRPr="00D91CD8">
        <w:t xml:space="preserve">natal support. </w:t>
      </w:r>
      <w:r w:rsidR="00A31E58" w:rsidRPr="00D91CD8">
        <w:t xml:space="preserve">The conditional cash transfer program in Indonesia is responsible for increasing births attended by certified </w:t>
      </w:r>
      <w:r w:rsidR="00A31E58" w:rsidRPr="00D91CD8">
        <w:lastRenderedPageBreak/>
        <w:t>mid-wives by 6.4 percent</w:t>
      </w:r>
      <w:r w:rsidR="00D91CD8" w:rsidRPr="00D91CD8">
        <w:t>.</w:t>
      </w:r>
      <w:r w:rsidR="00A31E58" w:rsidRPr="00D91CD8">
        <w:rPr>
          <w:rStyle w:val="FootnoteReference"/>
          <w:rFonts w:asciiTheme="minorHAnsi" w:hAnsiTheme="minorHAnsi" w:cstheme="minorHAnsi"/>
        </w:rPr>
        <w:footnoteReference w:id="13"/>
      </w:r>
      <w:r w:rsidR="00A31E58" w:rsidRPr="00D91CD8">
        <w:t xml:space="preserve"> </w:t>
      </w:r>
      <w:r w:rsidRPr="00D91CD8">
        <w:t>T</w:t>
      </w:r>
      <w:r w:rsidRPr="00D91CD8">
        <w:rPr>
          <w:rFonts w:ascii="Calibri" w:hAnsi="Calibri" w:cs="Calibri"/>
        </w:rPr>
        <w:t>here is ample evidence of social protection lowering stunting rates by focusing transfers to families with</w:t>
      </w:r>
      <w:r w:rsidRPr="006424B9">
        <w:rPr>
          <w:rFonts w:ascii="Calibri" w:hAnsi="Calibri" w:cs="Calibri"/>
        </w:rPr>
        <w:t xml:space="preserve"> children in the first 1,000 days of life</w:t>
      </w:r>
      <w:r w:rsidR="000E7E99">
        <w:rPr>
          <w:rFonts w:ascii="Calibri" w:hAnsi="Calibri" w:cs="Calibri"/>
        </w:rPr>
        <w:t>.</w:t>
      </w:r>
      <w:r w:rsidRPr="006424B9">
        <w:rPr>
          <w:rStyle w:val="FootnoteReference"/>
          <w:rFonts w:ascii="Calibri" w:hAnsi="Calibri" w:cs="Calibri"/>
        </w:rPr>
        <w:footnoteReference w:id="14"/>
      </w:r>
      <w:r w:rsidRPr="006424B9">
        <w:t xml:space="preserve"> </w:t>
      </w:r>
      <w:r>
        <w:t xml:space="preserve"> </w:t>
      </w:r>
    </w:p>
    <w:p w14:paraId="6D7548D7" w14:textId="77777777" w:rsidR="004A77E1" w:rsidRPr="00FB6763" w:rsidRDefault="003E419D" w:rsidP="00FB6763">
      <w:pPr>
        <w:pStyle w:val="04BODYTEXT"/>
      </w:pPr>
      <w:r w:rsidRPr="003C6C07">
        <w:rPr>
          <w:b/>
        </w:rPr>
        <w:t xml:space="preserve">It can also assist assists girls </w:t>
      </w:r>
      <w:r w:rsidRPr="00D91CD8">
        <w:rPr>
          <w:b/>
        </w:rPr>
        <w:t>as they get older.</w:t>
      </w:r>
      <w:r w:rsidR="00BA49F2" w:rsidRPr="00D91CD8">
        <w:t xml:space="preserve"> In a comprehensive study on social protection programs in Bangladesh, 76 percent of respondents reported a positive impact on women’s status</w:t>
      </w:r>
      <w:r w:rsidR="00D91CD8" w:rsidRPr="00D91CD8">
        <w:t>.</w:t>
      </w:r>
      <w:r w:rsidR="00BA49F2" w:rsidRPr="00D91CD8">
        <w:rPr>
          <w:rStyle w:val="FootnoteReference"/>
          <w:rFonts w:asciiTheme="minorHAnsi" w:hAnsiTheme="minorHAnsi" w:cstheme="minorHAnsi"/>
        </w:rPr>
        <w:footnoteReference w:id="15"/>
      </w:r>
      <w:r w:rsidR="00BA49F2">
        <w:t xml:space="preserve">  </w:t>
      </w:r>
      <w:r w:rsidR="0059396F">
        <w:t>In South Africa,</w:t>
      </w:r>
      <w:r>
        <w:t xml:space="preserve"> girls living in households with female recipients of the elderly pension </w:t>
      </w:r>
      <w:r w:rsidR="0059396F">
        <w:t>have</w:t>
      </w:r>
      <w:r>
        <w:t xml:space="preserve"> better nutrition leading to them being taller and weighing more than girls in other households</w:t>
      </w:r>
      <w:r w:rsidR="000E7E99">
        <w:t>.</w:t>
      </w:r>
      <w:r>
        <w:rPr>
          <w:rStyle w:val="FootnoteReference"/>
          <w:rFonts w:asciiTheme="minorHAnsi" w:hAnsiTheme="minorHAnsi" w:cstheme="minorHAnsi"/>
        </w:rPr>
        <w:footnoteReference w:id="16"/>
      </w:r>
      <w:r>
        <w:t xml:space="preserve"> There is </w:t>
      </w:r>
      <w:r w:rsidR="0059396F">
        <w:t xml:space="preserve">now </w:t>
      </w:r>
      <w:r>
        <w:t xml:space="preserve">clear evidence that social protection has a positive influence on </w:t>
      </w:r>
      <w:r w:rsidR="0059396F">
        <w:t xml:space="preserve">women’s </w:t>
      </w:r>
      <w:r>
        <w:t>employment</w:t>
      </w:r>
      <w:r w:rsidR="0059396F">
        <w:t>,</w:t>
      </w:r>
      <w:r>
        <w:t xml:space="preserve"> ac</w:t>
      </w:r>
      <w:r w:rsidR="0059396F">
        <w:t>cess to resources, and improvements in</w:t>
      </w:r>
      <w:r>
        <w:t xml:space="preserve"> bargaining power and decision making</w:t>
      </w:r>
      <w:r w:rsidR="000E7E99">
        <w:t>.</w:t>
      </w:r>
      <w:r>
        <w:rPr>
          <w:rStyle w:val="FootnoteReference"/>
          <w:rFonts w:asciiTheme="minorHAnsi" w:hAnsiTheme="minorHAnsi" w:cstheme="minorHAnsi"/>
        </w:rPr>
        <w:footnoteReference w:id="17"/>
      </w:r>
      <w:r w:rsidR="000B4B93">
        <w:t xml:space="preserve"> Women receiving transfers invest as much or more than men in productive assets</w:t>
      </w:r>
      <w:r w:rsidR="009F3D5F">
        <w:t>.</w:t>
      </w:r>
      <w:r w:rsidR="000B4B93">
        <w:rPr>
          <w:rStyle w:val="FootnoteReference"/>
          <w:rFonts w:asciiTheme="minorHAnsi" w:hAnsiTheme="minorHAnsi" w:cstheme="minorHAnsi"/>
        </w:rPr>
        <w:footnoteReference w:id="18"/>
      </w:r>
      <w:r w:rsidR="005163B9">
        <w:t xml:space="preserve"> See Box 1 for more on social protection and gender.</w:t>
      </w:r>
    </w:p>
    <w:p w14:paraId="477859DD" w14:textId="77777777" w:rsidR="004A77E1" w:rsidRDefault="004A77E1" w:rsidP="00FB6763">
      <w:pPr>
        <w:pStyle w:val="Boxhead2"/>
      </w:pPr>
      <w:r w:rsidRPr="00CD243C">
        <w:t xml:space="preserve">Box 1 </w:t>
      </w:r>
      <w:r w:rsidR="00CD243C">
        <w:t>—</w:t>
      </w:r>
      <w:r>
        <w:t xml:space="preserve"> </w:t>
      </w:r>
      <w:r w:rsidRPr="0044271D">
        <w:t xml:space="preserve">Gender is a critical </w:t>
      </w:r>
      <w:proofErr w:type="spellStart"/>
      <w:r w:rsidRPr="0044271D">
        <w:t>conside</w:t>
      </w:r>
      <w:r w:rsidR="00FB6763" w:rsidRPr="0044271D">
        <w:t>ati</w:t>
      </w:r>
      <w:r w:rsidRPr="0044271D">
        <w:t>ron</w:t>
      </w:r>
      <w:proofErr w:type="spellEnd"/>
      <w:r>
        <w:t xml:space="preserve"> </w:t>
      </w:r>
      <w:r w:rsidRPr="0044271D">
        <w:t xml:space="preserve"> </w:t>
      </w:r>
    </w:p>
    <w:p w14:paraId="6F1C5391" w14:textId="77777777" w:rsidR="004A77E1" w:rsidRDefault="004A77E1" w:rsidP="00FB6763">
      <w:pPr>
        <w:pStyle w:val="Boxtext"/>
      </w:pPr>
      <w:r>
        <w:t>S</w:t>
      </w:r>
      <w:r w:rsidRPr="0044271D">
        <w:t>ocial protection outcomes can differ depending on which household member receives the transfer. Some social protection schemes provide resources directly to women, which can increase their household bargaining power as well as increasing spending on children’s health, education and nutrition in some contexts</w:t>
      </w:r>
      <w:r>
        <w:t>.</w:t>
      </w:r>
      <w:r w:rsidRPr="005163B9">
        <w:rPr>
          <w:rStyle w:val="FootnoteReference"/>
        </w:rPr>
        <w:footnoteReference w:id="19"/>
      </w:r>
      <w:r w:rsidRPr="005163B9">
        <w:rPr>
          <w:rStyle w:val="FootnoteReference"/>
        </w:rPr>
        <w:t xml:space="preserve"> </w:t>
      </w:r>
      <w:r w:rsidRPr="0044271D">
        <w:t>Women receiving transfers are less likely to experience domestic violence</w:t>
      </w:r>
      <w:r w:rsidR="000502A4">
        <w:t>,</w:t>
      </w:r>
      <w:r w:rsidRPr="00160B49">
        <w:rPr>
          <w:vertAlign w:val="superscript"/>
        </w:rPr>
        <w:footnoteReference w:id="20"/>
      </w:r>
      <w:r>
        <w:t xml:space="preserve"> have better health and lower maternal mortality.</w:t>
      </w:r>
      <w:r>
        <w:rPr>
          <w:rStyle w:val="FootnoteReference"/>
        </w:rPr>
        <w:footnoteReference w:id="21"/>
      </w:r>
      <w:r w:rsidRPr="0044271D">
        <w:t xml:space="preserve"> Even where a transfer does not aim to improve gender relations, it should be designed with local gender dynamics in mind to ensure men and women have equitable access to the transfer. The impact on gender relations should be monitored. </w:t>
      </w:r>
    </w:p>
    <w:p w14:paraId="2CBECB2D" w14:textId="77777777" w:rsidR="005163B9" w:rsidRPr="000502A4" w:rsidRDefault="00F73000" w:rsidP="00CD243C">
      <w:pPr>
        <w:pStyle w:val="04BODYTEXT"/>
      </w:pPr>
      <w:r>
        <w:rPr>
          <w:b/>
        </w:rPr>
        <w:t>E</w:t>
      </w:r>
      <w:r w:rsidR="00B87D1F" w:rsidRPr="00B87D1F">
        <w:rPr>
          <w:b/>
        </w:rPr>
        <w:t>ducation outcomes</w:t>
      </w:r>
      <w:r>
        <w:rPr>
          <w:b/>
        </w:rPr>
        <w:t xml:space="preserve"> are improved through social protection</w:t>
      </w:r>
      <w:r w:rsidR="00B87D1F">
        <w:t xml:space="preserve">.  </w:t>
      </w:r>
      <w:r w:rsidR="007F5399">
        <w:t>T</w:t>
      </w:r>
      <w:r w:rsidR="007F5399" w:rsidRPr="002E6FE5">
        <w:t>ransfer programs</w:t>
      </w:r>
      <w:r w:rsidR="003B6A34">
        <w:t>, including cash, vouchers and school feeding,</w:t>
      </w:r>
      <w:r w:rsidR="007F5399" w:rsidRPr="002E6FE5">
        <w:t xml:space="preserve"> can </w:t>
      </w:r>
      <w:r w:rsidR="007F5399" w:rsidRPr="002E6FE5">
        <w:rPr>
          <w:rFonts w:ascii="Calibri" w:hAnsi="Calibri" w:cs="Calibri"/>
        </w:rPr>
        <w:t>help keep children in school.</w:t>
      </w:r>
      <w:r w:rsidR="007F5399" w:rsidRPr="002E6FE5">
        <w:t xml:space="preserve"> </w:t>
      </w:r>
      <w:r w:rsidR="007F5399">
        <w:t>I</w:t>
      </w:r>
      <w:r w:rsidR="007F5399" w:rsidRPr="002E6FE5">
        <w:t>n the Philippines</w:t>
      </w:r>
      <w:r w:rsidR="007F5399">
        <w:t>,</w:t>
      </w:r>
      <w:r w:rsidR="007F5399" w:rsidRPr="002E6FE5">
        <w:t xml:space="preserve"> enrolment in preschool</w:t>
      </w:r>
      <w:r w:rsidR="007F5399">
        <w:t xml:space="preserve"> in areas with </w:t>
      </w:r>
      <w:r w:rsidR="00474821">
        <w:t>the</w:t>
      </w:r>
      <w:r w:rsidR="007F5399">
        <w:t xml:space="preserve"> conditional cash transfer program</w:t>
      </w:r>
      <w:r w:rsidR="007F5399" w:rsidRPr="002E6FE5">
        <w:t xml:space="preserve"> increased </w:t>
      </w:r>
      <w:r w:rsidR="007F5399">
        <w:t xml:space="preserve">by </w:t>
      </w:r>
      <w:r w:rsidR="007F5399" w:rsidRPr="002E6FE5">
        <w:t>10.3 per</w:t>
      </w:r>
      <w:r w:rsidR="007F5399">
        <w:t xml:space="preserve"> </w:t>
      </w:r>
      <w:r w:rsidR="007F5399" w:rsidRPr="002E6FE5">
        <w:t>cent more than in areas without the program</w:t>
      </w:r>
      <w:r w:rsidR="009F3D5F">
        <w:t>.</w:t>
      </w:r>
      <w:r w:rsidR="008D6F90">
        <w:rPr>
          <w:rStyle w:val="FootnoteReference"/>
          <w:rFonts w:asciiTheme="minorHAnsi" w:hAnsiTheme="minorHAnsi" w:cstheme="minorHAnsi"/>
        </w:rPr>
        <w:footnoteReference w:id="22"/>
      </w:r>
      <w:r w:rsidR="007F5399" w:rsidRPr="002E6FE5">
        <w:t xml:space="preserve">  </w:t>
      </w:r>
      <w:r w:rsidR="00120700" w:rsidRPr="002E6FE5">
        <w:t xml:space="preserve">In Brazil, the </w:t>
      </w:r>
      <w:proofErr w:type="spellStart"/>
      <w:r w:rsidR="00120700" w:rsidRPr="002E6FE5">
        <w:rPr>
          <w:i/>
        </w:rPr>
        <w:t>Bolsa</w:t>
      </w:r>
      <w:proofErr w:type="spellEnd"/>
      <w:r w:rsidR="00120700" w:rsidRPr="002E6FE5">
        <w:rPr>
          <w:i/>
        </w:rPr>
        <w:t xml:space="preserve"> </w:t>
      </w:r>
      <w:proofErr w:type="spellStart"/>
      <w:r w:rsidR="00120700" w:rsidRPr="002E6FE5">
        <w:rPr>
          <w:i/>
        </w:rPr>
        <w:t>Familia</w:t>
      </w:r>
      <w:proofErr w:type="spellEnd"/>
      <w:r w:rsidR="00120700" w:rsidRPr="002E6FE5">
        <w:t xml:space="preserve"> conditional cash transfer program reduced the probability of dropping out of school by 63 per</w:t>
      </w:r>
      <w:r w:rsidR="00120700">
        <w:t xml:space="preserve"> </w:t>
      </w:r>
      <w:r w:rsidR="00120700" w:rsidRPr="002E6FE5">
        <w:t>cent</w:t>
      </w:r>
      <w:r w:rsidR="00120700">
        <w:t>.</w:t>
      </w:r>
      <w:r w:rsidR="00120700" w:rsidRPr="002E6FE5">
        <w:rPr>
          <w:rStyle w:val="FootnoteReference"/>
          <w:rFonts w:asciiTheme="minorHAnsi" w:hAnsiTheme="minorHAnsi" w:cstheme="minorHAnsi"/>
        </w:rPr>
        <w:footnoteReference w:id="23"/>
      </w:r>
      <w:r w:rsidR="00120700">
        <w:t xml:space="preserve"> </w:t>
      </w:r>
      <w:r w:rsidR="007F5399" w:rsidRPr="002E6FE5">
        <w:t xml:space="preserve">These effects are particularly pronounced for girls, with the gender gap in schooling in Mexico </w:t>
      </w:r>
      <w:r w:rsidR="009F3D5F" w:rsidRPr="000502A4">
        <w:t>disappearing</w:t>
      </w:r>
      <w:r w:rsidR="007F5399" w:rsidRPr="000502A4">
        <w:t xml:space="preserve"> in grades seven to 12</w:t>
      </w:r>
      <w:r w:rsidR="009F3D5F" w:rsidRPr="000502A4">
        <w:t xml:space="preserve"> due to social protection measures.</w:t>
      </w:r>
      <w:r w:rsidR="007F5399" w:rsidRPr="000502A4">
        <w:rPr>
          <w:rStyle w:val="FootnoteReference"/>
          <w:rFonts w:asciiTheme="minorHAnsi" w:hAnsiTheme="minorHAnsi" w:cstheme="minorHAnsi"/>
        </w:rPr>
        <w:footnoteReference w:id="24"/>
      </w:r>
      <w:r w:rsidR="007F5399" w:rsidRPr="000502A4">
        <w:t xml:space="preserve">  </w:t>
      </w:r>
    </w:p>
    <w:p w14:paraId="4AFEAEAA" w14:textId="23AB50B3" w:rsidR="0023282E" w:rsidRPr="00917BFB" w:rsidRDefault="00C3409D" w:rsidP="00917BFB">
      <w:pPr>
        <w:pStyle w:val="04BODYTEXT"/>
      </w:pPr>
      <w:r w:rsidRPr="000502A4">
        <w:rPr>
          <w:b/>
        </w:rPr>
        <w:t>The combination of social protection’s impacts make for a compelling story of how it</w:t>
      </w:r>
      <w:r w:rsidR="009F3D5F" w:rsidRPr="000502A4">
        <w:rPr>
          <w:b/>
        </w:rPr>
        <w:t xml:space="preserve"> can</w:t>
      </w:r>
      <w:r w:rsidRPr="000502A4">
        <w:rPr>
          <w:b/>
        </w:rPr>
        <w:t xml:space="preserve"> underpin a country’s economic development. </w:t>
      </w:r>
      <w:r w:rsidRPr="000502A4">
        <w:t xml:space="preserve">  </w:t>
      </w:r>
      <w:r w:rsidR="00386870" w:rsidRPr="000502A4">
        <w:t xml:space="preserve">Given </w:t>
      </w:r>
      <w:r w:rsidR="00D91CD8" w:rsidRPr="000502A4">
        <w:t>Australia’s</w:t>
      </w:r>
      <w:r w:rsidR="00386870" w:rsidRPr="000502A4">
        <w:t xml:space="preserve"> focus on poverty reduction through growth, the role of social protection in building economic prosperity is particularly important. It supports </w:t>
      </w:r>
      <w:r w:rsidR="00F43D4C" w:rsidRPr="000502A4">
        <w:t>economic developm</w:t>
      </w:r>
      <w:r w:rsidR="00F43D4C" w:rsidRPr="00D91CD8">
        <w:t>ent</w:t>
      </w:r>
      <w:r w:rsidR="00386870" w:rsidRPr="00D91CD8">
        <w:t xml:space="preserve"> in a num</w:t>
      </w:r>
      <w:r w:rsidR="006B7503" w:rsidRPr="00D91CD8">
        <w:t xml:space="preserve">ber of ways </w:t>
      </w:r>
      <w:r w:rsidR="00D91CD8">
        <w:t xml:space="preserve">as </w:t>
      </w:r>
      <w:r w:rsidR="006B7503" w:rsidRPr="00D91CD8">
        <w:t>depicted in Figure 2</w:t>
      </w:r>
      <w:r w:rsidR="00386870" w:rsidRPr="00D91CD8">
        <w:t xml:space="preserve"> below.</w:t>
      </w:r>
    </w:p>
    <w:p w14:paraId="277F7F8F" w14:textId="77777777" w:rsidR="00CD243C" w:rsidRDefault="00CD243C">
      <w:pPr>
        <w:rPr>
          <w:rFonts w:asciiTheme="minorHAnsi" w:hAnsiTheme="minorHAnsi" w:cstheme="minorHAnsi"/>
          <w:b/>
        </w:rPr>
      </w:pPr>
      <w:r>
        <w:br w:type="page"/>
      </w:r>
    </w:p>
    <w:p w14:paraId="614D5595" w14:textId="77777777" w:rsidR="00C3409D" w:rsidRDefault="00C3409D" w:rsidP="00CD243C">
      <w:pPr>
        <w:pStyle w:val="Figurehead"/>
      </w:pPr>
      <w:r w:rsidRPr="00D91CD8">
        <w:lastRenderedPageBreak/>
        <w:t xml:space="preserve">Figure </w:t>
      </w:r>
      <w:r w:rsidR="006B7503" w:rsidRPr="00D91CD8">
        <w:t>2</w:t>
      </w:r>
      <w:r w:rsidRPr="00D91CD8">
        <w:t xml:space="preserve"> </w:t>
      </w:r>
      <w:r w:rsidR="00CD243C">
        <w:t>—</w:t>
      </w:r>
      <w:r w:rsidRPr="00D91CD8">
        <w:t xml:space="preserve"> Growth and productivity effects of social protection</w:t>
      </w:r>
    </w:p>
    <w:p w14:paraId="2393336D" w14:textId="61289B50" w:rsidR="00BB0D68" w:rsidRPr="00D91CD8" w:rsidRDefault="00BB0D68" w:rsidP="00CD243C">
      <w:pPr>
        <w:pStyle w:val="Figurehead"/>
      </w:pPr>
      <w:r>
        <w:rPr>
          <w:noProof/>
          <w:lang w:eastAsia="en-AU"/>
        </w:rPr>
        <w:drawing>
          <wp:anchor distT="0" distB="0" distL="114300" distR="114300" simplePos="0" relativeHeight="251659264" behindDoc="0" locked="0" layoutInCell="1" allowOverlap="1" wp14:anchorId="3CF5845C" wp14:editId="3BC7183A">
            <wp:simplePos x="0" y="0"/>
            <wp:positionH relativeFrom="margin">
              <wp:align>left</wp:align>
            </wp:positionH>
            <wp:positionV relativeFrom="paragraph">
              <wp:posOffset>180340</wp:posOffset>
            </wp:positionV>
            <wp:extent cx="4914900" cy="2628900"/>
            <wp:effectExtent l="0" t="0" r="0" b="0"/>
            <wp:wrapTopAndBottom/>
            <wp:docPr id="2" name="Picture 2" descr="A social transfer provides households with greater certainty, less need to sell productive assets to cope with shocks and enables households to meet basic needs. At a local level it increases local purchases, asset accumulation, innovation and risk taking, and allows resources to be free for investment in productive assets, human capital and access to labour markets which ultimately leads to increased productivity and stronger economic development"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eps"/>
                    <pic:cNvPicPr/>
                  </pic:nvPicPr>
                  <pic:blipFill>
                    <a:blip r:embed="rId18">
                      <a:extLst>
                        <a:ext uri="{28A0092B-C50C-407E-A947-70E740481C1C}">
                          <a14:useLocalDpi xmlns:a14="http://schemas.microsoft.com/office/drawing/2010/main" val="0"/>
                        </a:ext>
                      </a:extLst>
                    </a:blip>
                    <a:stretch>
                      <a:fillRect/>
                    </a:stretch>
                  </pic:blipFill>
                  <pic:spPr>
                    <a:xfrm>
                      <a:off x="0" y="0"/>
                      <a:ext cx="4914900" cy="2628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10F76DEE" w14:textId="77777777" w:rsidR="00303133" w:rsidRPr="00FB6763" w:rsidRDefault="0092332A" w:rsidP="00CD243C">
      <w:pPr>
        <w:pStyle w:val="04BODYTEXT"/>
        <w:rPr>
          <w:lang w:eastAsia="en-AU"/>
        </w:rPr>
      </w:pPr>
      <w:r w:rsidRPr="00406E4B">
        <w:rPr>
          <w:b/>
        </w:rPr>
        <w:t>The evidence that social protection (and service delivery in general) can enhance the legitimacy of the state and thereby strengthen the social contract is mixed.</w:t>
      </w:r>
      <w:r w:rsidRPr="00406E4B">
        <w:t xml:space="preserve">  </w:t>
      </w:r>
      <w:r w:rsidR="00FB6801">
        <w:t>While it has been shown that a</w:t>
      </w:r>
      <w:r w:rsidRPr="00406E4B">
        <w:t>ccess to services does not necessarily increase state legitimacy</w:t>
      </w:r>
      <w:r w:rsidR="000502A4">
        <w:t>,</w:t>
      </w:r>
      <w:r w:rsidR="00406E4B">
        <w:rPr>
          <w:rStyle w:val="FootnoteReference"/>
          <w:rFonts w:asciiTheme="minorHAnsi" w:hAnsiTheme="minorHAnsi" w:cstheme="minorHAnsi"/>
        </w:rPr>
        <w:footnoteReference w:id="25"/>
      </w:r>
      <w:r w:rsidRPr="00406E4B">
        <w:t xml:space="preserve"> providing protection against economic risks has been shown in some circumstances to generate positive attitudes and trust in institutions</w:t>
      </w:r>
      <w:r w:rsidR="009F3D5F">
        <w:t>.</w:t>
      </w:r>
      <w:r w:rsidR="00EE7E32">
        <w:rPr>
          <w:rStyle w:val="FootnoteReference"/>
          <w:rFonts w:asciiTheme="minorHAnsi" w:hAnsiTheme="minorHAnsi" w:cstheme="minorHAnsi"/>
        </w:rPr>
        <w:footnoteReference w:id="26"/>
      </w:r>
      <w:r w:rsidR="00EE7E32">
        <w:rPr>
          <w:lang w:eastAsia="en-AU"/>
        </w:rPr>
        <w:t xml:space="preserve"> </w:t>
      </w:r>
      <w:r w:rsidRPr="00406E4B">
        <w:t>Social protection’s beneficiary registries and direct payment mechanisms,</w:t>
      </w:r>
      <w:r w:rsidR="00056DCD">
        <w:t xml:space="preserve"> implemented well, can move citizens from </w:t>
      </w:r>
      <w:r w:rsidRPr="00406E4B">
        <w:t xml:space="preserve">viewing assistance as local patronage or ‘favours’ </w:t>
      </w:r>
      <w:r w:rsidR="00056DCD">
        <w:t>provided arbitrarily or for political purposes, to a core part of the state’s social policies</w:t>
      </w:r>
      <w:r w:rsidR="009F3D5F">
        <w:t>.</w:t>
      </w:r>
      <w:r w:rsidR="00DF35F7">
        <w:rPr>
          <w:rStyle w:val="FootnoteReference"/>
          <w:rFonts w:asciiTheme="minorHAnsi" w:hAnsiTheme="minorHAnsi" w:cstheme="minorHAnsi"/>
        </w:rPr>
        <w:footnoteReference w:id="27"/>
      </w:r>
      <w:r w:rsidRPr="00406E4B">
        <w:t xml:space="preserve"> In Brazil, </w:t>
      </w:r>
      <w:r w:rsidRPr="000502A4">
        <w:t>the transfer programs have been credited with significant reductions in crime</w:t>
      </w:r>
      <w:r w:rsidR="00EE7E32" w:rsidRPr="000502A4">
        <w:rPr>
          <w:rStyle w:val="FootnoteReference"/>
          <w:rFonts w:asciiTheme="minorHAnsi" w:hAnsiTheme="minorHAnsi" w:cstheme="minorHAnsi"/>
        </w:rPr>
        <w:footnoteReference w:id="28"/>
      </w:r>
      <w:r w:rsidR="00EE7E32" w:rsidRPr="000502A4">
        <w:rPr>
          <w:lang w:eastAsia="en-AU"/>
        </w:rPr>
        <w:t xml:space="preserve"> </w:t>
      </w:r>
      <w:r w:rsidR="00406E4B" w:rsidRPr="000502A4">
        <w:rPr>
          <w:vertAlign w:val="superscript"/>
        </w:rPr>
        <w:t xml:space="preserve"> </w:t>
      </w:r>
      <w:r w:rsidRPr="000502A4">
        <w:t xml:space="preserve">and former </w:t>
      </w:r>
      <w:r w:rsidR="00D91CD8" w:rsidRPr="000502A4">
        <w:t xml:space="preserve">Prime Minister and President of </w:t>
      </w:r>
      <w:r w:rsidRPr="000502A4">
        <w:t>Timor</w:t>
      </w:r>
      <w:r w:rsidR="00D91CD8" w:rsidRPr="000502A4">
        <w:t>-Leste</w:t>
      </w:r>
      <w:r w:rsidR="000502A4">
        <w:t>,</w:t>
      </w:r>
      <w:r w:rsidR="00D91CD8" w:rsidRPr="000502A4">
        <w:t xml:space="preserve"> </w:t>
      </w:r>
      <w:proofErr w:type="spellStart"/>
      <w:r w:rsidRPr="000502A4">
        <w:t>Xanana</w:t>
      </w:r>
      <w:proofErr w:type="spellEnd"/>
      <w:r w:rsidRPr="000502A4">
        <w:t xml:space="preserve"> </w:t>
      </w:r>
      <w:proofErr w:type="spellStart"/>
      <w:r w:rsidRPr="000502A4">
        <w:t>Gusmao</w:t>
      </w:r>
      <w:proofErr w:type="spellEnd"/>
      <w:r w:rsidR="000502A4">
        <w:t>,</w:t>
      </w:r>
      <w:r w:rsidRPr="000502A4">
        <w:t xml:space="preserve"> has stated that the price tag for stability in Timor</w:t>
      </w:r>
      <w:r w:rsidR="00D91CD8" w:rsidRPr="000502A4">
        <w:t>-Leste</w:t>
      </w:r>
      <w:r w:rsidRPr="000502A4">
        <w:t xml:space="preserve"> included programs such as pensions for veterans, widows, the disabled and the elderly</w:t>
      </w:r>
      <w:r w:rsidR="009F3D5F" w:rsidRPr="000502A4">
        <w:t>.</w:t>
      </w:r>
      <w:r w:rsidR="00EE7E32" w:rsidRPr="000502A4">
        <w:rPr>
          <w:rStyle w:val="FootnoteReference"/>
          <w:rFonts w:asciiTheme="minorHAnsi" w:hAnsiTheme="minorHAnsi" w:cstheme="minorHAnsi"/>
        </w:rPr>
        <w:footnoteReference w:id="29"/>
      </w:r>
      <w:r w:rsidRPr="000502A4">
        <w:t>  More analysis</w:t>
      </w:r>
      <w:r w:rsidRPr="00406E4B">
        <w:t xml:space="preserve"> needs to be done in this area to establish how strong this link is but it is of interest to Australia because of the fragile nature of many of the states </w:t>
      </w:r>
      <w:r w:rsidR="005163B9">
        <w:t>in which we work</w:t>
      </w:r>
      <w:r w:rsidRPr="00406E4B">
        <w:t>.</w:t>
      </w:r>
    </w:p>
    <w:p w14:paraId="0B2BCB7B" w14:textId="786637DD" w:rsidR="000502A4" w:rsidRPr="00917BFB" w:rsidRDefault="0023282E" w:rsidP="00917BFB">
      <w:pPr>
        <w:pStyle w:val="04BODYTEXT"/>
      </w:pPr>
      <w:r w:rsidRPr="0092067B">
        <w:rPr>
          <w:b/>
        </w:rPr>
        <w:t xml:space="preserve">There is no evidence from low and middle income countries that social protection </w:t>
      </w:r>
      <w:r w:rsidRPr="000502A4">
        <w:rPr>
          <w:b/>
        </w:rPr>
        <w:t>leads to dependency, or that it negatively affects labour market participation</w:t>
      </w:r>
      <w:r w:rsidR="009F3D5F" w:rsidRPr="000502A4">
        <w:rPr>
          <w:b/>
        </w:rPr>
        <w:t>.</w:t>
      </w:r>
      <w:r w:rsidRPr="000502A4">
        <w:rPr>
          <w:rStyle w:val="FootnoteReference"/>
          <w:rFonts w:asciiTheme="minorHAnsi" w:hAnsiTheme="minorHAnsi" w:cstheme="minorHAnsi"/>
          <w:b/>
        </w:rPr>
        <w:footnoteReference w:id="30"/>
      </w:r>
      <w:r w:rsidRPr="000502A4">
        <w:t xml:space="preserve">  </w:t>
      </w:r>
      <w:r w:rsidR="000502A4">
        <w:t>Concerns</w:t>
      </w:r>
      <w:r w:rsidRPr="000502A4">
        <w:t xml:space="preserve"> over what people spend their transfers on have been largely unfounded; expenditure</w:t>
      </w:r>
      <w:r w:rsidRPr="006424B9">
        <w:t xml:space="preserve"> has generally gone on fulfilling basic needs</w:t>
      </w:r>
      <w:r w:rsidR="00F270D2">
        <w:t>.</w:t>
      </w:r>
      <w:r w:rsidRPr="006424B9">
        <w:rPr>
          <w:rStyle w:val="FootnoteReference"/>
          <w:rFonts w:asciiTheme="minorHAnsi" w:hAnsiTheme="minorHAnsi" w:cstheme="minorHAnsi"/>
        </w:rPr>
        <w:footnoteReference w:id="31"/>
      </w:r>
      <w:r w:rsidRPr="006424B9">
        <w:t xml:space="preserve"> While not a panacea, as part of a suite of interventions</w:t>
      </w:r>
      <w:r>
        <w:t>,</w:t>
      </w:r>
      <w:r w:rsidRPr="006424B9">
        <w:t xml:space="preserve"> social </w:t>
      </w:r>
      <w:r>
        <w:t>protection can help governments solve difficult problems by putting funds into the hands of people who know how to maximise their own welfare</w:t>
      </w:r>
      <w:r w:rsidR="00F270D2">
        <w:t>.</w:t>
      </w:r>
      <w:r>
        <w:rPr>
          <w:rStyle w:val="FootnoteReference"/>
          <w:rFonts w:asciiTheme="minorHAnsi" w:hAnsiTheme="minorHAnsi" w:cstheme="minorHAnsi"/>
        </w:rPr>
        <w:footnoteReference w:id="32"/>
      </w:r>
      <w:r>
        <w:t xml:space="preserve"> </w:t>
      </w:r>
      <w:r w:rsidR="008B5CA9">
        <w:t xml:space="preserve">This is </w:t>
      </w:r>
      <w:r w:rsidR="00E713F5">
        <w:t>also</w:t>
      </w:r>
      <w:r w:rsidR="008B5CA9">
        <w:t xml:space="preserve"> the case in emergency situations, where quick-disbursing cash transfers not only provide survivors of disasters and conflict-affected populations with choice and the flexibility to prioritise their own needs</w:t>
      </w:r>
      <w:r w:rsidR="00E713F5">
        <w:t>,</w:t>
      </w:r>
      <w:r w:rsidR="008B5CA9">
        <w:t xml:space="preserve"> but also a confidence-building ability to begin to restore lives and livelihoods.</w:t>
      </w:r>
    </w:p>
    <w:p w14:paraId="2A29DA91" w14:textId="77777777" w:rsidR="000502A4" w:rsidRPr="000502A4" w:rsidRDefault="000502A4" w:rsidP="002923A5">
      <w:pPr>
        <w:rPr>
          <w:rFonts w:asciiTheme="minorHAnsi" w:hAnsiTheme="minorHAnsi" w:cstheme="minorHAnsi"/>
        </w:rPr>
        <w:sectPr w:rsidR="000502A4" w:rsidRPr="000502A4" w:rsidSect="00CD243C">
          <w:pgSz w:w="11906" w:h="16838"/>
          <w:pgMar w:top="1440" w:right="1247" w:bottom="1440" w:left="1474" w:header="708" w:footer="708" w:gutter="0"/>
          <w:cols w:space="708"/>
          <w:docGrid w:linePitch="360"/>
        </w:sectPr>
      </w:pPr>
    </w:p>
    <w:p w14:paraId="22B2BEF3" w14:textId="77777777" w:rsidR="00A124D6" w:rsidRPr="00FB6763" w:rsidRDefault="00A124D6" w:rsidP="00FB6763">
      <w:pPr>
        <w:pStyle w:val="Heading1"/>
      </w:pPr>
      <w:bookmarkStart w:id="8" w:name="_Toc304799229"/>
      <w:r w:rsidRPr="000502A4">
        <w:lastRenderedPageBreak/>
        <w:t>Context</w:t>
      </w:r>
      <w:bookmarkEnd w:id="8"/>
    </w:p>
    <w:p w14:paraId="3E5434B0" w14:textId="77777777" w:rsidR="00647DDF" w:rsidRPr="00CD243C" w:rsidRDefault="00647DDF" w:rsidP="00CD243C">
      <w:pPr>
        <w:pStyle w:val="Heading2"/>
      </w:pPr>
      <w:bookmarkStart w:id="9" w:name="_Toc304799230"/>
      <w:r w:rsidRPr="009F13A5">
        <w:t>Social protection’s expansion in developing countries</w:t>
      </w:r>
      <w:bookmarkEnd w:id="9"/>
    </w:p>
    <w:p w14:paraId="3F76178F" w14:textId="77777777" w:rsidR="002923A5" w:rsidRPr="00FB6763" w:rsidRDefault="002923A5" w:rsidP="00CD243C">
      <w:pPr>
        <w:pStyle w:val="04BODYTEXT"/>
      </w:pPr>
      <w:r w:rsidRPr="009F13A5">
        <w:rPr>
          <w:b/>
        </w:rPr>
        <w:t>Over the past 15 years social protection has expanded rapidly in the developing world.</w:t>
      </w:r>
      <w:r w:rsidRPr="00E66FC2">
        <w:t xml:space="preserve"> Currently, more than one billion people </w:t>
      </w:r>
      <w:r w:rsidR="006B0A1E">
        <w:t xml:space="preserve">in developing countries </w:t>
      </w:r>
      <w:r w:rsidRPr="00E66FC2">
        <w:t>are covered in some form</w:t>
      </w:r>
      <w:r w:rsidR="006B0A1E">
        <w:rPr>
          <w:rStyle w:val="FootnoteReference"/>
          <w:rFonts w:asciiTheme="minorHAnsi" w:hAnsiTheme="minorHAnsi" w:cstheme="minorHAnsi"/>
        </w:rPr>
        <w:footnoteReference w:id="33"/>
      </w:r>
      <w:r w:rsidRPr="00E66FC2">
        <w:t>.</w:t>
      </w:r>
      <w:r w:rsidRPr="005E17B6">
        <w:rPr>
          <w:b/>
        </w:rPr>
        <w:t xml:space="preserve"> </w:t>
      </w:r>
      <w:r w:rsidRPr="00046A2B">
        <w:t>The expansion is picking up speed</w:t>
      </w:r>
      <w:r w:rsidR="00F270D2">
        <w:t>.</w:t>
      </w:r>
      <w:r w:rsidRPr="00046A2B">
        <w:rPr>
          <w:rStyle w:val="FootnoteReference"/>
          <w:rFonts w:asciiTheme="minorHAnsi" w:hAnsiTheme="minorHAnsi" w:cstheme="minorHAnsi"/>
          <w:szCs w:val="20"/>
        </w:rPr>
        <w:footnoteReference w:id="34"/>
      </w:r>
      <w:r w:rsidRPr="00046A2B">
        <w:t xml:space="preserve"> Across the globe</w:t>
      </w:r>
      <w:r w:rsidR="00CB738F">
        <w:t>,</w:t>
      </w:r>
      <w:r w:rsidRPr="00046A2B">
        <w:t xml:space="preserve"> countries with conditional cash transfer programs increased from 27 in 2008 to 52 in 2013</w:t>
      </w:r>
      <w:r w:rsidR="00F270D2">
        <w:t>.</w:t>
      </w:r>
      <w:r w:rsidRPr="00046A2B">
        <w:rPr>
          <w:rStyle w:val="FootnoteReference"/>
          <w:rFonts w:asciiTheme="minorHAnsi" w:hAnsiTheme="minorHAnsi" w:cstheme="minorHAnsi"/>
          <w:szCs w:val="20"/>
        </w:rPr>
        <w:footnoteReference w:id="35"/>
      </w:r>
      <w:r w:rsidRPr="00046A2B">
        <w:t xml:space="preserve"> Now nearly every developing country has at least one social protection program in place</w:t>
      </w:r>
      <w:r>
        <w:t xml:space="preserve"> and many are developing more comprehensive </w:t>
      </w:r>
      <w:r w:rsidR="00F270D2">
        <w:t xml:space="preserve">and sophisticated </w:t>
      </w:r>
      <w:r>
        <w:t>systems.</w:t>
      </w:r>
      <w:r w:rsidRPr="00046A2B">
        <w:t xml:space="preserve"> </w:t>
      </w:r>
    </w:p>
    <w:p w14:paraId="307297B3" w14:textId="77777777" w:rsidR="00E713F5" w:rsidRPr="00FB6763" w:rsidRDefault="002923A5" w:rsidP="00FB6763">
      <w:pPr>
        <w:pStyle w:val="04BODYTEXT"/>
      </w:pPr>
      <w:r w:rsidRPr="009F13A5">
        <w:rPr>
          <w:b/>
        </w:rPr>
        <w:t>But there is still a very long way to go.</w:t>
      </w:r>
      <w:r w:rsidRPr="00E66FC2">
        <w:t xml:space="preserve"> Approximately</w:t>
      </w:r>
      <w:r w:rsidRPr="00046A2B">
        <w:t xml:space="preserve"> 870 million people living in extreme poverty remain uncovered</w:t>
      </w:r>
      <w:r w:rsidR="00F270D2">
        <w:t>.</w:t>
      </w:r>
      <w:r w:rsidRPr="00046A2B">
        <w:rPr>
          <w:rStyle w:val="FootnoteReference"/>
          <w:rFonts w:asciiTheme="minorHAnsi" w:hAnsiTheme="minorHAnsi" w:cstheme="minorHAnsi"/>
        </w:rPr>
        <w:footnoteReference w:id="36"/>
      </w:r>
      <w:r w:rsidRPr="00046A2B">
        <w:t xml:space="preserve">  </w:t>
      </w:r>
      <w:r>
        <w:t>Developing country g</w:t>
      </w:r>
      <w:r w:rsidRPr="00046A2B">
        <w:t>overnments are spending on average 1.6 per</w:t>
      </w:r>
      <w:r>
        <w:t xml:space="preserve"> </w:t>
      </w:r>
      <w:r w:rsidRPr="00046A2B">
        <w:t>cent of GDP on social assistance programs</w:t>
      </w:r>
      <w:r w:rsidR="00F270D2">
        <w:t>.</w:t>
      </w:r>
      <w:r>
        <w:rPr>
          <w:rStyle w:val="FootnoteReference"/>
          <w:rFonts w:asciiTheme="minorHAnsi" w:hAnsiTheme="minorHAnsi" w:cstheme="minorHAnsi"/>
        </w:rPr>
        <w:footnoteReference w:id="37"/>
      </w:r>
      <w:r w:rsidRPr="00046A2B">
        <w:t xml:space="preserve"> </w:t>
      </w:r>
      <w:r w:rsidR="0048337F">
        <w:t>Figure 3 shows that</w:t>
      </w:r>
      <w:r>
        <w:t xml:space="preserve"> m</w:t>
      </w:r>
      <w:r w:rsidR="00A43F82">
        <w:t xml:space="preserve">ost countries in </w:t>
      </w:r>
      <w:r w:rsidRPr="00046A2B">
        <w:t>Asia</w:t>
      </w:r>
      <w:r w:rsidR="00A43F82">
        <w:t xml:space="preserve"> and the </w:t>
      </w:r>
      <w:r w:rsidRPr="00046A2B">
        <w:t xml:space="preserve">Pacific are well below </w:t>
      </w:r>
      <w:r>
        <w:t xml:space="preserve">this </w:t>
      </w:r>
      <w:r w:rsidRPr="000502A4">
        <w:t>average</w:t>
      </w:r>
      <w:r w:rsidR="00737FB6" w:rsidRPr="000502A4">
        <w:t>.</w:t>
      </w:r>
      <w:r w:rsidR="00CE447E" w:rsidRPr="000502A4">
        <w:rPr>
          <w:rStyle w:val="FootnoteReference"/>
          <w:rFonts w:asciiTheme="minorHAnsi" w:hAnsiTheme="minorHAnsi" w:cstheme="minorHAnsi"/>
        </w:rPr>
        <w:footnoteReference w:id="38"/>
      </w:r>
      <w:r w:rsidR="00737FB6">
        <w:t xml:space="preserve"> </w:t>
      </w:r>
    </w:p>
    <w:p w14:paraId="37328432" w14:textId="77777777" w:rsidR="00CD243C" w:rsidRDefault="002923A5" w:rsidP="00CD243C">
      <w:pPr>
        <w:pStyle w:val="Figurehead"/>
      </w:pPr>
      <w:r w:rsidRPr="00CD243C">
        <w:t>Figure 3 –</w:t>
      </w:r>
      <w:r w:rsidRPr="009206BC">
        <w:rPr>
          <w:i/>
        </w:rPr>
        <w:t xml:space="preserve"> </w:t>
      </w:r>
      <w:r w:rsidRPr="0048337F">
        <w:t xml:space="preserve">Social assistance expenditure in Asia </w:t>
      </w:r>
      <w:r w:rsidR="00626C75">
        <w:t>and the Pacific</w:t>
      </w:r>
      <w:r w:rsidRPr="0048337F">
        <w:t xml:space="preserve"> </w:t>
      </w:r>
    </w:p>
    <w:p w14:paraId="13F7DB8A" w14:textId="21A1863E" w:rsidR="002923A5" w:rsidRPr="00DF2CD8" w:rsidRDefault="009E34B7" w:rsidP="00DF2CD8">
      <w:pPr>
        <w:pStyle w:val="04BODYTEXT"/>
        <w:rPr>
          <w:sz w:val="16"/>
          <w:szCs w:val="16"/>
        </w:rPr>
      </w:pPr>
      <w:r w:rsidRPr="00DF2CD8">
        <w:rPr>
          <w:noProof/>
          <w:sz w:val="16"/>
          <w:szCs w:val="16"/>
          <w:lang w:val="en-AU" w:eastAsia="en-AU"/>
        </w:rPr>
        <w:drawing>
          <wp:anchor distT="0" distB="0" distL="114300" distR="114300" simplePos="0" relativeHeight="251660288" behindDoc="0" locked="0" layoutInCell="1" allowOverlap="1" wp14:anchorId="6CEF4FB5" wp14:editId="44C999CA">
            <wp:simplePos x="0" y="0"/>
            <wp:positionH relativeFrom="margin">
              <wp:align>left</wp:align>
            </wp:positionH>
            <wp:positionV relativeFrom="paragraph">
              <wp:posOffset>180340</wp:posOffset>
            </wp:positionV>
            <wp:extent cx="5257800" cy="2806700"/>
            <wp:effectExtent l="0" t="0" r="0" b="0"/>
            <wp:wrapTopAndBottom/>
            <wp:docPr id="6" name="Picture 6" descr="All countries in Asia and the Pacific have expenditure well below the developing country average with the exceptions of Mongolia, Kiribati and Timor-Lest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eps"/>
                    <pic:cNvPicPr/>
                  </pic:nvPicPr>
                  <pic:blipFill>
                    <a:blip r:embed="rId19">
                      <a:extLst>
                        <a:ext uri="{28A0092B-C50C-407E-A947-70E740481C1C}">
                          <a14:useLocalDpi xmlns:a14="http://schemas.microsoft.com/office/drawing/2010/main" val="0"/>
                        </a:ext>
                      </a:extLst>
                    </a:blip>
                    <a:stretch>
                      <a:fillRect/>
                    </a:stretch>
                  </pic:blipFill>
                  <pic:spPr>
                    <a:xfrm>
                      <a:off x="0" y="0"/>
                      <a:ext cx="5257800" cy="2806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2923A5" w:rsidRPr="00DF2CD8">
        <w:rPr>
          <w:sz w:val="16"/>
          <w:szCs w:val="16"/>
        </w:rPr>
        <w:t xml:space="preserve">Source: World Bank, State of Social Safety Nets, 2014. </w:t>
      </w:r>
    </w:p>
    <w:p w14:paraId="26ADF901" w14:textId="77777777" w:rsidR="002923A5" w:rsidRPr="007B1DA3" w:rsidRDefault="002923A5" w:rsidP="002923A5">
      <w:pPr>
        <w:rPr>
          <w:rFonts w:asciiTheme="minorHAnsi" w:hAnsiTheme="minorHAnsi" w:cstheme="minorHAnsi"/>
        </w:rPr>
      </w:pPr>
      <w:r w:rsidRPr="00027BE5">
        <w:rPr>
          <w:rFonts w:asciiTheme="minorHAnsi" w:hAnsiTheme="minorHAnsi" w:cstheme="minorHAnsi"/>
          <w:b/>
        </w:rPr>
        <w:t>In our region a number of countries are expanding their social protection systems.</w:t>
      </w:r>
      <w:r>
        <w:rPr>
          <w:rFonts w:asciiTheme="minorHAnsi" w:hAnsiTheme="minorHAnsi" w:cstheme="minorHAnsi"/>
          <w:b/>
        </w:rPr>
        <w:t xml:space="preserve"> </w:t>
      </w:r>
      <w:r>
        <w:rPr>
          <w:rFonts w:asciiTheme="minorHAnsi" w:hAnsiTheme="minorHAnsi" w:cstheme="minorHAnsi"/>
        </w:rPr>
        <w:t xml:space="preserve">They are at different stages along a trajectory towards developing social protection systems and there are large gaps in the coverage of vulnerable populations. Affordability remains a challenge but countries in our region are beginning to prioritise this expenditure. </w:t>
      </w:r>
      <w:r w:rsidR="004171E3">
        <w:rPr>
          <w:rFonts w:asciiTheme="minorHAnsi" w:hAnsiTheme="minorHAnsi" w:cstheme="minorHAnsi"/>
        </w:rPr>
        <w:t xml:space="preserve">See Annex 1 </w:t>
      </w:r>
      <w:r w:rsidR="00272C62">
        <w:rPr>
          <w:rFonts w:asciiTheme="minorHAnsi" w:hAnsiTheme="minorHAnsi" w:cstheme="minorHAnsi"/>
        </w:rPr>
        <w:t>f</w:t>
      </w:r>
      <w:r w:rsidR="004171E3">
        <w:rPr>
          <w:rFonts w:asciiTheme="minorHAnsi" w:hAnsiTheme="minorHAnsi" w:cstheme="minorHAnsi"/>
        </w:rPr>
        <w:t xml:space="preserve">or </w:t>
      </w:r>
      <w:r w:rsidR="00272C62">
        <w:rPr>
          <w:rFonts w:asciiTheme="minorHAnsi" w:hAnsiTheme="minorHAnsi" w:cstheme="minorHAnsi"/>
        </w:rPr>
        <w:t xml:space="preserve">tables </w:t>
      </w:r>
      <w:r w:rsidR="004171E3">
        <w:rPr>
          <w:rFonts w:asciiTheme="minorHAnsi" w:hAnsiTheme="minorHAnsi" w:cstheme="minorHAnsi"/>
        </w:rPr>
        <w:t xml:space="preserve">on expenditure and </w:t>
      </w:r>
      <w:r w:rsidR="00056DCD">
        <w:rPr>
          <w:rFonts w:asciiTheme="minorHAnsi" w:hAnsiTheme="minorHAnsi" w:cstheme="minorHAnsi"/>
        </w:rPr>
        <w:t>coverage/</w:t>
      </w:r>
      <w:r w:rsidR="004171E3">
        <w:rPr>
          <w:rFonts w:asciiTheme="minorHAnsi" w:hAnsiTheme="minorHAnsi" w:cstheme="minorHAnsi"/>
        </w:rPr>
        <w:t xml:space="preserve">gaps. </w:t>
      </w:r>
      <w:r>
        <w:rPr>
          <w:rFonts w:asciiTheme="minorHAnsi" w:hAnsiTheme="minorHAnsi" w:cstheme="minorHAnsi"/>
        </w:rPr>
        <w:t xml:space="preserve"> </w:t>
      </w:r>
    </w:p>
    <w:p w14:paraId="7B3653DB" w14:textId="77777777" w:rsidR="000502A4" w:rsidRDefault="000502A4" w:rsidP="004A7EDB">
      <w:pPr>
        <w:rPr>
          <w:rFonts w:asciiTheme="majorHAnsi" w:hAnsiTheme="majorHAnsi" w:cstheme="minorHAnsi"/>
          <w:b/>
          <w:color w:val="4F81BD" w:themeColor="accent1"/>
          <w:sz w:val="36"/>
          <w:szCs w:val="36"/>
        </w:rPr>
        <w:sectPr w:rsidR="000502A4">
          <w:pgSz w:w="11906" w:h="16838"/>
          <w:pgMar w:top="1440" w:right="1800" w:bottom="1440" w:left="1800" w:header="708" w:footer="708" w:gutter="0"/>
          <w:cols w:space="708"/>
          <w:docGrid w:linePitch="360"/>
        </w:sectPr>
      </w:pPr>
    </w:p>
    <w:p w14:paraId="6E3BF71C" w14:textId="77777777" w:rsidR="004A7EDB" w:rsidRPr="000502A4" w:rsidRDefault="00CD3250" w:rsidP="00807E6A">
      <w:pPr>
        <w:pStyle w:val="Heading1"/>
      </w:pPr>
      <w:bookmarkStart w:id="10" w:name="_Toc304799231"/>
      <w:r w:rsidRPr="000502A4">
        <w:lastRenderedPageBreak/>
        <w:t>Objectives and p</w:t>
      </w:r>
      <w:r w:rsidR="00846E52" w:rsidRPr="000502A4">
        <w:t>riority areas of engagement</w:t>
      </w:r>
      <w:bookmarkEnd w:id="10"/>
    </w:p>
    <w:p w14:paraId="0D83E56F" w14:textId="77777777" w:rsidR="00B43588" w:rsidRDefault="00B43588" w:rsidP="004A7EDB">
      <w:pPr>
        <w:rPr>
          <w:rFonts w:asciiTheme="majorHAnsi" w:hAnsiTheme="majorHAnsi" w:cstheme="minorHAnsi"/>
          <w:b/>
          <w:color w:val="4F81BD" w:themeColor="accent1"/>
          <w:sz w:val="28"/>
          <w:szCs w:val="28"/>
        </w:rPr>
      </w:pPr>
    </w:p>
    <w:p w14:paraId="18059B55" w14:textId="77777777" w:rsidR="00C90654" w:rsidRPr="00807E6A" w:rsidRDefault="00C90654" w:rsidP="00807E6A">
      <w:pPr>
        <w:pStyle w:val="04BODYTEXT"/>
      </w:pPr>
      <w:r w:rsidRPr="00807E6A">
        <w:rPr>
          <w:b/>
        </w:rPr>
        <w:t>The purpose of Australia’s aid program is ‘to promote Australia’s national interests by contributing to sustainable economic growth and poverty reduction’.</w:t>
      </w:r>
      <w:r>
        <w:t xml:space="preserve"> Investments in social protection directly support this purpose through the pursuit of </w:t>
      </w:r>
      <w:r w:rsidR="00DE08D0">
        <w:t>three</w:t>
      </w:r>
      <w:r>
        <w:t xml:space="preserve"> overarching strategic objectives</w:t>
      </w:r>
      <w:r w:rsidR="009E5B4D">
        <w:t>.</w:t>
      </w:r>
    </w:p>
    <w:p w14:paraId="2A24D4B6" w14:textId="77777777" w:rsidR="00C90654" w:rsidRPr="006D3FE9" w:rsidRDefault="00C90654" w:rsidP="00807E6A">
      <w:pPr>
        <w:pStyle w:val="03HEADING3"/>
      </w:pPr>
      <w:r w:rsidRPr="00754E75">
        <w:rPr>
          <w:i/>
        </w:rPr>
        <w:t>Objective 1</w:t>
      </w:r>
      <w:r w:rsidRPr="00C90654">
        <w:t xml:space="preserve">: Improve </w:t>
      </w:r>
      <w:r w:rsidR="00A450BD">
        <w:t>so</w:t>
      </w:r>
      <w:r w:rsidR="00DE08D0">
        <w:t xml:space="preserve">cial protection </w:t>
      </w:r>
      <w:r w:rsidR="00DE08D0" w:rsidRPr="006D3FE9">
        <w:t xml:space="preserve">coverage </w:t>
      </w:r>
      <w:r w:rsidR="0099595F" w:rsidRPr="006D3FE9">
        <w:t xml:space="preserve">in </w:t>
      </w:r>
      <w:r w:rsidR="00A43F82" w:rsidRPr="006D3FE9">
        <w:t>the Indo-</w:t>
      </w:r>
      <w:r w:rsidR="0099595F" w:rsidRPr="006D3FE9">
        <w:t>Pacific.</w:t>
      </w:r>
      <w:r w:rsidRPr="006D3FE9">
        <w:t xml:space="preserve"> </w:t>
      </w:r>
    </w:p>
    <w:p w14:paraId="620112DF" w14:textId="77777777" w:rsidR="00D915D5" w:rsidRPr="00807E6A" w:rsidRDefault="00DE08D0" w:rsidP="00807E6A">
      <w:pPr>
        <w:pStyle w:val="04BODYTEXT"/>
      </w:pPr>
      <w:r w:rsidRPr="006D3FE9">
        <w:t xml:space="preserve">Investment in social protection is growing but coverage </w:t>
      </w:r>
      <w:r w:rsidR="00A06FFD" w:rsidRPr="006D3FE9">
        <w:t xml:space="preserve">of the poor and vulnerable </w:t>
      </w:r>
      <w:r w:rsidRPr="006D3FE9">
        <w:t xml:space="preserve">in our region is low. </w:t>
      </w:r>
      <w:r w:rsidR="00D915D5" w:rsidRPr="006D3FE9">
        <w:t>It is important that this coverage</w:t>
      </w:r>
      <w:r w:rsidR="00D915D5">
        <w:t xml:space="preserve"> increase</w:t>
      </w:r>
      <w:r>
        <w:t>s and programs exist to cover risks faced at different points in the lifecycle as well as unexpected shocks.</w:t>
      </w:r>
    </w:p>
    <w:p w14:paraId="5E3DDD29" w14:textId="77777777" w:rsidR="00CD3250" w:rsidRPr="00D915D5" w:rsidRDefault="00D915D5" w:rsidP="00807E6A">
      <w:pPr>
        <w:pStyle w:val="03HEADING3"/>
      </w:pPr>
      <w:r w:rsidRPr="00754E75">
        <w:rPr>
          <w:i/>
        </w:rPr>
        <w:t>Objective 2</w:t>
      </w:r>
      <w:r w:rsidRPr="00D915D5">
        <w:t xml:space="preserve">: Improve the quality </w:t>
      </w:r>
      <w:r w:rsidR="00DE08D0">
        <w:t>of</w:t>
      </w:r>
      <w:r w:rsidRPr="00D915D5">
        <w:t xml:space="preserve"> social protection system</w:t>
      </w:r>
      <w:r w:rsidR="00DE08D0">
        <w:t>s</w:t>
      </w:r>
      <w:r w:rsidRPr="00D915D5">
        <w:t xml:space="preserve">. </w:t>
      </w:r>
    </w:p>
    <w:p w14:paraId="065A5A2B" w14:textId="77777777" w:rsidR="00D915D5" w:rsidRPr="00807E6A" w:rsidRDefault="00DE08D0" w:rsidP="00807E6A">
      <w:pPr>
        <w:pStyle w:val="04BODYTEXT"/>
      </w:pPr>
      <w:r>
        <w:t>Coverage is important but having those programs work well</w:t>
      </w:r>
      <w:r w:rsidR="006B7503">
        <w:t>,</w:t>
      </w:r>
      <w:r w:rsidR="006D3FE9">
        <w:t xml:space="preserve"> so they reach the poor</w:t>
      </w:r>
      <w:r>
        <w:t xml:space="preserve"> </w:t>
      </w:r>
      <w:r w:rsidR="000502A4">
        <w:t xml:space="preserve">with meaningful benefits </w:t>
      </w:r>
      <w:r w:rsidR="003C12A2">
        <w:t xml:space="preserve">in ways that ensure equality of access between female and male beneficiaries, </w:t>
      </w:r>
      <w:r>
        <w:t>and can be sustainably financed</w:t>
      </w:r>
      <w:r w:rsidR="006B7503">
        <w:t>,</w:t>
      </w:r>
      <w:r>
        <w:t xml:space="preserve"> is a separate challenge. </w:t>
      </w:r>
    </w:p>
    <w:p w14:paraId="5341E927" w14:textId="77777777" w:rsidR="00C90654" w:rsidRPr="000502A4" w:rsidRDefault="00C90654" w:rsidP="00807E6A">
      <w:pPr>
        <w:pStyle w:val="03HEADING3"/>
      </w:pPr>
      <w:r w:rsidRPr="00754E75">
        <w:rPr>
          <w:i/>
        </w:rPr>
        <w:t xml:space="preserve">Objective </w:t>
      </w:r>
      <w:r w:rsidR="00A450BD" w:rsidRPr="00754E75">
        <w:rPr>
          <w:i/>
        </w:rPr>
        <w:t>3</w:t>
      </w:r>
      <w:r w:rsidRPr="00C90654">
        <w:t xml:space="preserve">: </w:t>
      </w:r>
      <w:r>
        <w:t>Enhance our partner governments</w:t>
      </w:r>
      <w:r w:rsidR="003249A3">
        <w:t>’</w:t>
      </w:r>
      <w:r>
        <w:t xml:space="preserve"> </w:t>
      </w:r>
      <w:r w:rsidR="00754E75">
        <w:t>ability t</w:t>
      </w:r>
      <w:r w:rsidR="009E5B4D">
        <w:t xml:space="preserve">o make </w:t>
      </w:r>
      <w:r>
        <w:t xml:space="preserve">their own </w:t>
      </w:r>
      <w:r w:rsidRPr="000502A4">
        <w:t xml:space="preserve">informed choices. </w:t>
      </w:r>
    </w:p>
    <w:p w14:paraId="229A6C97" w14:textId="77777777" w:rsidR="00CD3250" w:rsidRPr="00FB6763" w:rsidRDefault="003249A3" w:rsidP="00FB6763">
      <w:pPr>
        <w:pStyle w:val="04BODYTEXT"/>
      </w:pPr>
      <w:r w:rsidRPr="000502A4">
        <w:t xml:space="preserve">Social protection is complex with no </w:t>
      </w:r>
      <w:r w:rsidR="006D3FE9" w:rsidRPr="000502A4">
        <w:t>single</w:t>
      </w:r>
      <w:r w:rsidRPr="000502A4">
        <w:t xml:space="preserve"> path to building a system or reaching the poor. </w:t>
      </w:r>
      <w:r w:rsidR="006D3FE9" w:rsidRPr="000502A4">
        <w:t>C</w:t>
      </w:r>
      <w:r w:rsidRPr="000502A4">
        <w:t xml:space="preserve">ountries </w:t>
      </w:r>
      <w:r w:rsidR="00754E75" w:rsidRPr="000502A4">
        <w:t>need access to appropriate information to be able to take an evidence based route to determining how they want their system to develop.</w:t>
      </w:r>
      <w:r w:rsidR="00E00DE3" w:rsidRPr="000502A4">
        <w:t xml:space="preserve"> </w:t>
      </w:r>
      <w:r w:rsidR="006D3FE9" w:rsidRPr="000502A4">
        <w:t>Australia can then help with appropriate support.</w:t>
      </w:r>
    </w:p>
    <w:p w14:paraId="19449428" w14:textId="77777777" w:rsidR="004A7EDB" w:rsidRPr="00FB6763" w:rsidRDefault="004A7EDB" w:rsidP="00FB6763">
      <w:pPr>
        <w:pStyle w:val="04BODYTEXT"/>
      </w:pPr>
      <w:r w:rsidRPr="00807E6A">
        <w:rPr>
          <w:b/>
        </w:rPr>
        <w:t xml:space="preserve">The work we undertake in partner countries to take forward our strategic objectives </w:t>
      </w:r>
      <w:r w:rsidR="00846E52" w:rsidRPr="00807E6A">
        <w:rPr>
          <w:b/>
        </w:rPr>
        <w:t xml:space="preserve">can </w:t>
      </w:r>
      <w:r w:rsidRPr="00807E6A">
        <w:rPr>
          <w:b/>
        </w:rPr>
        <w:t>diff</w:t>
      </w:r>
      <w:r w:rsidR="00846E52" w:rsidRPr="00807E6A">
        <w:rPr>
          <w:b/>
        </w:rPr>
        <w:t>er</w:t>
      </w:r>
      <w:r w:rsidRPr="00807E6A">
        <w:rPr>
          <w:b/>
        </w:rPr>
        <w:t xml:space="preserve"> greatly </w:t>
      </w:r>
      <w:r w:rsidR="00846E52" w:rsidRPr="00807E6A">
        <w:rPr>
          <w:b/>
        </w:rPr>
        <w:t>and depends</w:t>
      </w:r>
      <w:r w:rsidRPr="00807E6A">
        <w:rPr>
          <w:b/>
        </w:rPr>
        <w:t xml:space="preserve"> on the</w:t>
      </w:r>
      <w:r w:rsidR="00753C97" w:rsidRPr="00807E6A">
        <w:rPr>
          <w:b/>
        </w:rPr>
        <w:t>ir</w:t>
      </w:r>
      <w:r w:rsidRPr="00807E6A">
        <w:rPr>
          <w:b/>
        </w:rPr>
        <w:t xml:space="preserve"> stage of development, their relative priorities and other donor engagement.</w:t>
      </w:r>
      <w:r w:rsidR="0053099D">
        <w:t xml:space="preserve"> </w:t>
      </w:r>
      <w:r w:rsidR="006B7503">
        <w:t>W</w:t>
      </w:r>
      <w:r w:rsidR="00753C97">
        <w:t xml:space="preserve">e will focus on </w:t>
      </w:r>
      <w:r w:rsidR="006B7503">
        <w:t xml:space="preserve">the following </w:t>
      </w:r>
      <w:r w:rsidR="00754E75">
        <w:t>two</w:t>
      </w:r>
      <w:r w:rsidR="00753C97">
        <w:t xml:space="preserve"> key </w:t>
      </w:r>
      <w:r w:rsidR="006B7503">
        <w:t>broad ar</w:t>
      </w:r>
      <w:r w:rsidR="00753C97">
        <w:t>eas</w:t>
      </w:r>
      <w:r w:rsidR="003F79AC">
        <w:t xml:space="preserve"> </w:t>
      </w:r>
      <w:r w:rsidR="006B7503">
        <w:t xml:space="preserve">of </w:t>
      </w:r>
      <w:r w:rsidR="003F79AC">
        <w:t>priority</w:t>
      </w:r>
      <w:r w:rsidR="000502A4">
        <w:t xml:space="preserve">: </w:t>
      </w:r>
    </w:p>
    <w:p w14:paraId="76F477F4" w14:textId="77777777" w:rsidR="00B23B5B" w:rsidRPr="00FB6763" w:rsidRDefault="00A35CC7" w:rsidP="00FB6763">
      <w:pPr>
        <w:pStyle w:val="bullets"/>
        <w:rPr>
          <w:b/>
        </w:rPr>
      </w:pPr>
      <w:r w:rsidRPr="00807E6A">
        <w:rPr>
          <w:b/>
        </w:rPr>
        <w:t>Refining</w:t>
      </w:r>
      <w:r w:rsidR="004A7EDB" w:rsidRPr="00807E6A">
        <w:rPr>
          <w:b/>
        </w:rPr>
        <w:t xml:space="preserve"> and develop</w:t>
      </w:r>
      <w:r w:rsidRPr="00807E6A">
        <w:rPr>
          <w:b/>
        </w:rPr>
        <w:t>ing</w:t>
      </w:r>
      <w:r w:rsidR="004A7EDB" w:rsidRPr="00807E6A">
        <w:rPr>
          <w:b/>
        </w:rPr>
        <w:t xml:space="preserve"> </w:t>
      </w:r>
      <w:r w:rsidR="00695E1C" w:rsidRPr="00807E6A">
        <w:rPr>
          <w:b/>
        </w:rPr>
        <w:t>social protection</w:t>
      </w:r>
      <w:r w:rsidR="004A7EDB" w:rsidRPr="00807E6A">
        <w:rPr>
          <w:b/>
        </w:rPr>
        <w:t xml:space="preserve"> systems </w:t>
      </w:r>
      <w:r w:rsidR="004A7EDB" w:rsidRPr="00807E6A">
        <w:t>–</w:t>
      </w:r>
      <w:r w:rsidR="00695E1C" w:rsidRPr="00807E6A">
        <w:t xml:space="preserve"> </w:t>
      </w:r>
      <w:r w:rsidR="00B23B5B" w:rsidRPr="00807E6A">
        <w:t>Australia will continue to work closely with governments to refine</w:t>
      </w:r>
      <w:r w:rsidR="00190037" w:rsidRPr="00807E6A">
        <w:t xml:space="preserve"> their social protection system</w:t>
      </w:r>
      <w:r w:rsidR="00A352E1" w:rsidRPr="00807E6A">
        <w:t>s</w:t>
      </w:r>
      <w:r w:rsidR="00E713F5" w:rsidRPr="00807E6A">
        <w:t xml:space="preserve"> and fill gaps in coverage</w:t>
      </w:r>
      <w:r w:rsidR="00B23B5B" w:rsidRPr="00807E6A">
        <w:t>.</w:t>
      </w:r>
      <w:r w:rsidR="00695E1C" w:rsidRPr="00807E6A">
        <w:t xml:space="preserve"> Occasionally, as is the case with some of our support for the extreme poor in Bangladesh, we may support non-government implementers to fill these gaps but generally we will support government programs. </w:t>
      </w:r>
      <w:r w:rsidR="00B23B5B" w:rsidRPr="00807E6A">
        <w:t xml:space="preserve"> To date the main investments have been </w:t>
      </w:r>
      <w:r w:rsidR="00825290" w:rsidRPr="00807E6A">
        <w:t>in</w:t>
      </w:r>
      <w:r w:rsidR="00B23B5B" w:rsidRPr="00807E6A">
        <w:t xml:space="preserve"> a number of key areas with an emphasis on increasing coverage and reaching the poor. The main focus </w:t>
      </w:r>
      <w:r w:rsidR="002D67EB" w:rsidRPr="00807E6A">
        <w:t>will remain</w:t>
      </w:r>
      <w:r w:rsidR="00B23B5B" w:rsidRPr="00807E6A">
        <w:t xml:space="preserve"> on: 1) expanding the coverage of existing programs, 2) developing programs to fill gaps in coverage, including temporary mechanisms to facilitate macroeconomic reforms</w:t>
      </w:r>
      <w:r w:rsidR="00695E1C" w:rsidRPr="00807E6A">
        <w:t xml:space="preserve"> if necessary</w:t>
      </w:r>
      <w:r w:rsidR="00B23B5B" w:rsidRPr="00807E6A">
        <w:t xml:space="preserve">, 3) improving </w:t>
      </w:r>
      <w:r w:rsidR="00695E1C" w:rsidRPr="00807E6A">
        <w:t>efforts to reach the poor</w:t>
      </w:r>
      <w:r w:rsidR="00B23B5B" w:rsidRPr="00807E6A">
        <w:t xml:space="preserve"> to increase the likelihood that intended beneficiaries receive the transfers, 4) improving payment technologies to ensure transfers arrive on time</w:t>
      </w:r>
      <w:r w:rsidR="00F270D2" w:rsidRPr="00807E6A">
        <w:t>,</w:t>
      </w:r>
      <w:r w:rsidR="00B23B5B" w:rsidRPr="00807E6A">
        <w:t xml:space="preserve"> are easily accessible</w:t>
      </w:r>
      <w:r w:rsidR="00F270D2" w:rsidRPr="00807E6A">
        <w:t xml:space="preserve"> and reduce fraud</w:t>
      </w:r>
      <w:r w:rsidR="000502A4" w:rsidRPr="00807E6A">
        <w:t>,</w:t>
      </w:r>
      <w:r w:rsidR="006D3FE9" w:rsidRPr="00807E6A">
        <w:t xml:space="preserve"> and</w:t>
      </w:r>
      <w:r w:rsidR="00B23B5B" w:rsidRPr="00807E6A">
        <w:t xml:space="preserve"> 5) ensuring </w:t>
      </w:r>
      <w:r w:rsidR="00A352E1" w:rsidRPr="00807E6A">
        <w:t xml:space="preserve">the </w:t>
      </w:r>
      <w:r w:rsidR="00B23B5B" w:rsidRPr="00807E6A">
        <w:t xml:space="preserve">quality of the </w:t>
      </w:r>
      <w:r w:rsidR="00695E1C" w:rsidRPr="00807E6A">
        <w:t xml:space="preserve">programs and overarching </w:t>
      </w:r>
      <w:r w:rsidR="00B23B5B" w:rsidRPr="00807E6A">
        <w:t xml:space="preserve">system </w:t>
      </w:r>
      <w:r w:rsidR="006D3FE9" w:rsidRPr="00807E6A">
        <w:t xml:space="preserve">by engaging in areas such as </w:t>
      </w:r>
      <w:r w:rsidR="00695E1C" w:rsidRPr="00807E6A">
        <w:t xml:space="preserve">conditionalities, program messaging, </w:t>
      </w:r>
      <w:r w:rsidR="00B23B5B" w:rsidRPr="00807E6A">
        <w:t>developing grievance mechanisms</w:t>
      </w:r>
      <w:r w:rsidR="00825290" w:rsidRPr="00807E6A">
        <w:t xml:space="preserve"> and building management information systems.</w:t>
      </w:r>
      <w:r w:rsidR="00B23B5B" w:rsidRPr="00807E6A">
        <w:t xml:space="preserve">  </w:t>
      </w:r>
    </w:p>
    <w:p w14:paraId="1BAAB90A" w14:textId="77777777" w:rsidR="0023282E" w:rsidRPr="00FB6763" w:rsidRDefault="00FF52E9" w:rsidP="00FB6763">
      <w:pPr>
        <w:pStyle w:val="bullets"/>
      </w:pPr>
      <w:r w:rsidRPr="006D3FE9">
        <w:rPr>
          <w:b/>
        </w:rPr>
        <w:t xml:space="preserve">Strengthening </w:t>
      </w:r>
      <w:r w:rsidR="00E00DE3" w:rsidRPr="006D3FE9">
        <w:rPr>
          <w:b/>
        </w:rPr>
        <w:t>partner government</w:t>
      </w:r>
      <w:r w:rsidRPr="006D3FE9">
        <w:rPr>
          <w:b/>
        </w:rPr>
        <w:t xml:space="preserve"> and other stakeholders’ </w:t>
      </w:r>
      <w:r w:rsidR="00A91945" w:rsidRPr="006D3FE9">
        <w:rPr>
          <w:b/>
        </w:rPr>
        <w:t>knowledge o</w:t>
      </w:r>
      <w:r w:rsidRPr="006D3FE9">
        <w:rPr>
          <w:b/>
        </w:rPr>
        <w:t>n social protection</w:t>
      </w:r>
      <w:r>
        <w:rPr>
          <w:b/>
        </w:rPr>
        <w:t xml:space="preserve"> </w:t>
      </w:r>
      <w:r w:rsidR="00F8073A">
        <w:t>–</w:t>
      </w:r>
      <w:r w:rsidR="004A7EDB" w:rsidRPr="00EA7EF1">
        <w:t xml:space="preserve"> </w:t>
      </w:r>
      <w:r w:rsidR="006D3FE9">
        <w:t>To s</w:t>
      </w:r>
      <w:r w:rsidR="00F8073A">
        <w:t>upport</w:t>
      </w:r>
      <w:r w:rsidR="006D3FE9">
        <w:t xml:space="preserve"> </w:t>
      </w:r>
      <w:r w:rsidR="00E00DE3">
        <w:t>our work on refining and developing government systems</w:t>
      </w:r>
      <w:r w:rsidR="0040387A">
        <w:t>,</w:t>
      </w:r>
      <w:r w:rsidR="00E00DE3">
        <w:t xml:space="preserve"> </w:t>
      </w:r>
      <w:r w:rsidR="006D3FE9">
        <w:t xml:space="preserve">we </w:t>
      </w:r>
      <w:r w:rsidR="00E00DE3">
        <w:t xml:space="preserve">will </w:t>
      </w:r>
      <w:r w:rsidR="00381E77">
        <w:t>focus on</w:t>
      </w:r>
      <w:r w:rsidR="00E00DE3">
        <w:t xml:space="preserve"> knowledge sharing and</w:t>
      </w:r>
      <w:r w:rsidR="00381E77">
        <w:t xml:space="preserve"> triangular cooperation</w:t>
      </w:r>
      <w:r w:rsidR="00F270D2">
        <w:t>.</w:t>
      </w:r>
      <w:r w:rsidR="00E00DE3" w:rsidRPr="002A738C">
        <w:rPr>
          <w:rStyle w:val="FootnoteReference"/>
          <w:rFonts w:asciiTheme="minorHAnsi" w:hAnsiTheme="minorHAnsi" w:cstheme="minorHAnsi"/>
        </w:rPr>
        <w:footnoteReference w:id="39"/>
      </w:r>
      <w:r w:rsidR="00381E77" w:rsidRPr="002A738C">
        <w:t xml:space="preserve"> </w:t>
      </w:r>
      <w:r w:rsidR="004A7EDB" w:rsidRPr="00EA7EF1">
        <w:t>Facilitating develo</w:t>
      </w:r>
      <w:r w:rsidR="00381E77">
        <w:t>ping countries to learn from one an</w:t>
      </w:r>
      <w:r w:rsidR="00F270D2">
        <w:t>other in social protection</w:t>
      </w:r>
      <w:r w:rsidR="004A7EDB" w:rsidRPr="00EA7EF1">
        <w:t xml:space="preserve"> </w:t>
      </w:r>
      <w:r w:rsidR="00F8073A">
        <w:t>will</w:t>
      </w:r>
      <w:r w:rsidR="004A7EDB" w:rsidRPr="00EA7EF1">
        <w:t xml:space="preserve"> remain a priority area for </w:t>
      </w:r>
      <w:r w:rsidR="006D3FE9">
        <w:t>Australia</w:t>
      </w:r>
      <w:r w:rsidR="004A7EDB" w:rsidRPr="00EA7EF1">
        <w:t>.</w:t>
      </w:r>
      <w:r w:rsidR="004A7EDB" w:rsidRPr="00EA7EF1">
        <w:rPr>
          <w:b/>
        </w:rPr>
        <w:t xml:space="preserve"> </w:t>
      </w:r>
      <w:r w:rsidR="004A7EDB" w:rsidRPr="00EA7EF1">
        <w:t xml:space="preserve">Social protection is a sector which lends itself to </w:t>
      </w:r>
      <w:r w:rsidR="00E00DE3">
        <w:t xml:space="preserve">countries </w:t>
      </w:r>
      <w:r w:rsidR="005B5344">
        <w:t xml:space="preserve">sharing lessons as </w:t>
      </w:r>
      <w:r w:rsidR="008A36F3">
        <w:t xml:space="preserve">most </w:t>
      </w:r>
      <w:r w:rsidR="004A7EDB" w:rsidRPr="00EA7EF1">
        <w:t xml:space="preserve">are grappling with </w:t>
      </w:r>
      <w:r w:rsidR="004A7EDB" w:rsidRPr="00EA7EF1">
        <w:lastRenderedPageBreak/>
        <w:t xml:space="preserve">similar issues.  </w:t>
      </w:r>
      <w:r w:rsidR="00855080">
        <w:t>Australia</w:t>
      </w:r>
      <w:r w:rsidR="004A7EDB" w:rsidRPr="00EA7EF1">
        <w:t xml:space="preserve"> has already established a number of mechanisms for this type of </w:t>
      </w:r>
      <w:r w:rsidR="008A36F3">
        <w:t>knowledge sharing</w:t>
      </w:r>
      <w:r w:rsidR="00381E77">
        <w:t xml:space="preserve">. We </w:t>
      </w:r>
      <w:r w:rsidR="00F270D2">
        <w:t xml:space="preserve">have </w:t>
      </w:r>
      <w:r w:rsidR="00381E77">
        <w:t>facilitate</w:t>
      </w:r>
      <w:r w:rsidR="00F270D2">
        <w:t>d</w:t>
      </w:r>
      <w:r w:rsidR="00381E77">
        <w:t xml:space="preserve"> international k</w:t>
      </w:r>
      <w:r w:rsidR="00945782">
        <w:t xml:space="preserve">nowledge sharing events, </w:t>
      </w:r>
      <w:r w:rsidR="00F270D2">
        <w:t>brought</w:t>
      </w:r>
      <w:r w:rsidR="00381E77">
        <w:t xml:space="preserve"> countries together for more focused, hands-on knowledge transfer and </w:t>
      </w:r>
      <w:r w:rsidR="00F270D2">
        <w:t>supported a web space</w:t>
      </w:r>
      <w:r w:rsidR="000502A4">
        <w:t xml:space="preserve"> (www.socialprotection</w:t>
      </w:r>
      <w:r w:rsidR="000502A4" w:rsidRPr="000502A4">
        <w:t>.org)</w:t>
      </w:r>
      <w:r w:rsidR="00F270D2" w:rsidRPr="000502A4">
        <w:t xml:space="preserve"> which, as well as being a repository for relevant documents, facilitate</w:t>
      </w:r>
      <w:r w:rsidR="000502A4" w:rsidRPr="000502A4">
        <w:t>s</w:t>
      </w:r>
      <w:r w:rsidR="00F270D2" w:rsidRPr="000502A4">
        <w:t xml:space="preserve"> virtual discussions on issues of mutual interest.</w:t>
      </w:r>
      <w:r w:rsidR="00E64217" w:rsidRPr="000502A4">
        <w:t xml:space="preserve"> </w:t>
      </w:r>
      <w:r w:rsidR="008A36F3" w:rsidRPr="000502A4">
        <w:t xml:space="preserve">As </w:t>
      </w:r>
      <w:r w:rsidR="005B0520" w:rsidRPr="000502A4">
        <w:t>the body of literature is thin i</w:t>
      </w:r>
      <w:r w:rsidR="008A36F3" w:rsidRPr="000502A4">
        <w:t>n a number of so</w:t>
      </w:r>
      <w:r w:rsidR="005B0520" w:rsidRPr="000502A4">
        <w:t>cial protection areas</w:t>
      </w:r>
      <w:r w:rsidR="00C9438C" w:rsidRPr="000502A4">
        <w:t>, we will</w:t>
      </w:r>
      <w:r w:rsidR="008A36F3" w:rsidRPr="000502A4">
        <w:t xml:space="preserve"> produce </w:t>
      </w:r>
      <w:r w:rsidR="00F270D2" w:rsidRPr="000502A4">
        <w:t xml:space="preserve">research </w:t>
      </w:r>
      <w:r w:rsidR="008A36F3" w:rsidRPr="000502A4">
        <w:t xml:space="preserve">publications </w:t>
      </w:r>
      <w:r w:rsidR="00F270D2" w:rsidRPr="000502A4">
        <w:t xml:space="preserve">on neglected but important </w:t>
      </w:r>
      <w:r w:rsidR="005B0520" w:rsidRPr="000502A4">
        <w:t>technical issues</w:t>
      </w:r>
      <w:r w:rsidR="008A36F3" w:rsidRPr="000502A4">
        <w:t xml:space="preserve">. </w:t>
      </w:r>
    </w:p>
    <w:p w14:paraId="7F896F99" w14:textId="77777777" w:rsidR="00C90654" w:rsidRPr="00FB6763" w:rsidRDefault="00C90654" w:rsidP="00FB6763">
      <w:pPr>
        <w:pStyle w:val="04BODYTEXT"/>
        <w:spacing w:before="120"/>
      </w:pPr>
      <w:r w:rsidRPr="000502A4">
        <w:t>Th</w:t>
      </w:r>
      <w:r w:rsidR="0099595F" w:rsidRPr="000502A4">
        <w:t>e</w:t>
      </w:r>
      <w:r w:rsidRPr="000502A4">
        <w:t xml:space="preserve"> </w:t>
      </w:r>
      <w:r w:rsidR="00A35CC7" w:rsidRPr="000502A4">
        <w:t xml:space="preserve">strategic </w:t>
      </w:r>
      <w:r w:rsidRPr="000502A4">
        <w:t xml:space="preserve">framework </w:t>
      </w:r>
      <w:r w:rsidR="0099595F" w:rsidRPr="000502A4">
        <w:t xml:space="preserve">depicted in Figure 4 summarises how our work on social protection contributes to </w:t>
      </w:r>
      <w:r w:rsidR="005B0520" w:rsidRPr="000502A4">
        <w:t xml:space="preserve">Australia’s broader aid </w:t>
      </w:r>
      <w:r w:rsidR="006D3FE9" w:rsidRPr="000502A4">
        <w:t>purpose</w:t>
      </w:r>
      <w:r w:rsidRPr="000502A4">
        <w:t>.</w:t>
      </w:r>
      <w:r w:rsidRPr="00A35CC7">
        <w:t xml:space="preserve"> </w:t>
      </w:r>
    </w:p>
    <w:p w14:paraId="568B3EE9" w14:textId="77777777" w:rsidR="00C90654" w:rsidRDefault="00C90654" w:rsidP="00FB6763">
      <w:pPr>
        <w:pStyle w:val="Figurehead"/>
      </w:pPr>
      <w:r w:rsidRPr="00807E6A">
        <w:t xml:space="preserve">Figure </w:t>
      </w:r>
      <w:r w:rsidR="0099595F" w:rsidRPr="00807E6A">
        <w:t>4</w:t>
      </w:r>
      <w:r w:rsidRPr="006D3FE9">
        <w:t xml:space="preserve"> </w:t>
      </w:r>
      <w:r w:rsidR="00807E6A">
        <w:t>—</w:t>
      </w:r>
      <w:r w:rsidRPr="006D3FE9">
        <w:t xml:space="preserve"> Strategic framework for Australia’s investments in social protection</w:t>
      </w:r>
    </w:p>
    <w:p w14:paraId="36F95413" w14:textId="5B8F7B45" w:rsidR="00EB655B" w:rsidRPr="00917BFB" w:rsidRDefault="00DF2CD8" w:rsidP="00917BFB">
      <w:pPr>
        <w:pStyle w:val="Figurehead"/>
        <w:rPr>
          <w:rFonts w:asciiTheme="majorHAnsi" w:hAnsiTheme="majorHAnsi"/>
          <w:color w:val="4F81BD" w:themeColor="accent1"/>
          <w:sz w:val="28"/>
          <w:szCs w:val="28"/>
        </w:rPr>
      </w:pPr>
      <w:r>
        <w:rPr>
          <w:rFonts w:asciiTheme="majorHAnsi" w:hAnsiTheme="majorHAnsi"/>
          <w:noProof/>
          <w:color w:val="4F81BD" w:themeColor="accent1"/>
          <w:sz w:val="28"/>
          <w:szCs w:val="28"/>
          <w:lang w:eastAsia="en-AU"/>
        </w:rPr>
        <w:drawing>
          <wp:anchor distT="0" distB="0" distL="114300" distR="114300" simplePos="0" relativeHeight="251661312" behindDoc="0" locked="0" layoutInCell="1" allowOverlap="1" wp14:anchorId="45BE5910" wp14:editId="52A9EA54">
            <wp:simplePos x="0" y="0"/>
            <wp:positionH relativeFrom="margin">
              <wp:align>left</wp:align>
            </wp:positionH>
            <wp:positionV relativeFrom="paragraph">
              <wp:posOffset>180340</wp:posOffset>
            </wp:positionV>
            <wp:extent cx="4991100" cy="3962400"/>
            <wp:effectExtent l="0" t="0" r="0" b="0"/>
            <wp:wrapTopAndBottom/>
            <wp:docPr id="7" name="Picture 7" descr="Sets out how DFAT's approach and priorities will lead to achieving the strategy's objectives which contribute to the aid program's purpose of promoting economic growth and poverty reduction."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eps"/>
                    <pic:cNvPicPr/>
                  </pic:nvPicPr>
                  <pic:blipFill>
                    <a:blip r:embed="rId20">
                      <a:extLst>
                        <a:ext uri="{28A0092B-C50C-407E-A947-70E740481C1C}">
                          <a14:useLocalDpi xmlns:a14="http://schemas.microsoft.com/office/drawing/2010/main" val="0"/>
                        </a:ext>
                      </a:extLst>
                    </a:blip>
                    <a:stretch>
                      <a:fillRect/>
                    </a:stretch>
                  </pic:blipFill>
                  <pic:spPr>
                    <a:xfrm>
                      <a:off x="0" y="0"/>
                      <a:ext cx="4991100" cy="3962400"/>
                    </a:xfrm>
                    <a:prstGeom prst="rect">
                      <a:avLst/>
                    </a:prstGeom>
                  </pic:spPr>
                </pic:pic>
              </a:graphicData>
            </a:graphic>
          </wp:anchor>
        </w:drawing>
      </w:r>
    </w:p>
    <w:p w14:paraId="161B382B" w14:textId="77777777" w:rsidR="000502A4" w:rsidRDefault="000502A4" w:rsidP="00E1225D">
      <w:pPr>
        <w:rPr>
          <w:rFonts w:asciiTheme="majorHAnsi" w:hAnsiTheme="majorHAnsi" w:cstheme="minorHAnsi"/>
          <w:b/>
          <w:color w:val="4F81BD" w:themeColor="accent1"/>
          <w:sz w:val="28"/>
          <w:szCs w:val="28"/>
        </w:rPr>
        <w:sectPr w:rsidR="000502A4" w:rsidSect="00807E6A">
          <w:pgSz w:w="11906" w:h="16838"/>
          <w:pgMar w:top="1440" w:right="1418" w:bottom="1440" w:left="1644" w:header="708" w:footer="708" w:gutter="0"/>
          <w:cols w:space="708"/>
          <w:docGrid w:linePitch="360"/>
        </w:sectPr>
      </w:pPr>
    </w:p>
    <w:p w14:paraId="2D46863D" w14:textId="77777777" w:rsidR="00C27785" w:rsidRPr="00FB6763" w:rsidRDefault="00103B58" w:rsidP="00FB6763">
      <w:pPr>
        <w:pStyle w:val="Heading1"/>
      </w:pPr>
      <w:bookmarkStart w:id="11" w:name="_Toc304799232"/>
      <w:r w:rsidRPr="000502A4">
        <w:lastRenderedPageBreak/>
        <w:t>Approach and delivery</w:t>
      </w:r>
      <w:bookmarkEnd w:id="11"/>
    </w:p>
    <w:p w14:paraId="0598A9FB" w14:textId="77777777" w:rsidR="004A77E1" w:rsidRPr="00FB6763" w:rsidRDefault="00103B58" w:rsidP="00FB6763">
      <w:pPr>
        <w:pStyle w:val="04BODYTEXT"/>
      </w:pPr>
      <w:r w:rsidRPr="000502A4">
        <w:rPr>
          <w:b/>
        </w:rPr>
        <w:t xml:space="preserve">Our core approach is to leverage the partner government’s own investments in social protection where possible. </w:t>
      </w:r>
      <w:r w:rsidRPr="000502A4">
        <w:t xml:space="preserve">We </w:t>
      </w:r>
      <w:r w:rsidR="007119BA" w:rsidRPr="000502A4">
        <w:t xml:space="preserve">assist governments to build their own systems and </w:t>
      </w:r>
      <w:r w:rsidR="00FE61DC" w:rsidRPr="000502A4">
        <w:t xml:space="preserve">mainly </w:t>
      </w:r>
      <w:r w:rsidRPr="000502A4">
        <w:t xml:space="preserve">provide </w:t>
      </w:r>
      <w:r w:rsidR="007119BA" w:rsidRPr="000502A4">
        <w:t xml:space="preserve">this </w:t>
      </w:r>
      <w:r w:rsidRPr="000502A4">
        <w:t xml:space="preserve">support through </w:t>
      </w:r>
      <w:r w:rsidR="0040387A" w:rsidRPr="000502A4">
        <w:t xml:space="preserve">organisations such as </w:t>
      </w:r>
      <w:r w:rsidRPr="000502A4">
        <w:t>the World Bank or managing contractors</w:t>
      </w:r>
      <w:r w:rsidR="007119BA" w:rsidRPr="000502A4">
        <w:t>.</w:t>
      </w:r>
      <w:r w:rsidRPr="000502A4">
        <w:t xml:space="preserve"> An example of this approach is our work in Indonesia. The </w:t>
      </w:r>
      <w:r w:rsidR="00591846" w:rsidRPr="000502A4">
        <w:t xml:space="preserve">Indonesian </w:t>
      </w:r>
      <w:r w:rsidR="0040387A" w:rsidRPr="000502A4">
        <w:t>G</w:t>
      </w:r>
      <w:r w:rsidRPr="000502A4">
        <w:t>overnment invests over $5 billion in social protection</w:t>
      </w:r>
      <w:r w:rsidR="0040387A" w:rsidRPr="000502A4">
        <w:t xml:space="preserve"> annually. Australia contributed </w:t>
      </w:r>
      <w:r w:rsidRPr="000502A4">
        <w:t>approximate</w:t>
      </w:r>
      <w:r w:rsidR="00826071" w:rsidRPr="000502A4">
        <w:t>ly $30</w:t>
      </w:r>
      <w:r w:rsidRPr="000502A4">
        <w:t xml:space="preserve"> million per year</w:t>
      </w:r>
      <w:r w:rsidR="0040387A" w:rsidRPr="000502A4">
        <w:t xml:space="preserve"> to social protection in Indonesia</w:t>
      </w:r>
      <w:r w:rsidRPr="000502A4">
        <w:t xml:space="preserve"> </w:t>
      </w:r>
      <w:r w:rsidR="0040387A" w:rsidRPr="000502A4">
        <w:t>between 2010 and 2015</w:t>
      </w:r>
      <w:r w:rsidRPr="000502A4">
        <w:t xml:space="preserve">. The relatively modest size of </w:t>
      </w:r>
      <w:r w:rsidR="00591846" w:rsidRPr="000502A4">
        <w:t>Australia’s</w:t>
      </w:r>
      <w:r w:rsidRPr="000502A4">
        <w:t xml:space="preserve"> contribution belies its importance, as governments often do not have much flexibility in their funding for system desi</w:t>
      </w:r>
      <w:r w:rsidR="0040387A" w:rsidRPr="000502A4">
        <w:t xml:space="preserve">gn and improvement. </w:t>
      </w:r>
      <w:r w:rsidR="00F9249F" w:rsidRPr="000502A4">
        <w:t>Our funding and policy engagement enable</w:t>
      </w:r>
      <w:r w:rsidRPr="000502A4">
        <w:t xml:space="preserve"> small changes to national social protection programs that have huge impacts. It can also help governments make major ma</w:t>
      </w:r>
      <w:r w:rsidR="0099595F" w:rsidRPr="000502A4">
        <w:t xml:space="preserve">croeconomic reforms </w:t>
      </w:r>
      <w:r w:rsidR="00945782" w:rsidRPr="000502A4">
        <w:t>(see</w:t>
      </w:r>
      <w:r w:rsidR="0099595F" w:rsidRPr="000502A4">
        <w:t xml:space="preserve"> Box 2</w:t>
      </w:r>
      <w:r w:rsidR="00945782" w:rsidRPr="000502A4">
        <w:t>)</w:t>
      </w:r>
      <w:r w:rsidRPr="000502A4">
        <w:t>. Our investments typically</w:t>
      </w:r>
      <w:r>
        <w:t xml:space="preserve"> do not involve providing the direct transfer to </w:t>
      </w:r>
      <w:r w:rsidRPr="00E47804">
        <w:t>individuals or households</w:t>
      </w:r>
      <w:r>
        <w:t>. Australia</w:t>
      </w:r>
      <w:r w:rsidRPr="00E47804">
        <w:t xml:space="preserve"> may </w:t>
      </w:r>
      <w:r>
        <w:t xml:space="preserve">occasionally </w:t>
      </w:r>
      <w:r w:rsidRPr="00E47804">
        <w:t>fund the actual transfers</w:t>
      </w:r>
      <w:r w:rsidR="00E713F5">
        <w:t xml:space="preserve"> in emergency situations or</w:t>
      </w:r>
      <w:r w:rsidRPr="00E47804">
        <w:t xml:space="preserve"> </w:t>
      </w:r>
      <w:r w:rsidR="005B0520">
        <w:t>when demonstrating to partner</w:t>
      </w:r>
      <w:r w:rsidRPr="00E47804">
        <w:t xml:space="preserve"> government</w:t>
      </w:r>
      <w:r w:rsidR="0053682C">
        <w:t>s</w:t>
      </w:r>
      <w:r w:rsidRPr="00E47804">
        <w:t xml:space="preserve"> that certain types of transfers can work, as </w:t>
      </w:r>
      <w:r>
        <w:t>we did in partnership with the U</w:t>
      </w:r>
      <w:r w:rsidR="0040387A">
        <w:t xml:space="preserve">nited Kingdom </w:t>
      </w:r>
      <w:r w:rsidRPr="00E47804">
        <w:t>in</w:t>
      </w:r>
      <w:r>
        <w:t xml:space="preserve"> the ari</w:t>
      </w:r>
      <w:r w:rsidR="0040387A">
        <w:t>d regions of Kenya. The Kenyan G</w:t>
      </w:r>
      <w:r>
        <w:t>overnment now funds a sizable portion of the program.</w:t>
      </w:r>
    </w:p>
    <w:p w14:paraId="4CBDB12A" w14:textId="77777777" w:rsidR="00807E6A" w:rsidRPr="00592BFB" w:rsidRDefault="00807E6A" w:rsidP="00592BFB">
      <w:pPr>
        <w:pStyle w:val="Boxhead2"/>
        <w:rPr>
          <w:i/>
        </w:rPr>
      </w:pPr>
      <w:r w:rsidRPr="00592BFB">
        <w:t>Box 2 —</w:t>
      </w:r>
      <w:r w:rsidRPr="00592BFB">
        <w:rPr>
          <w:i/>
        </w:rPr>
        <w:t xml:space="preserve"> </w:t>
      </w:r>
      <w:r w:rsidRPr="00592BFB">
        <w:t>Australian support to social protection in Indonesia</w:t>
      </w:r>
    </w:p>
    <w:p w14:paraId="24426DD4" w14:textId="77777777" w:rsidR="00807E6A" w:rsidRPr="001921EC" w:rsidRDefault="00807E6A" w:rsidP="00807E6A">
      <w:pPr>
        <w:pStyle w:val="Boxtext"/>
      </w:pPr>
      <w:r w:rsidRPr="00E13691">
        <w:t xml:space="preserve">Despite its short history, Australian aid to social protection systems has achieved some impressive results. Our funding enabled the Indonesian Vice President’s office to establish the National Team for Accelerating Poverty Reduction (TNP2K), a think tank providing strategic policy advice on social protection. Through TNP2K, Australian aid has improved the impact and efficiency of a $5 billion suite of social protection programs. </w:t>
      </w:r>
      <w:r>
        <w:t>Our support for</w:t>
      </w:r>
      <w:r w:rsidRPr="00E13691">
        <w:t xml:space="preserve"> the establishment of the world’s</w:t>
      </w:r>
      <w:r>
        <w:t xml:space="preserve"> second</w:t>
      </w:r>
      <w:r w:rsidRPr="00E13691">
        <w:t xml:space="preserve"> largest social protection database has meant </w:t>
      </w:r>
      <w:r>
        <w:t xml:space="preserve">numerous </w:t>
      </w:r>
      <w:r w:rsidRPr="00E13691">
        <w:t xml:space="preserve">programs could be better targeted. A program for </w:t>
      </w:r>
      <w:r>
        <w:t xml:space="preserve">poor </w:t>
      </w:r>
      <w:r w:rsidRPr="00E13691">
        <w:t xml:space="preserve">students was able to use the data to expand </w:t>
      </w:r>
      <w:r>
        <w:t xml:space="preserve">coverage from </w:t>
      </w:r>
      <w:r w:rsidRPr="00E13691">
        <w:t xml:space="preserve">six million </w:t>
      </w:r>
      <w:r w:rsidRPr="001921EC">
        <w:t xml:space="preserve">students to 21 million in 2015. </w:t>
      </w:r>
    </w:p>
    <w:p w14:paraId="237C2221" w14:textId="77777777" w:rsidR="00807E6A" w:rsidRDefault="00807E6A" w:rsidP="00807E6A">
      <w:pPr>
        <w:pStyle w:val="Boxtext"/>
      </w:pPr>
      <w:r w:rsidRPr="001921EC">
        <w:t xml:space="preserve">The Indonesian social protection system has also been widely credited with facilitating the reduction and eventual removal of the fuel price subsidy while maintaining social stability. This subsidy </w:t>
      </w:r>
      <w:r>
        <w:t>was consuming</w:t>
      </w:r>
      <w:r w:rsidRPr="001921EC">
        <w:t xml:space="preserve"> more </w:t>
      </w:r>
      <w:r>
        <w:t>than 15 per cent of Indonesian G</w:t>
      </w:r>
      <w:r w:rsidRPr="001921EC">
        <w:t>overnment expenditure</w:t>
      </w:r>
      <w:r>
        <w:t xml:space="preserve"> and disproportionately benefited</w:t>
      </w:r>
      <w:r w:rsidRPr="001921EC">
        <w:t xml:space="preserve"> the rich, but the poor stood to lose significantly from its reduction. There </w:t>
      </w:r>
      <w:r>
        <w:t>was</w:t>
      </w:r>
      <w:r w:rsidRPr="001921EC">
        <w:t xml:space="preserve"> tremendous soc</w:t>
      </w:r>
      <w:r>
        <w:t>ial resistance in the past when</w:t>
      </w:r>
      <w:r w:rsidRPr="001921EC">
        <w:t xml:space="preserve"> a reduction </w:t>
      </w:r>
      <w:r>
        <w:t>was</w:t>
      </w:r>
      <w:r w:rsidRPr="001921EC">
        <w:t xml:space="preserve"> slated. Yet with TNP2K’s assistance, recent reductions in the fuel subsidy have been accompanied by a compensation package to soften the economic impact on the poor. TNP2K designed this package and used the unified database to target the 15.5 million poor families deemed as eligible recipients, first in 2013 and again in 2014. The World Bank estimated that this action prevented 6.2 million Indonesians from falling below the poverty line in 2013. </w:t>
      </w:r>
    </w:p>
    <w:p w14:paraId="6C3603BC" w14:textId="77777777" w:rsidR="00807E6A" w:rsidRPr="00FB6763" w:rsidRDefault="00807E6A" w:rsidP="00FB6763">
      <w:pPr>
        <w:pStyle w:val="Boxtext"/>
        <w:rPr>
          <w:color w:val="FF0000"/>
        </w:rPr>
      </w:pPr>
      <w:r w:rsidRPr="001921EC">
        <w:t>In 2015</w:t>
      </w:r>
      <w:r>
        <w:t>,</w:t>
      </w:r>
      <w:r w:rsidRPr="001921EC">
        <w:t xml:space="preserve"> the Jokowi government finally dismantled the petroleum subsidy, and is continuing compensation payments to the poor, including through electronic payments that TNP2K also designed. While a number of factors led to removing the subsidy, TNP2K’s compensation program played a key role not only to protect the poor but also smooth political acceptance. Removing the subsidy freed up </w:t>
      </w:r>
      <w:r>
        <w:t>$19</w:t>
      </w:r>
      <w:r w:rsidRPr="001921EC">
        <w:t xml:space="preserve"> billion which the government has directed to infrastructure and expanding social protection programs.</w:t>
      </w:r>
      <w:r>
        <w:t xml:space="preserve"> The Indonesian Government sees this as an important countercyclical measure to help manage the slowdown in domestic growth.</w:t>
      </w:r>
    </w:p>
    <w:p w14:paraId="6F3A2287" w14:textId="77777777" w:rsidR="005163B9" w:rsidRPr="00FB6763" w:rsidRDefault="003766C8" w:rsidP="00FB6763">
      <w:pPr>
        <w:pStyle w:val="04BODYTEXT"/>
      </w:pPr>
      <w:r w:rsidRPr="003766C8">
        <w:rPr>
          <w:b/>
        </w:rPr>
        <w:t xml:space="preserve">Our approach </w:t>
      </w:r>
      <w:r w:rsidR="00B15D05">
        <w:rPr>
          <w:b/>
        </w:rPr>
        <w:t xml:space="preserve">will </w:t>
      </w:r>
      <w:r w:rsidR="002B4A6B">
        <w:rPr>
          <w:b/>
        </w:rPr>
        <w:t>be adapted to</w:t>
      </w:r>
      <w:r>
        <w:rPr>
          <w:b/>
        </w:rPr>
        <w:t xml:space="preserve"> the</w:t>
      </w:r>
      <w:r w:rsidRPr="003766C8">
        <w:rPr>
          <w:b/>
        </w:rPr>
        <w:t xml:space="preserve"> needs</w:t>
      </w:r>
      <w:r>
        <w:rPr>
          <w:b/>
        </w:rPr>
        <w:t xml:space="preserve"> of our partners</w:t>
      </w:r>
      <w:r w:rsidRPr="003766C8">
        <w:rPr>
          <w:b/>
        </w:rPr>
        <w:t>.</w:t>
      </w:r>
      <w:r>
        <w:rPr>
          <w:b/>
        </w:rPr>
        <w:t xml:space="preserve"> </w:t>
      </w:r>
      <w:r w:rsidRPr="003766C8">
        <w:t xml:space="preserve">All of the countries Australia works with on social protection are at </w:t>
      </w:r>
      <w:r>
        <w:t>different stages of development</w:t>
      </w:r>
      <w:r w:rsidRPr="003766C8">
        <w:t>.</w:t>
      </w:r>
      <w:r>
        <w:t xml:space="preserve"> </w:t>
      </w:r>
      <w:r w:rsidRPr="00BC3A54">
        <w:t>In countries</w:t>
      </w:r>
      <w:r w:rsidRPr="00046A2B">
        <w:t xml:space="preserve"> like Indonesia and the Philippines, </w:t>
      </w:r>
      <w:r>
        <w:t>Australia is</w:t>
      </w:r>
      <w:r w:rsidRPr="00046A2B">
        <w:t xml:space="preserve"> the biggest bilateral donor </w:t>
      </w:r>
      <w:r>
        <w:t>providing</w:t>
      </w:r>
      <w:r w:rsidRPr="00046A2B">
        <w:t xml:space="preserve"> </w:t>
      </w:r>
      <w:r>
        <w:t>funding to large government social protection systems</w:t>
      </w:r>
      <w:r w:rsidRPr="00046A2B">
        <w:t>. In Bangladesh</w:t>
      </w:r>
      <w:r>
        <w:t>,</w:t>
      </w:r>
      <w:r w:rsidRPr="00046A2B">
        <w:t xml:space="preserve"> </w:t>
      </w:r>
      <w:r>
        <w:t>Australia is</w:t>
      </w:r>
      <w:r w:rsidRPr="00046A2B">
        <w:t xml:space="preserve"> a much smaller player but</w:t>
      </w:r>
      <w:r>
        <w:t xml:space="preserve"> provides momentum behind the lead donor, the </w:t>
      </w:r>
      <w:r w:rsidR="0040387A">
        <w:t>United Kingdom</w:t>
      </w:r>
      <w:r>
        <w:t xml:space="preserve">. Through this partnership, Australia works to strengthen the government’s social protection system but also </w:t>
      </w:r>
      <w:r>
        <w:lastRenderedPageBreak/>
        <w:t xml:space="preserve">works with the country’s largest NGO, BRAC, to facilitate access </w:t>
      </w:r>
      <w:r w:rsidR="00D67D2E">
        <w:t xml:space="preserve">for the extremely poor </w:t>
      </w:r>
      <w:r>
        <w:t xml:space="preserve">to the mainstream economy through social protection measures.  </w:t>
      </w:r>
      <w:r w:rsidR="00E73C26">
        <w:t xml:space="preserve">Box 3 </w:t>
      </w:r>
      <w:r w:rsidR="005B0520">
        <w:t xml:space="preserve">further </w:t>
      </w:r>
      <w:r w:rsidR="00E73C26">
        <w:t xml:space="preserve">explains how we will make choices between investments. </w:t>
      </w:r>
    </w:p>
    <w:p w14:paraId="244B9027" w14:textId="77777777" w:rsidR="005163B9" w:rsidRPr="0019211C" w:rsidRDefault="005163B9" w:rsidP="00592BFB">
      <w:pPr>
        <w:pStyle w:val="Boxhead2"/>
      </w:pPr>
      <w:r w:rsidRPr="00FB6763">
        <w:t xml:space="preserve">Box 3 </w:t>
      </w:r>
      <w:proofErr w:type="gramStart"/>
      <w:r w:rsidR="00592BFB" w:rsidRPr="00FB6763">
        <w:t>—</w:t>
      </w:r>
      <w:r w:rsidRPr="00FB6763">
        <w:t xml:space="preserve">  Making</w:t>
      </w:r>
      <w:proofErr w:type="gramEnd"/>
      <w:r w:rsidRPr="00FB6763">
        <w:t xml:space="preserve"> choices – what to do and</w:t>
      </w:r>
      <w:r w:rsidRPr="0019211C">
        <w:t xml:space="preserve"> how to do it?</w:t>
      </w:r>
    </w:p>
    <w:p w14:paraId="01E5EC6F" w14:textId="77777777" w:rsidR="005163B9" w:rsidRDefault="005163B9" w:rsidP="00592BFB">
      <w:pPr>
        <w:pStyle w:val="Boxtext"/>
      </w:pPr>
      <w:r>
        <w:t>Australia will invest in social protection in the areas where it has the greatest likelihood of transformational reform. This will normally be in social assistance due to its focus on the poor but could occasionally be in social insurance if this is assessed to be an inhibitor of a country’s economic growth (examples here could include investments in health insurance, unemployment insurance and pension systems). Each of the strategy’s objectives can be supported by investments in one or more of the priority areas for investment detailed above. Making this investment choice must be informed by:</w:t>
      </w:r>
    </w:p>
    <w:p w14:paraId="6CABFDA4" w14:textId="77777777" w:rsidR="005163B9" w:rsidRDefault="005163B9" w:rsidP="00592BFB">
      <w:pPr>
        <w:pStyle w:val="Boxtext"/>
      </w:pPr>
      <w:r>
        <w:t xml:space="preserve">1) </w:t>
      </w:r>
      <w:r w:rsidRPr="00167A42">
        <w:rPr>
          <w:b/>
        </w:rPr>
        <w:t>The constraints to the poor in participating in the mainstream economy</w:t>
      </w:r>
      <w:r>
        <w:t xml:space="preserve">. Our own assessments here are key to determining if an improved social protection system would likely result in better economic inclusion of the poor. </w:t>
      </w:r>
    </w:p>
    <w:p w14:paraId="1D2E79F0" w14:textId="77777777" w:rsidR="005163B9" w:rsidRDefault="005163B9" w:rsidP="00592BFB">
      <w:pPr>
        <w:pStyle w:val="Boxtext"/>
      </w:pPr>
      <w:r>
        <w:t xml:space="preserve">2) </w:t>
      </w:r>
      <w:r w:rsidRPr="00167A42">
        <w:rPr>
          <w:b/>
        </w:rPr>
        <w:t>The priorities of the government</w:t>
      </w:r>
      <w:r>
        <w:t>.  Social protection addresses risks people face across their whole lifecycle.  This is a huge body of work. Generally we will assist partner governments in areas where our assessment of how social protection can best address key development challenges intersects with what they have identified as their own priority areas of engagement.</w:t>
      </w:r>
    </w:p>
    <w:p w14:paraId="1B08B23F" w14:textId="77777777" w:rsidR="005163B9" w:rsidRPr="00FB6763" w:rsidRDefault="005163B9" w:rsidP="00FB6763">
      <w:pPr>
        <w:pStyle w:val="Boxtext"/>
      </w:pPr>
      <w:r>
        <w:t xml:space="preserve">3) </w:t>
      </w:r>
      <w:r w:rsidRPr="00167A42">
        <w:rPr>
          <w:b/>
        </w:rPr>
        <w:t xml:space="preserve">The </w:t>
      </w:r>
      <w:r>
        <w:rPr>
          <w:b/>
        </w:rPr>
        <w:t xml:space="preserve">involvement </w:t>
      </w:r>
      <w:r w:rsidRPr="00167A42">
        <w:rPr>
          <w:b/>
        </w:rPr>
        <w:t>of other partners</w:t>
      </w:r>
      <w:r>
        <w:t>. Social protection is not a crowded donor space in our region but the involvement of other donors will occasionally act to refine our choices. We will work with any other donors in a country to ensure coordination and no overlap.</w:t>
      </w:r>
    </w:p>
    <w:p w14:paraId="37AAEE5C" w14:textId="77777777" w:rsidR="00CD3250" w:rsidRPr="00FB6763" w:rsidRDefault="003766C8" w:rsidP="00FB6763">
      <w:pPr>
        <w:pStyle w:val="04BODYTEXT"/>
      </w:pPr>
      <w:r w:rsidRPr="00592BFB">
        <w:rPr>
          <w:b/>
        </w:rPr>
        <w:t xml:space="preserve">We will only engage </w:t>
      </w:r>
      <w:r w:rsidR="00E36754" w:rsidRPr="00592BFB">
        <w:rPr>
          <w:b/>
        </w:rPr>
        <w:t>with</w:t>
      </w:r>
      <w:r w:rsidR="00C27785" w:rsidRPr="00592BFB">
        <w:rPr>
          <w:b/>
        </w:rPr>
        <w:t xml:space="preserve"> government</w:t>
      </w:r>
      <w:r w:rsidR="00E36754" w:rsidRPr="00592BFB">
        <w:rPr>
          <w:b/>
        </w:rPr>
        <w:t>s committed</w:t>
      </w:r>
      <w:r w:rsidR="00C27785" w:rsidRPr="00592BFB">
        <w:rPr>
          <w:b/>
        </w:rPr>
        <w:t xml:space="preserve"> to effective, well-managed social protection and </w:t>
      </w:r>
      <w:r w:rsidR="00E36754" w:rsidRPr="00592BFB">
        <w:rPr>
          <w:b/>
        </w:rPr>
        <w:t xml:space="preserve">where </w:t>
      </w:r>
      <w:r w:rsidR="00C27785" w:rsidRPr="00592BFB">
        <w:rPr>
          <w:b/>
        </w:rPr>
        <w:t>there are viable entry points.</w:t>
      </w:r>
      <w:r w:rsidR="00C27785" w:rsidRPr="0040387A">
        <w:t xml:space="preserve"> </w:t>
      </w:r>
      <w:r w:rsidR="00070285" w:rsidRPr="0040387A">
        <w:t xml:space="preserve">All countries should have a social protection system but it does not follow that </w:t>
      </w:r>
      <w:r w:rsidR="0040387A" w:rsidRPr="0040387A">
        <w:t>Australia</w:t>
      </w:r>
      <w:r w:rsidR="00070285" w:rsidRPr="0040387A">
        <w:t xml:space="preserve"> should be investing in socia</w:t>
      </w:r>
      <w:r w:rsidR="00784AC2">
        <w:t xml:space="preserve">l protection in all countries. </w:t>
      </w:r>
      <w:r w:rsidR="00C27785" w:rsidRPr="0040387A">
        <w:t xml:space="preserve">Without </w:t>
      </w:r>
      <w:r w:rsidR="00070285" w:rsidRPr="0040387A">
        <w:t xml:space="preserve">partner </w:t>
      </w:r>
      <w:r w:rsidR="00C27785" w:rsidRPr="0040387A">
        <w:t xml:space="preserve">government buy-in, even very impressive pilot projects will not convince a government to either begin building or reforming a system. There must be champions within </w:t>
      </w:r>
      <w:r w:rsidR="005B0520" w:rsidRPr="0040387A">
        <w:t>government for us to establish</w:t>
      </w:r>
      <w:r w:rsidR="00C27785" w:rsidRPr="0040387A">
        <w:t xml:space="preserve"> meaningful engagement. </w:t>
      </w:r>
      <w:r w:rsidR="004F74F3" w:rsidRPr="0040387A">
        <w:t xml:space="preserve">Occasionally, as is the case in Bangladesh, there will be government support for some </w:t>
      </w:r>
      <w:r w:rsidR="004F74F3" w:rsidRPr="00317A14">
        <w:t>investment outside the government system</w:t>
      </w:r>
      <w:r w:rsidR="008B25BC" w:rsidRPr="00317A14">
        <w:t xml:space="preserve"> if non-government agencies are able to reach target populations</w:t>
      </w:r>
      <w:r w:rsidR="004F74F3" w:rsidRPr="00317A14">
        <w:t xml:space="preserve">. </w:t>
      </w:r>
      <w:r w:rsidR="00C27785" w:rsidRPr="00317A14">
        <w:t>Where government</w:t>
      </w:r>
      <w:r w:rsidR="00B70185" w:rsidRPr="00317A14">
        <w:t>s</w:t>
      </w:r>
      <w:r w:rsidR="00C27785" w:rsidRPr="00317A14">
        <w:t xml:space="preserve"> </w:t>
      </w:r>
      <w:r w:rsidR="00B70185" w:rsidRPr="00317A14">
        <w:t>are</w:t>
      </w:r>
      <w:r w:rsidR="00C27785" w:rsidRPr="00317A14">
        <w:t xml:space="preserve"> at an early stage of learning about social protection, we will engage </w:t>
      </w:r>
      <w:r w:rsidR="00B70185" w:rsidRPr="00317A14">
        <w:t>them</w:t>
      </w:r>
      <w:r w:rsidR="00C27785" w:rsidRPr="00317A14">
        <w:t xml:space="preserve"> in appropriate </w:t>
      </w:r>
      <w:r w:rsidR="00B70185" w:rsidRPr="00317A14">
        <w:t>triangular cooperation</w:t>
      </w:r>
      <w:r w:rsidR="00C27785" w:rsidRPr="00317A14">
        <w:t xml:space="preserve"> to build their understanding of how </w:t>
      </w:r>
      <w:r w:rsidR="00B70185" w:rsidRPr="00317A14">
        <w:t xml:space="preserve">and why </w:t>
      </w:r>
      <w:r w:rsidR="00C27785" w:rsidRPr="00317A14">
        <w:t>neighbouring countries ar</w:t>
      </w:r>
      <w:r w:rsidR="00B70185" w:rsidRPr="00317A14">
        <w:t>e engaging on social protection</w:t>
      </w:r>
      <w:r w:rsidR="00C27785" w:rsidRPr="00317A14">
        <w:t>.</w:t>
      </w:r>
      <w:r w:rsidR="00B01A88" w:rsidRPr="00317A14">
        <w:t xml:space="preserve"> </w:t>
      </w:r>
      <w:r w:rsidR="008B25BC" w:rsidRPr="00317A14">
        <w:t xml:space="preserve">Entry points to social protection investments may be part of investments in other sectors like </w:t>
      </w:r>
      <w:r w:rsidR="0040387A" w:rsidRPr="00317A14">
        <w:t xml:space="preserve">the Australian aid program’s investments in conditional cash transfers in </w:t>
      </w:r>
      <w:r w:rsidR="008B25BC" w:rsidRPr="00317A14">
        <w:t xml:space="preserve">Burma and </w:t>
      </w:r>
      <w:r w:rsidR="0040387A" w:rsidRPr="00317A14">
        <w:t xml:space="preserve">the </w:t>
      </w:r>
      <w:r w:rsidR="008B25BC" w:rsidRPr="00317A14">
        <w:t>Philippine</w:t>
      </w:r>
      <w:r w:rsidR="0040387A" w:rsidRPr="00317A14">
        <w:t>s</w:t>
      </w:r>
      <w:r w:rsidR="00784AC2" w:rsidRPr="00317A14">
        <w:t>,</w:t>
      </w:r>
      <w:r w:rsidR="008B25BC" w:rsidRPr="00317A14">
        <w:t xml:space="preserve"> </w:t>
      </w:r>
      <w:r w:rsidR="00070285" w:rsidRPr="00317A14">
        <w:t>which aim</w:t>
      </w:r>
      <w:r w:rsidR="008B25BC" w:rsidRPr="00317A14">
        <w:t xml:space="preserve"> to improve education outcomes. </w:t>
      </w:r>
    </w:p>
    <w:p w14:paraId="3387003C" w14:textId="77777777" w:rsidR="00CD3250" w:rsidRPr="00FB6763" w:rsidRDefault="00CD3250" w:rsidP="00592BFB">
      <w:pPr>
        <w:pStyle w:val="04BODYTEXT"/>
      </w:pPr>
      <w:r w:rsidRPr="00317A14">
        <w:rPr>
          <w:b/>
        </w:rPr>
        <w:t xml:space="preserve">We will exploit overlaps with other development sectors, </w:t>
      </w:r>
      <w:r w:rsidR="00E36754" w:rsidRPr="00317A14">
        <w:rPr>
          <w:b/>
        </w:rPr>
        <w:t xml:space="preserve">with a particular focus on the </w:t>
      </w:r>
      <w:r w:rsidRPr="00317A14">
        <w:rPr>
          <w:b/>
        </w:rPr>
        <w:t>humanitarian</w:t>
      </w:r>
      <w:r w:rsidR="00E36754" w:rsidRPr="00317A14">
        <w:rPr>
          <w:b/>
        </w:rPr>
        <w:t xml:space="preserve"> sector</w:t>
      </w:r>
      <w:r w:rsidRPr="00317A14">
        <w:rPr>
          <w:b/>
        </w:rPr>
        <w:t xml:space="preserve">.  </w:t>
      </w:r>
      <w:r w:rsidRPr="00317A14">
        <w:t xml:space="preserve">Social protection crosses paths with most other key development sectors and Australia will pursue synergies within these areas including in health, nutrition, education, financial inclusion, gender, disability, agriculture, humanitarian response and disaster risk reduction (DRR). </w:t>
      </w:r>
      <w:r w:rsidR="00B70185" w:rsidRPr="00317A14">
        <w:t>Complementing and s</w:t>
      </w:r>
      <w:r w:rsidR="00AF1297" w:rsidRPr="00317A14">
        <w:t xml:space="preserve">trengthening </w:t>
      </w:r>
      <w:r w:rsidR="00A74457" w:rsidRPr="00317A14">
        <w:t xml:space="preserve">service delivery </w:t>
      </w:r>
      <w:r w:rsidR="00B70185" w:rsidRPr="00317A14">
        <w:t>through social protection is an important</w:t>
      </w:r>
      <w:r w:rsidR="00B70185">
        <w:t xml:space="preserve"> area of work. Less work has been done to date on the</w:t>
      </w:r>
      <w:r w:rsidRPr="00CD3250">
        <w:t xml:space="preserve"> </w:t>
      </w:r>
      <w:r w:rsidR="00E36754">
        <w:t xml:space="preserve">intersection with </w:t>
      </w:r>
      <w:r w:rsidRPr="00CD3250">
        <w:t xml:space="preserve">humanitarian </w:t>
      </w:r>
      <w:r w:rsidR="00E36754">
        <w:t xml:space="preserve">action </w:t>
      </w:r>
      <w:r w:rsidR="003375E8">
        <w:t>in the suite of emergency response options normally considered by DFAT</w:t>
      </w:r>
      <w:r w:rsidRPr="00CD3250">
        <w:t>.</w:t>
      </w:r>
      <w:r w:rsidR="00B22675">
        <w:t xml:space="preserve"> </w:t>
      </w:r>
      <w:r w:rsidR="008345B4">
        <w:t>A</w:t>
      </w:r>
      <w:r w:rsidR="003375E8">
        <w:t>s</w:t>
      </w:r>
      <w:r w:rsidRPr="00CD3250">
        <w:t xml:space="preserve"> a disaster risk </w:t>
      </w:r>
      <w:r w:rsidRPr="00B44BCD">
        <w:t xml:space="preserve">reduction tool, social protection can increase resilience to disasters and other shocks by improving </w:t>
      </w:r>
      <w:r w:rsidR="005163B9" w:rsidRPr="00B44BCD">
        <w:t>individual</w:t>
      </w:r>
      <w:r w:rsidR="00B70185" w:rsidRPr="00B44BCD">
        <w:t>s</w:t>
      </w:r>
      <w:r w:rsidR="005163B9" w:rsidRPr="00B44BCD">
        <w:t>’</w:t>
      </w:r>
      <w:r w:rsidRPr="00B44BCD">
        <w:t xml:space="preserve"> ability to cope</w:t>
      </w:r>
      <w:r w:rsidR="003B6A34" w:rsidRPr="00B44BCD">
        <w:t xml:space="preserve"> and not resort </w:t>
      </w:r>
      <w:r w:rsidR="003B6A34" w:rsidRPr="00B44BCD">
        <w:lastRenderedPageBreak/>
        <w:t>to survival measure</w:t>
      </w:r>
      <w:r w:rsidR="00DA4A02" w:rsidRPr="00B44BCD">
        <w:t>s</w:t>
      </w:r>
      <w:r w:rsidR="003B6A34" w:rsidRPr="00B44BCD">
        <w:t>, such as selling productive asset</w:t>
      </w:r>
      <w:r w:rsidR="00DA4A02" w:rsidRPr="00B44BCD">
        <w:t>s</w:t>
      </w:r>
      <w:r w:rsidR="003B6A34" w:rsidRPr="00B44BCD">
        <w:t>, which would entrench poverty</w:t>
      </w:r>
      <w:r w:rsidR="00C24F1E" w:rsidRPr="00B44BCD">
        <w:t>.</w:t>
      </w:r>
      <w:r w:rsidRPr="00B44BCD">
        <w:rPr>
          <w:rStyle w:val="FootnoteReference"/>
          <w:rFonts w:asciiTheme="minorHAnsi" w:hAnsiTheme="minorHAnsi" w:cstheme="minorHAnsi"/>
        </w:rPr>
        <w:footnoteReference w:id="40"/>
      </w:r>
      <w:r w:rsidR="00FC551D" w:rsidRPr="00B44BCD">
        <w:t xml:space="preserve"> </w:t>
      </w:r>
      <w:r w:rsidRPr="00B44BCD">
        <w:t>In emergencies, cash</w:t>
      </w:r>
      <w:r w:rsidR="008345B4" w:rsidRPr="00B44BCD">
        <w:t xml:space="preserve"> and voucher-based transfers</w:t>
      </w:r>
      <w:r w:rsidRPr="00B44BCD">
        <w:t xml:space="preserve"> </w:t>
      </w:r>
      <w:r w:rsidR="008345B4" w:rsidRPr="00B44BCD">
        <w:t>are</w:t>
      </w:r>
      <w:r w:rsidRPr="00B44BCD">
        <w:t xml:space="preserve"> becoming a more common tool</w:t>
      </w:r>
      <w:r w:rsidR="003B6A34" w:rsidRPr="00B44BCD">
        <w:t xml:space="preserve"> and work in this area will be prioritised, especially as it intersects with existing social protection measures. </w:t>
      </w:r>
      <w:r w:rsidRPr="00B44BCD">
        <w:t>The World Food Programme, one of our major partners in humanitarian efforts, expects a third</w:t>
      </w:r>
      <w:r w:rsidRPr="00CD3250">
        <w:t xml:space="preserve"> of its assistance to be delivered in cash, vouchers and digital food. In the Philippines, after Typhoon Haiyan, UN organisations made use of the existing social protection system to distribute assistance to the poor which has acted as a</w:t>
      </w:r>
      <w:r w:rsidR="00FC551D">
        <w:t>n example</w:t>
      </w:r>
      <w:r w:rsidRPr="00CD3250">
        <w:t xml:space="preserve"> for others in the region. </w:t>
      </w:r>
      <w:r w:rsidR="00FC551D">
        <w:t>Some countries</w:t>
      </w:r>
      <w:r w:rsidRPr="00CD3250">
        <w:t xml:space="preserve"> in the Pacific have indicated a</w:t>
      </w:r>
      <w:r w:rsidR="00FC551D">
        <w:t>n interest in better integrating</w:t>
      </w:r>
      <w:r w:rsidRPr="00CD3250">
        <w:t xml:space="preserve"> their social protection systems with their humanitarian response measures. </w:t>
      </w:r>
      <w:r w:rsidR="00FC551D">
        <w:t xml:space="preserve">We will investigate the feasibility of </w:t>
      </w:r>
      <w:r w:rsidRPr="00CD3250">
        <w:t xml:space="preserve">Australian support </w:t>
      </w:r>
      <w:r w:rsidR="00FC551D">
        <w:t>in this area</w:t>
      </w:r>
      <w:r w:rsidRPr="00CD3250">
        <w:t xml:space="preserve">. </w:t>
      </w:r>
    </w:p>
    <w:p w14:paraId="5D20DC34" w14:textId="77777777" w:rsidR="004F3FC4" w:rsidRPr="00FB6763" w:rsidRDefault="00C84BEF" w:rsidP="00FB6763">
      <w:pPr>
        <w:pStyle w:val="04BODYTEXT"/>
      </w:pPr>
      <w:r>
        <w:rPr>
          <w:b/>
        </w:rPr>
        <w:t xml:space="preserve">We will </w:t>
      </w:r>
      <w:r w:rsidRPr="00CD3250">
        <w:rPr>
          <w:b/>
        </w:rPr>
        <w:t xml:space="preserve">explore opportunities to promote private sector development </w:t>
      </w:r>
      <w:r>
        <w:rPr>
          <w:b/>
        </w:rPr>
        <w:t>w</w:t>
      </w:r>
      <w:r w:rsidRPr="00CD3250">
        <w:rPr>
          <w:b/>
        </w:rPr>
        <w:t xml:space="preserve">hen </w:t>
      </w:r>
      <w:r>
        <w:rPr>
          <w:b/>
        </w:rPr>
        <w:t xml:space="preserve">assisting governments to </w:t>
      </w:r>
      <w:r w:rsidRPr="00CD3250">
        <w:rPr>
          <w:b/>
        </w:rPr>
        <w:t>develo</w:t>
      </w:r>
      <w:r>
        <w:rPr>
          <w:b/>
        </w:rPr>
        <w:t>p and refine</w:t>
      </w:r>
      <w:r w:rsidRPr="00CD3250">
        <w:rPr>
          <w:b/>
        </w:rPr>
        <w:t xml:space="preserve"> social protection systems.</w:t>
      </w:r>
      <w:r w:rsidRPr="00CD3250">
        <w:t xml:space="preserve"> </w:t>
      </w:r>
      <w:r>
        <w:t xml:space="preserve">Social protection supports private sector development in a number of ways. Firstly, </w:t>
      </w:r>
      <w:r w:rsidRPr="00CD3250">
        <w:t xml:space="preserve">a high proportion of people in </w:t>
      </w:r>
      <w:r>
        <w:t xml:space="preserve">the </w:t>
      </w:r>
      <w:r w:rsidR="00A43F82">
        <w:t>Indo-</w:t>
      </w:r>
      <w:r>
        <w:t xml:space="preserve">Pacific </w:t>
      </w:r>
      <w:r w:rsidRPr="00CD3250">
        <w:t>work in small, often family-run businesses</w:t>
      </w:r>
      <w:r>
        <w:t xml:space="preserve">. They have little ability to tolerate the risk that business expansion can involve. Social protection, by providing predictable support, can </w:t>
      </w:r>
      <w:r w:rsidRPr="00CD3250">
        <w:t>promote risk taking and entrepreneurship</w:t>
      </w:r>
      <w:r w:rsidR="006842A6">
        <w:t xml:space="preserve"> and </w:t>
      </w:r>
      <w:r>
        <w:t xml:space="preserve">should be part of any integrated pro-poor private sector </w:t>
      </w:r>
      <w:r w:rsidRPr="00B44BCD">
        <w:t>development strategy</w:t>
      </w:r>
      <w:r w:rsidR="00C24F1E" w:rsidRPr="00B44BCD">
        <w:t>.</w:t>
      </w:r>
      <w:r w:rsidRPr="00B44BCD">
        <w:rPr>
          <w:rStyle w:val="FootnoteReference"/>
          <w:rFonts w:asciiTheme="minorHAnsi" w:hAnsiTheme="minorHAnsi" w:cstheme="minorHAnsi"/>
        </w:rPr>
        <w:footnoteReference w:id="41"/>
      </w:r>
      <w:r w:rsidRPr="00B44BCD">
        <w:t xml:space="preserve"> Secondly, social protection has the ability to support linkages to the labour market and skills development. This has been identified as a need in a number of our partner countries and should be supported. Thirdly, the private sector often has an important role to play in the delivery of transfers. W</w:t>
      </w:r>
      <w:r w:rsidR="00DA4A02" w:rsidRPr="00B44BCD">
        <w:t>her</w:t>
      </w:r>
      <w:r w:rsidRPr="00B44BCD">
        <w:t xml:space="preserve">e </w:t>
      </w:r>
      <w:r w:rsidR="00DA4A02" w:rsidRPr="00B44BCD">
        <w:t xml:space="preserve">appropriate, we </w:t>
      </w:r>
      <w:r w:rsidRPr="00B44BCD">
        <w:t xml:space="preserve">will explore further </w:t>
      </w:r>
      <w:r w:rsidR="00372659" w:rsidRPr="00B44BCD">
        <w:t>engagements with</w:t>
      </w:r>
      <w:r w:rsidRPr="00B44BCD">
        <w:t xml:space="preserve"> the formal private sector </w:t>
      </w:r>
      <w:r w:rsidR="00372659" w:rsidRPr="00B44BCD">
        <w:t>through innovative payment technologies.</w:t>
      </w:r>
      <w:r w:rsidRPr="00B44BCD">
        <w:t xml:space="preserve"> </w:t>
      </w:r>
      <w:r w:rsidR="00372659" w:rsidRPr="00B44BCD">
        <w:t xml:space="preserve">Recent work </w:t>
      </w:r>
      <w:r w:rsidR="006B691D" w:rsidRPr="00B44BCD">
        <w:t xml:space="preserve">on </w:t>
      </w:r>
      <w:r w:rsidR="00120940">
        <w:t xml:space="preserve">electronic transfers </w:t>
      </w:r>
      <w:r w:rsidR="00372659" w:rsidRPr="00B44BCD">
        <w:t>in</w:t>
      </w:r>
      <w:r w:rsidR="0053682C" w:rsidRPr="00B44BCD">
        <w:t xml:space="preserve"> Indonesia has led to </w:t>
      </w:r>
      <w:r w:rsidR="00120940">
        <w:t xml:space="preserve">one </w:t>
      </w:r>
      <w:r w:rsidR="0053682C" w:rsidRPr="00B44BCD">
        <w:t xml:space="preserve">million households gaining access to </w:t>
      </w:r>
      <w:r w:rsidR="00120940">
        <w:t>mobile money</w:t>
      </w:r>
      <w:r w:rsidR="0053682C" w:rsidRPr="00B44BCD">
        <w:t xml:space="preserve">. </w:t>
      </w:r>
      <w:r w:rsidR="00253899" w:rsidRPr="00B44BCD">
        <w:t xml:space="preserve">This new technology has tremendous potential to get resources directly from the state to its citizens living in hard to reach areas.  </w:t>
      </w:r>
      <w:r w:rsidRPr="00B44BCD">
        <w:t xml:space="preserve">Finally, as social protection develops in middle income countries, especially social insurance mechanisms, more private sector opportunities will open up within insurance and financial markets. </w:t>
      </w:r>
      <w:r w:rsidR="006B691D" w:rsidRPr="00B44BCD">
        <w:t xml:space="preserve">Innovative </w:t>
      </w:r>
      <w:r w:rsidR="0072623D" w:rsidRPr="00B44BCD">
        <w:t xml:space="preserve">new </w:t>
      </w:r>
      <w:r w:rsidR="006B691D" w:rsidRPr="00B44BCD">
        <w:t xml:space="preserve">mechanisms, such as weather insurance for poor farmers, </w:t>
      </w:r>
      <w:r w:rsidR="00253899" w:rsidRPr="00B44BCD">
        <w:t>offer</w:t>
      </w:r>
      <w:r w:rsidR="006B691D" w:rsidRPr="00B44BCD">
        <w:t xml:space="preserve"> an interesting opportunit</w:t>
      </w:r>
      <w:r w:rsidR="00253899" w:rsidRPr="00B44BCD">
        <w:t>y</w:t>
      </w:r>
      <w:r w:rsidR="006B691D" w:rsidRPr="00B44BCD">
        <w:t xml:space="preserve"> to link the public and private sectors. </w:t>
      </w:r>
      <w:r w:rsidRPr="00B44BCD">
        <w:t xml:space="preserve">Our work in </w:t>
      </w:r>
      <w:r w:rsidR="002A738C" w:rsidRPr="00B44BCD">
        <w:t>private sector development</w:t>
      </w:r>
      <w:r w:rsidRPr="00B44BCD">
        <w:t xml:space="preserve"> will align with Australia’s focus on growing the size and inclusiveness of the private sector in our partner countries.</w:t>
      </w:r>
      <w:r w:rsidRPr="00CD3250">
        <w:t xml:space="preserve"> </w:t>
      </w:r>
    </w:p>
    <w:p w14:paraId="50ACB1FF" w14:textId="77777777" w:rsidR="00755887" w:rsidRDefault="00FC551D" w:rsidP="00592BFB">
      <w:pPr>
        <w:pStyle w:val="04BODYTEXT"/>
      </w:pPr>
      <w:r>
        <w:rPr>
          <w:b/>
        </w:rPr>
        <w:t>We will ensure that</w:t>
      </w:r>
      <w:r w:rsidR="004F3FC4">
        <w:rPr>
          <w:b/>
        </w:rPr>
        <w:t xml:space="preserve"> Australia’s added value </w:t>
      </w:r>
      <w:r>
        <w:rPr>
          <w:b/>
        </w:rPr>
        <w:t xml:space="preserve">is </w:t>
      </w:r>
      <w:r w:rsidR="004F3FC4">
        <w:rPr>
          <w:b/>
        </w:rPr>
        <w:t>clear</w:t>
      </w:r>
      <w:r>
        <w:rPr>
          <w:b/>
        </w:rPr>
        <w:t xml:space="preserve"> before investing in social protection systems</w:t>
      </w:r>
      <w:r w:rsidR="004F3FC4" w:rsidRPr="003766C8">
        <w:t xml:space="preserve">.  The systems </w:t>
      </w:r>
      <w:r>
        <w:t xml:space="preserve">that </w:t>
      </w:r>
      <w:r w:rsidR="004F3FC4" w:rsidRPr="003766C8">
        <w:t>Australia is investing in are usually</w:t>
      </w:r>
      <w:r w:rsidR="00321AE2">
        <w:t xml:space="preserve"> very large. The value from our</w:t>
      </w:r>
      <w:r w:rsidR="004F3FC4" w:rsidRPr="003766C8">
        <w:t xml:space="preserve"> </w:t>
      </w:r>
      <w:r w:rsidR="00321AE2">
        <w:t>relatively small investment</w:t>
      </w:r>
      <w:r w:rsidR="004F3FC4" w:rsidRPr="003766C8">
        <w:t xml:space="preserve"> </w:t>
      </w:r>
      <w:r w:rsidR="004F3FC4">
        <w:t>has the potential to be lost</w:t>
      </w:r>
      <w:r w:rsidR="00755887">
        <w:t xml:space="preserve"> unless it is focused on leveraging the partner governments’ own funding</w:t>
      </w:r>
      <w:r w:rsidR="004F3FC4" w:rsidRPr="003766C8">
        <w:t xml:space="preserve">.  </w:t>
      </w:r>
      <w:r w:rsidR="004F3FC4">
        <w:t>Australia’s value-add</w:t>
      </w:r>
      <w:r w:rsidR="004F3FC4" w:rsidRPr="003766C8">
        <w:t xml:space="preserve"> often hinges on the flexibility that a donor has to fund research, pilots, technical assistance and knowledge sharing that a large, cumbersome partner government program is often unable to fund. </w:t>
      </w:r>
    </w:p>
    <w:p w14:paraId="0C356E30" w14:textId="77777777" w:rsidR="005163B9" w:rsidRDefault="004F3FC4" w:rsidP="00592BFB">
      <w:pPr>
        <w:pStyle w:val="04BODYTEXT"/>
        <w:rPr>
          <w:b/>
        </w:rPr>
      </w:pPr>
      <w:r>
        <w:rPr>
          <w:b/>
        </w:rPr>
        <w:t xml:space="preserve">When engaging with partners, we will promote gender equality and social inclusion.  </w:t>
      </w:r>
      <w:r w:rsidRPr="007850E0">
        <w:t>Social</w:t>
      </w:r>
      <w:r>
        <w:t xml:space="preserve"> protection measures are often designed without a clear gender equality approach, and can be structured in ways that work against equality of access.  Given the significant </w:t>
      </w:r>
      <w:r w:rsidR="00B44BCD">
        <w:t>role</w:t>
      </w:r>
      <w:r>
        <w:t xml:space="preserve"> </w:t>
      </w:r>
      <w:r w:rsidR="00B44BCD">
        <w:t xml:space="preserve">that </w:t>
      </w:r>
      <w:r>
        <w:t xml:space="preserve">social protection can </w:t>
      </w:r>
      <w:r w:rsidR="00B44BCD">
        <w:t>have</w:t>
      </w:r>
      <w:r>
        <w:t xml:space="preserve"> in promoting gender equality, Australia will promote dialogue with partners, analysis and technical assistance that improves gender equality access, and assesses the impact of social protection reforms on gender equality. </w:t>
      </w:r>
    </w:p>
    <w:p w14:paraId="78D0E626" w14:textId="77777777" w:rsidR="00AF1297" w:rsidRPr="00592BFB" w:rsidRDefault="003766C8" w:rsidP="00592BFB">
      <w:pPr>
        <w:pStyle w:val="04BODYTEXT"/>
      </w:pPr>
      <w:r w:rsidRPr="003766C8">
        <w:rPr>
          <w:b/>
        </w:rPr>
        <w:t xml:space="preserve">All investments will seek </w:t>
      </w:r>
      <w:r>
        <w:rPr>
          <w:b/>
        </w:rPr>
        <w:t>to</w:t>
      </w:r>
      <w:r w:rsidR="00C27785" w:rsidRPr="003766C8">
        <w:rPr>
          <w:b/>
        </w:rPr>
        <w:t xml:space="preserve"> </w:t>
      </w:r>
      <w:r w:rsidR="00052844">
        <w:rPr>
          <w:b/>
        </w:rPr>
        <w:t>‘do no harm’ by refraining from undermining</w:t>
      </w:r>
      <w:r w:rsidR="00C27785" w:rsidRPr="003766C8">
        <w:rPr>
          <w:b/>
        </w:rPr>
        <w:t xml:space="preserve"> informal social protection</w:t>
      </w:r>
      <w:r w:rsidR="00052844">
        <w:rPr>
          <w:b/>
        </w:rPr>
        <w:t xml:space="preserve"> mechanisms</w:t>
      </w:r>
      <w:r>
        <w:t>.</w:t>
      </w:r>
      <w:r w:rsidR="00C27785" w:rsidRPr="003766C8">
        <w:t xml:space="preserve"> Across all countries, we will pay particular attention to </w:t>
      </w:r>
      <w:r w:rsidR="00C27785" w:rsidRPr="003766C8">
        <w:lastRenderedPageBreak/>
        <w:t xml:space="preserve">informal social protection measures already in place. This is especially relevant in the Pacific where formal social protection measures must work alongside informal </w:t>
      </w:r>
      <w:r w:rsidR="006842A6">
        <w:t>mechanisms</w:t>
      </w:r>
      <w:r w:rsidR="006842A6" w:rsidRPr="006842A6">
        <w:t xml:space="preserve"> </w:t>
      </w:r>
      <w:r w:rsidR="006842A6">
        <w:t xml:space="preserve">like the </w:t>
      </w:r>
      <w:proofErr w:type="spellStart"/>
      <w:r w:rsidR="006842A6" w:rsidRPr="003766C8">
        <w:t>Wantok</w:t>
      </w:r>
      <w:proofErr w:type="spellEnd"/>
      <w:r w:rsidR="006842A6">
        <w:t xml:space="preserve"> </w:t>
      </w:r>
      <w:r w:rsidR="006842A6" w:rsidRPr="00B44BCD">
        <w:t>system</w:t>
      </w:r>
      <w:r w:rsidR="00C27785" w:rsidRPr="00B44BCD">
        <w:t xml:space="preserve">. </w:t>
      </w:r>
      <w:r w:rsidR="00052844" w:rsidRPr="00B44BCD">
        <w:t>When designing new systems, we will e</w:t>
      </w:r>
      <w:r w:rsidR="00C27785" w:rsidRPr="00B44BCD">
        <w:t>ndeavour not to undermine pre-existing family, community and</w:t>
      </w:r>
      <w:r w:rsidR="006842A6" w:rsidRPr="00B44BCD">
        <w:t xml:space="preserve"> informal social protection, while remaining aware that </w:t>
      </w:r>
      <w:r w:rsidR="00C27785" w:rsidRPr="00B44BCD">
        <w:t xml:space="preserve">these existing informal systems </w:t>
      </w:r>
      <w:r w:rsidR="007F6F47" w:rsidRPr="00B44BCD">
        <w:t>are not always robust</w:t>
      </w:r>
      <w:r w:rsidR="00C27785" w:rsidRPr="00B44BCD">
        <w:t xml:space="preserve"> in the face of shocks that affect whole communities.</w:t>
      </w:r>
      <w:r w:rsidR="00C27785" w:rsidRPr="003766C8">
        <w:t xml:space="preserve"> </w:t>
      </w:r>
    </w:p>
    <w:p w14:paraId="011A4149" w14:textId="77777777" w:rsidR="003766C8" w:rsidRPr="00592BFB" w:rsidRDefault="003766C8" w:rsidP="00592BFB">
      <w:pPr>
        <w:pStyle w:val="03HEADING3"/>
      </w:pPr>
      <w:r w:rsidRPr="008A36F3">
        <w:t>Comparative advan</w:t>
      </w:r>
      <w:r w:rsidRPr="00592BFB">
        <w:rPr>
          <w:rStyle w:val="Heading2Char"/>
        </w:rPr>
        <w:t>t</w:t>
      </w:r>
      <w:r w:rsidRPr="008A36F3">
        <w:t>age</w:t>
      </w:r>
    </w:p>
    <w:p w14:paraId="67473C33" w14:textId="2CD07274" w:rsidR="003766C8" w:rsidRPr="003766C8" w:rsidRDefault="003766C8" w:rsidP="00592BFB">
      <w:pPr>
        <w:pStyle w:val="04BODYTEXT"/>
        <w:rPr>
          <w:b/>
          <w:color w:val="4F81BD" w:themeColor="accent1"/>
        </w:rPr>
      </w:pPr>
      <w:r w:rsidRPr="008A36F3">
        <w:rPr>
          <w:b/>
        </w:rPr>
        <w:t xml:space="preserve">Social protection is a relatively new area within </w:t>
      </w:r>
      <w:r w:rsidR="00052844">
        <w:rPr>
          <w:b/>
        </w:rPr>
        <w:t xml:space="preserve">the </w:t>
      </w:r>
      <w:r w:rsidRPr="008A36F3">
        <w:rPr>
          <w:b/>
        </w:rPr>
        <w:t>development</w:t>
      </w:r>
      <w:r w:rsidR="00052844">
        <w:rPr>
          <w:b/>
        </w:rPr>
        <w:t xml:space="preserve"> agenda</w:t>
      </w:r>
      <w:r w:rsidRPr="008A36F3">
        <w:rPr>
          <w:b/>
        </w:rPr>
        <w:t xml:space="preserve"> but Australia already has a clear comparative advantage.</w:t>
      </w:r>
      <w:r w:rsidRPr="008A36F3">
        <w:t xml:space="preserve"> Our region i</w:t>
      </w:r>
      <w:r w:rsidR="00A35CC7">
        <w:t xml:space="preserve">s not crowded with other donors </w:t>
      </w:r>
      <w:r w:rsidR="004B3AE8">
        <w:t>—</w:t>
      </w:r>
      <w:r w:rsidRPr="008A36F3">
        <w:t xml:space="preserve"> the focus of other bilateral grant donors is on Africa and the Middle East, so Australia has an important role to play in </w:t>
      </w:r>
      <w:r w:rsidR="00052844">
        <w:t>bringing global learning to bear to promote and leverage stakeholder buy</w:t>
      </w:r>
      <w:r w:rsidR="009F0619">
        <w:t>-</w:t>
      </w:r>
      <w:r w:rsidR="00052844">
        <w:t xml:space="preserve">in for </w:t>
      </w:r>
      <w:r w:rsidRPr="008A36F3">
        <w:t xml:space="preserve">social protection in </w:t>
      </w:r>
      <w:r w:rsidR="00A43F82">
        <w:t>the Indo-P</w:t>
      </w:r>
      <w:r w:rsidRPr="008A36F3">
        <w:t xml:space="preserve">acific.  Australia’s strengths stem from </w:t>
      </w:r>
      <w:r w:rsidR="00052844">
        <w:t>our</w:t>
      </w:r>
      <w:r w:rsidRPr="008A36F3">
        <w:t xml:space="preserve"> work to date, espec</w:t>
      </w:r>
      <w:r w:rsidR="00C9438C">
        <w:t xml:space="preserve">ially in our region, which has </w:t>
      </w:r>
      <w:r w:rsidRPr="008A36F3">
        <w:t xml:space="preserve">produced strong results. </w:t>
      </w:r>
      <w:r w:rsidR="00F111C5">
        <w:t xml:space="preserve">We are a well-recognised donor in social protection and are part of the Social Protection Interagency Cooperation Board which was established as a G20 initiative and </w:t>
      </w:r>
      <w:r w:rsidR="002A738C">
        <w:t xml:space="preserve">which </w:t>
      </w:r>
      <w:r w:rsidR="00F111C5">
        <w:t xml:space="preserve">is the </w:t>
      </w:r>
      <w:r w:rsidR="00F111C5" w:rsidRPr="00B44BCD">
        <w:t xml:space="preserve">only global forum on social protection. </w:t>
      </w:r>
      <w:r w:rsidRPr="00B44BCD">
        <w:t>We have built up relationships with relevant ministries and become a reliable partner able to source technical resources quickly to assist in reform efforts. We draw this expertise from established partnerships around the globe.  We will continue to cement our position in the region</w:t>
      </w:r>
      <w:r w:rsidR="00052844" w:rsidRPr="00B44BCD">
        <w:t xml:space="preserve"> as</w:t>
      </w:r>
      <w:r w:rsidR="002A738C" w:rsidRPr="00B44BCD">
        <w:t xml:space="preserve"> a</w:t>
      </w:r>
      <w:r w:rsidR="00052844" w:rsidRPr="00B44BCD">
        <w:t xml:space="preserve"> ‘</w:t>
      </w:r>
      <w:r w:rsidR="00F74845" w:rsidRPr="00B44BCD">
        <w:t>p</w:t>
      </w:r>
      <w:r w:rsidR="00052844" w:rsidRPr="00B44BCD">
        <w:t xml:space="preserve">artner of choice’ </w:t>
      </w:r>
      <w:r w:rsidR="00826071" w:rsidRPr="00B44BCD">
        <w:t xml:space="preserve">and a leader in social protection </w:t>
      </w:r>
      <w:r w:rsidRPr="00B44BCD">
        <w:t xml:space="preserve">through </w:t>
      </w:r>
      <w:r w:rsidR="00F74845" w:rsidRPr="00B44BCD">
        <w:t>tailored advice</w:t>
      </w:r>
      <w:r w:rsidR="00226735" w:rsidRPr="00B44BCD">
        <w:t xml:space="preserve">, participation in relevant social protection events, facilitation of </w:t>
      </w:r>
      <w:r w:rsidR="00915334">
        <w:br/>
      </w:r>
      <w:r w:rsidR="00226735" w:rsidRPr="00B44BCD">
        <w:t>cross-country learning</w:t>
      </w:r>
      <w:r w:rsidR="00F74845" w:rsidRPr="00B44BCD">
        <w:t xml:space="preserve"> and </w:t>
      </w:r>
      <w:r w:rsidRPr="00B44BCD">
        <w:t>the production of publications on key social protection issues of interest to our partners.</w:t>
      </w:r>
      <w:r w:rsidRPr="003766C8">
        <w:t xml:space="preserve"> </w:t>
      </w:r>
    </w:p>
    <w:p w14:paraId="32DD5096" w14:textId="77777777" w:rsidR="005B5344" w:rsidRDefault="005B5344" w:rsidP="00E1225D">
      <w:pPr>
        <w:rPr>
          <w:rFonts w:asciiTheme="majorHAnsi" w:hAnsiTheme="majorHAnsi" w:cstheme="minorHAnsi"/>
          <w:b/>
          <w:color w:val="4F81BD" w:themeColor="accent1"/>
          <w:sz w:val="28"/>
          <w:szCs w:val="28"/>
        </w:rPr>
        <w:sectPr w:rsidR="005B5344">
          <w:pgSz w:w="11906" w:h="16838"/>
          <w:pgMar w:top="1440" w:right="1800" w:bottom="1440" w:left="1800" w:header="708" w:footer="708" w:gutter="0"/>
          <w:cols w:space="708"/>
          <w:docGrid w:linePitch="360"/>
        </w:sectPr>
      </w:pPr>
    </w:p>
    <w:p w14:paraId="3A2977D1" w14:textId="4D031609" w:rsidR="00E1225D" w:rsidRPr="00A86A0D" w:rsidRDefault="00E1225D" w:rsidP="00A86A0D">
      <w:pPr>
        <w:pStyle w:val="Heading1"/>
      </w:pPr>
      <w:bookmarkStart w:id="12" w:name="_Toc304799233"/>
      <w:r w:rsidRPr="005B5344">
        <w:lastRenderedPageBreak/>
        <w:t>Performa</w:t>
      </w:r>
      <w:r w:rsidRPr="00592BFB">
        <w:t>nc</w:t>
      </w:r>
      <w:r w:rsidRPr="005B5344">
        <w:t>e</w:t>
      </w:r>
      <w:bookmarkEnd w:id="12"/>
    </w:p>
    <w:p w14:paraId="196E79F7" w14:textId="0A71292B" w:rsidR="00622AC5" w:rsidRPr="00622AC5" w:rsidRDefault="00622AC5" w:rsidP="00592BFB">
      <w:pPr>
        <w:pStyle w:val="04BODYTEXT"/>
      </w:pPr>
      <w:r w:rsidRPr="00386870">
        <w:rPr>
          <w:b/>
        </w:rPr>
        <w:t>The Australian aid program has achieved some impressive results in its relatively short history of supporting social protection programs.</w:t>
      </w:r>
      <w:r w:rsidRPr="00622AC5">
        <w:t xml:space="preserve"> </w:t>
      </w:r>
      <w:proofErr w:type="gramStart"/>
      <w:r w:rsidR="005B5344">
        <w:t xml:space="preserve">Between </w:t>
      </w:r>
      <w:r w:rsidRPr="00622AC5">
        <w:t>2011</w:t>
      </w:r>
      <w:r w:rsidR="005B5344">
        <w:t>–2014</w:t>
      </w:r>
      <w:r w:rsidRPr="00622AC5">
        <w:t>,</w:t>
      </w:r>
      <w:proofErr w:type="gramEnd"/>
      <w:r w:rsidRPr="00622AC5">
        <w:t xml:space="preserve"> the aid program facilitated access to transfers for over 12 million poor and vulnerable people who would not have received them without Australian support. Many more millions have benefited from better managed programs.  </w:t>
      </w:r>
    </w:p>
    <w:p w14:paraId="3E49A89C" w14:textId="77777777" w:rsidR="00622AC5" w:rsidRPr="00592BFB" w:rsidRDefault="00622AC5" w:rsidP="00592BFB">
      <w:pPr>
        <w:pStyle w:val="04BODYTEXT"/>
      </w:pPr>
      <w:r w:rsidRPr="00386870">
        <w:rPr>
          <w:b/>
        </w:rPr>
        <w:t xml:space="preserve">The aid program will </w:t>
      </w:r>
      <w:r w:rsidR="003962FB" w:rsidRPr="00386870">
        <w:rPr>
          <w:b/>
        </w:rPr>
        <w:t>build</w:t>
      </w:r>
      <w:r w:rsidRPr="00386870">
        <w:rPr>
          <w:b/>
        </w:rPr>
        <w:t xml:space="preserve"> the effectiveness of its investments in social protection by identifying lessons learned an</w:t>
      </w:r>
      <w:r w:rsidR="003962FB" w:rsidRPr="00386870">
        <w:rPr>
          <w:b/>
        </w:rPr>
        <w:t>d examples of good practice.</w:t>
      </w:r>
      <w:r w:rsidR="003962FB">
        <w:t xml:space="preserve"> The performance</w:t>
      </w:r>
      <w:r w:rsidRPr="00622AC5">
        <w:t xml:space="preserve"> assessment will be guided by key evaluative questions focu</w:t>
      </w:r>
      <w:r w:rsidR="00F74845">
        <w:t xml:space="preserve">sing on the extent to which Australia’s </w:t>
      </w:r>
      <w:r w:rsidRPr="00622AC5">
        <w:t>investments in social protection:</w:t>
      </w:r>
    </w:p>
    <w:p w14:paraId="2AD64523" w14:textId="77777777" w:rsidR="00622AC5" w:rsidRPr="00B44BCD" w:rsidRDefault="00622AC5" w:rsidP="00592BFB">
      <w:pPr>
        <w:pStyle w:val="bullets"/>
      </w:pPr>
      <w:r w:rsidRPr="00B44BCD">
        <w:t>have improved maternal and child health outco</w:t>
      </w:r>
      <w:r w:rsidR="005B5344">
        <w:t>mes for the poor and vulnerable</w:t>
      </w:r>
      <w:r w:rsidRPr="00B44BCD">
        <w:t xml:space="preserve"> </w:t>
      </w:r>
    </w:p>
    <w:p w14:paraId="792708BB" w14:textId="77777777" w:rsidR="00622AC5" w:rsidRPr="00B44BCD" w:rsidRDefault="00622AC5" w:rsidP="00592BFB">
      <w:pPr>
        <w:pStyle w:val="bullets"/>
      </w:pPr>
      <w:r w:rsidRPr="00B44BCD">
        <w:t>have improved education outcomes (including more children completing b</w:t>
      </w:r>
      <w:r w:rsidR="00925DF6" w:rsidRPr="00B44BCD">
        <w:t>asic education) for poor</w:t>
      </w:r>
      <w:r w:rsidRPr="00B44BCD">
        <w:t xml:space="preserve"> </w:t>
      </w:r>
      <w:r w:rsidR="00F030A2" w:rsidRPr="00B44BCD">
        <w:t xml:space="preserve">and </w:t>
      </w:r>
      <w:r w:rsidRPr="00B44BCD">
        <w:t>vulnerable</w:t>
      </w:r>
      <w:r w:rsidR="00925DF6" w:rsidRPr="00B44BCD">
        <w:t xml:space="preserve"> girls and boys</w:t>
      </w:r>
    </w:p>
    <w:p w14:paraId="6986F6E6" w14:textId="77777777" w:rsidR="00622AC5" w:rsidRPr="00B44BCD" w:rsidRDefault="00622AC5" w:rsidP="00592BFB">
      <w:pPr>
        <w:pStyle w:val="bullets"/>
      </w:pPr>
      <w:r w:rsidRPr="00B44BCD">
        <w:t>have improved the food and nut</w:t>
      </w:r>
      <w:r w:rsidR="00925DF6" w:rsidRPr="00B44BCD">
        <w:t>rition security for poor and</w:t>
      </w:r>
      <w:r w:rsidRPr="00B44BCD">
        <w:t xml:space="preserve"> vulnerable</w:t>
      </w:r>
      <w:r w:rsidR="00925DF6" w:rsidRPr="00B44BCD">
        <w:t xml:space="preserve"> men women and children</w:t>
      </w:r>
    </w:p>
    <w:p w14:paraId="79BAD741" w14:textId="77777777" w:rsidR="00622AC5" w:rsidRPr="00B44BCD" w:rsidRDefault="00622AC5" w:rsidP="00592BFB">
      <w:pPr>
        <w:pStyle w:val="bullets"/>
      </w:pPr>
      <w:r w:rsidRPr="00B44BCD">
        <w:t>have increased the incomes and improved the livelihoods for poor and vulnerable</w:t>
      </w:r>
      <w:r w:rsidR="00925DF6" w:rsidRPr="00B44BCD">
        <w:t xml:space="preserve"> men and women</w:t>
      </w:r>
    </w:p>
    <w:p w14:paraId="0FE0C291" w14:textId="77777777" w:rsidR="00F4311F" w:rsidRPr="00B44BCD" w:rsidRDefault="005B5344" w:rsidP="00592BFB">
      <w:pPr>
        <w:pStyle w:val="bullets"/>
      </w:pPr>
      <w:r>
        <w:t>have impacted gender relations</w:t>
      </w:r>
    </w:p>
    <w:p w14:paraId="3C94E228" w14:textId="77777777" w:rsidR="00622AC5" w:rsidRPr="00622AC5" w:rsidRDefault="00622AC5" w:rsidP="00592BFB">
      <w:pPr>
        <w:pStyle w:val="bullets"/>
      </w:pPr>
      <w:r w:rsidRPr="00B44BCD">
        <w:t xml:space="preserve">have </w:t>
      </w:r>
      <w:r w:rsidR="00F74845" w:rsidRPr="00B44BCD">
        <w:t>increased the use of</w:t>
      </w:r>
      <w:r w:rsidRPr="00B44BCD">
        <w:t xml:space="preserve"> existing social transfer systems to deliver assistance during a disaster or humanitarian</w:t>
      </w:r>
      <w:r w:rsidR="005B5344">
        <w:t xml:space="preserve"> crisis, and</w:t>
      </w:r>
    </w:p>
    <w:p w14:paraId="583B873E" w14:textId="05BC039D" w:rsidR="00925DF6" w:rsidRPr="00622AC5" w:rsidRDefault="00622AC5" w:rsidP="00622AC5">
      <w:pPr>
        <w:pStyle w:val="bullets"/>
      </w:pPr>
      <w:proofErr w:type="gramStart"/>
      <w:r w:rsidRPr="00622AC5">
        <w:t>are</w:t>
      </w:r>
      <w:proofErr w:type="gramEnd"/>
      <w:r w:rsidRPr="00622AC5">
        <w:t xml:space="preserve"> being effectively and efficiently implemented and are achieving their intended impacts</w:t>
      </w:r>
      <w:r w:rsidR="00F74845">
        <w:t xml:space="preserve"> at the individual program level</w:t>
      </w:r>
      <w:r w:rsidRPr="00622AC5">
        <w:t xml:space="preserve">. </w:t>
      </w:r>
    </w:p>
    <w:p w14:paraId="7EC02C23" w14:textId="77777777" w:rsidR="00622AC5" w:rsidRPr="00592BFB" w:rsidRDefault="00622AC5" w:rsidP="00A86A0D">
      <w:pPr>
        <w:pStyle w:val="04BODYTEXT"/>
        <w:spacing w:before="120"/>
      </w:pPr>
      <w:r w:rsidRPr="00386870">
        <w:rPr>
          <w:b/>
        </w:rPr>
        <w:t>We will review annually the performance of the aid program’s overall portfolio investments in social protection.</w:t>
      </w:r>
      <w:r w:rsidRPr="00622AC5">
        <w:t xml:space="preserve"> The outcome of this review will be publicly reported in the annual </w:t>
      </w:r>
      <w:r w:rsidRPr="00622AC5">
        <w:rPr>
          <w:i/>
        </w:rPr>
        <w:t xml:space="preserve">Performance of Australian Aid </w:t>
      </w:r>
      <w:r w:rsidRPr="00622AC5">
        <w:t>report. To inform this assessment, we will collect and analyse information from a number of sources including:</w:t>
      </w:r>
    </w:p>
    <w:p w14:paraId="2D6A3A05" w14:textId="77777777" w:rsidR="00622AC5" w:rsidRPr="00622AC5" w:rsidRDefault="00622AC5" w:rsidP="00592BFB">
      <w:pPr>
        <w:pStyle w:val="bullets"/>
      </w:pPr>
      <w:r w:rsidRPr="00622AC5">
        <w:t xml:space="preserve">Aggregate Development Result (ADR) on the number of poor women and men able to access social transfers, which will deliver a high-level quantitative analysis across </w:t>
      </w:r>
      <w:r w:rsidR="005B5344">
        <w:t>the social protection portfolio</w:t>
      </w:r>
    </w:p>
    <w:p w14:paraId="5F409CAB" w14:textId="77777777" w:rsidR="00622AC5" w:rsidRPr="00622AC5" w:rsidRDefault="00622AC5" w:rsidP="00592BFB">
      <w:pPr>
        <w:pStyle w:val="bullets"/>
      </w:pPr>
      <w:r w:rsidRPr="00622AC5">
        <w:t xml:space="preserve">Aid Quality Checks (AQCs) of country and regional aid investments to understand progress, achievements </w:t>
      </w:r>
      <w:r w:rsidR="005B5344">
        <w:t>and trends across the portfolio</w:t>
      </w:r>
    </w:p>
    <w:p w14:paraId="4CC73791" w14:textId="77777777" w:rsidR="00622AC5" w:rsidRPr="00622AC5" w:rsidRDefault="00622AC5" w:rsidP="00592BFB">
      <w:pPr>
        <w:pStyle w:val="bullets"/>
      </w:pPr>
      <w:r w:rsidRPr="00622AC5">
        <w:t>Annual Program Performance Reports (APPRs) to assess social protection investments i</w:t>
      </w:r>
      <w:r w:rsidR="005B5344">
        <w:t>n country and regional programs</w:t>
      </w:r>
    </w:p>
    <w:p w14:paraId="11ABA1A7" w14:textId="77777777" w:rsidR="00622AC5" w:rsidRPr="00622AC5" w:rsidRDefault="00622AC5" w:rsidP="00592BFB">
      <w:pPr>
        <w:pStyle w:val="bullets"/>
      </w:pPr>
      <w:r w:rsidRPr="00622AC5">
        <w:t>data on social protection indicators collected through investment-level monitoring and evaluation frameworks, and through ex</w:t>
      </w:r>
      <w:r w:rsidR="005B5344">
        <w:t>ternal, independent assessments</w:t>
      </w:r>
    </w:p>
    <w:p w14:paraId="00652D55" w14:textId="77777777" w:rsidR="00622AC5" w:rsidRPr="00622AC5" w:rsidRDefault="00622AC5" w:rsidP="00592BFB">
      <w:pPr>
        <w:pStyle w:val="bullets"/>
      </w:pPr>
      <w:r w:rsidRPr="00622AC5">
        <w:t>case studies on good prac</w:t>
      </w:r>
      <w:r w:rsidR="005B5344">
        <w:t>tice social protection programs</w:t>
      </w:r>
    </w:p>
    <w:p w14:paraId="4488C90E" w14:textId="77777777" w:rsidR="00622AC5" w:rsidRPr="00622AC5" w:rsidRDefault="00622AC5" w:rsidP="00592BFB">
      <w:pPr>
        <w:pStyle w:val="bullets"/>
      </w:pPr>
      <w:r w:rsidRPr="00622AC5">
        <w:t>relevant experience from p</w:t>
      </w:r>
      <w:r w:rsidR="005B5344">
        <w:t>ilots and innovative approaches</w:t>
      </w:r>
    </w:p>
    <w:p w14:paraId="6AAE3B25" w14:textId="3A9A0744" w:rsidR="00622AC5" w:rsidRPr="00A86A0D" w:rsidRDefault="00622AC5" w:rsidP="00622AC5">
      <w:pPr>
        <w:pStyle w:val="bullets"/>
      </w:pPr>
      <w:proofErr w:type="gramStart"/>
      <w:r w:rsidRPr="00622AC5">
        <w:t>in</w:t>
      </w:r>
      <w:proofErr w:type="gramEnd"/>
      <w:r w:rsidRPr="00622AC5">
        <w:t xml:space="preserve"> depth reviews and analysis of emerging trends and opportunities, which will inform future investment decisions and Aid Investment Plans. </w:t>
      </w:r>
    </w:p>
    <w:p w14:paraId="391FE8BD" w14:textId="77777777" w:rsidR="00622AC5" w:rsidRPr="00622AC5" w:rsidRDefault="00622AC5" w:rsidP="00592BFB">
      <w:pPr>
        <w:pStyle w:val="04BODYTEXT"/>
      </w:pPr>
      <w:r w:rsidRPr="00592BFB">
        <w:rPr>
          <w:b/>
        </w:rPr>
        <w:t>A Performance Assessment Note (PAN) will provide a list of indicators and evaluative questions for program areas to draw from in designing social protection investments and associated monitoring and evaluation questions.</w:t>
      </w:r>
      <w:r w:rsidRPr="00622AC5">
        <w:t xml:space="preserve"> The PAN will draw on international experience and consultation with DFAT program areas. </w:t>
      </w:r>
    </w:p>
    <w:p w14:paraId="125A4D8F" w14:textId="77777777" w:rsidR="00622AC5" w:rsidRPr="00622AC5" w:rsidRDefault="00622AC5" w:rsidP="00622AC5">
      <w:pPr>
        <w:rPr>
          <w:rFonts w:asciiTheme="minorHAnsi" w:hAnsiTheme="minorHAnsi" w:cstheme="minorHAnsi"/>
        </w:rPr>
      </w:pPr>
      <w:r w:rsidRPr="00622AC5">
        <w:rPr>
          <w:rFonts w:asciiTheme="minorHAnsi" w:hAnsiTheme="minorHAnsi" w:cstheme="minorHAnsi"/>
        </w:rPr>
        <w:lastRenderedPageBreak/>
        <w:t>The PAN will highlight that program areas should:</w:t>
      </w:r>
    </w:p>
    <w:p w14:paraId="2D5E285D" w14:textId="77777777" w:rsidR="00622AC5" w:rsidRPr="00622AC5" w:rsidRDefault="00622AC5" w:rsidP="00E3666C">
      <w:pPr>
        <w:pStyle w:val="bullets"/>
      </w:pPr>
      <w:r w:rsidRPr="00622AC5">
        <w:t xml:space="preserve">pick indicators that suit the context and program, the choice of which will be informed by the nature of the problem the investment is seeking to address, what solutions have been identified, and what </w:t>
      </w:r>
      <w:r w:rsidR="005B5344">
        <w:t>data can feasibly be collected</w:t>
      </w:r>
    </w:p>
    <w:p w14:paraId="103F4138" w14:textId="77777777" w:rsidR="00622AC5" w:rsidRPr="00622AC5" w:rsidRDefault="00622AC5" w:rsidP="00E3666C">
      <w:pPr>
        <w:pStyle w:val="bullets"/>
      </w:pPr>
      <w:r w:rsidRPr="00622AC5">
        <w:t>combine qua</w:t>
      </w:r>
      <w:r w:rsidR="004C7B69">
        <w:t>ntitative and qualitative data</w:t>
      </w:r>
    </w:p>
    <w:p w14:paraId="65B5B51E" w14:textId="77777777" w:rsidR="00622AC5" w:rsidRPr="00622AC5" w:rsidRDefault="00622AC5" w:rsidP="00E3666C">
      <w:pPr>
        <w:pStyle w:val="bullets"/>
      </w:pPr>
      <w:r w:rsidRPr="00622AC5">
        <w:t>disaggregate data where practicable, includ</w:t>
      </w:r>
      <w:r w:rsidR="005B5344">
        <w:t>ing by gender and by disability,</w:t>
      </w:r>
      <w:r w:rsidRPr="00622AC5">
        <w:t xml:space="preserve"> and </w:t>
      </w:r>
    </w:p>
    <w:p w14:paraId="06F22D73" w14:textId="77777777" w:rsidR="00622AC5" w:rsidRPr="00622AC5" w:rsidRDefault="00622AC5" w:rsidP="00E3666C">
      <w:pPr>
        <w:pStyle w:val="bullets"/>
      </w:pPr>
      <w:r w:rsidRPr="00622AC5">
        <w:t xml:space="preserve">make regular use of feedback to inform and, where necessary, adjust investments to help ensure intermediate changes support long-term results. </w:t>
      </w:r>
    </w:p>
    <w:p w14:paraId="1330C99F" w14:textId="77777777" w:rsidR="005B5344" w:rsidRDefault="005B5344">
      <w:pPr>
        <w:rPr>
          <w:rFonts w:asciiTheme="majorHAnsi" w:hAnsiTheme="majorHAnsi" w:cstheme="minorHAnsi"/>
          <w:b/>
          <w:color w:val="4F81BD" w:themeColor="accent1"/>
          <w:sz w:val="28"/>
          <w:szCs w:val="28"/>
        </w:rPr>
        <w:sectPr w:rsidR="005B5344">
          <w:pgSz w:w="11906" w:h="16838"/>
          <w:pgMar w:top="1440" w:right="1800" w:bottom="1440" w:left="1800" w:header="708" w:footer="708" w:gutter="0"/>
          <w:cols w:space="708"/>
          <w:docGrid w:linePitch="360"/>
        </w:sectPr>
      </w:pPr>
    </w:p>
    <w:p w14:paraId="72E9515E" w14:textId="4215800A" w:rsidR="00E1225D" w:rsidRPr="00A86A0D" w:rsidRDefault="00E1225D" w:rsidP="00A86A0D">
      <w:pPr>
        <w:pStyle w:val="Heading1"/>
      </w:pPr>
      <w:bookmarkStart w:id="13" w:name="_Toc304799234"/>
      <w:r w:rsidRPr="005B5344">
        <w:lastRenderedPageBreak/>
        <w:t>Reso</w:t>
      </w:r>
      <w:r w:rsidRPr="00E3666C">
        <w:t>urces</w:t>
      </w:r>
      <w:bookmarkEnd w:id="13"/>
      <w:r w:rsidRPr="005B5344">
        <w:t xml:space="preserve"> </w:t>
      </w:r>
    </w:p>
    <w:p w14:paraId="7BE38452" w14:textId="77777777" w:rsidR="000A2462" w:rsidRDefault="004D7A5B" w:rsidP="00E3666C">
      <w:pPr>
        <w:pStyle w:val="04BODYTEXT"/>
      </w:pPr>
      <w:r w:rsidRPr="00386870">
        <w:rPr>
          <w:b/>
        </w:rPr>
        <w:t xml:space="preserve">DFAT has been building its financial and staff resources in social protection over the last five years. </w:t>
      </w:r>
      <w:r w:rsidR="0075500D">
        <w:t xml:space="preserve">While most spending will continue to take </w:t>
      </w:r>
      <w:r w:rsidR="0075500D" w:rsidRPr="00B44BCD">
        <w:t>place through bilateral programs</w:t>
      </w:r>
      <w:r w:rsidR="00DA4A02" w:rsidRPr="00B44BCD">
        <w:t>,</w:t>
      </w:r>
      <w:r w:rsidR="0075500D" w:rsidRPr="00B44BCD">
        <w:t xml:space="preserve"> we will also invest in small regional and global initiatives. </w:t>
      </w:r>
      <w:r w:rsidR="00467D20" w:rsidRPr="00B44BCD">
        <w:t>Because our focus is on leveraging our partner governments</w:t>
      </w:r>
      <w:r w:rsidR="002C370E" w:rsidRPr="00B44BCD">
        <w:t>’</w:t>
      </w:r>
      <w:r w:rsidR="00467D20" w:rsidRPr="00B44BCD">
        <w:t xml:space="preserve"> resources, high levels of our own resources are not required to achieve positive impacts</w:t>
      </w:r>
      <w:r w:rsidR="002C370E" w:rsidRPr="00B44BCD">
        <w:t xml:space="preserve">. </w:t>
      </w:r>
      <w:r w:rsidR="00467D20" w:rsidRPr="00B44BCD">
        <w:t xml:space="preserve"> </w:t>
      </w:r>
    </w:p>
    <w:p w14:paraId="6F298130" w14:textId="35F878DE" w:rsidR="00E1225D" w:rsidRDefault="00E1225D" w:rsidP="00E3666C">
      <w:pPr>
        <w:pStyle w:val="Figurehead"/>
      </w:pPr>
      <w:r w:rsidRPr="000F6B1A">
        <w:t xml:space="preserve">Figure </w:t>
      </w:r>
      <w:r w:rsidR="0039697C">
        <w:t>5</w:t>
      </w:r>
      <w:r w:rsidRPr="000F6B1A">
        <w:t xml:space="preserve"> </w:t>
      </w:r>
      <w:r w:rsidR="00E3666C">
        <w:t>—</w:t>
      </w:r>
      <w:r w:rsidRPr="000F6B1A">
        <w:t xml:space="preserve"> </w:t>
      </w:r>
      <w:r>
        <w:t>Australian aid p</w:t>
      </w:r>
      <w:r w:rsidRPr="000F6B1A">
        <w:t>rogram expenditure on social protection</w:t>
      </w:r>
      <w:r>
        <w:t xml:space="preserve"> over last five years</w:t>
      </w:r>
      <w:r w:rsidRPr="000F6B1A">
        <w:t xml:space="preserve"> </w:t>
      </w:r>
      <w:r w:rsidR="007053AC">
        <w:br/>
      </w:r>
      <w:r>
        <w:t>(09/10-13/14)</w:t>
      </w:r>
      <w:r w:rsidRPr="000F6B1A">
        <w:t>, by country</w:t>
      </w:r>
      <w:r w:rsidR="00C03404">
        <w:t xml:space="preserve"> </w:t>
      </w:r>
    </w:p>
    <w:p w14:paraId="6E807EFB" w14:textId="2159A2DA" w:rsidR="00DF2CD8" w:rsidRDefault="00DF2CD8" w:rsidP="00E3666C">
      <w:pPr>
        <w:pStyle w:val="Figurehead"/>
      </w:pPr>
      <w:r>
        <w:rPr>
          <w:noProof/>
          <w:lang w:eastAsia="en-AU"/>
        </w:rPr>
        <w:drawing>
          <wp:anchor distT="0" distB="0" distL="114300" distR="114300" simplePos="0" relativeHeight="251662336" behindDoc="0" locked="0" layoutInCell="1" allowOverlap="1" wp14:anchorId="21A85421" wp14:editId="7589A0FC">
            <wp:simplePos x="0" y="0"/>
            <wp:positionH relativeFrom="margin">
              <wp:align>left</wp:align>
            </wp:positionH>
            <wp:positionV relativeFrom="paragraph">
              <wp:posOffset>180340</wp:posOffset>
            </wp:positionV>
            <wp:extent cx="4279900" cy="2997200"/>
            <wp:effectExtent l="0" t="0" r="0" b="0"/>
            <wp:wrapTopAndBottom/>
            <wp:docPr id="8" name="Picture 8" descr="Indonesia 44%, Bangladesh 19%, Laos 4%, Cambodia 4%, Burma 1%, Philippines 1%, WFP school feeding 13%, World Bank crisis response 1%, Kenya 10%, Pakistan1%, Solomon Islands 1%."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5.eps"/>
                    <pic:cNvPicPr/>
                  </pic:nvPicPr>
                  <pic:blipFill>
                    <a:blip r:embed="rId21">
                      <a:extLst>
                        <a:ext uri="{28A0092B-C50C-407E-A947-70E740481C1C}">
                          <a14:useLocalDpi xmlns:a14="http://schemas.microsoft.com/office/drawing/2010/main" val="0"/>
                        </a:ext>
                      </a:extLst>
                    </a:blip>
                    <a:stretch>
                      <a:fillRect/>
                    </a:stretch>
                  </pic:blipFill>
                  <pic:spPr>
                    <a:xfrm>
                      <a:off x="0" y="0"/>
                      <a:ext cx="4279900" cy="2997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38C16932" w14:textId="2967C916" w:rsidR="009F5950" w:rsidRDefault="002455C9" w:rsidP="00484032">
      <w:pPr>
        <w:pStyle w:val="04BODYTEXT"/>
      </w:pPr>
      <w:r w:rsidRPr="00386870">
        <w:rPr>
          <w:b/>
        </w:rPr>
        <w:t>DFAT staff will continue to play a key role in designing, managing and reviewing initiatives.</w:t>
      </w:r>
      <w:r>
        <w:t xml:space="preserve"> Resources such as guidance notes and training videos</w:t>
      </w:r>
      <w:r w:rsidR="006B0A1E">
        <w:t xml:space="preserve"> have been developed by DFAT and</w:t>
      </w:r>
      <w:r>
        <w:t xml:space="preserve"> are available to staff and counterparts managing programs. Regular training programs are offered and </w:t>
      </w:r>
      <w:r w:rsidR="004D7A5B">
        <w:t xml:space="preserve">a robust social protection community of practice exists to share new papers and lessons from programs. DFAT offers technical advice to country programs and runs a social protection expert panel for staff to easily access top external social protection expertise. </w:t>
      </w:r>
      <w:r w:rsidR="00AF1297">
        <w:t xml:space="preserve">DFAT also runs the Social Protection Hub, a group </w:t>
      </w:r>
      <w:r w:rsidR="00AF1297" w:rsidRPr="002B1D21">
        <w:t xml:space="preserve">of social </w:t>
      </w:r>
      <w:r w:rsidR="00AF1297" w:rsidRPr="00B44BCD">
        <w:t>protection experts based out of Jakarta and Canberra that focus on</w:t>
      </w:r>
      <w:r w:rsidR="008760D4" w:rsidRPr="00B44BCD">
        <w:t xml:space="preserve"> </w:t>
      </w:r>
      <w:r w:rsidR="00AF1297" w:rsidRPr="00B44BCD">
        <w:t>triangular cooperation and DFAT staff learning</w:t>
      </w:r>
      <w:r w:rsidR="00DA4A02" w:rsidRPr="00B44BCD">
        <w:t>. This learning is for those who just want to develop an awareness of the issues and for those who want to specialise more deeply in social protection</w:t>
      </w:r>
      <w:r w:rsidR="00AF1297" w:rsidRPr="00B44BCD">
        <w:t>.</w:t>
      </w:r>
      <w:r w:rsidR="002C370E" w:rsidRPr="002B1D21">
        <w:t xml:space="preserve"> </w:t>
      </w:r>
      <w:r w:rsidR="00AF1297" w:rsidRPr="002B1D21">
        <w:t xml:space="preserve"> </w:t>
      </w:r>
    </w:p>
    <w:p w14:paraId="244F4A2A" w14:textId="3D7F1082" w:rsidR="009F5950" w:rsidRDefault="009F5950" w:rsidP="007053AC">
      <w:pPr>
        <w:pStyle w:val="04BODYTEXT"/>
        <w:rPr>
          <w:rFonts w:asciiTheme="minorHAnsi" w:hAnsiTheme="minorHAnsi" w:cstheme="minorHAnsi"/>
        </w:rPr>
      </w:pPr>
      <w:r w:rsidRPr="00386870">
        <w:rPr>
          <w:b/>
        </w:rPr>
        <w:t>This document should be read in conjunction with other DFAT aid strategies in related sectoral and thematic areas.</w:t>
      </w:r>
      <w:r>
        <w:t xml:space="preserve"> Operational guidance notes have been prepared on social </w:t>
      </w:r>
      <w:r w:rsidRPr="00B44BCD">
        <w:t>protection and nutrition and social protection and disability. More will be prepared as required</w:t>
      </w:r>
      <w:r w:rsidR="002B1D21" w:rsidRPr="00B44BCD">
        <w:t>, including on social protection and humanitarian emergencies,</w:t>
      </w:r>
      <w:r w:rsidRPr="00B44BCD">
        <w:t xml:space="preserve"> to support country program</w:t>
      </w:r>
      <w:r>
        <w:t xml:space="preserve"> engagement in social protection. </w:t>
      </w:r>
    </w:p>
    <w:p w14:paraId="10DCE66E" w14:textId="77777777" w:rsidR="00317A14" w:rsidRDefault="00317A14" w:rsidP="005F3254">
      <w:pPr>
        <w:rPr>
          <w:rFonts w:asciiTheme="minorHAnsi" w:hAnsiTheme="minorHAnsi" w:cstheme="minorHAnsi"/>
          <w:b/>
        </w:rPr>
        <w:sectPr w:rsidR="00317A14">
          <w:pgSz w:w="11906" w:h="16838"/>
          <w:pgMar w:top="1440" w:right="1800" w:bottom="1440" w:left="1800" w:header="708" w:footer="708" w:gutter="0"/>
          <w:cols w:space="708"/>
          <w:docGrid w:linePitch="360"/>
        </w:sectPr>
      </w:pPr>
    </w:p>
    <w:p w14:paraId="3A573C2D" w14:textId="22C36825" w:rsidR="005F3254" w:rsidRPr="007053AC" w:rsidRDefault="005F3254" w:rsidP="007053AC">
      <w:pPr>
        <w:pStyle w:val="Heading1"/>
      </w:pPr>
      <w:bookmarkStart w:id="14" w:name="_Toc304799235"/>
      <w:r w:rsidRPr="00317A14">
        <w:lastRenderedPageBreak/>
        <w:t>References</w:t>
      </w:r>
      <w:bookmarkEnd w:id="14"/>
    </w:p>
    <w:p w14:paraId="3FAC4EAF" w14:textId="491455FF" w:rsidR="00484032" w:rsidRPr="00D01FA0" w:rsidRDefault="005F3254" w:rsidP="00484032">
      <w:pPr>
        <w:pStyle w:val="04BODYTEXT"/>
        <w:spacing w:after="120"/>
        <w:rPr>
          <w:rFonts w:asciiTheme="majorHAnsi" w:hAnsiTheme="majorHAnsi"/>
        </w:rPr>
      </w:pPr>
      <w:r w:rsidRPr="00D01FA0">
        <w:rPr>
          <w:rFonts w:asciiTheme="majorHAnsi" w:hAnsiTheme="majorHAnsi"/>
        </w:rPr>
        <w:t xml:space="preserve">Ardington, C, Case, A and V Hosegood. (2009). ‘Labour supply responses to large social transfers: longitudinal evidence from South Africa,’ in </w:t>
      </w:r>
      <w:r w:rsidRPr="00D01FA0">
        <w:rPr>
          <w:rFonts w:asciiTheme="majorHAnsi" w:hAnsiTheme="majorHAnsi"/>
          <w:i/>
        </w:rPr>
        <w:t xml:space="preserve">American Economic Journal: Applied </w:t>
      </w:r>
      <w:r w:rsidR="00484032" w:rsidRPr="00D01FA0">
        <w:rPr>
          <w:rFonts w:asciiTheme="majorHAnsi" w:hAnsiTheme="majorHAnsi"/>
          <w:i/>
        </w:rPr>
        <w:t>Economics</w:t>
      </w:r>
      <w:r w:rsidR="00917BFB">
        <w:rPr>
          <w:rFonts w:asciiTheme="majorHAnsi" w:hAnsiTheme="majorHAnsi"/>
        </w:rPr>
        <w:t xml:space="preserve"> 1(1), (pp. 22–48).</w:t>
      </w:r>
    </w:p>
    <w:p w14:paraId="50535C3A"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Asian Development Bank. (2013). </w:t>
      </w:r>
      <w:r w:rsidRPr="00D01FA0">
        <w:rPr>
          <w:rFonts w:asciiTheme="majorHAnsi" w:hAnsiTheme="majorHAnsi"/>
          <w:i/>
        </w:rPr>
        <w:t>The Social Protection Index: Assessing results for Asia and the Pacific</w:t>
      </w:r>
      <w:r w:rsidRPr="00D01FA0">
        <w:rPr>
          <w:rFonts w:asciiTheme="majorHAnsi" w:hAnsiTheme="majorHAnsi"/>
        </w:rPr>
        <w:t>. Mandaluyong City: Asian Development Bank.</w:t>
      </w:r>
    </w:p>
    <w:p w14:paraId="2905EFF1" w14:textId="77777777" w:rsidR="00484032" w:rsidRPr="00D01FA0" w:rsidRDefault="00484032" w:rsidP="00484032">
      <w:pPr>
        <w:pStyle w:val="04BODYTEXT"/>
        <w:spacing w:after="120"/>
        <w:rPr>
          <w:rFonts w:asciiTheme="majorHAnsi" w:hAnsiTheme="majorHAnsi"/>
          <w:i/>
          <w:lang w:val="en-US"/>
        </w:rPr>
      </w:pPr>
      <w:r w:rsidRPr="00D01FA0">
        <w:rPr>
          <w:rFonts w:asciiTheme="majorHAnsi" w:hAnsiTheme="majorHAnsi"/>
          <w:lang w:val="en-US"/>
        </w:rPr>
        <w:t xml:space="preserve">Berg, E, Bhattacharyya S, Rajasekhar D and R Manjula. (2015). </w:t>
      </w:r>
      <w:r w:rsidRPr="00D01FA0">
        <w:rPr>
          <w:rFonts w:asciiTheme="majorHAnsi" w:hAnsiTheme="majorHAnsi"/>
          <w:i/>
          <w:lang w:val="en-US"/>
        </w:rPr>
        <w:t>Can Public Works Increase Equilibrium Wages? Evidence from India’s National Rural Employment Guarantee.</w:t>
      </w:r>
    </w:p>
    <w:p w14:paraId="63D2C658"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The Canberra Times. (2015). ‘Poverty fuels conflict: Gusmao’, </w:t>
      </w:r>
      <w:r w:rsidRPr="00D01FA0">
        <w:rPr>
          <w:rFonts w:asciiTheme="majorHAnsi" w:hAnsiTheme="majorHAnsi"/>
          <w:i/>
        </w:rPr>
        <w:t>The Canberra Times</w:t>
      </w:r>
      <w:r w:rsidRPr="00D01FA0">
        <w:rPr>
          <w:rFonts w:asciiTheme="majorHAnsi" w:hAnsiTheme="majorHAnsi"/>
        </w:rPr>
        <w:t>, 17 March 2015.</w:t>
      </w:r>
    </w:p>
    <w:p w14:paraId="280FF6FC"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Chioda, L, De Mello, J M P and R R Soares. (2013). Spillovers from conditional cash transfer programs: Bolsa Familia and crime in urban Brazil. </w:t>
      </w:r>
    </w:p>
    <w:p w14:paraId="0782F34C"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Chronic Poverty Advisory Network. (2015). </w:t>
      </w:r>
      <w:r w:rsidRPr="00D01FA0">
        <w:rPr>
          <w:rFonts w:asciiTheme="majorHAnsi" w:hAnsiTheme="majorHAnsi"/>
          <w:i/>
        </w:rPr>
        <w:t xml:space="preserve">Getting to Zero: Tackling Extreme Poverty Through Private Sector Development Policy Guide. </w:t>
      </w:r>
      <w:r w:rsidRPr="00D01FA0">
        <w:rPr>
          <w:rFonts w:asciiTheme="majorHAnsi" w:hAnsiTheme="majorHAnsi"/>
        </w:rPr>
        <w:t>Policy Guide no 7. London: Chronic Poverty Advisory Network.</w:t>
      </w:r>
    </w:p>
    <w:p w14:paraId="45BC649B" w14:textId="71EDF0FB"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Davies, S and J Davy. (2008). ‘A regional multiplier approach to estimating the impact of cash transfers on the market: the case of cash transfers in rural Malawi’, in </w:t>
      </w:r>
      <w:r w:rsidRPr="00D01FA0">
        <w:rPr>
          <w:rFonts w:asciiTheme="majorHAnsi" w:hAnsiTheme="majorHAnsi"/>
          <w:i/>
        </w:rPr>
        <w:t>Development Policy Review</w:t>
      </w:r>
      <w:r w:rsidRPr="00D01FA0">
        <w:rPr>
          <w:rFonts w:asciiTheme="majorHAnsi" w:hAnsiTheme="majorHAnsi"/>
        </w:rPr>
        <w:t xml:space="preserve"> 28 (1), (pp.91-1</w:t>
      </w:r>
      <w:r w:rsidR="00627B18">
        <w:rPr>
          <w:rFonts w:asciiTheme="majorHAnsi" w:hAnsiTheme="majorHAnsi"/>
        </w:rPr>
        <w:t>11).</w:t>
      </w:r>
    </w:p>
    <w:p w14:paraId="676C5869"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Davis, B. (2013). ‘From protection to production: measuring the impact of social cash transfers on local economic development in Africa’, Presentation at </w:t>
      </w:r>
      <w:r w:rsidRPr="00D01FA0">
        <w:rPr>
          <w:rFonts w:asciiTheme="majorHAnsi" w:hAnsiTheme="majorHAnsi"/>
          <w:i/>
        </w:rPr>
        <w:t>Scoping conference: the links between social inclusion and sustainable growth in Africa</w:t>
      </w:r>
      <w:r w:rsidRPr="00D01FA0">
        <w:rPr>
          <w:rFonts w:asciiTheme="majorHAnsi" w:hAnsiTheme="majorHAnsi"/>
        </w:rPr>
        <w:t>, The Hague, October 30-31.</w:t>
      </w:r>
    </w:p>
    <w:p w14:paraId="4288A6A3"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Devereux, S, Roelen, K and M Ulrichs. (2015). </w:t>
      </w:r>
      <w:r w:rsidRPr="00D01FA0">
        <w:rPr>
          <w:rFonts w:asciiTheme="majorHAnsi" w:hAnsiTheme="majorHAnsi"/>
          <w:i/>
        </w:rPr>
        <w:t>Where next for social protection?</w:t>
      </w:r>
      <w:r w:rsidRPr="00D01FA0">
        <w:rPr>
          <w:rFonts w:asciiTheme="majorHAnsi" w:hAnsiTheme="majorHAnsi"/>
        </w:rPr>
        <w:t>, IDS Evidence Report 124. Brighton: Institute for Development Studies.</w:t>
      </w:r>
    </w:p>
    <w:p w14:paraId="0F6D83AC"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Food and Agriculture Organisation. (2012). </w:t>
      </w:r>
      <w:r w:rsidRPr="00D01FA0">
        <w:rPr>
          <w:rFonts w:asciiTheme="majorHAnsi" w:hAnsiTheme="majorHAnsi"/>
          <w:i/>
        </w:rPr>
        <w:t>Social Protection and Nutrition</w:t>
      </w:r>
      <w:r w:rsidRPr="00D01FA0">
        <w:rPr>
          <w:rFonts w:asciiTheme="majorHAnsi" w:hAnsiTheme="majorHAnsi"/>
        </w:rPr>
        <w:t xml:space="preserve">. FAO Issues Paper. </w:t>
      </w:r>
    </w:p>
    <w:p w14:paraId="776129C2"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Guhan, S. (1994). ‘Social security options for developing countries’, </w:t>
      </w:r>
      <w:r w:rsidRPr="00D01FA0">
        <w:rPr>
          <w:rFonts w:asciiTheme="majorHAnsi" w:hAnsiTheme="majorHAnsi"/>
          <w:i/>
        </w:rPr>
        <w:t>International Labour Review</w:t>
      </w:r>
      <w:r w:rsidRPr="00D01FA0">
        <w:rPr>
          <w:rFonts w:asciiTheme="majorHAnsi" w:hAnsiTheme="majorHAnsi"/>
        </w:rPr>
        <w:t xml:space="preserve">, 133 (1). </w:t>
      </w:r>
    </w:p>
    <w:p w14:paraId="658BF43B"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Holmes, R, Jones, N, Vargas, R and F Veras. (2010). </w:t>
      </w:r>
      <w:r w:rsidRPr="00D01FA0">
        <w:rPr>
          <w:rFonts w:asciiTheme="majorHAnsi" w:hAnsiTheme="majorHAnsi"/>
          <w:i/>
        </w:rPr>
        <w:t>Cash transfers and gendered risks and vulnerabilities: lessons from Latin America</w:t>
      </w:r>
      <w:r w:rsidRPr="00D01FA0">
        <w:rPr>
          <w:rFonts w:asciiTheme="majorHAnsi" w:hAnsiTheme="majorHAnsi"/>
        </w:rPr>
        <w:t xml:space="preserve">. ODI Background Note. London: Overseas Development Institute. </w:t>
      </w:r>
    </w:p>
    <w:p w14:paraId="452565E8"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Institute for Development Studies. (2004). </w:t>
      </w:r>
      <w:r w:rsidRPr="00D01FA0">
        <w:rPr>
          <w:rFonts w:asciiTheme="majorHAnsi" w:hAnsiTheme="majorHAnsi"/>
          <w:i/>
        </w:rPr>
        <w:t>Transformative social protection</w:t>
      </w:r>
      <w:r w:rsidRPr="00D01FA0">
        <w:rPr>
          <w:rFonts w:asciiTheme="majorHAnsi" w:hAnsiTheme="majorHAnsi"/>
        </w:rPr>
        <w:t>. IDS Working Paper 232. Brighton: Institute for Development Studies.</w:t>
      </w:r>
    </w:p>
    <w:p w14:paraId="46C35364" w14:textId="77777777" w:rsidR="00484032" w:rsidRPr="00D01FA0" w:rsidRDefault="00484032" w:rsidP="00484032">
      <w:pPr>
        <w:pStyle w:val="04BODYTEXT"/>
        <w:spacing w:after="120"/>
        <w:rPr>
          <w:rFonts w:asciiTheme="majorHAnsi" w:hAnsiTheme="majorHAnsi"/>
        </w:rPr>
      </w:pPr>
      <w:r w:rsidRPr="00D01FA0">
        <w:rPr>
          <w:rFonts w:asciiTheme="majorHAnsi" w:hAnsiTheme="majorHAnsi"/>
        </w:rPr>
        <w:t xml:space="preserve">Kanbur, R. (2015). ‘Social protection and the rural poor’, in </w:t>
      </w:r>
      <w:r w:rsidRPr="00D01FA0">
        <w:rPr>
          <w:rFonts w:asciiTheme="majorHAnsi" w:hAnsiTheme="majorHAnsi"/>
          <w:i/>
          <w:lang w:eastAsia="en-AU"/>
        </w:rPr>
        <w:t>2014–2015 Global Food Policy</w:t>
      </w:r>
      <w:r w:rsidRPr="00D01FA0">
        <w:rPr>
          <w:rFonts w:asciiTheme="majorHAnsi" w:hAnsiTheme="majorHAnsi"/>
        </w:rPr>
        <w:t xml:space="preserve"> </w:t>
      </w:r>
      <w:r w:rsidRPr="00D01FA0">
        <w:rPr>
          <w:rFonts w:asciiTheme="majorHAnsi" w:hAnsiTheme="majorHAnsi"/>
          <w:i/>
          <w:lang w:eastAsia="en-AU"/>
        </w:rPr>
        <w:t xml:space="preserve">Report. </w:t>
      </w:r>
      <w:r w:rsidRPr="00D01FA0">
        <w:rPr>
          <w:rFonts w:asciiTheme="majorHAnsi" w:hAnsiTheme="majorHAnsi"/>
          <w:lang w:eastAsia="en-AU"/>
        </w:rPr>
        <w:t>Washington, DC: International Food Policy Research Institute.</w:t>
      </w:r>
    </w:p>
    <w:p w14:paraId="4E630290"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Mallet, R, Hagen-Zanker J, Slater, R and G Sturge. (2015). </w:t>
      </w:r>
      <w:r w:rsidRPr="00D01FA0">
        <w:rPr>
          <w:rFonts w:asciiTheme="majorHAnsi" w:hAnsiTheme="majorHAnsi"/>
          <w:i/>
        </w:rPr>
        <w:t>Surveying livelihoods, service delivery and governance: baseline evidence from DRC, Nepal, Pakistan, Sri Lanka and Uganda</w:t>
      </w:r>
      <w:r w:rsidRPr="00D01FA0">
        <w:rPr>
          <w:rFonts w:asciiTheme="majorHAnsi" w:hAnsiTheme="majorHAnsi"/>
        </w:rPr>
        <w:t>. Secure Livelihoods Research Consortium. London: Overseas Development Institute.</w:t>
      </w:r>
    </w:p>
    <w:p w14:paraId="476622FB"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Marcus, R. (2007). </w:t>
      </w:r>
      <w:r w:rsidRPr="00D01FA0">
        <w:rPr>
          <w:rFonts w:asciiTheme="majorHAnsi" w:hAnsiTheme="majorHAnsi"/>
          <w:i/>
        </w:rPr>
        <w:t>Tackling obstacles to social protection for chronically poor people</w:t>
      </w:r>
      <w:r w:rsidRPr="00D01FA0">
        <w:rPr>
          <w:rFonts w:asciiTheme="majorHAnsi" w:hAnsiTheme="majorHAnsi"/>
        </w:rPr>
        <w:t xml:space="preserve">. CPRC Policy Brief 3. Manchester/London: Chronic Poverty Research Centre. </w:t>
      </w:r>
    </w:p>
    <w:p w14:paraId="3458DAC4"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McCord, A and R Slater. (2014). </w:t>
      </w:r>
      <w:r w:rsidRPr="00D01FA0">
        <w:rPr>
          <w:rFonts w:asciiTheme="majorHAnsi" w:hAnsiTheme="majorHAnsi"/>
          <w:i/>
        </w:rPr>
        <w:t>Social protection and growth: research synthesis</w:t>
      </w:r>
      <w:r w:rsidRPr="00D01FA0">
        <w:rPr>
          <w:rFonts w:asciiTheme="majorHAnsi" w:hAnsiTheme="majorHAnsi"/>
        </w:rPr>
        <w:t xml:space="preserve">. Canberra: Department of Foreign Affairs and Trade. </w:t>
      </w:r>
    </w:p>
    <w:p w14:paraId="6210EC7B" w14:textId="77777777" w:rsidR="00917BFB" w:rsidRDefault="00917BFB">
      <w:pPr>
        <w:rPr>
          <w:rFonts w:asciiTheme="majorHAnsi" w:eastAsiaTheme="minorEastAsia" w:hAnsiTheme="majorHAnsi" w:cs="Times-Roman"/>
          <w:bCs/>
          <w:iCs/>
          <w:color w:val="000000"/>
          <w:sz w:val="20"/>
          <w:szCs w:val="19"/>
          <w:lang w:val="en-GB" w:eastAsia="ja-JP"/>
        </w:rPr>
      </w:pPr>
      <w:r>
        <w:rPr>
          <w:rFonts w:asciiTheme="majorHAnsi" w:hAnsiTheme="majorHAnsi"/>
        </w:rPr>
        <w:br w:type="page"/>
      </w:r>
    </w:p>
    <w:p w14:paraId="4FCD540A" w14:textId="2C3400D6" w:rsidR="00484032" w:rsidRPr="00D01FA0" w:rsidRDefault="00484032" w:rsidP="00D01FA0">
      <w:pPr>
        <w:pStyle w:val="04BODYTEXT"/>
        <w:spacing w:after="120"/>
        <w:rPr>
          <w:rFonts w:asciiTheme="majorHAnsi" w:hAnsiTheme="majorHAnsi"/>
        </w:rPr>
      </w:pPr>
      <w:proofErr w:type="spellStart"/>
      <w:r w:rsidRPr="00D01FA0">
        <w:rPr>
          <w:rFonts w:asciiTheme="majorHAnsi" w:hAnsiTheme="majorHAnsi"/>
        </w:rPr>
        <w:lastRenderedPageBreak/>
        <w:t>Molyneux</w:t>
      </w:r>
      <w:proofErr w:type="spellEnd"/>
      <w:r w:rsidRPr="00D01FA0">
        <w:rPr>
          <w:rFonts w:asciiTheme="majorHAnsi" w:hAnsiTheme="majorHAnsi"/>
        </w:rPr>
        <w:t xml:space="preserve"> M. (2014). ‘Conditional cash transfers: A pathway to women’s empowerment?’ Pathways of Empowerment.</w:t>
      </w:r>
    </w:p>
    <w:p w14:paraId="131DDE60" w14:textId="77777777" w:rsidR="00484032" w:rsidRPr="00D01FA0" w:rsidRDefault="00484032" w:rsidP="00D01FA0">
      <w:pPr>
        <w:pStyle w:val="04BODYTEXT"/>
        <w:spacing w:after="120"/>
        <w:rPr>
          <w:rFonts w:asciiTheme="majorHAnsi" w:hAnsiTheme="majorHAnsi"/>
          <w:i/>
        </w:rPr>
      </w:pPr>
      <w:r w:rsidRPr="00D01FA0">
        <w:rPr>
          <w:rFonts w:asciiTheme="majorHAnsi" w:hAnsiTheme="majorHAnsi"/>
        </w:rPr>
        <w:t xml:space="preserve">Naqvi A. M. et al. (2014). </w:t>
      </w:r>
      <w:r w:rsidRPr="00D01FA0">
        <w:rPr>
          <w:rFonts w:asciiTheme="majorHAnsi" w:hAnsiTheme="majorHAnsi"/>
          <w:i/>
        </w:rPr>
        <w:t xml:space="preserve">Social Safety Nets and Poverty in Pakistan: A Case Study of </w:t>
      </w:r>
    </w:p>
    <w:p w14:paraId="7BE8BB13"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i/>
        </w:rPr>
        <w:t>BISP in Tehsil Mankera District Bhakkar</w:t>
      </w:r>
      <w:r w:rsidRPr="00D01FA0">
        <w:rPr>
          <w:rFonts w:asciiTheme="majorHAnsi" w:hAnsiTheme="majorHAnsi"/>
        </w:rPr>
        <w:t>, Journal of Finance and Economics, 2014, Vol. 2, No. 2, 44-49.</w:t>
      </w:r>
    </w:p>
    <w:p w14:paraId="2A5DBC91"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OECD. (2014), </w:t>
      </w:r>
      <w:r w:rsidRPr="00D01FA0">
        <w:rPr>
          <w:rFonts w:asciiTheme="majorHAnsi" w:hAnsiTheme="majorHAnsi"/>
          <w:i/>
        </w:rPr>
        <w:t>Society at a glance 2014: OECD social indicators</w:t>
      </w:r>
      <w:r w:rsidRPr="00D01FA0">
        <w:rPr>
          <w:rFonts w:asciiTheme="majorHAnsi" w:hAnsiTheme="majorHAnsi"/>
        </w:rPr>
        <w:t xml:space="preserve">. Paris: OECD Publishing. </w:t>
      </w:r>
    </w:p>
    <w:p w14:paraId="6917D978"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cs="Arial"/>
          <w:lang w:val="en-US"/>
        </w:rPr>
        <w:t xml:space="preserve">Orbeta A. and V Paqueo. (2013). </w:t>
      </w:r>
      <w:r w:rsidRPr="00D01FA0">
        <w:rPr>
          <w:rFonts w:asciiTheme="majorHAnsi" w:hAnsiTheme="majorHAnsi" w:cs="Arial"/>
          <w:i/>
          <w:lang w:val="en-US"/>
        </w:rPr>
        <w:t>Does Pantawid Foster Dependence Or Encourage Work? Evidence From A Randomized Experiment,</w:t>
      </w:r>
      <w:r w:rsidRPr="00D01FA0">
        <w:rPr>
          <w:rFonts w:asciiTheme="majorHAnsi" w:hAnsiTheme="majorHAnsi" w:cs="Arial"/>
          <w:lang w:val="en-US"/>
        </w:rPr>
        <w:t xml:space="preserve"> Philippine Institute for Development Studies, Government of Philippines</w:t>
      </w:r>
    </w:p>
    <w:p w14:paraId="52FEC5C8"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PPRC-UNDP. (2012), </w:t>
      </w:r>
      <w:r w:rsidRPr="00D01FA0">
        <w:rPr>
          <w:rFonts w:asciiTheme="majorHAnsi" w:hAnsiTheme="majorHAnsi"/>
          <w:i/>
        </w:rPr>
        <w:t>Social Safety Nets in Bangladesh (Vol. 2): Ground Realities and Policy Challenges – Process, Coverage, Outcomes, Priorities</w:t>
      </w:r>
      <w:r w:rsidRPr="00D01FA0">
        <w:rPr>
          <w:rStyle w:val="Hyperlink"/>
          <w:rFonts w:asciiTheme="majorHAnsi" w:hAnsiTheme="majorHAnsi"/>
          <w:i/>
          <w:color w:val="000000" w:themeColor="text1"/>
          <w:u w:val="none"/>
          <w:lang w:val="en-US"/>
        </w:rPr>
        <w:t>,</w:t>
      </w:r>
      <w:r w:rsidRPr="00D01FA0">
        <w:rPr>
          <w:rStyle w:val="Hyperlink"/>
          <w:rFonts w:asciiTheme="majorHAnsi" w:hAnsiTheme="majorHAnsi"/>
          <w:color w:val="000000" w:themeColor="text1"/>
          <w:u w:val="none"/>
          <w:lang w:val="en-US"/>
        </w:rPr>
        <w:t xml:space="preserve"> </w:t>
      </w:r>
      <w:r w:rsidRPr="00D01FA0">
        <w:rPr>
          <w:rFonts w:asciiTheme="majorHAnsi" w:hAnsiTheme="majorHAnsi"/>
        </w:rPr>
        <w:t>Power and Participation Research Centre (PPRC) and United Nations Development Program (UNDP), Dhaka.</w:t>
      </w:r>
    </w:p>
    <w:p w14:paraId="12F666CC"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Samson, M. (2009). ‘Social cash transfers and pro-poor growth’ in </w:t>
      </w:r>
      <w:r w:rsidRPr="00D01FA0">
        <w:rPr>
          <w:rFonts w:asciiTheme="majorHAnsi" w:hAnsiTheme="majorHAnsi"/>
          <w:i/>
        </w:rPr>
        <w:t>Promoting pro-poor growth: social protection</w:t>
      </w:r>
      <w:r w:rsidRPr="00D01FA0">
        <w:rPr>
          <w:rFonts w:asciiTheme="majorHAnsi" w:hAnsiTheme="majorHAnsi"/>
        </w:rPr>
        <w:t xml:space="preserve">. Paris: OECD Publishing. </w:t>
      </w:r>
    </w:p>
    <w:p w14:paraId="11D24B1F"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Schneider, M, Waliuya, W, Munsanje, J and L Swartz. (2011). ‘Reflections on including disability in social protection programmes’, </w:t>
      </w:r>
      <w:r w:rsidRPr="00D01FA0">
        <w:rPr>
          <w:rFonts w:asciiTheme="majorHAnsi" w:hAnsiTheme="majorHAnsi"/>
          <w:i/>
        </w:rPr>
        <w:t>IDS Bulletin</w:t>
      </w:r>
      <w:r w:rsidRPr="00D01FA0">
        <w:rPr>
          <w:rFonts w:asciiTheme="majorHAnsi" w:hAnsiTheme="majorHAnsi"/>
        </w:rPr>
        <w:t xml:space="preserve"> </w:t>
      </w:r>
      <w:r w:rsidRPr="00D01FA0">
        <w:rPr>
          <w:rFonts w:asciiTheme="majorHAnsi" w:hAnsiTheme="majorHAnsi"/>
          <w:i/>
        </w:rPr>
        <w:t>Special Issue: Social Protection for Social Justice</w:t>
      </w:r>
      <w:r w:rsidRPr="00D01FA0">
        <w:rPr>
          <w:rFonts w:asciiTheme="majorHAnsi" w:hAnsiTheme="majorHAnsi"/>
        </w:rPr>
        <w:t xml:space="preserve">, </w:t>
      </w:r>
      <w:hyperlink r:id="rId22" w:history="1">
        <w:r w:rsidRPr="00D01FA0">
          <w:rPr>
            <w:rFonts w:asciiTheme="majorHAnsi" w:hAnsiTheme="majorHAnsi"/>
          </w:rPr>
          <w:t xml:space="preserve">42 (6), </w:t>
        </w:r>
      </w:hyperlink>
      <w:r w:rsidRPr="00D01FA0">
        <w:rPr>
          <w:rFonts w:asciiTheme="majorHAnsi" w:hAnsiTheme="majorHAnsi"/>
        </w:rPr>
        <w:t>(pp-38–44).</w:t>
      </w:r>
    </w:p>
    <w:p w14:paraId="4B98A1C7" w14:textId="77777777" w:rsidR="00484032" w:rsidRPr="00D01FA0" w:rsidRDefault="00484032" w:rsidP="00D01FA0">
      <w:pPr>
        <w:pStyle w:val="04BODYTEXT"/>
        <w:spacing w:after="120"/>
        <w:rPr>
          <w:rFonts w:asciiTheme="majorHAnsi" w:hAnsiTheme="majorHAnsi"/>
          <w:lang w:eastAsia="en-US"/>
        </w:rPr>
      </w:pPr>
      <w:r w:rsidRPr="00D01FA0">
        <w:rPr>
          <w:rFonts w:asciiTheme="majorHAnsi" w:hAnsiTheme="majorHAnsi"/>
        </w:rPr>
        <w:t xml:space="preserve">Sugiyama, N.B and W Hunter. (2013). ‘Whither clientelism? Good governance and Brazil’s Bolsa Família program’ in </w:t>
      </w:r>
      <w:r w:rsidRPr="00D01FA0">
        <w:rPr>
          <w:rFonts w:asciiTheme="majorHAnsi" w:hAnsiTheme="majorHAnsi"/>
          <w:i/>
        </w:rPr>
        <w:t>Comparative Politics</w:t>
      </w:r>
      <w:r w:rsidRPr="00D01FA0">
        <w:rPr>
          <w:rFonts w:asciiTheme="majorHAnsi" w:hAnsiTheme="majorHAnsi"/>
        </w:rPr>
        <w:t>,</w:t>
      </w:r>
      <w:r w:rsidRPr="00D01FA0">
        <w:rPr>
          <w:rFonts w:asciiTheme="majorHAnsi" w:hAnsiTheme="majorHAnsi"/>
          <w:i/>
        </w:rPr>
        <w:t xml:space="preserve"> </w:t>
      </w:r>
      <w:r w:rsidRPr="00D01FA0">
        <w:rPr>
          <w:rFonts w:asciiTheme="majorHAnsi" w:hAnsiTheme="majorHAnsi"/>
        </w:rPr>
        <w:t>October 2013 (43-62)</w:t>
      </w:r>
    </w:p>
    <w:p w14:paraId="39832E01"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Taylor, J. E, Thome, K and M Filipski. (2014). </w:t>
      </w:r>
      <w:r w:rsidRPr="00D01FA0">
        <w:rPr>
          <w:rFonts w:asciiTheme="majorHAnsi" w:hAnsiTheme="majorHAnsi"/>
          <w:i/>
        </w:rPr>
        <w:t>Evaluating local general equilibrium impacts of Lesotho’s child grants program.</w:t>
      </w:r>
      <w:r w:rsidRPr="00D01FA0">
        <w:rPr>
          <w:rFonts w:asciiTheme="majorHAnsi" w:hAnsiTheme="majorHAnsi"/>
        </w:rPr>
        <w:t xml:space="preserve"> Rome: Food and Agriculture Organization.</w:t>
      </w:r>
    </w:p>
    <w:p w14:paraId="7888A69D" w14:textId="77777777" w:rsidR="00484032" w:rsidRPr="00D01FA0" w:rsidRDefault="00484032" w:rsidP="00D01FA0">
      <w:pPr>
        <w:pStyle w:val="04BODYTEXT"/>
        <w:spacing w:after="120"/>
        <w:rPr>
          <w:rFonts w:asciiTheme="majorHAnsi" w:hAnsiTheme="majorHAnsi"/>
          <w:i/>
        </w:rPr>
      </w:pPr>
      <w:r w:rsidRPr="00D01FA0">
        <w:rPr>
          <w:rFonts w:asciiTheme="majorHAnsi" w:hAnsiTheme="majorHAnsi"/>
        </w:rPr>
        <w:t xml:space="preserve">TNP2K. (2014). </w:t>
      </w:r>
      <w:r w:rsidRPr="00D01FA0">
        <w:rPr>
          <w:rFonts w:asciiTheme="majorHAnsi" w:hAnsiTheme="majorHAnsi"/>
          <w:i/>
        </w:rPr>
        <w:t xml:space="preserve">Reaching Indonesia’s poor and vulnerable and reducing inequality: </w:t>
      </w:r>
    </w:p>
    <w:p w14:paraId="2D6CD577" w14:textId="77777777" w:rsidR="00484032" w:rsidRPr="00D01FA0" w:rsidRDefault="00484032" w:rsidP="00D01FA0">
      <w:pPr>
        <w:pStyle w:val="04BODYTEXT"/>
        <w:spacing w:after="120"/>
        <w:rPr>
          <w:rFonts w:asciiTheme="majorHAnsi" w:hAnsiTheme="majorHAnsi" w:cstheme="minorHAnsi"/>
        </w:rPr>
      </w:pPr>
      <w:r w:rsidRPr="00D01FA0">
        <w:rPr>
          <w:rFonts w:asciiTheme="majorHAnsi" w:hAnsiTheme="majorHAnsi"/>
          <w:i/>
        </w:rPr>
        <w:t xml:space="preserve">Improving program targeting, design and process. </w:t>
      </w:r>
      <w:r w:rsidRPr="00D01FA0">
        <w:rPr>
          <w:rFonts w:asciiTheme="majorHAnsi" w:hAnsiTheme="majorHAnsi"/>
        </w:rPr>
        <w:t>Jakarta: National Team for the Acceleration of Poverty Reduction (TNP2K).</w:t>
      </w:r>
    </w:p>
    <w:p w14:paraId="4345F698"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UK Department for International Development. (2011). </w:t>
      </w:r>
      <w:r w:rsidRPr="00D01FA0">
        <w:rPr>
          <w:rFonts w:asciiTheme="majorHAnsi" w:hAnsiTheme="majorHAnsi"/>
          <w:i/>
        </w:rPr>
        <w:t>Cash transfers literature review</w:t>
      </w:r>
      <w:r w:rsidRPr="00D01FA0">
        <w:rPr>
          <w:rFonts w:asciiTheme="majorHAnsi" w:hAnsiTheme="majorHAnsi"/>
        </w:rPr>
        <w:t>. London: Department for International Development.</w:t>
      </w:r>
    </w:p>
    <w:p w14:paraId="6E12002E"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Veras, F, Peres, R and R Guerreiro. (2007). ‘Evaluating the impact of Brazil’s Bolsa Família: cash transfer programmes’ in </w:t>
      </w:r>
      <w:r w:rsidRPr="00D01FA0">
        <w:rPr>
          <w:rFonts w:asciiTheme="majorHAnsi" w:hAnsiTheme="majorHAnsi"/>
          <w:i/>
        </w:rPr>
        <w:t>Comparative Perspective</w:t>
      </w:r>
      <w:r w:rsidRPr="00D01FA0">
        <w:rPr>
          <w:rFonts w:asciiTheme="majorHAnsi" w:hAnsiTheme="majorHAnsi"/>
        </w:rPr>
        <w:t>, IPC-IG Evaluation Note No. 1. Brasilia: International Poverty Centre for Inclusive Growth</w:t>
      </w:r>
    </w:p>
    <w:p w14:paraId="439DD22E"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Vergolini, L. (2011). ‘Does economic vulnerability affect social cohesion? Evidence from comparative analysis’ in </w:t>
      </w:r>
      <w:r w:rsidRPr="00D01FA0">
        <w:rPr>
          <w:rFonts w:asciiTheme="majorHAnsi" w:hAnsiTheme="majorHAnsi"/>
          <w:i/>
        </w:rPr>
        <w:t>Canadian Journal of Sociology</w:t>
      </w:r>
      <w:r w:rsidRPr="00D01FA0">
        <w:rPr>
          <w:rFonts w:asciiTheme="majorHAnsi" w:hAnsiTheme="majorHAnsi"/>
        </w:rPr>
        <w:t xml:space="preserve"> 226 (1). </w:t>
      </w:r>
    </w:p>
    <w:p w14:paraId="18951717"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World Bank. (2008). For protection and promotion: the design and implementation of effective safety nets. Washington DC: The World Bank.</w:t>
      </w:r>
    </w:p>
    <w:p w14:paraId="2AA381CF"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World Bank. (2014a). </w:t>
      </w:r>
      <w:r w:rsidRPr="00D01FA0">
        <w:rPr>
          <w:rFonts w:asciiTheme="majorHAnsi" w:hAnsiTheme="majorHAnsi"/>
          <w:i/>
        </w:rPr>
        <w:t>State of Safety Nets 2014</w:t>
      </w:r>
      <w:r w:rsidRPr="00D01FA0">
        <w:rPr>
          <w:rFonts w:asciiTheme="majorHAnsi" w:hAnsiTheme="majorHAnsi"/>
        </w:rPr>
        <w:t xml:space="preserve">. Washington DC: The World Bank. </w:t>
      </w:r>
    </w:p>
    <w:p w14:paraId="5DB79B5E" w14:textId="77777777" w:rsidR="00484032" w:rsidRPr="00D01FA0" w:rsidRDefault="00484032" w:rsidP="00D01FA0">
      <w:pPr>
        <w:pStyle w:val="04BODYTEXT"/>
        <w:spacing w:after="120"/>
        <w:rPr>
          <w:rFonts w:asciiTheme="majorHAnsi" w:hAnsiTheme="majorHAnsi"/>
        </w:rPr>
      </w:pPr>
      <w:r w:rsidRPr="00D01FA0">
        <w:rPr>
          <w:rFonts w:asciiTheme="majorHAnsi" w:hAnsiTheme="majorHAnsi"/>
        </w:rPr>
        <w:t xml:space="preserve">World Bank. (2014b). </w:t>
      </w:r>
      <w:r w:rsidRPr="00D01FA0">
        <w:rPr>
          <w:rFonts w:asciiTheme="majorHAnsi" w:hAnsiTheme="majorHAnsi"/>
          <w:i/>
        </w:rPr>
        <w:t>From evidence to policy: Philippines are cash transfer programs effective?</w:t>
      </w:r>
      <w:r w:rsidRPr="00D01FA0">
        <w:rPr>
          <w:rFonts w:asciiTheme="majorHAnsi" w:hAnsiTheme="majorHAnsi"/>
        </w:rPr>
        <w:t xml:space="preserve"> From evidence to policy note. Washington DC: The World Bank</w:t>
      </w:r>
    </w:p>
    <w:p w14:paraId="67D055B0" w14:textId="77777777" w:rsidR="005F3254" w:rsidRPr="00D01FA0" w:rsidRDefault="00484032" w:rsidP="00D01FA0">
      <w:pPr>
        <w:pStyle w:val="04BODYTEXT"/>
        <w:spacing w:after="120"/>
        <w:rPr>
          <w:rFonts w:asciiTheme="majorHAnsi" w:hAnsiTheme="majorHAnsi"/>
        </w:rPr>
      </w:pPr>
      <w:r w:rsidRPr="00D01FA0">
        <w:rPr>
          <w:rFonts w:asciiTheme="majorHAnsi" w:hAnsiTheme="majorHAnsi"/>
        </w:rPr>
        <w:t xml:space="preserve">World Bank IEG. (2014). </w:t>
      </w:r>
      <w:r w:rsidRPr="00D01FA0">
        <w:rPr>
          <w:rFonts w:asciiTheme="majorHAnsi" w:hAnsiTheme="majorHAnsi"/>
          <w:i/>
        </w:rPr>
        <w:t xml:space="preserve">Social safety nets and gender: Learnings from impact evaluations and World Bank </w:t>
      </w:r>
      <w:r w:rsidR="005F3254" w:rsidRPr="00D01FA0">
        <w:rPr>
          <w:rFonts w:asciiTheme="majorHAnsi" w:hAnsiTheme="majorHAnsi"/>
          <w:i/>
        </w:rPr>
        <w:t>projects</w:t>
      </w:r>
      <w:r w:rsidR="005F3254" w:rsidRPr="00D01FA0">
        <w:rPr>
          <w:rFonts w:asciiTheme="majorHAnsi" w:hAnsiTheme="majorHAnsi"/>
        </w:rPr>
        <w:t>.</w:t>
      </w:r>
      <w:r w:rsidR="004C7B69" w:rsidRPr="00D01FA0">
        <w:rPr>
          <w:rFonts w:asciiTheme="majorHAnsi" w:hAnsiTheme="majorHAnsi"/>
        </w:rPr>
        <w:t xml:space="preserve"> Washington DC: The World Bank.</w:t>
      </w:r>
    </w:p>
    <w:p w14:paraId="3E743A66" w14:textId="77777777" w:rsidR="004C7B69" w:rsidRDefault="004C7B69" w:rsidP="004C7B69">
      <w:pPr>
        <w:rPr>
          <w:rFonts w:asciiTheme="minorHAnsi" w:hAnsiTheme="minorHAnsi" w:cstheme="minorHAnsi"/>
          <w:b/>
          <w:color w:val="8DB3E2" w:themeColor="text2" w:themeTint="66"/>
          <w:sz w:val="36"/>
          <w:szCs w:val="36"/>
        </w:rPr>
        <w:sectPr w:rsidR="004C7B69">
          <w:pgSz w:w="11906" w:h="16838"/>
          <w:pgMar w:top="1440" w:right="1800" w:bottom="1440" w:left="1800" w:header="708" w:footer="708" w:gutter="0"/>
          <w:cols w:space="708"/>
          <w:docGrid w:linePitch="360"/>
        </w:sectPr>
      </w:pPr>
    </w:p>
    <w:p w14:paraId="0BF11F65" w14:textId="77777777" w:rsidR="004E6DB1" w:rsidRPr="004C7B69" w:rsidRDefault="004E6DB1" w:rsidP="00D01FA0">
      <w:pPr>
        <w:pStyle w:val="Heading1"/>
      </w:pPr>
      <w:bookmarkStart w:id="15" w:name="_Toc304799236"/>
      <w:r w:rsidRPr="004C7B69">
        <w:lastRenderedPageBreak/>
        <w:t>Ann</w:t>
      </w:r>
      <w:r w:rsidRPr="00D01FA0">
        <w:t>ex</w:t>
      </w:r>
      <w:r w:rsidRPr="004C7B69">
        <w:t xml:space="preserve"> </w:t>
      </w:r>
      <w:r w:rsidR="0082293B" w:rsidRPr="004C7B69">
        <w:t>1</w:t>
      </w:r>
      <w:bookmarkEnd w:id="15"/>
    </w:p>
    <w:p w14:paraId="4A4296C8" w14:textId="77777777" w:rsidR="00F00397" w:rsidRDefault="004E6DB1" w:rsidP="007053AC">
      <w:pPr>
        <w:pStyle w:val="Figurehead"/>
      </w:pPr>
      <w:r w:rsidRPr="000B56E2">
        <w:t>Social Protection Expenditure</w:t>
      </w:r>
    </w:p>
    <w:tbl>
      <w:tblPr>
        <w:tblStyle w:val="TableGrid"/>
        <w:tblW w:w="0" w:type="auto"/>
        <w:tblLook w:val="04A0" w:firstRow="1" w:lastRow="0" w:firstColumn="1" w:lastColumn="0" w:noHBand="0" w:noVBand="1"/>
      </w:tblPr>
      <w:tblGrid>
        <w:gridCol w:w="1704"/>
        <w:gridCol w:w="1704"/>
        <w:gridCol w:w="1704"/>
        <w:gridCol w:w="1705"/>
        <w:gridCol w:w="1705"/>
      </w:tblGrid>
      <w:tr w:rsidR="001D394D" w14:paraId="0C0978B3" w14:textId="77777777" w:rsidTr="00782BD1">
        <w:tc>
          <w:tcPr>
            <w:tcW w:w="1704" w:type="dxa"/>
            <w:vMerge w:val="restart"/>
            <w:shd w:val="clear" w:color="auto" w:fill="B8CCE4" w:themeFill="accent1" w:themeFillTint="66"/>
          </w:tcPr>
          <w:p w14:paraId="46833024" w14:textId="718F308E" w:rsidR="001D394D" w:rsidRDefault="001D394D" w:rsidP="00F00397">
            <w:pPr>
              <w:pStyle w:val="tableheader"/>
            </w:pPr>
            <w:r>
              <w:t>Country</w:t>
            </w:r>
          </w:p>
        </w:tc>
        <w:tc>
          <w:tcPr>
            <w:tcW w:w="1704" w:type="dxa"/>
            <w:vMerge w:val="restart"/>
            <w:shd w:val="clear" w:color="auto" w:fill="B8CCE4" w:themeFill="accent1" w:themeFillTint="66"/>
          </w:tcPr>
          <w:p w14:paraId="31DAAD1F" w14:textId="1FE69AD1" w:rsidR="001D394D" w:rsidRDefault="001D394D" w:rsidP="00F00397">
            <w:pPr>
              <w:pStyle w:val="tableheader"/>
            </w:pPr>
            <w:r>
              <w:t>Expenditure</w:t>
            </w:r>
            <w:r>
              <w:br/>
              <w:t>(% of GDP)</w:t>
            </w:r>
          </w:p>
        </w:tc>
        <w:tc>
          <w:tcPr>
            <w:tcW w:w="5114" w:type="dxa"/>
            <w:gridSpan w:val="3"/>
            <w:shd w:val="clear" w:color="auto" w:fill="B8CCE4" w:themeFill="accent1" w:themeFillTint="66"/>
          </w:tcPr>
          <w:p w14:paraId="08A3B954" w14:textId="1477AACB" w:rsidR="001D394D" w:rsidRDefault="001D394D" w:rsidP="00F00397">
            <w:pPr>
              <w:pStyle w:val="tableheader"/>
              <w:jc w:val="center"/>
            </w:pPr>
            <w:r>
              <w:t>Distribution by SP type (%)</w:t>
            </w:r>
          </w:p>
        </w:tc>
      </w:tr>
      <w:tr w:rsidR="001D394D" w14:paraId="095A4464" w14:textId="77777777" w:rsidTr="00782BD1">
        <w:tc>
          <w:tcPr>
            <w:tcW w:w="1704" w:type="dxa"/>
            <w:vMerge/>
            <w:shd w:val="clear" w:color="auto" w:fill="B8CCE4" w:themeFill="accent1" w:themeFillTint="66"/>
          </w:tcPr>
          <w:p w14:paraId="3C066940" w14:textId="7FC63293" w:rsidR="001D394D" w:rsidRDefault="001D394D" w:rsidP="00F00397">
            <w:pPr>
              <w:pStyle w:val="tableheader"/>
            </w:pPr>
          </w:p>
        </w:tc>
        <w:tc>
          <w:tcPr>
            <w:tcW w:w="1704" w:type="dxa"/>
            <w:vMerge/>
            <w:shd w:val="clear" w:color="auto" w:fill="B8CCE4" w:themeFill="accent1" w:themeFillTint="66"/>
          </w:tcPr>
          <w:p w14:paraId="5D007FC2" w14:textId="241DA243" w:rsidR="001D394D" w:rsidRDefault="001D394D" w:rsidP="00F00397">
            <w:pPr>
              <w:pStyle w:val="tableheader"/>
            </w:pPr>
          </w:p>
        </w:tc>
        <w:tc>
          <w:tcPr>
            <w:tcW w:w="1704" w:type="dxa"/>
            <w:shd w:val="clear" w:color="auto" w:fill="B8CCE4" w:themeFill="accent1" w:themeFillTint="66"/>
          </w:tcPr>
          <w:p w14:paraId="77322890" w14:textId="1828370B" w:rsidR="001D394D" w:rsidRDefault="001D394D" w:rsidP="00F00397">
            <w:pPr>
              <w:pStyle w:val="tableheader"/>
            </w:pPr>
            <w:r>
              <w:t>Social assistance</w:t>
            </w:r>
          </w:p>
        </w:tc>
        <w:tc>
          <w:tcPr>
            <w:tcW w:w="1705" w:type="dxa"/>
            <w:shd w:val="clear" w:color="auto" w:fill="B8CCE4" w:themeFill="accent1" w:themeFillTint="66"/>
          </w:tcPr>
          <w:p w14:paraId="5A4B1C83" w14:textId="31AE9F39" w:rsidR="001D394D" w:rsidRDefault="001D394D" w:rsidP="00F00397">
            <w:pPr>
              <w:pStyle w:val="tableheader"/>
            </w:pPr>
            <w:r>
              <w:t xml:space="preserve">Social </w:t>
            </w:r>
            <w:r>
              <w:br/>
              <w:t>insurance</w:t>
            </w:r>
          </w:p>
        </w:tc>
        <w:tc>
          <w:tcPr>
            <w:tcW w:w="1705" w:type="dxa"/>
            <w:shd w:val="clear" w:color="auto" w:fill="B8CCE4" w:themeFill="accent1" w:themeFillTint="66"/>
          </w:tcPr>
          <w:p w14:paraId="0E91C5B4" w14:textId="5C6C2B63" w:rsidR="001D394D" w:rsidRDefault="001D394D" w:rsidP="00F00397">
            <w:pPr>
              <w:pStyle w:val="tableheader"/>
            </w:pPr>
            <w:r>
              <w:t>Labour market programs</w:t>
            </w:r>
          </w:p>
        </w:tc>
      </w:tr>
      <w:tr w:rsidR="00F00397" w14:paraId="484AC05D" w14:textId="77777777" w:rsidTr="00F00397">
        <w:tc>
          <w:tcPr>
            <w:tcW w:w="1704" w:type="dxa"/>
          </w:tcPr>
          <w:p w14:paraId="66FE5411" w14:textId="630F2641" w:rsidR="00F00397" w:rsidRPr="00F00397" w:rsidRDefault="00F00397" w:rsidP="00F00397">
            <w:pPr>
              <w:pStyle w:val="tabletext"/>
              <w:rPr>
                <w:b/>
              </w:rPr>
            </w:pPr>
            <w:r w:rsidRPr="00F00397">
              <w:rPr>
                <w:b/>
              </w:rPr>
              <w:t>Indonesia</w:t>
            </w:r>
          </w:p>
        </w:tc>
        <w:tc>
          <w:tcPr>
            <w:tcW w:w="1704" w:type="dxa"/>
          </w:tcPr>
          <w:p w14:paraId="45EC02AB" w14:textId="573B6527" w:rsidR="00F00397" w:rsidRDefault="00F00397" w:rsidP="00F00397">
            <w:pPr>
              <w:pStyle w:val="tabletext"/>
            </w:pPr>
            <w:r>
              <w:t>1.2</w:t>
            </w:r>
          </w:p>
        </w:tc>
        <w:tc>
          <w:tcPr>
            <w:tcW w:w="1704" w:type="dxa"/>
          </w:tcPr>
          <w:p w14:paraId="0A2F2295" w14:textId="1CA46555" w:rsidR="00F00397" w:rsidRDefault="00F00397" w:rsidP="00F00397">
            <w:pPr>
              <w:pStyle w:val="tabletext"/>
            </w:pPr>
            <w:r>
              <w:t>64.4</w:t>
            </w:r>
          </w:p>
        </w:tc>
        <w:tc>
          <w:tcPr>
            <w:tcW w:w="1705" w:type="dxa"/>
          </w:tcPr>
          <w:p w14:paraId="4D4E540B" w14:textId="69D03163" w:rsidR="00F00397" w:rsidRDefault="00F00397" w:rsidP="00F00397">
            <w:pPr>
              <w:pStyle w:val="tabletext"/>
            </w:pPr>
            <w:r>
              <w:t>31.9</w:t>
            </w:r>
          </w:p>
        </w:tc>
        <w:tc>
          <w:tcPr>
            <w:tcW w:w="1705" w:type="dxa"/>
          </w:tcPr>
          <w:p w14:paraId="50FB0063" w14:textId="7303960D" w:rsidR="00F00397" w:rsidRDefault="00F00397" w:rsidP="00F00397">
            <w:pPr>
              <w:pStyle w:val="tabletext"/>
            </w:pPr>
            <w:r>
              <w:t>3.6</w:t>
            </w:r>
          </w:p>
        </w:tc>
      </w:tr>
      <w:tr w:rsidR="00F00397" w14:paraId="2F7E2168" w14:textId="77777777" w:rsidTr="00F00397">
        <w:tc>
          <w:tcPr>
            <w:tcW w:w="1704" w:type="dxa"/>
          </w:tcPr>
          <w:p w14:paraId="76C286EC" w14:textId="6BA070EC" w:rsidR="00F00397" w:rsidRPr="00F00397" w:rsidRDefault="00F00397" w:rsidP="00F00397">
            <w:pPr>
              <w:pStyle w:val="tabletext"/>
              <w:rPr>
                <w:b/>
              </w:rPr>
            </w:pPr>
            <w:r w:rsidRPr="00F00397">
              <w:rPr>
                <w:b/>
              </w:rPr>
              <w:t>Philippines</w:t>
            </w:r>
          </w:p>
        </w:tc>
        <w:tc>
          <w:tcPr>
            <w:tcW w:w="1704" w:type="dxa"/>
          </w:tcPr>
          <w:p w14:paraId="1FBF1574" w14:textId="051905D9" w:rsidR="00F00397" w:rsidRDefault="00F00397" w:rsidP="00F00397">
            <w:pPr>
              <w:pStyle w:val="tabletext"/>
            </w:pPr>
            <w:r>
              <w:t>2.5</w:t>
            </w:r>
          </w:p>
        </w:tc>
        <w:tc>
          <w:tcPr>
            <w:tcW w:w="1704" w:type="dxa"/>
          </w:tcPr>
          <w:p w14:paraId="00A6D797" w14:textId="2C020FE7" w:rsidR="00F00397" w:rsidRDefault="00F00397" w:rsidP="00F00397">
            <w:pPr>
              <w:pStyle w:val="tabletext"/>
            </w:pPr>
            <w:r>
              <w:t>13</w:t>
            </w:r>
          </w:p>
        </w:tc>
        <w:tc>
          <w:tcPr>
            <w:tcW w:w="1705" w:type="dxa"/>
          </w:tcPr>
          <w:p w14:paraId="1BA9642B" w14:textId="6628E1FD" w:rsidR="00F00397" w:rsidRDefault="00F00397" w:rsidP="00F00397">
            <w:pPr>
              <w:pStyle w:val="tabletext"/>
            </w:pPr>
            <w:r>
              <w:t>80</w:t>
            </w:r>
          </w:p>
        </w:tc>
        <w:tc>
          <w:tcPr>
            <w:tcW w:w="1705" w:type="dxa"/>
          </w:tcPr>
          <w:p w14:paraId="4C7494D2" w14:textId="49729547" w:rsidR="00F00397" w:rsidRDefault="00F00397" w:rsidP="00F00397">
            <w:pPr>
              <w:pStyle w:val="tabletext"/>
            </w:pPr>
            <w:r>
              <w:t>6</w:t>
            </w:r>
          </w:p>
        </w:tc>
      </w:tr>
      <w:tr w:rsidR="00F00397" w14:paraId="43C2D743" w14:textId="77777777" w:rsidTr="00F00397">
        <w:tc>
          <w:tcPr>
            <w:tcW w:w="1704" w:type="dxa"/>
          </w:tcPr>
          <w:p w14:paraId="14D45E29" w14:textId="4BD5B3FC" w:rsidR="00F00397" w:rsidRPr="00F00397" w:rsidRDefault="00F00397" w:rsidP="00F00397">
            <w:pPr>
              <w:pStyle w:val="tabletext"/>
              <w:rPr>
                <w:b/>
              </w:rPr>
            </w:pPr>
            <w:r w:rsidRPr="00F00397">
              <w:rPr>
                <w:b/>
              </w:rPr>
              <w:t>Bangladesh</w:t>
            </w:r>
          </w:p>
        </w:tc>
        <w:tc>
          <w:tcPr>
            <w:tcW w:w="1704" w:type="dxa"/>
          </w:tcPr>
          <w:p w14:paraId="322D1A65" w14:textId="6066B9AA" w:rsidR="00F00397" w:rsidRDefault="00F00397" w:rsidP="00F00397">
            <w:pPr>
              <w:pStyle w:val="tabletext"/>
            </w:pPr>
            <w:r>
              <w:t>1.4</w:t>
            </w:r>
          </w:p>
        </w:tc>
        <w:tc>
          <w:tcPr>
            <w:tcW w:w="1704" w:type="dxa"/>
          </w:tcPr>
          <w:p w14:paraId="075A63D2" w14:textId="5FED96E8" w:rsidR="00F00397" w:rsidRDefault="00F00397" w:rsidP="00F00397">
            <w:pPr>
              <w:pStyle w:val="tabletext"/>
            </w:pPr>
            <w:r>
              <w:t>45</w:t>
            </w:r>
          </w:p>
        </w:tc>
        <w:tc>
          <w:tcPr>
            <w:tcW w:w="1705" w:type="dxa"/>
          </w:tcPr>
          <w:p w14:paraId="31B41B93" w14:textId="38C32E8E" w:rsidR="00F00397" w:rsidRDefault="00F00397" w:rsidP="00F00397">
            <w:pPr>
              <w:pStyle w:val="tabletext"/>
            </w:pPr>
            <w:r>
              <w:t>19</w:t>
            </w:r>
          </w:p>
        </w:tc>
        <w:tc>
          <w:tcPr>
            <w:tcW w:w="1705" w:type="dxa"/>
          </w:tcPr>
          <w:p w14:paraId="6592974A" w14:textId="32DDC31F" w:rsidR="00F00397" w:rsidRDefault="00F00397" w:rsidP="00F00397">
            <w:pPr>
              <w:pStyle w:val="tabletext"/>
            </w:pPr>
            <w:r>
              <w:t>36</w:t>
            </w:r>
          </w:p>
        </w:tc>
      </w:tr>
      <w:tr w:rsidR="00F00397" w14:paraId="5CF7D519" w14:textId="77777777" w:rsidTr="00F00397">
        <w:tc>
          <w:tcPr>
            <w:tcW w:w="1704" w:type="dxa"/>
          </w:tcPr>
          <w:p w14:paraId="24C8F5F7" w14:textId="00934552" w:rsidR="00F00397" w:rsidRPr="00F00397" w:rsidRDefault="00F00397" w:rsidP="00F00397">
            <w:pPr>
              <w:pStyle w:val="tabletext"/>
              <w:rPr>
                <w:b/>
              </w:rPr>
            </w:pPr>
            <w:r w:rsidRPr="00F00397">
              <w:rPr>
                <w:b/>
              </w:rPr>
              <w:t>Viet Nam</w:t>
            </w:r>
          </w:p>
        </w:tc>
        <w:tc>
          <w:tcPr>
            <w:tcW w:w="1704" w:type="dxa"/>
          </w:tcPr>
          <w:p w14:paraId="4C90C94A" w14:textId="2CD71216" w:rsidR="00F00397" w:rsidRDefault="00F00397" w:rsidP="00F00397">
            <w:pPr>
              <w:pStyle w:val="tabletext"/>
            </w:pPr>
            <w:r>
              <w:t>4.7</w:t>
            </w:r>
          </w:p>
        </w:tc>
        <w:tc>
          <w:tcPr>
            <w:tcW w:w="1704" w:type="dxa"/>
          </w:tcPr>
          <w:p w14:paraId="6986FD70" w14:textId="51DDB1C8" w:rsidR="00F00397" w:rsidRDefault="00F00397" w:rsidP="00F00397">
            <w:pPr>
              <w:pStyle w:val="tabletext"/>
            </w:pPr>
            <w:r>
              <w:t>12.7</w:t>
            </w:r>
          </w:p>
        </w:tc>
        <w:tc>
          <w:tcPr>
            <w:tcW w:w="1705" w:type="dxa"/>
          </w:tcPr>
          <w:p w14:paraId="7AB59E8E" w14:textId="40FA1831" w:rsidR="00F00397" w:rsidRDefault="00F00397" w:rsidP="00F00397">
            <w:pPr>
              <w:pStyle w:val="tabletext"/>
            </w:pPr>
            <w:r>
              <w:t>84.1</w:t>
            </w:r>
          </w:p>
        </w:tc>
        <w:tc>
          <w:tcPr>
            <w:tcW w:w="1705" w:type="dxa"/>
          </w:tcPr>
          <w:p w14:paraId="2490AADE" w14:textId="557ED961" w:rsidR="00F00397" w:rsidRDefault="00F00397" w:rsidP="00F00397">
            <w:pPr>
              <w:pStyle w:val="tabletext"/>
            </w:pPr>
            <w:r>
              <w:t>3.2</w:t>
            </w:r>
          </w:p>
        </w:tc>
      </w:tr>
      <w:tr w:rsidR="00F00397" w14:paraId="4F0C6CF9" w14:textId="77777777" w:rsidTr="00F00397">
        <w:tc>
          <w:tcPr>
            <w:tcW w:w="1704" w:type="dxa"/>
          </w:tcPr>
          <w:p w14:paraId="2AB700BE" w14:textId="7E66464F" w:rsidR="00F00397" w:rsidRPr="00F00397" w:rsidRDefault="00F00397" w:rsidP="00F00397">
            <w:pPr>
              <w:pStyle w:val="tabletext"/>
              <w:rPr>
                <w:b/>
              </w:rPr>
            </w:pPr>
            <w:r w:rsidRPr="00F00397">
              <w:rPr>
                <w:b/>
              </w:rPr>
              <w:t>Laos</w:t>
            </w:r>
          </w:p>
        </w:tc>
        <w:tc>
          <w:tcPr>
            <w:tcW w:w="1704" w:type="dxa"/>
          </w:tcPr>
          <w:p w14:paraId="49A438A3" w14:textId="34A4505E" w:rsidR="00F00397" w:rsidRDefault="00F00397" w:rsidP="00F00397">
            <w:pPr>
              <w:pStyle w:val="tabletext"/>
            </w:pPr>
            <w:r>
              <w:t>0.9</w:t>
            </w:r>
          </w:p>
        </w:tc>
        <w:tc>
          <w:tcPr>
            <w:tcW w:w="1704" w:type="dxa"/>
          </w:tcPr>
          <w:p w14:paraId="3C1DA739" w14:textId="1EABEFCE" w:rsidR="00F00397" w:rsidRDefault="00F00397" w:rsidP="00F00397">
            <w:pPr>
              <w:pStyle w:val="tabletext"/>
            </w:pPr>
            <w:r>
              <w:t>35.3</w:t>
            </w:r>
          </w:p>
        </w:tc>
        <w:tc>
          <w:tcPr>
            <w:tcW w:w="1705" w:type="dxa"/>
          </w:tcPr>
          <w:p w14:paraId="58A4FFA9" w14:textId="451B7A84" w:rsidR="00F00397" w:rsidRDefault="00F00397" w:rsidP="00F00397">
            <w:pPr>
              <w:pStyle w:val="tabletext"/>
            </w:pPr>
            <w:r>
              <w:t>64.4</w:t>
            </w:r>
          </w:p>
        </w:tc>
        <w:tc>
          <w:tcPr>
            <w:tcW w:w="1705" w:type="dxa"/>
          </w:tcPr>
          <w:p w14:paraId="4CF0DAF3" w14:textId="4A37FB23" w:rsidR="00F00397" w:rsidRDefault="00F00397" w:rsidP="00F00397">
            <w:pPr>
              <w:pStyle w:val="tabletext"/>
            </w:pPr>
            <w:r>
              <w:t>0.3</w:t>
            </w:r>
          </w:p>
        </w:tc>
      </w:tr>
      <w:tr w:rsidR="00F00397" w14:paraId="21B55E55" w14:textId="77777777" w:rsidTr="00F00397">
        <w:tc>
          <w:tcPr>
            <w:tcW w:w="1704" w:type="dxa"/>
          </w:tcPr>
          <w:p w14:paraId="2ABD7E5A" w14:textId="60AA37BE" w:rsidR="00F00397" w:rsidRPr="00F00397" w:rsidRDefault="00F00397" w:rsidP="00F00397">
            <w:pPr>
              <w:pStyle w:val="tabletext"/>
              <w:rPr>
                <w:b/>
              </w:rPr>
            </w:pPr>
            <w:r w:rsidRPr="00F00397">
              <w:rPr>
                <w:b/>
              </w:rPr>
              <w:t>Cambodia</w:t>
            </w:r>
          </w:p>
        </w:tc>
        <w:tc>
          <w:tcPr>
            <w:tcW w:w="1704" w:type="dxa"/>
          </w:tcPr>
          <w:p w14:paraId="42A4F9C5" w14:textId="7D295F8B" w:rsidR="00F00397" w:rsidRDefault="00F00397" w:rsidP="00F00397">
            <w:pPr>
              <w:pStyle w:val="tabletext"/>
            </w:pPr>
            <w:r>
              <w:t>1.0</w:t>
            </w:r>
          </w:p>
        </w:tc>
        <w:tc>
          <w:tcPr>
            <w:tcW w:w="1704" w:type="dxa"/>
          </w:tcPr>
          <w:p w14:paraId="4E0EC173" w14:textId="37434A70" w:rsidR="00F00397" w:rsidRDefault="00F00397" w:rsidP="00F00397">
            <w:pPr>
              <w:pStyle w:val="tabletext"/>
            </w:pPr>
            <w:r>
              <w:t>58</w:t>
            </w:r>
          </w:p>
        </w:tc>
        <w:tc>
          <w:tcPr>
            <w:tcW w:w="1705" w:type="dxa"/>
          </w:tcPr>
          <w:p w14:paraId="27202C2D" w14:textId="2B8B76BE" w:rsidR="00F00397" w:rsidRDefault="00F00397" w:rsidP="00F00397">
            <w:pPr>
              <w:pStyle w:val="tabletext"/>
            </w:pPr>
            <w:r>
              <w:t>26</w:t>
            </w:r>
          </w:p>
        </w:tc>
        <w:tc>
          <w:tcPr>
            <w:tcW w:w="1705" w:type="dxa"/>
          </w:tcPr>
          <w:p w14:paraId="184B7432" w14:textId="20571883" w:rsidR="00F00397" w:rsidRDefault="00F00397" w:rsidP="00F00397">
            <w:pPr>
              <w:pStyle w:val="tabletext"/>
            </w:pPr>
            <w:r>
              <w:t>17</w:t>
            </w:r>
          </w:p>
        </w:tc>
      </w:tr>
      <w:tr w:rsidR="00F00397" w14:paraId="3FBB970D" w14:textId="77777777" w:rsidTr="00F00397">
        <w:tc>
          <w:tcPr>
            <w:tcW w:w="1704" w:type="dxa"/>
          </w:tcPr>
          <w:p w14:paraId="45F0B740" w14:textId="485429FD" w:rsidR="00F00397" w:rsidRPr="00F00397" w:rsidRDefault="00F00397" w:rsidP="00F00397">
            <w:pPr>
              <w:pStyle w:val="tabletext"/>
              <w:rPr>
                <w:b/>
              </w:rPr>
            </w:pPr>
            <w:r w:rsidRPr="00F00397">
              <w:rPr>
                <w:b/>
              </w:rPr>
              <w:t>Timor-Leste</w:t>
            </w:r>
          </w:p>
        </w:tc>
        <w:tc>
          <w:tcPr>
            <w:tcW w:w="1704" w:type="dxa"/>
          </w:tcPr>
          <w:p w14:paraId="3EB2D9F5" w14:textId="0AB4AAFB" w:rsidR="00F00397" w:rsidRDefault="00F00397" w:rsidP="00F00397">
            <w:pPr>
              <w:pStyle w:val="tabletext"/>
            </w:pPr>
            <w:r>
              <w:t>5.9</w:t>
            </w:r>
          </w:p>
        </w:tc>
        <w:tc>
          <w:tcPr>
            <w:tcW w:w="1704" w:type="dxa"/>
          </w:tcPr>
          <w:p w14:paraId="6E605F52" w14:textId="08530605" w:rsidR="00F00397" w:rsidRDefault="00F00397" w:rsidP="00F00397">
            <w:pPr>
              <w:pStyle w:val="tabletext"/>
            </w:pPr>
            <w:r>
              <w:t>97.3</w:t>
            </w:r>
          </w:p>
        </w:tc>
        <w:tc>
          <w:tcPr>
            <w:tcW w:w="1705" w:type="dxa"/>
          </w:tcPr>
          <w:p w14:paraId="0235CC65" w14:textId="741AB332" w:rsidR="00F00397" w:rsidRDefault="00F00397" w:rsidP="00F00397">
            <w:pPr>
              <w:pStyle w:val="tabletext"/>
            </w:pPr>
            <w:r>
              <w:t>0</w:t>
            </w:r>
          </w:p>
        </w:tc>
        <w:tc>
          <w:tcPr>
            <w:tcW w:w="1705" w:type="dxa"/>
          </w:tcPr>
          <w:p w14:paraId="64EEFF0E" w14:textId="3F598D02" w:rsidR="00F00397" w:rsidRDefault="00F00397" w:rsidP="00F00397">
            <w:pPr>
              <w:pStyle w:val="tabletext"/>
            </w:pPr>
            <w:r>
              <w:t>2.7</w:t>
            </w:r>
          </w:p>
        </w:tc>
      </w:tr>
      <w:tr w:rsidR="00782BD1" w14:paraId="17EFBAFD" w14:textId="77777777" w:rsidTr="00F00397">
        <w:tc>
          <w:tcPr>
            <w:tcW w:w="1704" w:type="dxa"/>
          </w:tcPr>
          <w:p w14:paraId="1A9EABD6" w14:textId="6B3E6A18" w:rsidR="00782BD1" w:rsidRPr="00F00397" w:rsidRDefault="00782BD1" w:rsidP="00F00397">
            <w:pPr>
              <w:pStyle w:val="tabletext"/>
              <w:rPr>
                <w:b/>
              </w:rPr>
            </w:pPr>
            <w:r w:rsidRPr="00DB3EDD">
              <w:rPr>
                <w:b/>
              </w:rPr>
              <w:t>Papua New Guinea</w:t>
            </w:r>
          </w:p>
        </w:tc>
        <w:tc>
          <w:tcPr>
            <w:tcW w:w="1704" w:type="dxa"/>
          </w:tcPr>
          <w:p w14:paraId="5432E99D" w14:textId="4A38F428" w:rsidR="00782BD1" w:rsidRDefault="00782BD1" w:rsidP="00F00397">
            <w:pPr>
              <w:pStyle w:val="tabletext"/>
            </w:pPr>
            <w:r>
              <w:t>0.1</w:t>
            </w:r>
          </w:p>
        </w:tc>
        <w:tc>
          <w:tcPr>
            <w:tcW w:w="1704" w:type="dxa"/>
          </w:tcPr>
          <w:p w14:paraId="403900B4" w14:textId="1BFEB8C3" w:rsidR="00782BD1" w:rsidRDefault="00782BD1" w:rsidP="00F00397">
            <w:pPr>
              <w:pStyle w:val="tabletext"/>
            </w:pPr>
            <w:r>
              <w:t>16.1</w:t>
            </w:r>
          </w:p>
        </w:tc>
        <w:tc>
          <w:tcPr>
            <w:tcW w:w="1705" w:type="dxa"/>
          </w:tcPr>
          <w:p w14:paraId="65DCDCF8" w14:textId="07D553B1" w:rsidR="00782BD1" w:rsidRDefault="00782BD1" w:rsidP="00F00397">
            <w:pPr>
              <w:pStyle w:val="tabletext"/>
            </w:pPr>
            <w:r>
              <w:t>83.2</w:t>
            </w:r>
          </w:p>
        </w:tc>
        <w:tc>
          <w:tcPr>
            <w:tcW w:w="1705" w:type="dxa"/>
          </w:tcPr>
          <w:p w14:paraId="6515FF4B" w14:textId="5A7ABCEC" w:rsidR="00782BD1" w:rsidRDefault="00782BD1" w:rsidP="00F00397">
            <w:pPr>
              <w:pStyle w:val="tabletext"/>
            </w:pPr>
            <w:r>
              <w:t>0.6</w:t>
            </w:r>
          </w:p>
        </w:tc>
      </w:tr>
    </w:tbl>
    <w:p w14:paraId="2B7D06C5" w14:textId="77777777" w:rsidR="00F00397" w:rsidRPr="007053AC" w:rsidRDefault="00F00397" w:rsidP="00F00397">
      <w:pPr>
        <w:pStyle w:val="04BODYTEXT"/>
        <w:rPr>
          <w:sz w:val="16"/>
          <w:szCs w:val="16"/>
        </w:rPr>
      </w:pPr>
      <w:r w:rsidRPr="007053AC">
        <w:rPr>
          <w:sz w:val="16"/>
          <w:szCs w:val="16"/>
        </w:rPr>
        <w:t>Source: Asian Development Bank (2013)</w:t>
      </w:r>
    </w:p>
    <w:p w14:paraId="4A366C64" w14:textId="77777777" w:rsidR="007053AC" w:rsidRDefault="007053AC">
      <w:pPr>
        <w:rPr>
          <w:rFonts w:asciiTheme="minorHAnsi" w:hAnsiTheme="minorHAnsi" w:cstheme="minorHAnsi"/>
          <w:b/>
          <w:i/>
        </w:rPr>
      </w:pPr>
      <w:r>
        <w:rPr>
          <w:rFonts w:asciiTheme="minorHAnsi" w:hAnsiTheme="minorHAnsi" w:cstheme="minorHAnsi"/>
          <w:b/>
          <w:i/>
        </w:rPr>
        <w:br w:type="page"/>
      </w:r>
    </w:p>
    <w:p w14:paraId="33FB2B17" w14:textId="5AB7F435" w:rsidR="00697C4C" w:rsidRDefault="00056DCD" w:rsidP="00697C4C">
      <w:pPr>
        <w:pStyle w:val="Figurehead"/>
      </w:pPr>
      <w:r>
        <w:lastRenderedPageBreak/>
        <w:t xml:space="preserve">Social Assistance </w:t>
      </w:r>
      <w:r w:rsidR="00272C62">
        <w:t xml:space="preserve">- </w:t>
      </w:r>
      <w:r>
        <w:t>Coverage and G</w:t>
      </w:r>
      <w:r w:rsidR="00B15D05" w:rsidRPr="005849E9">
        <w:t>aps</w:t>
      </w:r>
      <w:r w:rsidR="00B15D05">
        <w:t>*</w:t>
      </w:r>
    </w:p>
    <w:tbl>
      <w:tblPr>
        <w:tblStyle w:val="TableGrid"/>
        <w:tblW w:w="0" w:type="auto"/>
        <w:tblLook w:val="04A0" w:firstRow="1" w:lastRow="0" w:firstColumn="1" w:lastColumn="0" w:noHBand="0" w:noVBand="1"/>
      </w:tblPr>
      <w:tblGrid>
        <w:gridCol w:w="1384"/>
        <w:gridCol w:w="2379"/>
        <w:gridCol w:w="2379"/>
        <w:gridCol w:w="2380"/>
      </w:tblGrid>
      <w:tr w:rsidR="00887873" w14:paraId="594A3527" w14:textId="77777777" w:rsidTr="006E3CA2">
        <w:trPr>
          <w:tblHeader/>
        </w:trPr>
        <w:tc>
          <w:tcPr>
            <w:tcW w:w="1384" w:type="dxa"/>
            <w:shd w:val="clear" w:color="auto" w:fill="B8CCE4" w:themeFill="accent1" w:themeFillTint="66"/>
          </w:tcPr>
          <w:p w14:paraId="2007EDC5" w14:textId="165DB3B1" w:rsidR="00887873" w:rsidRDefault="00887873" w:rsidP="00697C4C">
            <w:pPr>
              <w:pStyle w:val="Figurehead"/>
            </w:pPr>
            <w:r w:rsidRPr="00014089">
              <w:t>Country</w:t>
            </w:r>
          </w:p>
        </w:tc>
        <w:tc>
          <w:tcPr>
            <w:tcW w:w="2379" w:type="dxa"/>
            <w:shd w:val="clear" w:color="auto" w:fill="B8CCE4" w:themeFill="accent1" w:themeFillTint="66"/>
          </w:tcPr>
          <w:p w14:paraId="6B396093" w14:textId="23C34832" w:rsidR="00887873" w:rsidRDefault="00887873" w:rsidP="00697C4C">
            <w:pPr>
              <w:pStyle w:val="Figurehead"/>
            </w:pPr>
            <w:r w:rsidRPr="00014089">
              <w:t>Focus</w:t>
            </w:r>
          </w:p>
        </w:tc>
        <w:tc>
          <w:tcPr>
            <w:tcW w:w="2379" w:type="dxa"/>
            <w:shd w:val="clear" w:color="auto" w:fill="B8CCE4" w:themeFill="accent1" w:themeFillTint="66"/>
          </w:tcPr>
          <w:p w14:paraId="133AE895" w14:textId="15B5772A" w:rsidR="00887873" w:rsidRDefault="00887873" w:rsidP="00697C4C">
            <w:pPr>
              <w:pStyle w:val="Figurehead"/>
            </w:pPr>
            <w:r w:rsidRPr="00014089">
              <w:t>Gaps</w:t>
            </w:r>
          </w:p>
        </w:tc>
        <w:tc>
          <w:tcPr>
            <w:tcW w:w="2380" w:type="dxa"/>
            <w:shd w:val="clear" w:color="auto" w:fill="B8CCE4" w:themeFill="accent1" w:themeFillTint="66"/>
          </w:tcPr>
          <w:p w14:paraId="55F9554C" w14:textId="6DA9474B" w:rsidR="00887873" w:rsidRDefault="00887873" w:rsidP="00697C4C">
            <w:pPr>
              <w:pStyle w:val="Figurehead"/>
            </w:pPr>
            <w:r w:rsidRPr="00014089">
              <w:t>Key issues</w:t>
            </w:r>
          </w:p>
        </w:tc>
      </w:tr>
      <w:tr w:rsidR="00887873" w14:paraId="0B89CA20" w14:textId="77777777" w:rsidTr="00887873">
        <w:tc>
          <w:tcPr>
            <w:tcW w:w="1384" w:type="dxa"/>
          </w:tcPr>
          <w:p w14:paraId="0EE5EC44" w14:textId="2A11FFEB" w:rsidR="00887873" w:rsidRPr="00887873" w:rsidRDefault="00887873" w:rsidP="00887873">
            <w:pPr>
              <w:pStyle w:val="tabletext"/>
              <w:rPr>
                <w:b/>
              </w:rPr>
            </w:pPr>
            <w:r w:rsidRPr="00887873">
              <w:rPr>
                <w:b/>
              </w:rPr>
              <w:t>Indonesia</w:t>
            </w:r>
          </w:p>
        </w:tc>
        <w:tc>
          <w:tcPr>
            <w:tcW w:w="2379" w:type="dxa"/>
          </w:tcPr>
          <w:p w14:paraId="25A5B10A" w14:textId="0F93ABAC" w:rsidR="00887873" w:rsidRDefault="00887873" w:rsidP="00887873">
            <w:pPr>
              <w:pStyle w:val="tabletext"/>
            </w:pPr>
            <w:r w:rsidRPr="00014089">
              <w:t>Cash transfers, scholarships, subsidised rice and health insurance for poor families</w:t>
            </w:r>
          </w:p>
        </w:tc>
        <w:tc>
          <w:tcPr>
            <w:tcW w:w="2379" w:type="dxa"/>
          </w:tcPr>
          <w:p w14:paraId="60859948" w14:textId="2F2D9C09" w:rsidR="00887873" w:rsidRDefault="00887873" w:rsidP="00887873">
            <w:pPr>
              <w:pStyle w:val="tabletext"/>
            </w:pPr>
            <w:r w:rsidRPr="00014089">
              <w:t>Vulnerable groups (e.g. elderly, people with disabilities), people just above the poverty line. ‘Missing middle’ – informal sector workers left out of the national social security system</w:t>
            </w:r>
          </w:p>
        </w:tc>
        <w:tc>
          <w:tcPr>
            <w:tcW w:w="2380" w:type="dxa"/>
          </w:tcPr>
          <w:p w14:paraId="00565865" w14:textId="03C7C1BE" w:rsidR="00887873" w:rsidRDefault="00887873" w:rsidP="00887873">
            <w:pPr>
              <w:pStyle w:val="tabletext"/>
            </w:pPr>
            <w:r w:rsidRPr="00014089">
              <w:t xml:space="preserve">System rigid – if become poor after </w:t>
            </w:r>
            <w:proofErr w:type="gramStart"/>
            <w:r w:rsidRPr="00014089">
              <w:t>selection phase</w:t>
            </w:r>
            <w:proofErr w:type="gramEnd"/>
            <w:r w:rsidRPr="00014089">
              <w:t xml:space="preserve"> it is difficult to access programs. Grievance system nascent. Benefit levels low and fragmented. Centralised targeting system not yet inclusive of highly decentralised governance (500+ districts)</w:t>
            </w:r>
          </w:p>
        </w:tc>
      </w:tr>
      <w:tr w:rsidR="00887873" w14:paraId="05777F24" w14:textId="77777777" w:rsidTr="00887873">
        <w:tc>
          <w:tcPr>
            <w:tcW w:w="1384" w:type="dxa"/>
          </w:tcPr>
          <w:p w14:paraId="401BE047" w14:textId="4EAD5114" w:rsidR="00887873" w:rsidRPr="00887873" w:rsidRDefault="00887873" w:rsidP="00887873">
            <w:pPr>
              <w:pStyle w:val="tabletext"/>
              <w:rPr>
                <w:b/>
              </w:rPr>
            </w:pPr>
            <w:r w:rsidRPr="00887873">
              <w:rPr>
                <w:b/>
              </w:rPr>
              <w:t>Philippines</w:t>
            </w:r>
          </w:p>
        </w:tc>
        <w:tc>
          <w:tcPr>
            <w:tcW w:w="2379" w:type="dxa"/>
          </w:tcPr>
          <w:p w14:paraId="0877E3EC" w14:textId="6A0C5B02" w:rsidR="00887873" w:rsidRDefault="00887873" w:rsidP="00887873">
            <w:pPr>
              <w:pStyle w:val="tabletext"/>
            </w:pPr>
            <w:r w:rsidRPr="00014089">
              <w:t>Cash transfers and labour market programs for poor families</w:t>
            </w:r>
          </w:p>
        </w:tc>
        <w:tc>
          <w:tcPr>
            <w:tcW w:w="2379" w:type="dxa"/>
          </w:tcPr>
          <w:p w14:paraId="7A6F7AA5" w14:textId="770C4765" w:rsidR="00887873" w:rsidRDefault="00887873" w:rsidP="00887873">
            <w:pPr>
              <w:pStyle w:val="tabletext"/>
            </w:pPr>
            <w:r w:rsidRPr="00014089">
              <w:t xml:space="preserve">People just above the poverty line, families without children, and inadequate coverage of labour market programs </w:t>
            </w:r>
          </w:p>
        </w:tc>
        <w:tc>
          <w:tcPr>
            <w:tcW w:w="2380" w:type="dxa"/>
          </w:tcPr>
          <w:p w14:paraId="21C108B3" w14:textId="2D1BEE92" w:rsidR="00887873" w:rsidRDefault="00887873" w:rsidP="00887873">
            <w:pPr>
              <w:pStyle w:val="tabletext"/>
            </w:pPr>
            <w:r w:rsidRPr="00014089">
              <w:t>Social protection options lacking for those just above the poverty line</w:t>
            </w:r>
          </w:p>
        </w:tc>
      </w:tr>
      <w:tr w:rsidR="00887873" w14:paraId="477003A9" w14:textId="77777777" w:rsidTr="00887873">
        <w:tc>
          <w:tcPr>
            <w:tcW w:w="1384" w:type="dxa"/>
          </w:tcPr>
          <w:p w14:paraId="54553FD3" w14:textId="4352004E" w:rsidR="00887873" w:rsidRPr="00887873" w:rsidRDefault="00887873" w:rsidP="00887873">
            <w:pPr>
              <w:pStyle w:val="tabletext"/>
              <w:rPr>
                <w:b/>
              </w:rPr>
            </w:pPr>
            <w:r w:rsidRPr="00887873">
              <w:rPr>
                <w:b/>
              </w:rPr>
              <w:t>Bangladesh</w:t>
            </w:r>
          </w:p>
        </w:tc>
        <w:tc>
          <w:tcPr>
            <w:tcW w:w="2379" w:type="dxa"/>
          </w:tcPr>
          <w:p w14:paraId="657E60E2" w14:textId="3BE280F6" w:rsidR="00887873" w:rsidRDefault="00887873" w:rsidP="00887873">
            <w:pPr>
              <w:pStyle w:val="tabletext"/>
            </w:pPr>
            <w:r w:rsidRPr="00014089">
              <w:t xml:space="preserve">Food transfers for poor families and vulnerable groups </w:t>
            </w:r>
          </w:p>
        </w:tc>
        <w:tc>
          <w:tcPr>
            <w:tcW w:w="2379" w:type="dxa"/>
          </w:tcPr>
          <w:p w14:paraId="3C57B922" w14:textId="7B7A21EC" w:rsidR="00887873" w:rsidRDefault="00887873" w:rsidP="00887873">
            <w:pPr>
              <w:pStyle w:val="tabletext"/>
            </w:pPr>
            <w:r w:rsidRPr="00014089">
              <w:t>Many programs but all have inadequate coverage</w:t>
            </w:r>
          </w:p>
        </w:tc>
        <w:tc>
          <w:tcPr>
            <w:tcW w:w="2380" w:type="dxa"/>
          </w:tcPr>
          <w:p w14:paraId="0C6630EF" w14:textId="177462A8" w:rsidR="00887873" w:rsidRDefault="00887873" w:rsidP="00887873">
            <w:pPr>
              <w:pStyle w:val="tabletext"/>
            </w:pPr>
            <w:r w:rsidRPr="00014089">
              <w:t>Need to increase the depth and coverage of existing programs and create a cohesive system</w:t>
            </w:r>
          </w:p>
        </w:tc>
      </w:tr>
      <w:tr w:rsidR="00887873" w14:paraId="4AA3401C" w14:textId="77777777" w:rsidTr="00887873">
        <w:tc>
          <w:tcPr>
            <w:tcW w:w="1384" w:type="dxa"/>
          </w:tcPr>
          <w:p w14:paraId="2F494522" w14:textId="540D8056" w:rsidR="00887873" w:rsidRPr="00887873" w:rsidRDefault="00887873" w:rsidP="00887873">
            <w:pPr>
              <w:pStyle w:val="tabletext"/>
              <w:rPr>
                <w:b/>
              </w:rPr>
            </w:pPr>
            <w:r w:rsidRPr="00887873">
              <w:rPr>
                <w:b/>
              </w:rPr>
              <w:t>Viet Nam</w:t>
            </w:r>
          </w:p>
        </w:tc>
        <w:tc>
          <w:tcPr>
            <w:tcW w:w="2379" w:type="dxa"/>
          </w:tcPr>
          <w:p w14:paraId="28EE01EB" w14:textId="25014F11" w:rsidR="00887873" w:rsidRDefault="00887873" w:rsidP="00887873">
            <w:pPr>
              <w:pStyle w:val="tabletext"/>
            </w:pPr>
            <w:r w:rsidRPr="00014089">
              <w:t xml:space="preserve">Cash transfers for some non-working poor families and vulnerable groups </w:t>
            </w:r>
          </w:p>
        </w:tc>
        <w:tc>
          <w:tcPr>
            <w:tcW w:w="2379" w:type="dxa"/>
          </w:tcPr>
          <w:p w14:paraId="4DCC62AC" w14:textId="3E430143" w:rsidR="00887873" w:rsidRDefault="00887873" w:rsidP="00887873">
            <w:pPr>
              <w:pStyle w:val="tabletext"/>
            </w:pPr>
            <w:r w:rsidRPr="00014089">
              <w:t xml:space="preserve">Working poor and their families </w:t>
            </w:r>
          </w:p>
        </w:tc>
        <w:tc>
          <w:tcPr>
            <w:tcW w:w="2380" w:type="dxa"/>
          </w:tcPr>
          <w:p w14:paraId="34F23335" w14:textId="2B94491F" w:rsidR="00887873" w:rsidRDefault="00887873" w:rsidP="00887873">
            <w:pPr>
              <w:pStyle w:val="tabletext"/>
            </w:pPr>
            <w:r w:rsidRPr="00014089">
              <w:t>Most government funding for non-poor. Benefit levels low. Government has recognised need for some reform</w:t>
            </w:r>
          </w:p>
        </w:tc>
      </w:tr>
      <w:tr w:rsidR="00887873" w14:paraId="59904591" w14:textId="77777777" w:rsidTr="00887873">
        <w:tc>
          <w:tcPr>
            <w:tcW w:w="1384" w:type="dxa"/>
          </w:tcPr>
          <w:p w14:paraId="73DF536D" w14:textId="3AC2DA6E" w:rsidR="00887873" w:rsidRPr="00887873" w:rsidRDefault="00887873" w:rsidP="00887873">
            <w:pPr>
              <w:pStyle w:val="tabletext"/>
              <w:rPr>
                <w:b/>
              </w:rPr>
            </w:pPr>
            <w:r w:rsidRPr="00887873">
              <w:rPr>
                <w:b/>
              </w:rPr>
              <w:t>Laos</w:t>
            </w:r>
          </w:p>
        </w:tc>
        <w:tc>
          <w:tcPr>
            <w:tcW w:w="2379" w:type="dxa"/>
          </w:tcPr>
          <w:p w14:paraId="599073F5" w14:textId="6042713F" w:rsidR="00887873" w:rsidRDefault="00887873" w:rsidP="00887873">
            <w:pPr>
              <w:pStyle w:val="tabletext"/>
            </w:pPr>
            <w:r w:rsidRPr="00014089">
              <w:t>Small-scale school feeding and health insurance support</w:t>
            </w:r>
          </w:p>
        </w:tc>
        <w:tc>
          <w:tcPr>
            <w:tcW w:w="2379" w:type="dxa"/>
          </w:tcPr>
          <w:p w14:paraId="15BD657C" w14:textId="6FFF5C12" w:rsidR="00887873" w:rsidRDefault="00887873" w:rsidP="00887873">
            <w:pPr>
              <w:pStyle w:val="tabletext"/>
            </w:pPr>
            <w:r w:rsidRPr="00014089">
              <w:t>Most poor families and vulnerable groups</w:t>
            </w:r>
          </w:p>
        </w:tc>
        <w:tc>
          <w:tcPr>
            <w:tcW w:w="2380" w:type="dxa"/>
          </w:tcPr>
          <w:p w14:paraId="1DEAF39B" w14:textId="327C04BE" w:rsidR="00887873" w:rsidRDefault="00887873" w:rsidP="00887873">
            <w:pPr>
              <w:pStyle w:val="tabletext"/>
            </w:pPr>
            <w:r w:rsidRPr="00014089">
              <w:t xml:space="preserve">Government commitment to implementing a ‘social protection floor’ but lack of resources to build system </w:t>
            </w:r>
          </w:p>
        </w:tc>
      </w:tr>
      <w:tr w:rsidR="00887873" w14:paraId="71B8FA20" w14:textId="77777777" w:rsidTr="00887873">
        <w:tc>
          <w:tcPr>
            <w:tcW w:w="1384" w:type="dxa"/>
          </w:tcPr>
          <w:p w14:paraId="0EC9B7BA" w14:textId="76DBD5EB" w:rsidR="00887873" w:rsidRPr="00887873" w:rsidRDefault="00887873" w:rsidP="00887873">
            <w:pPr>
              <w:pStyle w:val="tabletext"/>
              <w:rPr>
                <w:b/>
              </w:rPr>
            </w:pPr>
            <w:r w:rsidRPr="00887873">
              <w:rPr>
                <w:b/>
              </w:rPr>
              <w:t>Cambodia</w:t>
            </w:r>
          </w:p>
        </w:tc>
        <w:tc>
          <w:tcPr>
            <w:tcW w:w="2379" w:type="dxa"/>
          </w:tcPr>
          <w:p w14:paraId="6B9A0B32" w14:textId="6AAA9C51" w:rsidR="00887873" w:rsidRDefault="00887873" w:rsidP="00887873">
            <w:pPr>
              <w:pStyle w:val="tabletext"/>
            </w:pPr>
            <w:r w:rsidRPr="00014089">
              <w:t>School feeding, health insurance and labour market programs for poor families</w:t>
            </w:r>
          </w:p>
        </w:tc>
        <w:tc>
          <w:tcPr>
            <w:tcW w:w="2379" w:type="dxa"/>
          </w:tcPr>
          <w:p w14:paraId="0FAC78F3" w14:textId="2E3BCAAF" w:rsidR="00887873" w:rsidRDefault="00887873" w:rsidP="00887873">
            <w:pPr>
              <w:pStyle w:val="tabletext"/>
            </w:pPr>
            <w:r w:rsidRPr="00014089">
              <w:t>Most poor families and vulnerable groups (except for health insurance)</w:t>
            </w:r>
          </w:p>
        </w:tc>
        <w:tc>
          <w:tcPr>
            <w:tcW w:w="2380" w:type="dxa"/>
          </w:tcPr>
          <w:p w14:paraId="66A8B873" w14:textId="46DB6DB2" w:rsidR="00887873" w:rsidRDefault="00887873" w:rsidP="00887873">
            <w:pPr>
              <w:pStyle w:val="tabletext"/>
            </w:pPr>
            <w:r w:rsidRPr="00014089">
              <w:t xml:space="preserve">Social protection strategy designed but not implemented  </w:t>
            </w:r>
          </w:p>
        </w:tc>
      </w:tr>
      <w:tr w:rsidR="00887873" w14:paraId="5175EDEE" w14:textId="77777777" w:rsidTr="00887873">
        <w:tc>
          <w:tcPr>
            <w:tcW w:w="1384" w:type="dxa"/>
          </w:tcPr>
          <w:p w14:paraId="6060A279" w14:textId="39882164" w:rsidR="00887873" w:rsidRPr="00887873" w:rsidRDefault="00887873" w:rsidP="00887873">
            <w:pPr>
              <w:pStyle w:val="tabletext"/>
              <w:rPr>
                <w:b/>
              </w:rPr>
            </w:pPr>
            <w:r w:rsidRPr="00887873">
              <w:rPr>
                <w:b/>
              </w:rPr>
              <w:t>Timor-Leste</w:t>
            </w:r>
          </w:p>
        </w:tc>
        <w:tc>
          <w:tcPr>
            <w:tcW w:w="2379" w:type="dxa"/>
          </w:tcPr>
          <w:p w14:paraId="7645D7BE" w14:textId="3675BA4B" w:rsidR="00887873" w:rsidRDefault="00887873" w:rsidP="00887873">
            <w:pPr>
              <w:pStyle w:val="tabletext"/>
            </w:pPr>
            <w:r w:rsidRPr="00014089">
              <w:t>Veteran payments dominate. Programs for elderly, people with disabilities and poor families</w:t>
            </w:r>
          </w:p>
        </w:tc>
        <w:tc>
          <w:tcPr>
            <w:tcW w:w="2379" w:type="dxa"/>
          </w:tcPr>
          <w:p w14:paraId="7072816B" w14:textId="5D78953A" w:rsidR="00887873" w:rsidRDefault="00887873" w:rsidP="00887873">
            <w:pPr>
              <w:pStyle w:val="tabletext"/>
            </w:pPr>
            <w:r w:rsidRPr="00014089">
              <w:t>Most poor families</w:t>
            </w:r>
          </w:p>
        </w:tc>
        <w:tc>
          <w:tcPr>
            <w:tcW w:w="2380" w:type="dxa"/>
          </w:tcPr>
          <w:p w14:paraId="73DBC733" w14:textId="7601C4EF" w:rsidR="00887873" w:rsidRDefault="00887873" w:rsidP="00887873">
            <w:pPr>
              <w:pStyle w:val="tabletext"/>
            </w:pPr>
            <w:r w:rsidRPr="00014089">
              <w:t xml:space="preserve">Majority of assistance is directed to non-poor households </w:t>
            </w:r>
          </w:p>
        </w:tc>
      </w:tr>
      <w:tr w:rsidR="00887873" w14:paraId="0CBCCABE" w14:textId="77777777" w:rsidTr="00887873">
        <w:tc>
          <w:tcPr>
            <w:tcW w:w="1384" w:type="dxa"/>
          </w:tcPr>
          <w:p w14:paraId="3435ADC9" w14:textId="19D1FEFF" w:rsidR="00887873" w:rsidRPr="00887873" w:rsidRDefault="00887873" w:rsidP="00887873">
            <w:pPr>
              <w:pStyle w:val="tabletext"/>
              <w:rPr>
                <w:b/>
              </w:rPr>
            </w:pPr>
            <w:r w:rsidRPr="00887873">
              <w:rPr>
                <w:b/>
              </w:rPr>
              <w:t>Papua New Guinea</w:t>
            </w:r>
          </w:p>
        </w:tc>
        <w:tc>
          <w:tcPr>
            <w:tcW w:w="2379" w:type="dxa"/>
          </w:tcPr>
          <w:p w14:paraId="0A58C832" w14:textId="283042D9" w:rsidR="00887873" w:rsidRDefault="00887873" w:rsidP="00887873">
            <w:pPr>
              <w:pStyle w:val="tabletext"/>
            </w:pPr>
            <w:r w:rsidRPr="00014089">
              <w:t>Cash transfers to the elderly and people with disability in one province</w:t>
            </w:r>
          </w:p>
        </w:tc>
        <w:tc>
          <w:tcPr>
            <w:tcW w:w="2379" w:type="dxa"/>
          </w:tcPr>
          <w:p w14:paraId="0B04E748" w14:textId="5E8139E0" w:rsidR="00887873" w:rsidRDefault="00887873" w:rsidP="00887873">
            <w:pPr>
              <w:pStyle w:val="tabletext"/>
            </w:pPr>
            <w:r w:rsidRPr="00014089">
              <w:t>Rest of country</w:t>
            </w:r>
          </w:p>
        </w:tc>
        <w:tc>
          <w:tcPr>
            <w:tcW w:w="2380" w:type="dxa"/>
          </w:tcPr>
          <w:p w14:paraId="562962B6" w14:textId="1E962550" w:rsidR="00887873" w:rsidRDefault="00887873" w:rsidP="00887873">
            <w:pPr>
              <w:pStyle w:val="tabletext"/>
            </w:pPr>
            <w:r w:rsidRPr="00014089">
              <w:t xml:space="preserve">Government at very early stages in designing and implementing nation-wide social protection programs. None currently exist  </w:t>
            </w:r>
          </w:p>
        </w:tc>
      </w:tr>
    </w:tbl>
    <w:p w14:paraId="22E3E976" w14:textId="24E91025" w:rsidR="00B15D05" w:rsidRPr="007053AC" w:rsidRDefault="00B15D05" w:rsidP="00887873">
      <w:pPr>
        <w:pStyle w:val="04BODYTEXT"/>
        <w:spacing w:before="120" w:line="220" w:lineRule="atLeast"/>
        <w:ind w:left="-142"/>
        <w:rPr>
          <w:color w:val="auto"/>
          <w:sz w:val="16"/>
          <w:szCs w:val="16"/>
        </w:rPr>
      </w:pPr>
      <w:r w:rsidRPr="007053AC">
        <w:rPr>
          <w:sz w:val="16"/>
          <w:szCs w:val="16"/>
        </w:rPr>
        <w:t>*</w:t>
      </w:r>
      <w:r w:rsidR="00324CC6" w:rsidRPr="007053AC">
        <w:rPr>
          <w:sz w:val="16"/>
          <w:szCs w:val="16"/>
        </w:rPr>
        <w:t xml:space="preserve"> Selection of countries from the </w:t>
      </w:r>
      <w:r w:rsidR="00B73891" w:rsidRPr="007053AC">
        <w:rPr>
          <w:sz w:val="16"/>
          <w:szCs w:val="16"/>
        </w:rPr>
        <w:t>Indo-</w:t>
      </w:r>
      <w:r w:rsidR="00324CC6" w:rsidRPr="007053AC">
        <w:rPr>
          <w:sz w:val="16"/>
          <w:szCs w:val="16"/>
        </w:rPr>
        <w:t>Pacific. Other countries in the region also have social protection programs. Focus is on social assistance as n</w:t>
      </w:r>
      <w:r w:rsidRPr="007053AC">
        <w:rPr>
          <w:sz w:val="16"/>
          <w:szCs w:val="16"/>
        </w:rPr>
        <w:t>early all countries have relatively well developed social insurance schemes for formal sector workers.</w:t>
      </w:r>
      <w:r w:rsidR="00324CC6" w:rsidRPr="007053AC">
        <w:rPr>
          <w:sz w:val="16"/>
          <w:szCs w:val="16"/>
        </w:rPr>
        <w:t xml:space="preserve"> </w:t>
      </w:r>
    </w:p>
    <w:sectPr w:rsidR="00B15D05" w:rsidRPr="007053AC" w:rsidSect="003D68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ADC26" w14:textId="77777777" w:rsidR="00DB72BA" w:rsidRDefault="00DB72BA" w:rsidP="004E6DB1">
      <w:r>
        <w:separator/>
      </w:r>
    </w:p>
  </w:endnote>
  <w:endnote w:type="continuationSeparator" w:id="0">
    <w:p w14:paraId="5C6FE481" w14:textId="77777777" w:rsidR="00DB72BA" w:rsidRDefault="00DB72BA" w:rsidP="004E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BoldCondObl">
    <w:altName w:val="HelveticaNeue Condense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1173" w14:textId="77777777" w:rsidR="00DB72BA" w:rsidRDefault="00DB72BA" w:rsidP="003A51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65619B" w14:textId="6E1D3BDE" w:rsidR="00DB72BA" w:rsidRDefault="00E92D23" w:rsidP="00A31029">
    <w:pPr>
      <w:pStyle w:val="Footer"/>
      <w:ind w:right="360"/>
    </w:pPr>
    <w:sdt>
      <w:sdtPr>
        <w:id w:val="969400743"/>
        <w:temporary/>
        <w:showingPlcHdr/>
      </w:sdtPr>
      <w:sdtEndPr/>
      <w:sdtContent>
        <w:r w:rsidR="00DB72BA">
          <w:t>[Type text]</w:t>
        </w:r>
      </w:sdtContent>
    </w:sdt>
    <w:r w:rsidR="00DB72BA">
      <w:ptab w:relativeTo="margin" w:alignment="center" w:leader="none"/>
    </w:r>
    <w:sdt>
      <w:sdtPr>
        <w:id w:val="969400748"/>
        <w:temporary/>
        <w:showingPlcHdr/>
      </w:sdtPr>
      <w:sdtEndPr/>
      <w:sdtContent>
        <w:r w:rsidR="00DB72BA">
          <w:t>[Type text]</w:t>
        </w:r>
      </w:sdtContent>
    </w:sdt>
    <w:r w:rsidR="00DB72BA">
      <w:ptab w:relativeTo="margin" w:alignment="right" w:leader="none"/>
    </w:r>
    <w:sdt>
      <w:sdtPr>
        <w:id w:val="969400753"/>
        <w:temporary/>
        <w:showingPlcHdr/>
      </w:sdtPr>
      <w:sdtEndPr/>
      <w:sdtContent>
        <w:r w:rsidR="00DB72BA">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F2459" w14:textId="77777777" w:rsidR="00DB72BA" w:rsidRPr="008E39E5" w:rsidRDefault="00DB72BA" w:rsidP="003A51E5">
    <w:pPr>
      <w:pStyle w:val="Footer"/>
      <w:framePr w:wrap="around" w:vAnchor="text" w:hAnchor="margin" w:xAlign="right" w:y="1"/>
      <w:rPr>
        <w:rStyle w:val="PageNumber"/>
        <w:rFonts w:ascii="Arial" w:hAnsi="Arial" w:cs="Arial"/>
        <w:sz w:val="18"/>
        <w:szCs w:val="18"/>
      </w:rPr>
    </w:pPr>
    <w:r w:rsidRPr="008E39E5">
      <w:rPr>
        <w:rStyle w:val="PageNumber"/>
        <w:rFonts w:ascii="Arial" w:hAnsi="Arial" w:cs="Arial"/>
        <w:sz w:val="18"/>
        <w:szCs w:val="18"/>
      </w:rPr>
      <w:fldChar w:fldCharType="begin"/>
    </w:r>
    <w:r w:rsidRPr="008E39E5">
      <w:rPr>
        <w:rStyle w:val="PageNumber"/>
        <w:rFonts w:ascii="Arial" w:hAnsi="Arial" w:cs="Arial"/>
        <w:sz w:val="18"/>
        <w:szCs w:val="18"/>
      </w:rPr>
      <w:instrText xml:space="preserve">PAGE  </w:instrText>
    </w:r>
    <w:r w:rsidRPr="008E39E5">
      <w:rPr>
        <w:rStyle w:val="PageNumber"/>
        <w:rFonts w:ascii="Arial" w:hAnsi="Arial" w:cs="Arial"/>
        <w:sz w:val="18"/>
        <w:szCs w:val="18"/>
      </w:rPr>
      <w:fldChar w:fldCharType="separate"/>
    </w:r>
    <w:r w:rsidR="00E92D23">
      <w:rPr>
        <w:rStyle w:val="PageNumber"/>
        <w:rFonts w:ascii="Arial" w:hAnsi="Arial" w:cs="Arial"/>
        <w:noProof/>
        <w:sz w:val="18"/>
        <w:szCs w:val="18"/>
      </w:rPr>
      <w:t>2</w:t>
    </w:r>
    <w:r w:rsidRPr="008E39E5">
      <w:rPr>
        <w:rStyle w:val="PageNumber"/>
        <w:rFonts w:ascii="Arial" w:hAnsi="Arial" w:cs="Arial"/>
        <w:sz w:val="18"/>
        <w:szCs w:val="18"/>
      </w:rPr>
      <w:fldChar w:fldCharType="end"/>
    </w:r>
  </w:p>
  <w:sdt>
    <w:sdtPr>
      <w:rPr>
        <w:rFonts w:asciiTheme="minorHAnsi" w:hAnsiTheme="minorHAnsi" w:cstheme="minorHAnsi"/>
        <w:sz w:val="18"/>
        <w:szCs w:val="18"/>
      </w:rPr>
      <w:id w:val="1805185453"/>
      <w:docPartObj>
        <w:docPartGallery w:val="Page Numbers (Bottom of Page)"/>
        <w:docPartUnique/>
      </w:docPartObj>
    </w:sdtPr>
    <w:sdtEndPr/>
    <w:sdtContent>
      <w:p w14:paraId="6D57C70D" w14:textId="23DF1EE5" w:rsidR="00DB72BA" w:rsidRPr="008E39E5" w:rsidRDefault="00DB72BA" w:rsidP="008E39E5">
        <w:pPr>
          <w:pStyle w:val="Footer"/>
          <w:ind w:right="360"/>
          <w:rPr>
            <w:rFonts w:asciiTheme="minorHAnsi" w:hAnsiTheme="minorHAnsi" w:cstheme="minorHAnsi"/>
            <w:sz w:val="18"/>
            <w:szCs w:val="18"/>
          </w:rPr>
        </w:pPr>
        <w:r w:rsidRPr="00A31029">
          <w:rPr>
            <w:rFonts w:asciiTheme="minorHAnsi" w:hAnsiTheme="minorHAnsi" w:cstheme="minorHAnsi"/>
            <w:sz w:val="18"/>
            <w:szCs w:val="18"/>
          </w:rPr>
          <w:t>Strategy for Australia’s aid investments in social protection</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39E4E" w14:textId="77777777" w:rsidR="00E92D23" w:rsidRDefault="00E92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974B9" w14:textId="77777777" w:rsidR="00DB72BA" w:rsidRDefault="00DB72BA" w:rsidP="004E6DB1">
      <w:r>
        <w:separator/>
      </w:r>
    </w:p>
  </w:footnote>
  <w:footnote w:type="continuationSeparator" w:id="0">
    <w:p w14:paraId="1DEF795D" w14:textId="77777777" w:rsidR="00DB72BA" w:rsidRDefault="00DB72BA" w:rsidP="004E6DB1">
      <w:r>
        <w:continuationSeparator/>
      </w:r>
    </w:p>
  </w:footnote>
  <w:footnote w:id="1">
    <w:p w14:paraId="4A816C28" w14:textId="77777777" w:rsidR="00DB72BA" w:rsidRPr="00F90F8E" w:rsidRDefault="00DB72BA" w:rsidP="000E7E99">
      <w:pPr>
        <w:pStyle w:val="FootnoteText"/>
        <w:rPr>
          <w:rFonts w:asciiTheme="minorHAnsi" w:hAnsiTheme="minorHAnsi" w:cstheme="minorHAnsi"/>
          <w:sz w:val="16"/>
          <w:szCs w:val="16"/>
        </w:rPr>
      </w:pPr>
      <w:r w:rsidRPr="00F90F8E">
        <w:rPr>
          <w:rStyle w:val="FootnoteReference"/>
          <w:rFonts w:asciiTheme="minorHAnsi" w:hAnsiTheme="minorHAnsi" w:cstheme="minorHAnsi"/>
          <w:sz w:val="16"/>
          <w:szCs w:val="16"/>
        </w:rPr>
        <w:footnoteRef/>
      </w:r>
      <w:r w:rsidRPr="00F90F8E">
        <w:rPr>
          <w:rFonts w:asciiTheme="minorHAnsi" w:hAnsiTheme="minorHAnsi" w:cstheme="minorHAnsi"/>
          <w:sz w:val="16"/>
          <w:szCs w:val="16"/>
        </w:rPr>
        <w:t xml:space="preserve"> </w:t>
      </w:r>
      <w:proofErr w:type="spellStart"/>
      <w:r w:rsidRPr="00F90F8E">
        <w:rPr>
          <w:rFonts w:asciiTheme="minorHAnsi" w:hAnsiTheme="minorHAnsi" w:cstheme="minorHAnsi"/>
          <w:sz w:val="16"/>
          <w:szCs w:val="16"/>
        </w:rPr>
        <w:t>Guhan</w:t>
      </w:r>
      <w:proofErr w:type="spellEnd"/>
      <w:r w:rsidRPr="00F90F8E">
        <w:rPr>
          <w:rFonts w:asciiTheme="minorHAnsi" w:hAnsiTheme="minorHAnsi" w:cstheme="minorHAnsi"/>
          <w:sz w:val="16"/>
          <w:szCs w:val="16"/>
        </w:rPr>
        <w:t xml:space="preserve"> (2004); World Bank (2008); Institute for Development Studies (2004); UK Department for International Development (2011)  </w:t>
      </w:r>
    </w:p>
  </w:footnote>
  <w:footnote w:id="2">
    <w:p w14:paraId="621F09A7" w14:textId="77777777" w:rsidR="00DB72BA" w:rsidRDefault="00DB72BA" w:rsidP="009F13A5">
      <w:pPr>
        <w:pStyle w:val="FootnoteText"/>
      </w:pPr>
      <w:r w:rsidRPr="00944117">
        <w:rPr>
          <w:rStyle w:val="FootnoteReference"/>
          <w:rFonts w:asciiTheme="minorHAnsi" w:hAnsiTheme="minorHAnsi" w:cstheme="minorHAnsi"/>
          <w:sz w:val="16"/>
          <w:szCs w:val="16"/>
        </w:rPr>
        <w:footnoteRef/>
      </w:r>
      <w:r w:rsidRPr="00944117">
        <w:rPr>
          <w:rStyle w:val="FootnoteReference"/>
          <w:rFonts w:asciiTheme="minorHAnsi" w:hAnsiTheme="minorHAnsi" w:cstheme="minorHAnsi"/>
          <w:sz w:val="16"/>
          <w:szCs w:val="16"/>
        </w:rPr>
        <w:t xml:space="preserve"> </w:t>
      </w:r>
      <w:proofErr w:type="spellStart"/>
      <w:r w:rsidRPr="00944117">
        <w:rPr>
          <w:rFonts w:asciiTheme="minorHAnsi" w:hAnsiTheme="minorHAnsi" w:cstheme="minorHAnsi"/>
          <w:sz w:val="16"/>
          <w:szCs w:val="16"/>
        </w:rPr>
        <w:t>Kanbur</w:t>
      </w:r>
      <w:proofErr w:type="spellEnd"/>
      <w:r w:rsidRPr="00944117">
        <w:rPr>
          <w:rFonts w:asciiTheme="minorHAnsi" w:hAnsiTheme="minorHAnsi" w:cstheme="minorHAnsi"/>
          <w:sz w:val="16"/>
          <w:szCs w:val="16"/>
        </w:rPr>
        <w:t xml:space="preserve"> (2015)</w:t>
      </w:r>
    </w:p>
  </w:footnote>
  <w:footnote w:id="3">
    <w:p w14:paraId="5BC244AD" w14:textId="77777777" w:rsidR="00DB72BA" w:rsidRPr="00716C2B" w:rsidRDefault="00DB72BA" w:rsidP="009C1DFE">
      <w:pPr>
        <w:pStyle w:val="FootnoteText"/>
        <w:rPr>
          <w:rFonts w:asciiTheme="minorHAnsi" w:hAnsiTheme="minorHAnsi" w:cstheme="minorHAnsi"/>
          <w:sz w:val="16"/>
          <w:szCs w:val="16"/>
        </w:rPr>
      </w:pPr>
      <w:r w:rsidRPr="00716C2B">
        <w:rPr>
          <w:rStyle w:val="FootnoteReference"/>
          <w:rFonts w:asciiTheme="minorHAnsi" w:hAnsiTheme="minorHAnsi" w:cstheme="minorHAnsi"/>
          <w:sz w:val="16"/>
          <w:szCs w:val="16"/>
        </w:rPr>
        <w:footnoteRef/>
      </w:r>
      <w:r w:rsidRPr="00716C2B">
        <w:rPr>
          <w:rFonts w:asciiTheme="minorHAnsi" w:hAnsiTheme="minorHAnsi" w:cstheme="minorHAnsi"/>
          <w:sz w:val="16"/>
          <w:szCs w:val="16"/>
        </w:rPr>
        <w:t xml:space="preserve"> Davies and</w:t>
      </w:r>
      <w:r>
        <w:rPr>
          <w:rFonts w:asciiTheme="minorHAnsi" w:hAnsiTheme="minorHAnsi" w:cstheme="minorHAnsi"/>
          <w:sz w:val="16"/>
          <w:szCs w:val="16"/>
        </w:rPr>
        <w:t xml:space="preserve"> Davy (2008), Taylor et al (2014</w:t>
      </w:r>
      <w:r w:rsidRPr="00716C2B">
        <w:rPr>
          <w:rFonts w:asciiTheme="minorHAnsi" w:hAnsiTheme="minorHAnsi" w:cstheme="minorHAnsi"/>
          <w:sz w:val="16"/>
          <w:szCs w:val="16"/>
        </w:rPr>
        <w:t>), Davis (2013)</w:t>
      </w:r>
    </w:p>
  </w:footnote>
  <w:footnote w:id="4">
    <w:p w14:paraId="46D18819" w14:textId="77777777" w:rsidR="00DB72BA" w:rsidRDefault="00DB72BA">
      <w:pPr>
        <w:pStyle w:val="FootnoteText"/>
      </w:pPr>
      <w:r w:rsidRPr="009C1DFE">
        <w:rPr>
          <w:rStyle w:val="FootnoteReference"/>
          <w:rFonts w:asciiTheme="minorHAnsi" w:hAnsiTheme="minorHAnsi" w:cstheme="minorHAnsi"/>
          <w:sz w:val="16"/>
          <w:szCs w:val="16"/>
        </w:rPr>
        <w:footnoteRef/>
      </w:r>
      <w:r w:rsidRPr="009C1DFE">
        <w:rPr>
          <w:rStyle w:val="FootnoteReference"/>
          <w:rFonts w:asciiTheme="minorHAnsi" w:hAnsiTheme="minorHAnsi" w:cstheme="minorHAnsi"/>
          <w:sz w:val="16"/>
          <w:szCs w:val="16"/>
        </w:rPr>
        <w:t xml:space="preserve"> </w:t>
      </w:r>
      <w:r w:rsidRPr="009C1DFE">
        <w:rPr>
          <w:rFonts w:asciiTheme="minorHAnsi" w:hAnsiTheme="minorHAnsi" w:cstheme="minorHAnsi"/>
          <w:sz w:val="16"/>
          <w:szCs w:val="16"/>
        </w:rPr>
        <w:t>Berg et al (2015)</w:t>
      </w:r>
    </w:p>
  </w:footnote>
  <w:footnote w:id="5">
    <w:p w14:paraId="6F5F0C75" w14:textId="77777777" w:rsidR="00DB72BA" w:rsidRPr="002C5688" w:rsidRDefault="00DB72BA" w:rsidP="005163B9">
      <w:pPr>
        <w:pStyle w:val="FootnoteText"/>
        <w:rPr>
          <w:rFonts w:asciiTheme="minorHAnsi" w:hAnsiTheme="minorHAnsi" w:cstheme="minorHAnsi"/>
          <w:sz w:val="16"/>
          <w:szCs w:val="16"/>
        </w:rPr>
      </w:pPr>
      <w:r w:rsidRPr="002C5688">
        <w:rPr>
          <w:rStyle w:val="FootnoteReference"/>
          <w:rFonts w:asciiTheme="minorHAnsi" w:hAnsiTheme="minorHAnsi" w:cstheme="minorHAnsi"/>
          <w:sz w:val="16"/>
          <w:szCs w:val="16"/>
        </w:rPr>
        <w:footnoteRef/>
      </w:r>
      <w:r w:rsidRPr="002C5688">
        <w:rPr>
          <w:rFonts w:asciiTheme="minorHAnsi" w:hAnsiTheme="minorHAnsi" w:cstheme="minorHAnsi"/>
          <w:sz w:val="16"/>
          <w:szCs w:val="16"/>
        </w:rPr>
        <w:t xml:space="preserve"> World Bank (2008); UK Department for International Development (2011)  </w:t>
      </w:r>
    </w:p>
  </w:footnote>
  <w:footnote w:id="6">
    <w:p w14:paraId="2C6DDB7E" w14:textId="77777777" w:rsidR="00DB72BA" w:rsidRPr="002C5688" w:rsidRDefault="00DB72BA" w:rsidP="005163B9">
      <w:pPr>
        <w:pStyle w:val="FootnoteText"/>
        <w:rPr>
          <w:rFonts w:asciiTheme="minorHAnsi" w:hAnsiTheme="minorHAnsi" w:cstheme="minorHAnsi"/>
          <w:sz w:val="16"/>
          <w:szCs w:val="16"/>
        </w:rPr>
      </w:pPr>
      <w:r w:rsidRPr="002C5688">
        <w:rPr>
          <w:rStyle w:val="FootnoteReference"/>
          <w:rFonts w:asciiTheme="minorHAnsi" w:hAnsiTheme="minorHAnsi" w:cstheme="minorHAnsi"/>
          <w:sz w:val="16"/>
          <w:szCs w:val="16"/>
        </w:rPr>
        <w:footnoteRef/>
      </w:r>
      <w:r w:rsidRPr="002C5688">
        <w:rPr>
          <w:rFonts w:asciiTheme="minorHAnsi" w:hAnsiTheme="minorHAnsi" w:cstheme="minorHAnsi"/>
          <w:sz w:val="16"/>
          <w:szCs w:val="16"/>
        </w:rPr>
        <w:t xml:space="preserve"> </w:t>
      </w:r>
      <w:proofErr w:type="spellStart"/>
      <w:r w:rsidRPr="002C5688">
        <w:rPr>
          <w:rFonts w:asciiTheme="minorHAnsi" w:hAnsiTheme="minorHAnsi" w:cstheme="minorHAnsi"/>
          <w:sz w:val="16"/>
          <w:szCs w:val="16"/>
        </w:rPr>
        <w:t>Molyneux</w:t>
      </w:r>
      <w:proofErr w:type="spellEnd"/>
      <w:r w:rsidRPr="002C5688">
        <w:rPr>
          <w:rFonts w:asciiTheme="minorHAnsi" w:hAnsiTheme="minorHAnsi" w:cstheme="minorHAnsi"/>
          <w:sz w:val="16"/>
          <w:szCs w:val="16"/>
        </w:rPr>
        <w:t xml:space="preserve"> (2014)</w:t>
      </w:r>
    </w:p>
  </w:footnote>
  <w:footnote w:id="7">
    <w:p w14:paraId="0D8A3556" w14:textId="77777777" w:rsidR="00DB72BA" w:rsidRDefault="00DB72BA">
      <w:pPr>
        <w:pStyle w:val="FootnoteText"/>
      </w:pPr>
      <w:r w:rsidRPr="00474821">
        <w:rPr>
          <w:rStyle w:val="FootnoteReference"/>
          <w:rFonts w:asciiTheme="minorHAnsi" w:hAnsiTheme="minorHAnsi" w:cstheme="minorHAnsi"/>
          <w:sz w:val="16"/>
          <w:szCs w:val="16"/>
        </w:rPr>
        <w:footnoteRef/>
      </w:r>
      <w:r w:rsidRPr="00474821">
        <w:rPr>
          <w:rStyle w:val="FootnoteReference"/>
          <w:rFonts w:asciiTheme="minorHAnsi" w:hAnsiTheme="minorHAnsi" w:cstheme="minorHAnsi"/>
          <w:sz w:val="16"/>
          <w:szCs w:val="16"/>
        </w:rPr>
        <w:t xml:space="preserve"> </w:t>
      </w:r>
      <w:proofErr w:type="spellStart"/>
      <w:r w:rsidRPr="00474821">
        <w:rPr>
          <w:rFonts w:asciiTheme="minorHAnsi" w:hAnsiTheme="minorHAnsi" w:cstheme="minorHAnsi"/>
          <w:sz w:val="16"/>
          <w:szCs w:val="16"/>
        </w:rPr>
        <w:t>Orbeta</w:t>
      </w:r>
      <w:proofErr w:type="spellEnd"/>
      <w:r w:rsidRPr="00474821">
        <w:rPr>
          <w:rFonts w:asciiTheme="minorHAnsi" w:hAnsiTheme="minorHAnsi" w:cstheme="minorHAnsi"/>
          <w:sz w:val="16"/>
          <w:szCs w:val="16"/>
        </w:rPr>
        <w:t xml:space="preserve"> and </w:t>
      </w:r>
      <w:proofErr w:type="spellStart"/>
      <w:r w:rsidRPr="00474821">
        <w:rPr>
          <w:rFonts w:asciiTheme="minorHAnsi" w:hAnsiTheme="minorHAnsi" w:cstheme="minorHAnsi"/>
          <w:sz w:val="16"/>
          <w:szCs w:val="16"/>
        </w:rPr>
        <w:t>Paqueo</w:t>
      </w:r>
      <w:proofErr w:type="spellEnd"/>
      <w:r w:rsidRPr="00474821">
        <w:rPr>
          <w:rFonts w:asciiTheme="minorHAnsi" w:hAnsiTheme="minorHAnsi" w:cstheme="minorHAnsi"/>
          <w:sz w:val="16"/>
          <w:szCs w:val="16"/>
        </w:rPr>
        <w:t xml:space="preserve"> (2013)</w:t>
      </w:r>
    </w:p>
  </w:footnote>
  <w:footnote w:id="8">
    <w:p w14:paraId="0A2CDF70" w14:textId="77777777" w:rsidR="00DB72BA" w:rsidRDefault="00DB72BA">
      <w:pPr>
        <w:pStyle w:val="FootnoteText"/>
      </w:pPr>
      <w:r w:rsidRPr="00582614">
        <w:rPr>
          <w:rStyle w:val="FootnoteReference"/>
          <w:rFonts w:asciiTheme="minorHAnsi" w:hAnsiTheme="minorHAnsi" w:cstheme="minorHAnsi"/>
          <w:sz w:val="16"/>
          <w:szCs w:val="16"/>
        </w:rPr>
        <w:footnoteRef/>
      </w:r>
      <w:r w:rsidRPr="00582614">
        <w:rPr>
          <w:rStyle w:val="FootnoteReference"/>
          <w:rFonts w:asciiTheme="minorHAnsi" w:hAnsiTheme="minorHAnsi" w:cstheme="minorHAnsi"/>
          <w:sz w:val="16"/>
          <w:szCs w:val="16"/>
        </w:rPr>
        <w:t xml:space="preserve"> </w:t>
      </w:r>
      <w:r w:rsidRPr="00582614">
        <w:rPr>
          <w:rFonts w:asciiTheme="minorHAnsi" w:hAnsiTheme="minorHAnsi" w:cstheme="minorHAnsi"/>
          <w:sz w:val="16"/>
          <w:szCs w:val="16"/>
        </w:rPr>
        <w:t>Naqvi et al (2014)</w:t>
      </w:r>
    </w:p>
  </w:footnote>
  <w:footnote w:id="9">
    <w:p w14:paraId="76849231" w14:textId="77777777" w:rsidR="00DB72BA" w:rsidRPr="002C5688" w:rsidRDefault="00DB72BA" w:rsidP="005163B9">
      <w:pPr>
        <w:pStyle w:val="FootnoteText"/>
        <w:rPr>
          <w:rFonts w:asciiTheme="minorHAnsi" w:hAnsiTheme="minorHAnsi" w:cstheme="minorHAnsi"/>
          <w:sz w:val="16"/>
          <w:szCs w:val="16"/>
        </w:rPr>
      </w:pPr>
      <w:r w:rsidRPr="002C5688">
        <w:rPr>
          <w:rStyle w:val="FootnoteReference"/>
          <w:rFonts w:asciiTheme="minorHAnsi" w:hAnsiTheme="minorHAnsi" w:cstheme="minorHAnsi"/>
          <w:sz w:val="16"/>
          <w:szCs w:val="16"/>
        </w:rPr>
        <w:footnoteRef/>
      </w:r>
      <w:r w:rsidRPr="002C5688">
        <w:rPr>
          <w:rFonts w:asciiTheme="minorHAnsi" w:hAnsiTheme="minorHAnsi" w:cstheme="minorHAnsi"/>
          <w:sz w:val="16"/>
          <w:szCs w:val="16"/>
        </w:rPr>
        <w:t xml:space="preserve"> Samson (2009)</w:t>
      </w:r>
    </w:p>
  </w:footnote>
  <w:footnote w:id="10">
    <w:p w14:paraId="56E95F14" w14:textId="77777777" w:rsidR="00DB72BA" w:rsidRPr="002C5688" w:rsidRDefault="00DB72BA" w:rsidP="005163B9">
      <w:pPr>
        <w:pStyle w:val="FootnoteText"/>
        <w:rPr>
          <w:rFonts w:asciiTheme="minorHAnsi" w:hAnsiTheme="minorHAnsi" w:cstheme="minorHAnsi"/>
          <w:sz w:val="16"/>
          <w:szCs w:val="16"/>
        </w:rPr>
      </w:pPr>
      <w:r w:rsidRPr="002C5688">
        <w:rPr>
          <w:rStyle w:val="FootnoteReference"/>
          <w:rFonts w:asciiTheme="minorHAnsi" w:hAnsiTheme="minorHAnsi" w:cstheme="minorHAnsi"/>
          <w:sz w:val="16"/>
          <w:szCs w:val="16"/>
        </w:rPr>
        <w:footnoteRef/>
      </w:r>
      <w:r w:rsidRPr="002C5688">
        <w:rPr>
          <w:rFonts w:asciiTheme="minorHAnsi" w:hAnsiTheme="minorHAnsi" w:cstheme="minorHAnsi"/>
          <w:sz w:val="16"/>
          <w:szCs w:val="16"/>
        </w:rPr>
        <w:t xml:space="preserve"> Marcus (2007); </w:t>
      </w:r>
      <w:proofErr w:type="spellStart"/>
      <w:r w:rsidRPr="002C5688">
        <w:rPr>
          <w:rFonts w:asciiTheme="minorHAnsi" w:hAnsiTheme="minorHAnsi" w:cstheme="minorHAnsi"/>
          <w:sz w:val="16"/>
          <w:szCs w:val="16"/>
        </w:rPr>
        <w:t>Ardington</w:t>
      </w:r>
      <w:proofErr w:type="spellEnd"/>
      <w:r w:rsidRPr="002C5688">
        <w:rPr>
          <w:rFonts w:asciiTheme="minorHAnsi" w:hAnsiTheme="minorHAnsi" w:cstheme="minorHAnsi"/>
          <w:sz w:val="16"/>
          <w:szCs w:val="16"/>
        </w:rPr>
        <w:t xml:space="preserve"> et al (2009)</w:t>
      </w:r>
    </w:p>
  </w:footnote>
  <w:footnote w:id="11">
    <w:p w14:paraId="51F17714" w14:textId="77777777" w:rsidR="00DB72BA" w:rsidRPr="002C5688" w:rsidRDefault="00DB72BA" w:rsidP="005163B9">
      <w:pPr>
        <w:pStyle w:val="FootnoteText"/>
        <w:rPr>
          <w:rFonts w:asciiTheme="minorHAnsi" w:hAnsiTheme="minorHAnsi" w:cstheme="minorHAnsi"/>
          <w:sz w:val="16"/>
          <w:szCs w:val="16"/>
        </w:rPr>
      </w:pPr>
      <w:r w:rsidRPr="002C5688">
        <w:rPr>
          <w:rStyle w:val="FootnoteReference"/>
          <w:rFonts w:asciiTheme="minorHAnsi" w:hAnsiTheme="minorHAnsi" w:cstheme="minorHAnsi"/>
          <w:sz w:val="16"/>
          <w:szCs w:val="16"/>
        </w:rPr>
        <w:footnoteRef/>
      </w:r>
      <w:r w:rsidRPr="002C5688">
        <w:rPr>
          <w:rFonts w:asciiTheme="minorHAnsi" w:hAnsiTheme="minorHAnsi" w:cstheme="minorHAnsi"/>
          <w:sz w:val="16"/>
          <w:szCs w:val="16"/>
        </w:rPr>
        <w:t xml:space="preserve"> Holmes et al (2010)</w:t>
      </w:r>
    </w:p>
  </w:footnote>
  <w:footnote w:id="12">
    <w:p w14:paraId="37721AED" w14:textId="77777777" w:rsidR="00DB72BA" w:rsidRDefault="00DB72BA" w:rsidP="005163B9">
      <w:pPr>
        <w:pStyle w:val="FootnoteText"/>
      </w:pPr>
      <w:r w:rsidRPr="00AC1800">
        <w:rPr>
          <w:rStyle w:val="FootnoteReference"/>
          <w:rFonts w:asciiTheme="minorHAnsi" w:hAnsiTheme="minorHAnsi" w:cstheme="minorHAnsi"/>
          <w:sz w:val="16"/>
          <w:szCs w:val="16"/>
        </w:rPr>
        <w:footnoteRef/>
      </w:r>
      <w:r w:rsidRPr="00AC1800">
        <w:rPr>
          <w:rStyle w:val="FootnoteReference"/>
          <w:rFonts w:asciiTheme="minorHAnsi" w:hAnsiTheme="minorHAnsi" w:cstheme="minorHAnsi"/>
          <w:sz w:val="16"/>
          <w:szCs w:val="16"/>
        </w:rPr>
        <w:t xml:space="preserve"> </w:t>
      </w:r>
      <w:r w:rsidRPr="00AC1800">
        <w:rPr>
          <w:rFonts w:asciiTheme="minorHAnsi" w:hAnsiTheme="minorHAnsi" w:cstheme="minorHAnsi"/>
          <w:sz w:val="16"/>
          <w:szCs w:val="16"/>
        </w:rPr>
        <w:t>Schneider (2011)</w:t>
      </w:r>
    </w:p>
  </w:footnote>
  <w:footnote w:id="13">
    <w:p w14:paraId="2F7FB5B7" w14:textId="77777777" w:rsidR="00DB72BA" w:rsidRDefault="00DB72BA">
      <w:pPr>
        <w:pStyle w:val="FootnoteText"/>
      </w:pPr>
      <w:r w:rsidRPr="00A31E58">
        <w:rPr>
          <w:rStyle w:val="FootnoteReference"/>
          <w:rFonts w:asciiTheme="minorHAnsi" w:hAnsiTheme="minorHAnsi" w:cstheme="minorHAnsi"/>
          <w:sz w:val="16"/>
          <w:szCs w:val="16"/>
        </w:rPr>
        <w:footnoteRef/>
      </w:r>
      <w:r>
        <w:t xml:space="preserve"> </w:t>
      </w:r>
      <w:r w:rsidRPr="00A31E58">
        <w:rPr>
          <w:rFonts w:asciiTheme="minorHAnsi" w:hAnsiTheme="minorHAnsi" w:cstheme="minorHAnsi"/>
          <w:sz w:val="16"/>
          <w:szCs w:val="16"/>
        </w:rPr>
        <w:t>TNP2K (2014)</w:t>
      </w:r>
    </w:p>
  </w:footnote>
  <w:footnote w:id="14">
    <w:p w14:paraId="516AE91F" w14:textId="77777777" w:rsidR="00DB72BA" w:rsidRPr="00716C2B" w:rsidRDefault="00DB72BA" w:rsidP="00B87D1F">
      <w:pPr>
        <w:pStyle w:val="FootnoteText"/>
        <w:rPr>
          <w:rFonts w:asciiTheme="minorHAnsi" w:hAnsiTheme="minorHAnsi" w:cstheme="minorHAnsi"/>
          <w:sz w:val="16"/>
          <w:szCs w:val="16"/>
        </w:rPr>
      </w:pPr>
      <w:r w:rsidRPr="00716C2B">
        <w:rPr>
          <w:rStyle w:val="FootnoteReference"/>
          <w:rFonts w:asciiTheme="minorHAnsi" w:hAnsiTheme="minorHAnsi" w:cstheme="minorHAnsi"/>
          <w:sz w:val="16"/>
          <w:szCs w:val="16"/>
        </w:rPr>
        <w:footnoteRef/>
      </w:r>
      <w:r w:rsidRPr="00716C2B">
        <w:rPr>
          <w:rFonts w:asciiTheme="minorHAnsi" w:hAnsiTheme="minorHAnsi" w:cstheme="minorHAnsi"/>
          <w:sz w:val="16"/>
          <w:szCs w:val="16"/>
        </w:rPr>
        <w:t xml:space="preserve"> F</w:t>
      </w:r>
      <w:r>
        <w:rPr>
          <w:rFonts w:asciiTheme="minorHAnsi" w:hAnsiTheme="minorHAnsi" w:cstheme="minorHAnsi"/>
          <w:sz w:val="16"/>
          <w:szCs w:val="16"/>
        </w:rPr>
        <w:t xml:space="preserve">ood and </w:t>
      </w:r>
      <w:r w:rsidRPr="00716C2B">
        <w:rPr>
          <w:rFonts w:asciiTheme="minorHAnsi" w:hAnsiTheme="minorHAnsi" w:cstheme="minorHAnsi"/>
          <w:sz w:val="16"/>
          <w:szCs w:val="16"/>
        </w:rPr>
        <w:t>A</w:t>
      </w:r>
      <w:r>
        <w:rPr>
          <w:rFonts w:asciiTheme="minorHAnsi" w:hAnsiTheme="minorHAnsi" w:cstheme="minorHAnsi"/>
          <w:sz w:val="16"/>
          <w:szCs w:val="16"/>
        </w:rPr>
        <w:t xml:space="preserve">griculture </w:t>
      </w:r>
      <w:r w:rsidRPr="00716C2B">
        <w:rPr>
          <w:rFonts w:asciiTheme="minorHAnsi" w:hAnsiTheme="minorHAnsi" w:cstheme="minorHAnsi"/>
          <w:sz w:val="16"/>
          <w:szCs w:val="16"/>
        </w:rPr>
        <w:t>O</w:t>
      </w:r>
      <w:r>
        <w:rPr>
          <w:rFonts w:asciiTheme="minorHAnsi" w:hAnsiTheme="minorHAnsi" w:cstheme="minorHAnsi"/>
          <w:sz w:val="16"/>
          <w:szCs w:val="16"/>
        </w:rPr>
        <w:t>rganisation</w:t>
      </w:r>
      <w:r w:rsidRPr="00716C2B">
        <w:rPr>
          <w:rFonts w:asciiTheme="minorHAnsi" w:hAnsiTheme="minorHAnsi" w:cstheme="minorHAnsi"/>
          <w:sz w:val="16"/>
          <w:szCs w:val="16"/>
        </w:rPr>
        <w:t xml:space="preserve"> (2012)</w:t>
      </w:r>
    </w:p>
  </w:footnote>
  <w:footnote w:id="15">
    <w:p w14:paraId="0D7E3A95" w14:textId="77777777" w:rsidR="00DB72BA" w:rsidRDefault="00DB72BA">
      <w:pPr>
        <w:pStyle w:val="FootnoteText"/>
      </w:pPr>
      <w:r w:rsidRPr="00BA49F2">
        <w:rPr>
          <w:rStyle w:val="FootnoteReference"/>
          <w:rFonts w:asciiTheme="minorHAnsi" w:hAnsiTheme="minorHAnsi" w:cstheme="minorHAnsi"/>
          <w:sz w:val="16"/>
          <w:szCs w:val="16"/>
        </w:rPr>
        <w:footnoteRef/>
      </w:r>
      <w:r>
        <w:t xml:space="preserve"> </w:t>
      </w:r>
      <w:r w:rsidRPr="00BA49F2">
        <w:rPr>
          <w:rFonts w:asciiTheme="minorHAnsi" w:hAnsiTheme="minorHAnsi" w:cstheme="minorHAnsi"/>
          <w:sz w:val="16"/>
          <w:szCs w:val="16"/>
        </w:rPr>
        <w:t>PPRC-UNDP (2012)</w:t>
      </w:r>
    </w:p>
  </w:footnote>
  <w:footnote w:id="16">
    <w:p w14:paraId="3E9A2452" w14:textId="77777777" w:rsidR="00DB72BA" w:rsidRDefault="00DB72BA" w:rsidP="003E419D">
      <w:pPr>
        <w:pStyle w:val="FootnoteText"/>
      </w:pPr>
      <w:r w:rsidRPr="003E419D">
        <w:rPr>
          <w:rStyle w:val="FootnoteReference"/>
          <w:rFonts w:asciiTheme="minorHAnsi" w:hAnsiTheme="minorHAnsi" w:cstheme="minorHAnsi"/>
          <w:sz w:val="16"/>
          <w:szCs w:val="16"/>
        </w:rPr>
        <w:footnoteRef/>
      </w:r>
      <w:r w:rsidRPr="003E419D">
        <w:rPr>
          <w:rStyle w:val="FootnoteReference"/>
          <w:rFonts w:asciiTheme="minorHAnsi" w:hAnsiTheme="minorHAnsi" w:cstheme="minorHAnsi"/>
          <w:sz w:val="16"/>
          <w:szCs w:val="16"/>
        </w:rPr>
        <w:t xml:space="preserve"> </w:t>
      </w:r>
      <w:r w:rsidRPr="003E419D">
        <w:rPr>
          <w:rFonts w:asciiTheme="minorHAnsi" w:hAnsiTheme="minorHAnsi" w:cstheme="minorHAnsi"/>
          <w:sz w:val="16"/>
          <w:szCs w:val="16"/>
        </w:rPr>
        <w:t>World Bank</w:t>
      </w:r>
      <w:r>
        <w:rPr>
          <w:rFonts w:asciiTheme="minorHAnsi" w:hAnsiTheme="minorHAnsi" w:cstheme="minorHAnsi"/>
          <w:sz w:val="16"/>
          <w:szCs w:val="16"/>
        </w:rPr>
        <w:t xml:space="preserve"> (</w:t>
      </w:r>
      <w:r w:rsidRPr="003E419D">
        <w:rPr>
          <w:rFonts w:asciiTheme="minorHAnsi" w:hAnsiTheme="minorHAnsi" w:cstheme="minorHAnsi"/>
          <w:sz w:val="16"/>
          <w:szCs w:val="16"/>
        </w:rPr>
        <w:t>2014</w:t>
      </w:r>
      <w:r>
        <w:rPr>
          <w:rFonts w:asciiTheme="minorHAnsi" w:hAnsiTheme="minorHAnsi" w:cstheme="minorHAnsi"/>
          <w:sz w:val="16"/>
          <w:szCs w:val="16"/>
        </w:rPr>
        <w:t>a</w:t>
      </w:r>
      <w:r w:rsidRPr="003E419D">
        <w:rPr>
          <w:rFonts w:asciiTheme="minorHAnsi" w:hAnsiTheme="minorHAnsi" w:cstheme="minorHAnsi"/>
          <w:sz w:val="16"/>
          <w:szCs w:val="16"/>
        </w:rPr>
        <w:t>)</w:t>
      </w:r>
    </w:p>
  </w:footnote>
  <w:footnote w:id="17">
    <w:p w14:paraId="3A702E7D" w14:textId="77777777" w:rsidR="00DB72BA" w:rsidRDefault="00DB72BA" w:rsidP="003E419D">
      <w:pPr>
        <w:pStyle w:val="FootnoteText"/>
      </w:pPr>
      <w:r w:rsidRPr="003E419D">
        <w:rPr>
          <w:rStyle w:val="FootnoteReference"/>
          <w:rFonts w:asciiTheme="minorHAnsi" w:hAnsiTheme="minorHAnsi" w:cstheme="minorHAnsi"/>
          <w:sz w:val="16"/>
          <w:szCs w:val="16"/>
        </w:rPr>
        <w:footnoteRef/>
      </w:r>
      <w:r>
        <w:t xml:space="preserve"> </w:t>
      </w:r>
      <w:r w:rsidRPr="003E419D">
        <w:rPr>
          <w:rFonts w:asciiTheme="minorHAnsi" w:hAnsiTheme="minorHAnsi" w:cstheme="minorHAnsi"/>
          <w:sz w:val="16"/>
          <w:szCs w:val="16"/>
        </w:rPr>
        <w:t>World Bank (2014</w:t>
      </w:r>
      <w:r>
        <w:rPr>
          <w:rFonts w:asciiTheme="minorHAnsi" w:hAnsiTheme="minorHAnsi" w:cstheme="minorHAnsi"/>
          <w:sz w:val="16"/>
          <w:szCs w:val="16"/>
        </w:rPr>
        <w:t>c</w:t>
      </w:r>
      <w:r w:rsidRPr="003E419D">
        <w:rPr>
          <w:rFonts w:asciiTheme="minorHAnsi" w:hAnsiTheme="minorHAnsi" w:cstheme="minorHAnsi"/>
          <w:sz w:val="16"/>
          <w:szCs w:val="16"/>
        </w:rPr>
        <w:t xml:space="preserve">) </w:t>
      </w:r>
    </w:p>
  </w:footnote>
  <w:footnote w:id="18">
    <w:p w14:paraId="7CB43CEF" w14:textId="77777777" w:rsidR="00DB72BA" w:rsidRDefault="00DB72BA">
      <w:pPr>
        <w:pStyle w:val="FootnoteText"/>
      </w:pPr>
      <w:r w:rsidRPr="000B4B93">
        <w:rPr>
          <w:rStyle w:val="FootnoteReference"/>
          <w:rFonts w:asciiTheme="minorHAnsi" w:hAnsiTheme="minorHAnsi" w:cstheme="minorHAnsi"/>
          <w:sz w:val="16"/>
          <w:szCs w:val="16"/>
        </w:rPr>
        <w:footnoteRef/>
      </w:r>
      <w:r w:rsidRPr="000B4B93">
        <w:rPr>
          <w:rStyle w:val="FootnoteReference"/>
          <w:rFonts w:asciiTheme="minorHAnsi" w:hAnsiTheme="minorHAnsi" w:cstheme="minorHAnsi"/>
          <w:sz w:val="16"/>
          <w:szCs w:val="16"/>
        </w:rPr>
        <w:t xml:space="preserve"> </w:t>
      </w:r>
      <w:r w:rsidRPr="00321AE2">
        <w:rPr>
          <w:rFonts w:asciiTheme="minorHAnsi" w:hAnsiTheme="minorHAnsi" w:cstheme="minorHAnsi"/>
          <w:i/>
          <w:sz w:val="16"/>
          <w:szCs w:val="16"/>
        </w:rPr>
        <w:t xml:space="preserve">ibid </w:t>
      </w:r>
    </w:p>
  </w:footnote>
  <w:footnote w:id="19">
    <w:p w14:paraId="2992A0A0" w14:textId="77777777" w:rsidR="00DB72BA" w:rsidRPr="00442A77" w:rsidRDefault="00DB72BA" w:rsidP="004A77E1">
      <w:pPr>
        <w:pStyle w:val="FootnoteText"/>
        <w:rPr>
          <w:rFonts w:asciiTheme="minorHAnsi" w:hAnsiTheme="minorHAnsi" w:cstheme="minorHAnsi"/>
          <w:sz w:val="16"/>
          <w:szCs w:val="16"/>
        </w:rPr>
      </w:pPr>
      <w:r w:rsidRPr="008D6F90">
        <w:rPr>
          <w:rStyle w:val="FootnoteReference"/>
          <w:sz w:val="16"/>
          <w:szCs w:val="16"/>
        </w:rPr>
        <w:footnoteRef/>
      </w:r>
      <w:r w:rsidRPr="008D6F90">
        <w:rPr>
          <w:rStyle w:val="FootnoteReference"/>
          <w:sz w:val="16"/>
          <w:szCs w:val="16"/>
        </w:rPr>
        <w:t xml:space="preserve"> </w:t>
      </w:r>
      <w:r w:rsidRPr="00442A77">
        <w:rPr>
          <w:rFonts w:asciiTheme="minorHAnsi" w:hAnsiTheme="minorHAnsi" w:cstheme="minorHAnsi"/>
          <w:sz w:val="16"/>
          <w:szCs w:val="16"/>
        </w:rPr>
        <w:t>World Bank (2014</w:t>
      </w:r>
      <w:r>
        <w:rPr>
          <w:rFonts w:asciiTheme="minorHAnsi" w:hAnsiTheme="minorHAnsi" w:cstheme="minorHAnsi"/>
          <w:sz w:val="16"/>
          <w:szCs w:val="16"/>
        </w:rPr>
        <w:t>a)</w:t>
      </w:r>
    </w:p>
  </w:footnote>
  <w:footnote w:id="20">
    <w:p w14:paraId="7928E114" w14:textId="77777777" w:rsidR="00DB72BA" w:rsidRDefault="00DB72BA" w:rsidP="004A77E1">
      <w:pPr>
        <w:pStyle w:val="FootnoteText"/>
      </w:pPr>
      <w:r w:rsidRPr="00442A77">
        <w:rPr>
          <w:rStyle w:val="FootnoteReference"/>
          <w:sz w:val="16"/>
          <w:szCs w:val="16"/>
        </w:rPr>
        <w:footnoteRef/>
      </w:r>
      <w:r w:rsidRPr="00442A77">
        <w:rPr>
          <w:rStyle w:val="FootnoteReference"/>
          <w:sz w:val="16"/>
          <w:szCs w:val="16"/>
        </w:rPr>
        <w:t xml:space="preserve"> </w:t>
      </w:r>
      <w:r w:rsidRPr="00EC36A4">
        <w:rPr>
          <w:rFonts w:asciiTheme="minorHAnsi" w:hAnsiTheme="minorHAnsi" w:cstheme="minorHAnsi"/>
          <w:sz w:val="16"/>
          <w:szCs w:val="16"/>
        </w:rPr>
        <w:t>W</w:t>
      </w:r>
      <w:r>
        <w:rPr>
          <w:rFonts w:asciiTheme="minorHAnsi" w:hAnsiTheme="minorHAnsi" w:cstheme="minorHAnsi"/>
          <w:sz w:val="16"/>
          <w:szCs w:val="16"/>
        </w:rPr>
        <w:t>orld Bank (2014a)</w:t>
      </w:r>
    </w:p>
  </w:footnote>
  <w:footnote w:id="21">
    <w:p w14:paraId="304FBCFE" w14:textId="77777777" w:rsidR="00DB72BA" w:rsidRDefault="00DB72BA" w:rsidP="004A77E1">
      <w:pPr>
        <w:pStyle w:val="FootnoteText"/>
      </w:pPr>
      <w:r w:rsidRPr="008D6F90">
        <w:rPr>
          <w:rStyle w:val="FootnoteReference"/>
          <w:sz w:val="16"/>
          <w:szCs w:val="16"/>
        </w:rPr>
        <w:footnoteRef/>
      </w:r>
      <w:r w:rsidRPr="008D6F90">
        <w:rPr>
          <w:rStyle w:val="FootnoteReference"/>
          <w:sz w:val="16"/>
          <w:szCs w:val="16"/>
        </w:rPr>
        <w:t xml:space="preserve"> </w:t>
      </w:r>
      <w:r w:rsidRPr="00EC36A4">
        <w:rPr>
          <w:rFonts w:asciiTheme="minorHAnsi" w:hAnsiTheme="minorHAnsi" w:cstheme="minorHAnsi"/>
          <w:sz w:val="16"/>
          <w:szCs w:val="16"/>
        </w:rPr>
        <w:t>W</w:t>
      </w:r>
      <w:r>
        <w:rPr>
          <w:rFonts w:asciiTheme="minorHAnsi" w:hAnsiTheme="minorHAnsi" w:cstheme="minorHAnsi"/>
          <w:sz w:val="16"/>
          <w:szCs w:val="16"/>
        </w:rPr>
        <w:t>orld Bank (2014c)</w:t>
      </w:r>
    </w:p>
  </w:footnote>
  <w:footnote w:id="22">
    <w:p w14:paraId="7E123882" w14:textId="77777777" w:rsidR="00DB72BA" w:rsidRDefault="00DB72BA">
      <w:pPr>
        <w:pStyle w:val="FootnoteText"/>
      </w:pPr>
      <w:r w:rsidRPr="008F3E43">
        <w:rPr>
          <w:rStyle w:val="FootnoteReference"/>
          <w:rFonts w:asciiTheme="minorHAnsi" w:hAnsiTheme="minorHAnsi" w:cstheme="minorHAnsi"/>
          <w:sz w:val="16"/>
          <w:szCs w:val="16"/>
        </w:rPr>
        <w:footnoteRef/>
      </w:r>
      <w:r w:rsidRPr="008F3E43">
        <w:rPr>
          <w:rStyle w:val="FootnoteReference"/>
          <w:rFonts w:asciiTheme="minorHAnsi" w:hAnsiTheme="minorHAnsi" w:cstheme="minorHAnsi"/>
          <w:sz w:val="16"/>
          <w:szCs w:val="16"/>
        </w:rPr>
        <w:t xml:space="preserve"> </w:t>
      </w:r>
      <w:r w:rsidRPr="003E419D">
        <w:rPr>
          <w:rFonts w:asciiTheme="minorHAnsi" w:hAnsiTheme="minorHAnsi" w:cstheme="minorHAnsi"/>
          <w:sz w:val="16"/>
          <w:szCs w:val="16"/>
        </w:rPr>
        <w:t>World Bank</w:t>
      </w:r>
      <w:r>
        <w:rPr>
          <w:rFonts w:asciiTheme="minorHAnsi" w:hAnsiTheme="minorHAnsi" w:cstheme="minorHAnsi"/>
          <w:sz w:val="16"/>
          <w:szCs w:val="16"/>
        </w:rPr>
        <w:t xml:space="preserve"> (</w:t>
      </w:r>
      <w:r w:rsidRPr="003E419D">
        <w:rPr>
          <w:rFonts w:asciiTheme="minorHAnsi" w:hAnsiTheme="minorHAnsi" w:cstheme="minorHAnsi"/>
          <w:sz w:val="16"/>
          <w:szCs w:val="16"/>
        </w:rPr>
        <w:t>2014</w:t>
      </w:r>
      <w:r>
        <w:rPr>
          <w:rFonts w:asciiTheme="minorHAnsi" w:hAnsiTheme="minorHAnsi" w:cstheme="minorHAnsi"/>
          <w:sz w:val="16"/>
          <w:szCs w:val="16"/>
        </w:rPr>
        <w:t>b</w:t>
      </w:r>
      <w:r w:rsidRPr="003E419D">
        <w:rPr>
          <w:rFonts w:asciiTheme="minorHAnsi" w:hAnsiTheme="minorHAnsi" w:cstheme="minorHAnsi"/>
          <w:sz w:val="16"/>
          <w:szCs w:val="16"/>
        </w:rPr>
        <w:t>)</w:t>
      </w:r>
    </w:p>
  </w:footnote>
  <w:footnote w:id="23">
    <w:p w14:paraId="1C0EC412" w14:textId="77777777" w:rsidR="00DB72BA" w:rsidRPr="00716C2B" w:rsidRDefault="00DB72BA" w:rsidP="00120700">
      <w:pPr>
        <w:pStyle w:val="FootnoteText"/>
        <w:rPr>
          <w:rFonts w:asciiTheme="minorHAnsi" w:hAnsiTheme="minorHAnsi" w:cstheme="minorHAnsi"/>
          <w:sz w:val="16"/>
          <w:szCs w:val="16"/>
        </w:rPr>
      </w:pPr>
      <w:r w:rsidRPr="00716C2B">
        <w:rPr>
          <w:rStyle w:val="FootnoteReference"/>
          <w:rFonts w:asciiTheme="minorHAnsi" w:hAnsiTheme="minorHAnsi" w:cstheme="minorHAnsi"/>
          <w:sz w:val="16"/>
          <w:szCs w:val="16"/>
        </w:rPr>
        <w:footnoteRef/>
      </w:r>
      <w:r w:rsidRPr="00716C2B">
        <w:rPr>
          <w:rFonts w:asciiTheme="minorHAnsi" w:hAnsiTheme="minorHAnsi" w:cstheme="minorHAnsi"/>
          <w:sz w:val="16"/>
          <w:szCs w:val="16"/>
        </w:rPr>
        <w:t xml:space="preserve"> Veras et al (2007)</w:t>
      </w:r>
    </w:p>
  </w:footnote>
  <w:footnote w:id="24">
    <w:p w14:paraId="7D84AF4A" w14:textId="77777777" w:rsidR="00DB72BA" w:rsidRPr="00716C2B" w:rsidRDefault="00DB72BA" w:rsidP="007F5399">
      <w:pPr>
        <w:pStyle w:val="FootnoteText"/>
        <w:rPr>
          <w:rFonts w:asciiTheme="minorHAnsi" w:hAnsiTheme="minorHAnsi" w:cstheme="minorHAnsi"/>
          <w:sz w:val="16"/>
          <w:szCs w:val="16"/>
        </w:rPr>
      </w:pPr>
      <w:r w:rsidRPr="00716C2B">
        <w:rPr>
          <w:rStyle w:val="FootnoteReference"/>
          <w:rFonts w:asciiTheme="minorHAnsi" w:hAnsiTheme="minorHAnsi" w:cstheme="minorHAnsi"/>
          <w:sz w:val="16"/>
          <w:szCs w:val="16"/>
        </w:rPr>
        <w:footnoteRef/>
      </w:r>
      <w:r w:rsidRPr="00716C2B">
        <w:rPr>
          <w:rFonts w:asciiTheme="minorHAnsi" w:hAnsiTheme="minorHAnsi" w:cstheme="minorHAnsi"/>
          <w:sz w:val="16"/>
          <w:szCs w:val="16"/>
        </w:rPr>
        <w:t xml:space="preserve"> </w:t>
      </w:r>
      <w:proofErr w:type="spellStart"/>
      <w:r w:rsidRPr="00716C2B">
        <w:rPr>
          <w:rFonts w:asciiTheme="minorHAnsi" w:hAnsiTheme="minorHAnsi" w:cstheme="minorHAnsi"/>
          <w:sz w:val="16"/>
          <w:szCs w:val="16"/>
        </w:rPr>
        <w:t>Molyneux</w:t>
      </w:r>
      <w:proofErr w:type="spellEnd"/>
      <w:r w:rsidRPr="00716C2B">
        <w:rPr>
          <w:rFonts w:asciiTheme="minorHAnsi" w:hAnsiTheme="minorHAnsi" w:cstheme="minorHAnsi"/>
          <w:sz w:val="16"/>
          <w:szCs w:val="16"/>
        </w:rPr>
        <w:t xml:space="preserve"> (2014)</w:t>
      </w:r>
    </w:p>
  </w:footnote>
  <w:footnote w:id="25">
    <w:p w14:paraId="6645B865" w14:textId="77777777" w:rsidR="00DB72BA" w:rsidRDefault="00DB72BA">
      <w:pPr>
        <w:pStyle w:val="FootnoteText"/>
      </w:pPr>
      <w:r w:rsidRPr="00EE7E32">
        <w:rPr>
          <w:rStyle w:val="FootnoteReference"/>
          <w:sz w:val="16"/>
          <w:szCs w:val="16"/>
        </w:rPr>
        <w:footnoteRef/>
      </w:r>
      <w:r>
        <w:t xml:space="preserve"> </w:t>
      </w:r>
      <w:r w:rsidRPr="00406E4B">
        <w:rPr>
          <w:rFonts w:ascii="Calibri" w:hAnsi="Calibri" w:cs="Calibri"/>
          <w:sz w:val="16"/>
          <w:szCs w:val="16"/>
        </w:rPr>
        <w:t>Mallet et al (2015)</w:t>
      </w:r>
    </w:p>
  </w:footnote>
  <w:footnote w:id="26">
    <w:p w14:paraId="1BBFE71D" w14:textId="77777777" w:rsidR="00DB72BA" w:rsidRDefault="00DB72BA" w:rsidP="00EE7E32">
      <w:pPr>
        <w:pStyle w:val="FootnoteText"/>
        <w:rPr>
          <w:rFonts w:asciiTheme="minorHAnsi" w:hAnsiTheme="minorHAnsi" w:cstheme="minorHAnsi"/>
          <w:sz w:val="16"/>
          <w:szCs w:val="16"/>
        </w:rPr>
      </w:pPr>
      <w:r>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w:t>
      </w:r>
      <w:proofErr w:type="spellStart"/>
      <w:r>
        <w:rPr>
          <w:rFonts w:asciiTheme="minorHAnsi" w:hAnsiTheme="minorHAnsi" w:cstheme="minorHAnsi"/>
          <w:sz w:val="16"/>
          <w:szCs w:val="16"/>
        </w:rPr>
        <w:t>Vergolini</w:t>
      </w:r>
      <w:proofErr w:type="spellEnd"/>
      <w:r>
        <w:rPr>
          <w:rFonts w:asciiTheme="minorHAnsi" w:hAnsiTheme="minorHAnsi" w:cstheme="minorHAnsi"/>
          <w:sz w:val="16"/>
          <w:szCs w:val="16"/>
        </w:rPr>
        <w:t xml:space="preserve"> (2011)</w:t>
      </w:r>
    </w:p>
  </w:footnote>
  <w:footnote w:id="27">
    <w:p w14:paraId="2C121702" w14:textId="77777777" w:rsidR="00DB72BA" w:rsidRPr="00DF35F7" w:rsidRDefault="00DB72BA">
      <w:pPr>
        <w:pStyle w:val="FootnoteText"/>
        <w:rPr>
          <w:rFonts w:asciiTheme="minorHAnsi" w:hAnsiTheme="minorHAnsi" w:cstheme="minorHAnsi"/>
          <w:sz w:val="16"/>
          <w:szCs w:val="16"/>
        </w:rPr>
      </w:pPr>
      <w:r w:rsidRPr="00DF35F7">
        <w:rPr>
          <w:rStyle w:val="FootnoteReference"/>
          <w:sz w:val="16"/>
          <w:szCs w:val="16"/>
        </w:rPr>
        <w:footnoteRef/>
      </w:r>
      <w:r>
        <w:t xml:space="preserve"> </w:t>
      </w:r>
      <w:r w:rsidRPr="00DF35F7">
        <w:rPr>
          <w:rFonts w:asciiTheme="minorHAnsi" w:hAnsiTheme="minorHAnsi" w:cstheme="minorHAnsi"/>
          <w:sz w:val="16"/>
          <w:szCs w:val="16"/>
        </w:rPr>
        <w:t>Sugiyama and Hunter</w:t>
      </w:r>
      <w:r>
        <w:rPr>
          <w:rFonts w:asciiTheme="minorHAnsi" w:hAnsiTheme="minorHAnsi" w:cstheme="minorHAnsi"/>
          <w:sz w:val="16"/>
          <w:szCs w:val="16"/>
        </w:rPr>
        <w:t xml:space="preserve"> (2013)</w:t>
      </w:r>
    </w:p>
  </w:footnote>
  <w:footnote w:id="28">
    <w:p w14:paraId="4D09688A" w14:textId="77777777" w:rsidR="00DB72BA" w:rsidRDefault="00DB72BA" w:rsidP="00EE7E32">
      <w:pPr>
        <w:pStyle w:val="FootnoteText"/>
        <w:rPr>
          <w:rFonts w:asciiTheme="minorHAnsi" w:hAnsiTheme="minorHAnsi" w:cstheme="minorHAnsi"/>
          <w:sz w:val="16"/>
          <w:szCs w:val="16"/>
        </w:rPr>
      </w:pPr>
      <w:r>
        <w:rPr>
          <w:rStyle w:val="FootnoteReference"/>
          <w:rFonts w:asciiTheme="minorHAnsi" w:hAnsiTheme="minorHAnsi" w:cstheme="minorHAnsi"/>
          <w:sz w:val="16"/>
          <w:szCs w:val="16"/>
        </w:rPr>
        <w:footnoteRef/>
      </w:r>
      <w:r>
        <w:rPr>
          <w:rFonts w:asciiTheme="minorHAnsi" w:hAnsiTheme="minorHAnsi" w:cstheme="minorHAnsi"/>
          <w:sz w:val="16"/>
          <w:szCs w:val="16"/>
        </w:rPr>
        <w:t xml:space="preserve"> </w:t>
      </w:r>
      <w:proofErr w:type="spellStart"/>
      <w:r>
        <w:rPr>
          <w:rFonts w:asciiTheme="minorHAnsi" w:hAnsiTheme="minorHAnsi" w:cstheme="minorHAnsi"/>
          <w:sz w:val="16"/>
          <w:szCs w:val="16"/>
        </w:rPr>
        <w:t>Chioda</w:t>
      </w:r>
      <w:proofErr w:type="spellEnd"/>
      <w:r>
        <w:rPr>
          <w:rFonts w:asciiTheme="minorHAnsi" w:hAnsiTheme="minorHAnsi" w:cstheme="minorHAnsi"/>
          <w:sz w:val="16"/>
          <w:szCs w:val="16"/>
        </w:rPr>
        <w:t xml:space="preserve"> et al (2013)</w:t>
      </w:r>
    </w:p>
  </w:footnote>
  <w:footnote w:id="29">
    <w:p w14:paraId="7CFC548A" w14:textId="77777777" w:rsidR="00DB72BA" w:rsidRDefault="00DB72BA" w:rsidP="00EE7E32">
      <w:pPr>
        <w:pStyle w:val="FootnoteText"/>
      </w:pPr>
      <w:r>
        <w:rPr>
          <w:rStyle w:val="FootnoteReference"/>
          <w:rFonts w:asciiTheme="minorHAnsi" w:hAnsiTheme="minorHAnsi" w:cstheme="minorHAnsi"/>
          <w:sz w:val="16"/>
          <w:szCs w:val="16"/>
        </w:rPr>
        <w:footnoteRef/>
      </w:r>
      <w:r>
        <w:rPr>
          <w:rStyle w:val="FootnoteReference"/>
          <w:rFonts w:asciiTheme="minorHAnsi" w:hAnsiTheme="minorHAnsi" w:cstheme="minorHAnsi"/>
          <w:sz w:val="16"/>
          <w:szCs w:val="16"/>
        </w:rPr>
        <w:t xml:space="preserve"> </w:t>
      </w:r>
      <w:r>
        <w:rPr>
          <w:rFonts w:asciiTheme="minorHAnsi" w:hAnsiTheme="minorHAnsi" w:cstheme="minorHAnsi"/>
          <w:sz w:val="16"/>
          <w:szCs w:val="16"/>
        </w:rPr>
        <w:t>Canberra Times (2015)</w:t>
      </w:r>
    </w:p>
  </w:footnote>
  <w:footnote w:id="30">
    <w:p w14:paraId="77442D3D" w14:textId="77777777" w:rsidR="00DB72BA" w:rsidRPr="002C5688" w:rsidRDefault="00DB72BA" w:rsidP="0023282E">
      <w:pPr>
        <w:pStyle w:val="FootnoteText"/>
        <w:rPr>
          <w:rFonts w:asciiTheme="minorHAnsi" w:hAnsiTheme="minorHAnsi" w:cstheme="minorHAnsi"/>
          <w:sz w:val="16"/>
          <w:szCs w:val="16"/>
        </w:rPr>
      </w:pPr>
      <w:r w:rsidRPr="002C5688">
        <w:rPr>
          <w:rStyle w:val="FootnoteReference"/>
          <w:rFonts w:asciiTheme="minorHAnsi" w:hAnsiTheme="minorHAnsi" w:cstheme="minorHAnsi"/>
          <w:sz w:val="16"/>
          <w:szCs w:val="16"/>
        </w:rPr>
        <w:footnoteRef/>
      </w:r>
      <w:r w:rsidRPr="002C5688">
        <w:rPr>
          <w:rFonts w:asciiTheme="minorHAnsi" w:hAnsiTheme="minorHAnsi" w:cstheme="minorHAnsi"/>
          <w:sz w:val="16"/>
          <w:szCs w:val="16"/>
        </w:rPr>
        <w:t xml:space="preserve"> McCord and Slater (2014)</w:t>
      </w:r>
    </w:p>
  </w:footnote>
  <w:footnote w:id="31">
    <w:p w14:paraId="0D8867C9" w14:textId="77777777" w:rsidR="00DB72BA" w:rsidRDefault="00DB72BA" w:rsidP="0023282E">
      <w:pPr>
        <w:pStyle w:val="FootnoteText"/>
      </w:pPr>
      <w:r w:rsidRPr="002C5688">
        <w:rPr>
          <w:rStyle w:val="FootnoteReference"/>
          <w:rFonts w:asciiTheme="minorHAnsi" w:hAnsiTheme="minorHAnsi" w:cstheme="minorHAnsi"/>
          <w:sz w:val="16"/>
          <w:szCs w:val="16"/>
        </w:rPr>
        <w:footnoteRef/>
      </w:r>
      <w:r w:rsidRPr="002C5688">
        <w:rPr>
          <w:rFonts w:asciiTheme="minorHAnsi" w:hAnsiTheme="minorHAnsi" w:cstheme="minorHAnsi"/>
          <w:sz w:val="16"/>
          <w:szCs w:val="16"/>
        </w:rPr>
        <w:t xml:space="preserve"> UK Department for International Development (2011)</w:t>
      </w:r>
      <w:r>
        <w:t xml:space="preserve">  </w:t>
      </w:r>
    </w:p>
  </w:footnote>
  <w:footnote w:id="32">
    <w:p w14:paraId="45024FC7" w14:textId="77777777" w:rsidR="00DB72BA" w:rsidRDefault="00DB72BA" w:rsidP="0023282E">
      <w:pPr>
        <w:pStyle w:val="FootnoteText"/>
      </w:pPr>
      <w:r w:rsidRPr="00A00877">
        <w:rPr>
          <w:rStyle w:val="FootnoteReference"/>
          <w:rFonts w:asciiTheme="minorHAnsi" w:hAnsiTheme="minorHAnsi" w:cstheme="minorHAnsi"/>
          <w:sz w:val="16"/>
          <w:szCs w:val="16"/>
        </w:rPr>
        <w:footnoteRef/>
      </w:r>
      <w:r>
        <w:t xml:space="preserve"> </w:t>
      </w:r>
      <w:r w:rsidRPr="00A00877">
        <w:rPr>
          <w:rFonts w:asciiTheme="minorHAnsi" w:hAnsiTheme="minorHAnsi" w:cstheme="minorHAnsi"/>
          <w:sz w:val="16"/>
          <w:szCs w:val="16"/>
        </w:rPr>
        <w:t>Word Bank (2014</w:t>
      </w:r>
      <w:r>
        <w:rPr>
          <w:rFonts w:asciiTheme="minorHAnsi" w:hAnsiTheme="minorHAnsi" w:cstheme="minorHAnsi"/>
          <w:sz w:val="16"/>
          <w:szCs w:val="16"/>
        </w:rPr>
        <w:t>a</w:t>
      </w:r>
      <w:r w:rsidRPr="00A00877">
        <w:rPr>
          <w:rFonts w:asciiTheme="minorHAnsi" w:hAnsiTheme="minorHAnsi" w:cstheme="minorHAnsi"/>
          <w:sz w:val="16"/>
          <w:szCs w:val="16"/>
        </w:rPr>
        <w:t>)</w:t>
      </w:r>
    </w:p>
  </w:footnote>
  <w:footnote w:id="33">
    <w:p w14:paraId="04BB6342" w14:textId="77777777" w:rsidR="00DB72BA" w:rsidRDefault="00DB72BA">
      <w:pPr>
        <w:pStyle w:val="FootnoteText"/>
      </w:pPr>
      <w:r w:rsidRPr="006B0A1E">
        <w:rPr>
          <w:rStyle w:val="FootnoteReference"/>
          <w:rFonts w:asciiTheme="minorHAnsi" w:hAnsiTheme="minorHAnsi" w:cstheme="minorHAnsi"/>
          <w:sz w:val="16"/>
          <w:szCs w:val="16"/>
        </w:rPr>
        <w:footnoteRef/>
      </w:r>
      <w:r>
        <w:t xml:space="preserve"> </w:t>
      </w:r>
      <w:r w:rsidRPr="006B0A1E">
        <w:rPr>
          <w:rFonts w:asciiTheme="minorHAnsi" w:hAnsiTheme="minorHAnsi" w:cstheme="minorHAnsi"/>
          <w:sz w:val="16"/>
          <w:szCs w:val="16"/>
        </w:rPr>
        <w:t>World Bank (2014a)</w:t>
      </w:r>
    </w:p>
  </w:footnote>
  <w:footnote w:id="34">
    <w:p w14:paraId="23DB85EA" w14:textId="77777777" w:rsidR="00DB72BA" w:rsidRPr="00716C2B" w:rsidRDefault="00DB72BA" w:rsidP="002923A5">
      <w:pPr>
        <w:pStyle w:val="FootnoteText"/>
        <w:rPr>
          <w:rFonts w:asciiTheme="minorHAnsi" w:hAnsiTheme="minorHAnsi" w:cstheme="minorHAnsi"/>
          <w:sz w:val="16"/>
          <w:szCs w:val="16"/>
        </w:rPr>
      </w:pPr>
      <w:r w:rsidRPr="00716C2B">
        <w:rPr>
          <w:rStyle w:val="FootnoteReference"/>
          <w:rFonts w:asciiTheme="minorHAnsi" w:hAnsiTheme="minorHAnsi" w:cstheme="minorHAnsi"/>
          <w:sz w:val="16"/>
          <w:szCs w:val="16"/>
        </w:rPr>
        <w:footnoteRef/>
      </w:r>
      <w:r>
        <w:rPr>
          <w:rFonts w:asciiTheme="minorHAnsi" w:hAnsiTheme="minorHAnsi" w:cstheme="minorHAnsi"/>
          <w:sz w:val="16"/>
          <w:szCs w:val="16"/>
        </w:rPr>
        <w:t xml:space="preserve">UK </w:t>
      </w:r>
      <w:r w:rsidRPr="00716C2B">
        <w:rPr>
          <w:rFonts w:asciiTheme="minorHAnsi" w:hAnsiTheme="minorHAnsi" w:cstheme="minorHAnsi"/>
          <w:sz w:val="16"/>
          <w:szCs w:val="16"/>
        </w:rPr>
        <w:t>D</w:t>
      </w:r>
      <w:r>
        <w:rPr>
          <w:rFonts w:asciiTheme="minorHAnsi" w:hAnsiTheme="minorHAnsi" w:cstheme="minorHAnsi"/>
          <w:sz w:val="16"/>
          <w:szCs w:val="16"/>
        </w:rPr>
        <w:t xml:space="preserve">epartment for </w:t>
      </w:r>
      <w:r w:rsidRPr="00716C2B">
        <w:rPr>
          <w:rFonts w:asciiTheme="minorHAnsi" w:hAnsiTheme="minorHAnsi" w:cstheme="minorHAnsi"/>
          <w:sz w:val="16"/>
          <w:szCs w:val="16"/>
        </w:rPr>
        <w:t>I</w:t>
      </w:r>
      <w:r>
        <w:rPr>
          <w:rFonts w:asciiTheme="minorHAnsi" w:hAnsiTheme="minorHAnsi" w:cstheme="minorHAnsi"/>
          <w:sz w:val="16"/>
          <w:szCs w:val="16"/>
        </w:rPr>
        <w:t xml:space="preserve">nternational </w:t>
      </w:r>
      <w:r w:rsidRPr="00716C2B">
        <w:rPr>
          <w:rFonts w:asciiTheme="minorHAnsi" w:hAnsiTheme="minorHAnsi" w:cstheme="minorHAnsi"/>
          <w:sz w:val="16"/>
          <w:szCs w:val="16"/>
        </w:rPr>
        <w:t>D</w:t>
      </w:r>
      <w:r>
        <w:rPr>
          <w:rFonts w:asciiTheme="minorHAnsi" w:hAnsiTheme="minorHAnsi" w:cstheme="minorHAnsi"/>
          <w:sz w:val="16"/>
          <w:szCs w:val="16"/>
        </w:rPr>
        <w:t>evelopment</w:t>
      </w:r>
      <w:r w:rsidRPr="00716C2B">
        <w:rPr>
          <w:rFonts w:asciiTheme="minorHAnsi" w:hAnsiTheme="minorHAnsi" w:cstheme="minorHAnsi"/>
          <w:sz w:val="16"/>
          <w:szCs w:val="16"/>
        </w:rPr>
        <w:t xml:space="preserve"> (2011)</w:t>
      </w:r>
    </w:p>
  </w:footnote>
  <w:footnote w:id="35">
    <w:p w14:paraId="37AD188E" w14:textId="77777777" w:rsidR="00DB72BA" w:rsidRPr="00716C2B" w:rsidRDefault="00DB72BA" w:rsidP="002923A5">
      <w:pPr>
        <w:pStyle w:val="FootnoteText"/>
        <w:rPr>
          <w:rFonts w:asciiTheme="minorHAnsi" w:hAnsiTheme="minorHAnsi" w:cstheme="minorHAnsi"/>
          <w:sz w:val="16"/>
          <w:szCs w:val="16"/>
        </w:rPr>
      </w:pPr>
      <w:r w:rsidRPr="00716C2B">
        <w:rPr>
          <w:rStyle w:val="FootnoteReference"/>
          <w:rFonts w:asciiTheme="minorHAnsi" w:hAnsiTheme="minorHAnsi" w:cstheme="minorHAnsi"/>
          <w:sz w:val="16"/>
          <w:szCs w:val="16"/>
        </w:rPr>
        <w:footnoteRef/>
      </w:r>
      <w:r w:rsidRPr="00716C2B">
        <w:rPr>
          <w:rFonts w:asciiTheme="minorHAnsi" w:hAnsiTheme="minorHAnsi" w:cstheme="minorHAnsi"/>
          <w:sz w:val="16"/>
          <w:szCs w:val="16"/>
        </w:rPr>
        <w:t>World Bank (2014a)</w:t>
      </w:r>
    </w:p>
  </w:footnote>
  <w:footnote w:id="36">
    <w:p w14:paraId="0693E26C" w14:textId="77777777" w:rsidR="00DB72BA" w:rsidRDefault="00DB72BA" w:rsidP="002923A5">
      <w:pPr>
        <w:pStyle w:val="FootnoteText"/>
      </w:pPr>
      <w:r w:rsidRPr="00716C2B">
        <w:rPr>
          <w:rStyle w:val="FootnoteReference"/>
          <w:rFonts w:asciiTheme="minorHAnsi" w:hAnsiTheme="minorHAnsi" w:cstheme="minorHAnsi"/>
          <w:sz w:val="16"/>
          <w:szCs w:val="16"/>
        </w:rPr>
        <w:footnoteRef/>
      </w:r>
      <w:r w:rsidRPr="003D3FCE">
        <w:rPr>
          <w:rFonts w:asciiTheme="minorHAnsi" w:hAnsiTheme="minorHAnsi" w:cstheme="minorHAnsi"/>
          <w:sz w:val="16"/>
          <w:szCs w:val="16"/>
        </w:rPr>
        <w:t>World Bank (2014a)</w:t>
      </w:r>
    </w:p>
  </w:footnote>
  <w:footnote w:id="37">
    <w:p w14:paraId="7261ECBF" w14:textId="77777777" w:rsidR="00DB72BA" w:rsidRDefault="00DB72BA" w:rsidP="002923A5">
      <w:pPr>
        <w:pStyle w:val="FootnoteText"/>
      </w:pPr>
      <w:r w:rsidRPr="003D3FCE">
        <w:rPr>
          <w:rStyle w:val="FootnoteReference"/>
          <w:rFonts w:asciiTheme="minorHAnsi" w:hAnsiTheme="minorHAnsi" w:cstheme="minorHAnsi"/>
          <w:sz w:val="16"/>
          <w:szCs w:val="16"/>
        </w:rPr>
        <w:footnoteRef/>
      </w:r>
      <w:r>
        <w:t xml:space="preserve"> </w:t>
      </w:r>
      <w:r w:rsidRPr="003D3FCE">
        <w:rPr>
          <w:rFonts w:asciiTheme="minorHAnsi" w:hAnsiTheme="minorHAnsi" w:cstheme="minorHAnsi"/>
          <w:i/>
          <w:sz w:val="16"/>
          <w:szCs w:val="16"/>
        </w:rPr>
        <w:t>ibid</w:t>
      </w:r>
    </w:p>
  </w:footnote>
  <w:footnote w:id="38">
    <w:p w14:paraId="31C45F56" w14:textId="77777777" w:rsidR="00DB72BA" w:rsidRDefault="00DB72BA">
      <w:pPr>
        <w:pStyle w:val="FootnoteText"/>
      </w:pPr>
      <w:r w:rsidRPr="000502A4">
        <w:rPr>
          <w:rStyle w:val="FootnoteReference"/>
          <w:rFonts w:asciiTheme="minorHAnsi" w:hAnsiTheme="minorHAnsi" w:cstheme="minorHAnsi"/>
          <w:sz w:val="16"/>
          <w:szCs w:val="16"/>
        </w:rPr>
        <w:footnoteRef/>
      </w:r>
      <w:r w:rsidRPr="000502A4">
        <w:t xml:space="preserve"> </w:t>
      </w:r>
      <w:r w:rsidRPr="000502A4">
        <w:rPr>
          <w:rFonts w:asciiTheme="minorHAnsi" w:hAnsiTheme="minorHAnsi" w:cstheme="minorHAnsi"/>
          <w:sz w:val="16"/>
          <w:szCs w:val="16"/>
        </w:rPr>
        <w:t>Both Timor-Leste and Kiribati’s investment’s in social protection stand out in this graph as being very high compared to others in the region.  For Kiribati this is due to a universal elderly pension and a high copra subsidy, which also acts as an unemployment benefit. For Timor-Leste, expenditure on social protection increased rapidly since it began in 2008 which stems from the government’s desire to provide visible support to its citizens, particularly to veterans, after the unrest in 2006.</w:t>
      </w:r>
    </w:p>
  </w:footnote>
  <w:footnote w:id="39">
    <w:p w14:paraId="558A3B23" w14:textId="77777777" w:rsidR="00DB72BA" w:rsidRDefault="00DB72BA" w:rsidP="00E00DE3">
      <w:pPr>
        <w:pStyle w:val="FootnoteText"/>
      </w:pPr>
      <w:r>
        <w:rPr>
          <w:rStyle w:val="FootnoteReference"/>
        </w:rPr>
        <w:footnoteRef/>
      </w:r>
      <w:r>
        <w:t xml:space="preserve"> </w:t>
      </w:r>
      <w:r w:rsidRPr="000502A4">
        <w:rPr>
          <w:rFonts w:asciiTheme="minorHAnsi" w:hAnsiTheme="minorHAnsi" w:cstheme="minorHAnsi"/>
          <w:sz w:val="16"/>
          <w:szCs w:val="16"/>
        </w:rPr>
        <w:t>Triangular cooperation, also known as trilateral cooperation, refers to an arrangement wher</w:t>
      </w:r>
      <w:r>
        <w:rPr>
          <w:rFonts w:asciiTheme="minorHAnsi" w:hAnsiTheme="minorHAnsi" w:cstheme="minorHAnsi"/>
          <w:sz w:val="16"/>
          <w:szCs w:val="16"/>
        </w:rPr>
        <w:t>eby a country such as Australia</w:t>
      </w:r>
      <w:r w:rsidRPr="000502A4">
        <w:rPr>
          <w:rFonts w:asciiTheme="minorHAnsi" w:hAnsiTheme="minorHAnsi" w:cstheme="minorHAnsi"/>
          <w:sz w:val="16"/>
          <w:szCs w:val="16"/>
        </w:rPr>
        <w:t xml:space="preserve"> facilitates the sharing of knowledge and experiences between developing countries.</w:t>
      </w:r>
      <w:r>
        <w:rPr>
          <w:rFonts w:asciiTheme="minorHAnsi" w:hAnsiTheme="minorHAnsi" w:cstheme="minorHAnsi"/>
          <w:sz w:val="16"/>
          <w:szCs w:val="16"/>
        </w:rPr>
        <w:t xml:space="preserve"> </w:t>
      </w:r>
    </w:p>
  </w:footnote>
  <w:footnote w:id="40">
    <w:p w14:paraId="330B7FD6" w14:textId="77777777" w:rsidR="00DB72BA" w:rsidRDefault="00DB72BA" w:rsidP="00CD3250">
      <w:pPr>
        <w:pStyle w:val="FootnoteText"/>
      </w:pPr>
      <w:r>
        <w:rPr>
          <w:rStyle w:val="FootnoteReference"/>
        </w:rPr>
        <w:footnoteRef/>
      </w:r>
      <w:r>
        <w:t xml:space="preserve"> </w:t>
      </w:r>
      <w:r w:rsidRPr="00855080">
        <w:rPr>
          <w:rFonts w:asciiTheme="minorHAnsi" w:hAnsiTheme="minorHAnsi" w:cstheme="minorHAnsi"/>
          <w:sz w:val="16"/>
          <w:szCs w:val="16"/>
        </w:rPr>
        <w:t>UK D</w:t>
      </w:r>
      <w:r>
        <w:rPr>
          <w:rFonts w:asciiTheme="minorHAnsi" w:hAnsiTheme="minorHAnsi" w:cstheme="minorHAnsi"/>
          <w:sz w:val="16"/>
          <w:szCs w:val="16"/>
        </w:rPr>
        <w:t xml:space="preserve">epartment for International Development </w:t>
      </w:r>
      <w:r w:rsidRPr="00855080">
        <w:rPr>
          <w:rFonts w:asciiTheme="minorHAnsi" w:hAnsiTheme="minorHAnsi" w:cstheme="minorHAnsi"/>
          <w:sz w:val="16"/>
          <w:szCs w:val="16"/>
        </w:rPr>
        <w:t>(2011)</w:t>
      </w:r>
    </w:p>
  </w:footnote>
  <w:footnote w:id="41">
    <w:p w14:paraId="5B341194" w14:textId="77777777" w:rsidR="00DB72BA" w:rsidRDefault="00DB72BA" w:rsidP="00C84BEF">
      <w:pPr>
        <w:pStyle w:val="FootnoteText"/>
      </w:pPr>
      <w:r>
        <w:rPr>
          <w:rStyle w:val="FootnoteReference"/>
        </w:rPr>
        <w:footnoteRef/>
      </w:r>
      <w:r>
        <w:t xml:space="preserve"> </w:t>
      </w:r>
      <w:r w:rsidRPr="00807E34">
        <w:rPr>
          <w:rFonts w:asciiTheme="minorHAnsi" w:hAnsiTheme="minorHAnsi" w:cstheme="minorHAnsi"/>
          <w:sz w:val="16"/>
          <w:szCs w:val="16"/>
        </w:rPr>
        <w:t>Chronic Poverty Advisory Network (</w:t>
      </w:r>
      <w:r>
        <w:rPr>
          <w:rFonts w:asciiTheme="minorHAnsi" w:hAnsiTheme="minorHAnsi" w:cstheme="minorHAnsi"/>
          <w:sz w:val="16"/>
          <w:szCs w:val="16"/>
        </w:rPr>
        <w:t>2015</w:t>
      </w:r>
      <w:r w:rsidRPr="00807E34">
        <w:rPr>
          <w:rFonts w:asciiTheme="minorHAnsi" w:hAnsiTheme="minorHAnsi" w:cstheme="minorHAnsi"/>
          <w:sz w:val="16"/>
          <w:szCs w:val="16"/>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EB6D4" w14:textId="77777777" w:rsidR="00E92D23" w:rsidRDefault="00E92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2167D" w14:textId="77777777" w:rsidR="00E92D23" w:rsidRDefault="00E92D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46427" w14:textId="77777777" w:rsidR="00E92D23" w:rsidRDefault="00E92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1509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3CE3E72"/>
    <w:lvl w:ilvl="0">
      <w:start w:val="1"/>
      <w:numFmt w:val="decimal"/>
      <w:lvlText w:val="%1."/>
      <w:lvlJc w:val="left"/>
      <w:pPr>
        <w:tabs>
          <w:tab w:val="num" w:pos="1492"/>
        </w:tabs>
        <w:ind w:left="1492" w:hanging="360"/>
      </w:pPr>
    </w:lvl>
  </w:abstractNum>
  <w:abstractNum w:abstractNumId="2">
    <w:nsid w:val="FFFFFF7D"/>
    <w:multiLevelType w:val="singleLevel"/>
    <w:tmpl w:val="FF98223A"/>
    <w:lvl w:ilvl="0">
      <w:start w:val="1"/>
      <w:numFmt w:val="decimal"/>
      <w:lvlText w:val="%1."/>
      <w:lvlJc w:val="left"/>
      <w:pPr>
        <w:tabs>
          <w:tab w:val="num" w:pos="1209"/>
        </w:tabs>
        <w:ind w:left="1209" w:hanging="360"/>
      </w:pPr>
    </w:lvl>
  </w:abstractNum>
  <w:abstractNum w:abstractNumId="3">
    <w:nsid w:val="FFFFFF7E"/>
    <w:multiLevelType w:val="singleLevel"/>
    <w:tmpl w:val="66600AC4"/>
    <w:lvl w:ilvl="0">
      <w:start w:val="1"/>
      <w:numFmt w:val="decimal"/>
      <w:lvlText w:val="%1."/>
      <w:lvlJc w:val="left"/>
      <w:pPr>
        <w:tabs>
          <w:tab w:val="num" w:pos="926"/>
        </w:tabs>
        <w:ind w:left="926" w:hanging="360"/>
      </w:pPr>
    </w:lvl>
  </w:abstractNum>
  <w:abstractNum w:abstractNumId="4">
    <w:nsid w:val="FFFFFF7F"/>
    <w:multiLevelType w:val="singleLevel"/>
    <w:tmpl w:val="6B5865FA"/>
    <w:lvl w:ilvl="0">
      <w:start w:val="1"/>
      <w:numFmt w:val="decimal"/>
      <w:lvlText w:val="%1."/>
      <w:lvlJc w:val="left"/>
      <w:pPr>
        <w:tabs>
          <w:tab w:val="num" w:pos="643"/>
        </w:tabs>
        <w:ind w:left="643" w:hanging="360"/>
      </w:pPr>
    </w:lvl>
  </w:abstractNum>
  <w:abstractNum w:abstractNumId="5">
    <w:nsid w:val="FFFFFF80"/>
    <w:multiLevelType w:val="singleLevel"/>
    <w:tmpl w:val="D750B6C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3C0090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22CFB0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56E398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BF2C9D16"/>
    <w:lvl w:ilvl="0">
      <w:start w:val="1"/>
      <w:numFmt w:val="decimal"/>
      <w:lvlText w:val="%1."/>
      <w:lvlJc w:val="left"/>
      <w:pPr>
        <w:tabs>
          <w:tab w:val="num" w:pos="360"/>
        </w:tabs>
        <w:ind w:left="360" w:hanging="360"/>
      </w:pPr>
    </w:lvl>
  </w:abstractNum>
  <w:abstractNum w:abstractNumId="10">
    <w:nsid w:val="FFFFFF89"/>
    <w:multiLevelType w:val="singleLevel"/>
    <w:tmpl w:val="7E5E3842"/>
    <w:lvl w:ilvl="0">
      <w:start w:val="1"/>
      <w:numFmt w:val="bullet"/>
      <w:lvlText w:val=""/>
      <w:lvlJc w:val="left"/>
      <w:pPr>
        <w:tabs>
          <w:tab w:val="num" w:pos="360"/>
        </w:tabs>
        <w:ind w:left="360" w:hanging="360"/>
      </w:pPr>
      <w:rPr>
        <w:rFonts w:ascii="Symbol" w:hAnsi="Symbol" w:hint="default"/>
      </w:rPr>
    </w:lvl>
  </w:abstractNum>
  <w:abstractNum w:abstractNumId="11">
    <w:nsid w:val="041C46DF"/>
    <w:multiLevelType w:val="hybridMultilevel"/>
    <w:tmpl w:val="903271EC"/>
    <w:lvl w:ilvl="0" w:tplc="972AA800">
      <w:start w:val="2"/>
      <w:numFmt w:val="bullet"/>
      <w:lvlText w:val="-"/>
      <w:lvlJc w:val="left"/>
      <w:pPr>
        <w:ind w:left="720" w:hanging="360"/>
      </w:pPr>
      <w:rPr>
        <w:rFonts w:ascii="Calibri" w:eastAsia="Times New Roman" w:hAnsi="Calibri" w:cs="HelveticaNeue-BoldCondObl" w:hint="default"/>
      </w:rPr>
    </w:lvl>
    <w:lvl w:ilvl="1" w:tplc="0C090003" w:tentative="1">
      <w:start w:val="1"/>
      <w:numFmt w:val="bullet"/>
      <w:lvlText w:val="o"/>
      <w:lvlJc w:val="left"/>
      <w:pPr>
        <w:ind w:left="1440" w:hanging="360"/>
      </w:pPr>
      <w:rPr>
        <w:rFonts w:ascii="Courier New" w:hAnsi="Courier New" w:cs="HelveticaNeue-BoldCondOb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Neue-BoldCondOb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Neue-BoldCondOb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5246716"/>
    <w:multiLevelType w:val="hybridMultilevel"/>
    <w:tmpl w:val="713C6F44"/>
    <w:lvl w:ilvl="0" w:tplc="A61AA9D8">
      <w:numFmt w:val="bullet"/>
      <w:lvlText w:val="-"/>
      <w:lvlJc w:val="left"/>
      <w:pPr>
        <w:ind w:left="720" w:hanging="360"/>
      </w:pPr>
      <w:rPr>
        <w:rFonts w:ascii="Calibri" w:eastAsia="Times New Roman" w:hAnsi="Calibri" w:cs="HelveticaNeue-BoldCondObl" w:hint="default"/>
      </w:rPr>
    </w:lvl>
    <w:lvl w:ilvl="1" w:tplc="0C090003" w:tentative="1">
      <w:start w:val="1"/>
      <w:numFmt w:val="bullet"/>
      <w:lvlText w:val="o"/>
      <w:lvlJc w:val="left"/>
      <w:pPr>
        <w:ind w:left="1440" w:hanging="360"/>
      </w:pPr>
      <w:rPr>
        <w:rFonts w:ascii="Courier New" w:hAnsi="Courier New" w:cs="HelveticaNeue-BoldCondOb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Neue-BoldCondOb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Neue-BoldCondObl"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BA971CD"/>
    <w:multiLevelType w:val="hybridMultilevel"/>
    <w:tmpl w:val="9EB4EE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94F2AD3"/>
    <w:multiLevelType w:val="hybridMultilevel"/>
    <w:tmpl w:val="257690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A0C04C0"/>
    <w:multiLevelType w:val="hybridMultilevel"/>
    <w:tmpl w:val="D252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260EA4"/>
    <w:multiLevelType w:val="hybridMultilevel"/>
    <w:tmpl w:val="C56C56E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3233B1B"/>
    <w:multiLevelType w:val="hybridMultilevel"/>
    <w:tmpl w:val="6336A8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HelveticaNeue-BoldCondOb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HelveticaNeue-BoldCondOb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HelveticaNeue-BoldCondObl"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35A6FC1"/>
    <w:multiLevelType w:val="hybridMultilevel"/>
    <w:tmpl w:val="399EF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HelveticaNeue-BoldCondOb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Neue-BoldCondOb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Neue-BoldCondObl"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593433B"/>
    <w:multiLevelType w:val="hybridMultilevel"/>
    <w:tmpl w:val="1A6057F0"/>
    <w:lvl w:ilvl="0" w:tplc="EF5A045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HelveticaNeue-BoldCondOb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Neue-BoldCondOb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Neue-BoldCondObl"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73314A0"/>
    <w:multiLevelType w:val="hybridMultilevel"/>
    <w:tmpl w:val="B1548B10"/>
    <w:lvl w:ilvl="0" w:tplc="2EDC3E40">
      <w:start w:val="1"/>
      <w:numFmt w:val="bullet"/>
      <w:lvlText w:val="-"/>
      <w:lvlJc w:val="left"/>
      <w:pPr>
        <w:ind w:left="720" w:hanging="360"/>
      </w:pPr>
      <w:rPr>
        <w:rFonts w:ascii="Calibri" w:eastAsia="Times New Roman" w:hAnsi="Calibri" w:cs="HelveticaNeue-BoldCondObl" w:hint="default"/>
      </w:rPr>
    </w:lvl>
    <w:lvl w:ilvl="1" w:tplc="0C090003" w:tentative="1">
      <w:start w:val="1"/>
      <w:numFmt w:val="bullet"/>
      <w:lvlText w:val="o"/>
      <w:lvlJc w:val="left"/>
      <w:pPr>
        <w:ind w:left="1440" w:hanging="360"/>
      </w:pPr>
      <w:rPr>
        <w:rFonts w:ascii="Courier New" w:hAnsi="Courier New" w:cs="HelveticaNeue-BoldCondOb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Neue-BoldCondOb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Neue-BoldCondObl"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B051A5A"/>
    <w:multiLevelType w:val="hybridMultilevel"/>
    <w:tmpl w:val="2968FD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HelveticaNeue-BoldCondOb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Neue-BoldCondOb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Neue-BoldCondObl"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C1E41CC"/>
    <w:multiLevelType w:val="hybridMultilevel"/>
    <w:tmpl w:val="D2908F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C65919"/>
    <w:multiLevelType w:val="hybridMultilevel"/>
    <w:tmpl w:val="EF2AA3EE"/>
    <w:lvl w:ilvl="0" w:tplc="6A5CB09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C70FEC"/>
    <w:multiLevelType w:val="hybridMultilevel"/>
    <w:tmpl w:val="FC8C4D1C"/>
    <w:lvl w:ilvl="0" w:tplc="ED462118">
      <w:start w:val="1"/>
      <w:numFmt w:val="bullet"/>
      <w:pStyle w:val="ListParagraph"/>
      <w:lvlText w:val=""/>
      <w:lvlJc w:val="left"/>
      <w:pPr>
        <w:tabs>
          <w:tab w:val="num" w:pos="397"/>
        </w:tabs>
        <w:ind w:left="397"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A83543"/>
    <w:multiLevelType w:val="hybridMultilevel"/>
    <w:tmpl w:val="187A4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HelveticaNeue-BoldCondOb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Neue-BoldCondOb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Neue-BoldCondObl"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FE91C39"/>
    <w:multiLevelType w:val="hybridMultilevel"/>
    <w:tmpl w:val="FCF61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HelveticaNeue-BoldCondOb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HelveticaNeue-BoldCondOb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HelveticaNeue-BoldCondObl"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3F55C63"/>
    <w:multiLevelType w:val="hybridMultilevel"/>
    <w:tmpl w:val="9D9C01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5103136"/>
    <w:multiLevelType w:val="hybridMultilevel"/>
    <w:tmpl w:val="5E7409D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HelveticaNeue-BoldCondOb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Neue-BoldCondOb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Neue-BoldCondObl"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5CD0415"/>
    <w:multiLevelType w:val="hybridMultilevel"/>
    <w:tmpl w:val="8C9266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AD648C3"/>
    <w:multiLevelType w:val="hybridMultilevel"/>
    <w:tmpl w:val="0E566838"/>
    <w:lvl w:ilvl="0" w:tplc="D802826C">
      <w:start w:val="5"/>
      <w:numFmt w:val="bullet"/>
      <w:lvlText w:val="-"/>
      <w:lvlJc w:val="left"/>
      <w:pPr>
        <w:ind w:left="1080" w:hanging="360"/>
      </w:pPr>
      <w:rPr>
        <w:rFonts w:ascii="Calibri" w:eastAsia="Times New Roman" w:hAnsi="Calibri" w:cs="HelveticaNeue-BoldCondObl" w:hint="default"/>
      </w:rPr>
    </w:lvl>
    <w:lvl w:ilvl="1" w:tplc="0C090003" w:tentative="1">
      <w:start w:val="1"/>
      <w:numFmt w:val="bullet"/>
      <w:lvlText w:val="o"/>
      <w:lvlJc w:val="left"/>
      <w:pPr>
        <w:ind w:left="1800" w:hanging="360"/>
      </w:pPr>
      <w:rPr>
        <w:rFonts w:ascii="Courier New" w:hAnsi="Courier New" w:cs="HelveticaNeue-BoldCondOb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HelveticaNeue-BoldCondOb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HelveticaNeue-BoldCondObl"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70228A3"/>
    <w:multiLevelType w:val="hybridMultilevel"/>
    <w:tmpl w:val="7160C850"/>
    <w:lvl w:ilvl="0" w:tplc="2EDC3E40">
      <w:start w:val="1"/>
      <w:numFmt w:val="bullet"/>
      <w:lvlText w:val="-"/>
      <w:lvlJc w:val="left"/>
      <w:pPr>
        <w:ind w:left="720" w:hanging="360"/>
      </w:pPr>
      <w:rPr>
        <w:rFonts w:ascii="Calibri" w:eastAsia="Times New Roman" w:hAnsi="Calibri" w:cs="HelveticaNeue-BoldCondObl" w:hint="default"/>
      </w:rPr>
    </w:lvl>
    <w:lvl w:ilvl="1" w:tplc="0C090003" w:tentative="1">
      <w:start w:val="1"/>
      <w:numFmt w:val="bullet"/>
      <w:lvlText w:val="o"/>
      <w:lvlJc w:val="left"/>
      <w:pPr>
        <w:ind w:left="1440" w:hanging="360"/>
      </w:pPr>
      <w:rPr>
        <w:rFonts w:ascii="Courier New" w:hAnsi="Courier New" w:cs="HelveticaNeue-BoldCondOb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Neue-BoldCondOb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Neue-BoldCondObl"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1F2ADB"/>
    <w:multiLevelType w:val="hybridMultilevel"/>
    <w:tmpl w:val="93A0D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HelveticaNeue-BoldCondOb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HelveticaNeue-BoldCondOb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HelveticaNeue-BoldCondObl"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C036E8"/>
    <w:multiLevelType w:val="multilevel"/>
    <w:tmpl w:val="E416BADA"/>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4">
    <w:nsid w:val="68AD751A"/>
    <w:multiLevelType w:val="hybridMultilevel"/>
    <w:tmpl w:val="637CED52"/>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B987314"/>
    <w:multiLevelType w:val="hybridMultilevel"/>
    <w:tmpl w:val="286AF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HelveticaNeue-BoldCondOb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HelveticaNeue-BoldCondOb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HelveticaNeue-BoldCondObl"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7"/>
  </w:num>
  <w:num w:numId="3">
    <w:abstractNumId w:val="13"/>
  </w:num>
  <w:num w:numId="4">
    <w:abstractNumId w:val="14"/>
  </w:num>
  <w:num w:numId="5">
    <w:abstractNumId w:val="33"/>
  </w:num>
  <w:num w:numId="6">
    <w:abstractNumId w:val="25"/>
  </w:num>
  <w:num w:numId="7">
    <w:abstractNumId w:val="18"/>
  </w:num>
  <w:num w:numId="8">
    <w:abstractNumId w:val="11"/>
  </w:num>
  <w:num w:numId="9">
    <w:abstractNumId w:val="32"/>
  </w:num>
  <w:num w:numId="10">
    <w:abstractNumId w:val="29"/>
  </w:num>
  <w:num w:numId="11">
    <w:abstractNumId w:val="34"/>
  </w:num>
  <w:num w:numId="12">
    <w:abstractNumId w:val="16"/>
  </w:num>
  <w:num w:numId="13">
    <w:abstractNumId w:val="24"/>
  </w:num>
  <w:num w:numId="14">
    <w:abstractNumId w:val="30"/>
  </w:num>
  <w:num w:numId="15">
    <w:abstractNumId w:val="24"/>
  </w:num>
  <w:num w:numId="16">
    <w:abstractNumId w:val="12"/>
  </w:num>
  <w:num w:numId="17">
    <w:abstractNumId w:val="21"/>
  </w:num>
  <w:num w:numId="18">
    <w:abstractNumId w:val="35"/>
  </w:num>
  <w:num w:numId="19">
    <w:abstractNumId w:val="26"/>
  </w:num>
  <w:num w:numId="20">
    <w:abstractNumId w:val="17"/>
  </w:num>
  <w:num w:numId="21">
    <w:abstractNumId w:val="20"/>
  </w:num>
  <w:num w:numId="22">
    <w:abstractNumId w:val="31"/>
  </w:num>
  <w:num w:numId="23">
    <w:abstractNumId w:val="28"/>
  </w:num>
  <w:num w:numId="24">
    <w:abstractNumId w:val="22"/>
  </w:num>
  <w:num w:numId="25">
    <w:abstractNumId w:val="24"/>
  </w:num>
  <w:num w:numId="26">
    <w:abstractNumId w:val="15"/>
  </w:num>
  <w:num w:numId="27">
    <w:abstractNumId w:val="23"/>
  </w:num>
  <w:num w:numId="28">
    <w:abstractNumId w:val="10"/>
  </w:num>
  <w:num w:numId="29">
    <w:abstractNumId w:val="8"/>
  </w:num>
  <w:num w:numId="30">
    <w:abstractNumId w:val="7"/>
  </w:num>
  <w:num w:numId="31">
    <w:abstractNumId w:val="6"/>
  </w:num>
  <w:num w:numId="32">
    <w:abstractNumId w:val="5"/>
  </w:num>
  <w:num w:numId="33">
    <w:abstractNumId w:val="9"/>
  </w:num>
  <w:num w:numId="34">
    <w:abstractNumId w:val="4"/>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embedSystemFonts/>
  <w:proofState w:spelling="clean" w:grammar="clean"/>
  <w:defaultTabStop w:val="720"/>
  <w:noPunctuationKerning/>
  <w:characterSpacingControl w:val="doNotCompress"/>
  <w:hdrShapeDefaults>
    <o:shapedefaults v:ext="edit" spidmax="4097">
      <o:colormenu v:ext="edit" fillcolor="non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DB1"/>
    <w:rsid w:val="00005314"/>
    <w:rsid w:val="00005B02"/>
    <w:rsid w:val="00011791"/>
    <w:rsid w:val="000117BA"/>
    <w:rsid w:val="0001304E"/>
    <w:rsid w:val="0001369A"/>
    <w:rsid w:val="00014089"/>
    <w:rsid w:val="000146CD"/>
    <w:rsid w:val="000159AC"/>
    <w:rsid w:val="00025435"/>
    <w:rsid w:val="00027BE5"/>
    <w:rsid w:val="000502A4"/>
    <w:rsid w:val="00052844"/>
    <w:rsid w:val="00053860"/>
    <w:rsid w:val="00056DCD"/>
    <w:rsid w:val="00064BA0"/>
    <w:rsid w:val="0006767D"/>
    <w:rsid w:val="00070285"/>
    <w:rsid w:val="00083510"/>
    <w:rsid w:val="0009050D"/>
    <w:rsid w:val="000936C9"/>
    <w:rsid w:val="000A2462"/>
    <w:rsid w:val="000A6A3B"/>
    <w:rsid w:val="000A77EA"/>
    <w:rsid w:val="000A7EE6"/>
    <w:rsid w:val="000B2E53"/>
    <w:rsid w:val="000B4B93"/>
    <w:rsid w:val="000C4EC0"/>
    <w:rsid w:val="000D3EAD"/>
    <w:rsid w:val="000D4EC6"/>
    <w:rsid w:val="000E30EE"/>
    <w:rsid w:val="000E7AD0"/>
    <w:rsid w:val="000E7E99"/>
    <w:rsid w:val="000F0DD1"/>
    <w:rsid w:val="000F633C"/>
    <w:rsid w:val="000F7B75"/>
    <w:rsid w:val="00103B58"/>
    <w:rsid w:val="00105E9A"/>
    <w:rsid w:val="00112071"/>
    <w:rsid w:val="00114AB9"/>
    <w:rsid w:val="00116AD3"/>
    <w:rsid w:val="00120700"/>
    <w:rsid w:val="00120940"/>
    <w:rsid w:val="00120B73"/>
    <w:rsid w:val="0012193C"/>
    <w:rsid w:val="00122D82"/>
    <w:rsid w:val="00133B44"/>
    <w:rsid w:val="00143A3D"/>
    <w:rsid w:val="00150F6C"/>
    <w:rsid w:val="00157835"/>
    <w:rsid w:val="00160B49"/>
    <w:rsid w:val="0016760A"/>
    <w:rsid w:val="00167A42"/>
    <w:rsid w:val="00172FE0"/>
    <w:rsid w:val="00190037"/>
    <w:rsid w:val="0019211C"/>
    <w:rsid w:val="001921EC"/>
    <w:rsid w:val="001966C9"/>
    <w:rsid w:val="001A3266"/>
    <w:rsid w:val="001A57A3"/>
    <w:rsid w:val="001B6396"/>
    <w:rsid w:val="001C19D6"/>
    <w:rsid w:val="001C35CC"/>
    <w:rsid w:val="001C3FC7"/>
    <w:rsid w:val="001D2314"/>
    <w:rsid w:val="001D3590"/>
    <w:rsid w:val="001D394D"/>
    <w:rsid w:val="001D4018"/>
    <w:rsid w:val="001D7E99"/>
    <w:rsid w:val="001E171A"/>
    <w:rsid w:val="001E2B0F"/>
    <w:rsid w:val="001E30BF"/>
    <w:rsid w:val="001E3D09"/>
    <w:rsid w:val="001E49F2"/>
    <w:rsid w:val="001F4CDE"/>
    <w:rsid w:val="0020084A"/>
    <w:rsid w:val="00203AD8"/>
    <w:rsid w:val="002041E1"/>
    <w:rsid w:val="00210BD4"/>
    <w:rsid w:val="0022154D"/>
    <w:rsid w:val="0022480B"/>
    <w:rsid w:val="00226735"/>
    <w:rsid w:val="002305C6"/>
    <w:rsid w:val="0023282E"/>
    <w:rsid w:val="0023795D"/>
    <w:rsid w:val="002435B8"/>
    <w:rsid w:val="002455C9"/>
    <w:rsid w:val="00253899"/>
    <w:rsid w:val="00261B01"/>
    <w:rsid w:val="00272C62"/>
    <w:rsid w:val="00275A08"/>
    <w:rsid w:val="002902F7"/>
    <w:rsid w:val="002923A5"/>
    <w:rsid w:val="002947BD"/>
    <w:rsid w:val="002A1294"/>
    <w:rsid w:val="002A524C"/>
    <w:rsid w:val="002A53D7"/>
    <w:rsid w:val="002A738C"/>
    <w:rsid w:val="002B0CFF"/>
    <w:rsid w:val="002B1D21"/>
    <w:rsid w:val="002B42DC"/>
    <w:rsid w:val="002B4A6B"/>
    <w:rsid w:val="002C370E"/>
    <w:rsid w:val="002D2C78"/>
    <w:rsid w:val="002D67EB"/>
    <w:rsid w:val="002E0456"/>
    <w:rsid w:val="002F2190"/>
    <w:rsid w:val="002F78EF"/>
    <w:rsid w:val="00303133"/>
    <w:rsid w:val="003034CF"/>
    <w:rsid w:val="00311C74"/>
    <w:rsid w:val="00317A14"/>
    <w:rsid w:val="00321AE2"/>
    <w:rsid w:val="003225A0"/>
    <w:rsid w:val="003249A3"/>
    <w:rsid w:val="00324CC6"/>
    <w:rsid w:val="003303AC"/>
    <w:rsid w:val="003332AE"/>
    <w:rsid w:val="003375E8"/>
    <w:rsid w:val="00344A74"/>
    <w:rsid w:val="00351CB1"/>
    <w:rsid w:val="0035383E"/>
    <w:rsid w:val="00360E1B"/>
    <w:rsid w:val="00362BC7"/>
    <w:rsid w:val="00372659"/>
    <w:rsid w:val="00375F96"/>
    <w:rsid w:val="003766C8"/>
    <w:rsid w:val="00381E77"/>
    <w:rsid w:val="00386870"/>
    <w:rsid w:val="00387619"/>
    <w:rsid w:val="00394BFF"/>
    <w:rsid w:val="003962FB"/>
    <w:rsid w:val="0039697C"/>
    <w:rsid w:val="003A1311"/>
    <w:rsid w:val="003A51E5"/>
    <w:rsid w:val="003A5C99"/>
    <w:rsid w:val="003B1940"/>
    <w:rsid w:val="003B1AC5"/>
    <w:rsid w:val="003B6A34"/>
    <w:rsid w:val="003C097C"/>
    <w:rsid w:val="003C12A2"/>
    <w:rsid w:val="003C1B03"/>
    <w:rsid w:val="003C2F4B"/>
    <w:rsid w:val="003C6C07"/>
    <w:rsid w:val="003D6895"/>
    <w:rsid w:val="003D6BA8"/>
    <w:rsid w:val="003D6C9E"/>
    <w:rsid w:val="003E0664"/>
    <w:rsid w:val="003E419D"/>
    <w:rsid w:val="003F79AC"/>
    <w:rsid w:val="0040387A"/>
    <w:rsid w:val="00406E4B"/>
    <w:rsid w:val="00410359"/>
    <w:rsid w:val="004149F4"/>
    <w:rsid w:val="004171E3"/>
    <w:rsid w:val="00417CBE"/>
    <w:rsid w:val="004213DA"/>
    <w:rsid w:val="004403DE"/>
    <w:rsid w:val="00442662"/>
    <w:rsid w:val="0044271D"/>
    <w:rsid w:val="00467D20"/>
    <w:rsid w:val="0047345C"/>
    <w:rsid w:val="00474821"/>
    <w:rsid w:val="004772BF"/>
    <w:rsid w:val="0048337F"/>
    <w:rsid w:val="00483AE6"/>
    <w:rsid w:val="00484032"/>
    <w:rsid w:val="00491EAB"/>
    <w:rsid w:val="004A4F04"/>
    <w:rsid w:val="004A6518"/>
    <w:rsid w:val="004A77E1"/>
    <w:rsid w:val="004A7EDB"/>
    <w:rsid w:val="004B3AE8"/>
    <w:rsid w:val="004B5DBE"/>
    <w:rsid w:val="004C6579"/>
    <w:rsid w:val="004C7B69"/>
    <w:rsid w:val="004D400A"/>
    <w:rsid w:val="004D7A5B"/>
    <w:rsid w:val="004E6DB1"/>
    <w:rsid w:val="004E7207"/>
    <w:rsid w:val="004F121D"/>
    <w:rsid w:val="004F3FC4"/>
    <w:rsid w:val="004F74F3"/>
    <w:rsid w:val="005163B9"/>
    <w:rsid w:val="00516A0C"/>
    <w:rsid w:val="005173E8"/>
    <w:rsid w:val="00524DA3"/>
    <w:rsid w:val="0053099D"/>
    <w:rsid w:val="0053682C"/>
    <w:rsid w:val="00536998"/>
    <w:rsid w:val="00540302"/>
    <w:rsid w:val="00543EA0"/>
    <w:rsid w:val="00547213"/>
    <w:rsid w:val="0056316A"/>
    <w:rsid w:val="00582614"/>
    <w:rsid w:val="00591846"/>
    <w:rsid w:val="00592BFB"/>
    <w:rsid w:val="0059396F"/>
    <w:rsid w:val="00596DD3"/>
    <w:rsid w:val="005A24E1"/>
    <w:rsid w:val="005A4BD1"/>
    <w:rsid w:val="005B0520"/>
    <w:rsid w:val="005B2B34"/>
    <w:rsid w:val="005B5344"/>
    <w:rsid w:val="005B5629"/>
    <w:rsid w:val="005C3483"/>
    <w:rsid w:val="005C3D38"/>
    <w:rsid w:val="005C4792"/>
    <w:rsid w:val="005C7C5F"/>
    <w:rsid w:val="005D636D"/>
    <w:rsid w:val="005E15A9"/>
    <w:rsid w:val="005F301C"/>
    <w:rsid w:val="005F3254"/>
    <w:rsid w:val="0061166D"/>
    <w:rsid w:val="00614E2E"/>
    <w:rsid w:val="006162BE"/>
    <w:rsid w:val="00622AC5"/>
    <w:rsid w:val="006234A1"/>
    <w:rsid w:val="00626C75"/>
    <w:rsid w:val="00627B18"/>
    <w:rsid w:val="006424B9"/>
    <w:rsid w:val="006469C2"/>
    <w:rsid w:val="00647DDF"/>
    <w:rsid w:val="00650F97"/>
    <w:rsid w:val="00655F61"/>
    <w:rsid w:val="00666B65"/>
    <w:rsid w:val="00670576"/>
    <w:rsid w:val="00677515"/>
    <w:rsid w:val="00677AE5"/>
    <w:rsid w:val="006842A6"/>
    <w:rsid w:val="00684D89"/>
    <w:rsid w:val="00686B04"/>
    <w:rsid w:val="00687DC4"/>
    <w:rsid w:val="00695543"/>
    <w:rsid w:val="00695E1C"/>
    <w:rsid w:val="00697C4C"/>
    <w:rsid w:val="006B0A1E"/>
    <w:rsid w:val="006B691D"/>
    <w:rsid w:val="006B7503"/>
    <w:rsid w:val="006B757B"/>
    <w:rsid w:val="006D1D7F"/>
    <w:rsid w:val="006D3FE9"/>
    <w:rsid w:val="006E3CA2"/>
    <w:rsid w:val="006E540B"/>
    <w:rsid w:val="006E584A"/>
    <w:rsid w:val="006F53C3"/>
    <w:rsid w:val="006F62CB"/>
    <w:rsid w:val="006F6D55"/>
    <w:rsid w:val="007053AC"/>
    <w:rsid w:val="00705E84"/>
    <w:rsid w:val="00706D07"/>
    <w:rsid w:val="007119BA"/>
    <w:rsid w:val="00716D79"/>
    <w:rsid w:val="007174AD"/>
    <w:rsid w:val="0072623D"/>
    <w:rsid w:val="00737FB6"/>
    <w:rsid w:val="00740B80"/>
    <w:rsid w:val="007444B8"/>
    <w:rsid w:val="007474EB"/>
    <w:rsid w:val="00752DC4"/>
    <w:rsid w:val="00753C97"/>
    <w:rsid w:val="00754E75"/>
    <w:rsid w:val="0075500D"/>
    <w:rsid w:val="00755887"/>
    <w:rsid w:val="007676FB"/>
    <w:rsid w:val="00770F33"/>
    <w:rsid w:val="00782BD1"/>
    <w:rsid w:val="00784AC2"/>
    <w:rsid w:val="007B3CE1"/>
    <w:rsid w:val="007B40AA"/>
    <w:rsid w:val="007B639B"/>
    <w:rsid w:val="007D31B8"/>
    <w:rsid w:val="007D76DB"/>
    <w:rsid w:val="007F318F"/>
    <w:rsid w:val="007F48A1"/>
    <w:rsid w:val="007F5399"/>
    <w:rsid w:val="007F5ADA"/>
    <w:rsid w:val="007F6043"/>
    <w:rsid w:val="007F630C"/>
    <w:rsid w:val="007F6F47"/>
    <w:rsid w:val="00807412"/>
    <w:rsid w:val="00807E6A"/>
    <w:rsid w:val="008130D2"/>
    <w:rsid w:val="0082293B"/>
    <w:rsid w:val="00824BFB"/>
    <w:rsid w:val="00825290"/>
    <w:rsid w:val="00826071"/>
    <w:rsid w:val="008345B4"/>
    <w:rsid w:val="00846E52"/>
    <w:rsid w:val="00847059"/>
    <w:rsid w:val="00855080"/>
    <w:rsid w:val="00864ED9"/>
    <w:rsid w:val="008663E4"/>
    <w:rsid w:val="00867168"/>
    <w:rsid w:val="008760D4"/>
    <w:rsid w:val="008837B1"/>
    <w:rsid w:val="00887873"/>
    <w:rsid w:val="00887CF4"/>
    <w:rsid w:val="008963BC"/>
    <w:rsid w:val="008A0284"/>
    <w:rsid w:val="008A21BB"/>
    <w:rsid w:val="008A36F3"/>
    <w:rsid w:val="008B25BC"/>
    <w:rsid w:val="008B5CA9"/>
    <w:rsid w:val="008C5FC4"/>
    <w:rsid w:val="008C6C80"/>
    <w:rsid w:val="008C7FBA"/>
    <w:rsid w:val="008D6F90"/>
    <w:rsid w:val="008E39E5"/>
    <w:rsid w:val="008E48DA"/>
    <w:rsid w:val="008F3E43"/>
    <w:rsid w:val="008F5E83"/>
    <w:rsid w:val="00903911"/>
    <w:rsid w:val="00911D03"/>
    <w:rsid w:val="00913F38"/>
    <w:rsid w:val="00914FCE"/>
    <w:rsid w:val="009150C7"/>
    <w:rsid w:val="00915334"/>
    <w:rsid w:val="00917BFB"/>
    <w:rsid w:val="0092067B"/>
    <w:rsid w:val="0092332A"/>
    <w:rsid w:val="00925A69"/>
    <w:rsid w:val="00925DF6"/>
    <w:rsid w:val="009310A3"/>
    <w:rsid w:val="009429F2"/>
    <w:rsid w:val="00944117"/>
    <w:rsid w:val="00945782"/>
    <w:rsid w:val="00947B2B"/>
    <w:rsid w:val="00952ED4"/>
    <w:rsid w:val="00975B31"/>
    <w:rsid w:val="00976D90"/>
    <w:rsid w:val="00983E53"/>
    <w:rsid w:val="0099595F"/>
    <w:rsid w:val="009A7E1A"/>
    <w:rsid w:val="009C1DFE"/>
    <w:rsid w:val="009E34B7"/>
    <w:rsid w:val="009E5B4D"/>
    <w:rsid w:val="009F0619"/>
    <w:rsid w:val="009F13A5"/>
    <w:rsid w:val="009F3D5F"/>
    <w:rsid w:val="009F5950"/>
    <w:rsid w:val="00A02938"/>
    <w:rsid w:val="00A02BEB"/>
    <w:rsid w:val="00A063B7"/>
    <w:rsid w:val="00A06FFD"/>
    <w:rsid w:val="00A124D6"/>
    <w:rsid w:val="00A14383"/>
    <w:rsid w:val="00A1535E"/>
    <w:rsid w:val="00A15947"/>
    <w:rsid w:val="00A178DE"/>
    <w:rsid w:val="00A26739"/>
    <w:rsid w:val="00A31029"/>
    <w:rsid w:val="00A31E58"/>
    <w:rsid w:val="00A352E1"/>
    <w:rsid w:val="00A35CC7"/>
    <w:rsid w:val="00A40D49"/>
    <w:rsid w:val="00A43F82"/>
    <w:rsid w:val="00A450BD"/>
    <w:rsid w:val="00A63BFB"/>
    <w:rsid w:val="00A63FD1"/>
    <w:rsid w:val="00A6740F"/>
    <w:rsid w:val="00A70CA8"/>
    <w:rsid w:val="00A74457"/>
    <w:rsid w:val="00A844B1"/>
    <w:rsid w:val="00A85D84"/>
    <w:rsid w:val="00A86A0D"/>
    <w:rsid w:val="00A91945"/>
    <w:rsid w:val="00A97EE1"/>
    <w:rsid w:val="00AA0F9C"/>
    <w:rsid w:val="00AA71BC"/>
    <w:rsid w:val="00AB1745"/>
    <w:rsid w:val="00AB4ACE"/>
    <w:rsid w:val="00AB4DA8"/>
    <w:rsid w:val="00AF1297"/>
    <w:rsid w:val="00B01A88"/>
    <w:rsid w:val="00B01C3D"/>
    <w:rsid w:val="00B138A3"/>
    <w:rsid w:val="00B142B2"/>
    <w:rsid w:val="00B15D05"/>
    <w:rsid w:val="00B17222"/>
    <w:rsid w:val="00B17429"/>
    <w:rsid w:val="00B17F43"/>
    <w:rsid w:val="00B22675"/>
    <w:rsid w:val="00B23B5B"/>
    <w:rsid w:val="00B26C8B"/>
    <w:rsid w:val="00B4049D"/>
    <w:rsid w:val="00B43588"/>
    <w:rsid w:val="00B44BCD"/>
    <w:rsid w:val="00B56549"/>
    <w:rsid w:val="00B62778"/>
    <w:rsid w:val="00B70185"/>
    <w:rsid w:val="00B720F5"/>
    <w:rsid w:val="00B73891"/>
    <w:rsid w:val="00B743AB"/>
    <w:rsid w:val="00B87D1F"/>
    <w:rsid w:val="00BA49F2"/>
    <w:rsid w:val="00BB0D68"/>
    <w:rsid w:val="00BB3CB7"/>
    <w:rsid w:val="00BC3A54"/>
    <w:rsid w:val="00BC43D3"/>
    <w:rsid w:val="00BC66B2"/>
    <w:rsid w:val="00BC6A57"/>
    <w:rsid w:val="00BC7C01"/>
    <w:rsid w:val="00BD04DF"/>
    <w:rsid w:val="00BD1FE2"/>
    <w:rsid w:val="00BD5B9C"/>
    <w:rsid w:val="00BE439A"/>
    <w:rsid w:val="00BE6375"/>
    <w:rsid w:val="00BE734F"/>
    <w:rsid w:val="00BF1F80"/>
    <w:rsid w:val="00BF64F6"/>
    <w:rsid w:val="00BF6BD7"/>
    <w:rsid w:val="00C00103"/>
    <w:rsid w:val="00C03334"/>
    <w:rsid w:val="00C03404"/>
    <w:rsid w:val="00C03A53"/>
    <w:rsid w:val="00C12EC5"/>
    <w:rsid w:val="00C17DEB"/>
    <w:rsid w:val="00C210C6"/>
    <w:rsid w:val="00C24F1E"/>
    <w:rsid w:val="00C27785"/>
    <w:rsid w:val="00C30823"/>
    <w:rsid w:val="00C3409D"/>
    <w:rsid w:val="00C44373"/>
    <w:rsid w:val="00C47EE4"/>
    <w:rsid w:val="00C5592D"/>
    <w:rsid w:val="00C63A5F"/>
    <w:rsid w:val="00C700B0"/>
    <w:rsid w:val="00C80076"/>
    <w:rsid w:val="00C81158"/>
    <w:rsid w:val="00C836E4"/>
    <w:rsid w:val="00C84BEF"/>
    <w:rsid w:val="00C84D94"/>
    <w:rsid w:val="00C90654"/>
    <w:rsid w:val="00C9176F"/>
    <w:rsid w:val="00C9438C"/>
    <w:rsid w:val="00C945F5"/>
    <w:rsid w:val="00CA1228"/>
    <w:rsid w:val="00CA67F9"/>
    <w:rsid w:val="00CB738F"/>
    <w:rsid w:val="00CC7B93"/>
    <w:rsid w:val="00CD243C"/>
    <w:rsid w:val="00CD3250"/>
    <w:rsid w:val="00CE447E"/>
    <w:rsid w:val="00CE7708"/>
    <w:rsid w:val="00CF0CE7"/>
    <w:rsid w:val="00CF3598"/>
    <w:rsid w:val="00D01E8D"/>
    <w:rsid w:val="00D01FA0"/>
    <w:rsid w:val="00D03DA8"/>
    <w:rsid w:val="00D04453"/>
    <w:rsid w:val="00D131BA"/>
    <w:rsid w:val="00D32223"/>
    <w:rsid w:val="00D64185"/>
    <w:rsid w:val="00D64C5C"/>
    <w:rsid w:val="00D67D2E"/>
    <w:rsid w:val="00D915D5"/>
    <w:rsid w:val="00D91CD8"/>
    <w:rsid w:val="00DA4A02"/>
    <w:rsid w:val="00DB3EDD"/>
    <w:rsid w:val="00DB72BA"/>
    <w:rsid w:val="00DC40FA"/>
    <w:rsid w:val="00DC4536"/>
    <w:rsid w:val="00DD240E"/>
    <w:rsid w:val="00DE08D0"/>
    <w:rsid w:val="00DF05E7"/>
    <w:rsid w:val="00DF1D45"/>
    <w:rsid w:val="00DF2CD8"/>
    <w:rsid w:val="00DF35F7"/>
    <w:rsid w:val="00E00573"/>
    <w:rsid w:val="00E00DE3"/>
    <w:rsid w:val="00E04F0A"/>
    <w:rsid w:val="00E10E0B"/>
    <w:rsid w:val="00E12065"/>
    <w:rsid w:val="00E1225D"/>
    <w:rsid w:val="00E20E40"/>
    <w:rsid w:val="00E2137A"/>
    <w:rsid w:val="00E3666C"/>
    <w:rsid w:val="00E36754"/>
    <w:rsid w:val="00E46FCC"/>
    <w:rsid w:val="00E60418"/>
    <w:rsid w:val="00E64217"/>
    <w:rsid w:val="00E65152"/>
    <w:rsid w:val="00E6577D"/>
    <w:rsid w:val="00E66FC2"/>
    <w:rsid w:val="00E713F5"/>
    <w:rsid w:val="00E715B9"/>
    <w:rsid w:val="00E73C26"/>
    <w:rsid w:val="00E777E7"/>
    <w:rsid w:val="00E877FF"/>
    <w:rsid w:val="00E90999"/>
    <w:rsid w:val="00E91759"/>
    <w:rsid w:val="00E92D23"/>
    <w:rsid w:val="00E9729A"/>
    <w:rsid w:val="00E97EA0"/>
    <w:rsid w:val="00EA253E"/>
    <w:rsid w:val="00EA7EF1"/>
    <w:rsid w:val="00EB655B"/>
    <w:rsid w:val="00EB7BAD"/>
    <w:rsid w:val="00EC3474"/>
    <w:rsid w:val="00EC7B79"/>
    <w:rsid w:val="00ED725F"/>
    <w:rsid w:val="00EE315E"/>
    <w:rsid w:val="00EE556A"/>
    <w:rsid w:val="00EE7E32"/>
    <w:rsid w:val="00EF4D7C"/>
    <w:rsid w:val="00F00397"/>
    <w:rsid w:val="00F030A2"/>
    <w:rsid w:val="00F111C5"/>
    <w:rsid w:val="00F268FC"/>
    <w:rsid w:val="00F270D2"/>
    <w:rsid w:val="00F4311F"/>
    <w:rsid w:val="00F43D4C"/>
    <w:rsid w:val="00F46D07"/>
    <w:rsid w:val="00F516DF"/>
    <w:rsid w:val="00F51952"/>
    <w:rsid w:val="00F67130"/>
    <w:rsid w:val="00F73000"/>
    <w:rsid w:val="00F74845"/>
    <w:rsid w:val="00F80499"/>
    <w:rsid w:val="00F8073A"/>
    <w:rsid w:val="00F84605"/>
    <w:rsid w:val="00F90765"/>
    <w:rsid w:val="00F9249F"/>
    <w:rsid w:val="00F92C3B"/>
    <w:rsid w:val="00F9524D"/>
    <w:rsid w:val="00F95CA7"/>
    <w:rsid w:val="00FA10D0"/>
    <w:rsid w:val="00FA6E94"/>
    <w:rsid w:val="00FA71B8"/>
    <w:rsid w:val="00FB6763"/>
    <w:rsid w:val="00FB6801"/>
    <w:rsid w:val="00FC3B61"/>
    <w:rsid w:val="00FC551D"/>
    <w:rsid w:val="00FD20F1"/>
    <w:rsid w:val="00FD470A"/>
    <w:rsid w:val="00FD61AC"/>
    <w:rsid w:val="00FE61DC"/>
    <w:rsid w:val="00FE707B"/>
    <w:rsid w:val="00FF281F"/>
    <w:rsid w:val="00FF52E9"/>
    <w:rsid w:val="00FF561E"/>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enu v:ext="edit" fillcolor="none"/>
    </o:shapedefaults>
    <o:shapelayout v:ext="edit">
      <o:idmap v:ext="edit" data="1"/>
    </o:shapelayout>
  </w:shapeDefaults>
  <w:decimalSymbol w:val="."/>
  <w:listSeparator w:val=","/>
  <w14:docId w14:val="4E49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footer" w:uiPriority="99"/>
  </w:latentStyles>
  <w:style w:type="paragraph" w:default="1" w:styleId="Normal">
    <w:name w:val="Normal"/>
    <w:qFormat/>
    <w:rsid w:val="004E6DB1"/>
    <w:rPr>
      <w:lang w:eastAsia="en-US"/>
    </w:rPr>
  </w:style>
  <w:style w:type="paragraph" w:styleId="Heading1">
    <w:name w:val="heading 1"/>
    <w:basedOn w:val="Normal"/>
    <w:next w:val="Normal"/>
    <w:link w:val="Heading1Char"/>
    <w:qFormat/>
    <w:rsid w:val="00FB6763"/>
    <w:pPr>
      <w:keepNext/>
      <w:keepLines/>
      <w:spacing w:after="240"/>
      <w:outlineLvl w:val="0"/>
    </w:pPr>
    <w:rPr>
      <w:rFonts w:ascii="Arial" w:eastAsiaTheme="majorEastAsia" w:hAnsi="Arial" w:cstheme="majorBidi"/>
      <w:b/>
      <w:bCs/>
      <w:color w:val="345A8A" w:themeColor="accent1" w:themeShade="B5"/>
      <w:sz w:val="40"/>
      <w:szCs w:val="32"/>
    </w:rPr>
  </w:style>
  <w:style w:type="paragraph" w:styleId="Heading2">
    <w:name w:val="heading 2"/>
    <w:basedOn w:val="Normal"/>
    <w:link w:val="Heading2Char"/>
    <w:uiPriority w:val="9"/>
    <w:qFormat/>
    <w:rsid w:val="00FB6763"/>
    <w:pPr>
      <w:spacing w:before="480" w:after="120"/>
      <w:outlineLvl w:val="1"/>
    </w:pPr>
    <w:rPr>
      <w:rFonts w:ascii="Arial" w:hAnsi="Arial"/>
      <w:b/>
      <w:bCs/>
      <w:color w:val="365F91" w:themeColor="accent1" w:themeShade="BF"/>
      <w:sz w:val="28"/>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DB1"/>
    <w:pPr>
      <w:numPr>
        <w:numId w:val="13"/>
      </w:numPr>
      <w:contextualSpacing/>
    </w:pPr>
  </w:style>
  <w:style w:type="paragraph" w:styleId="FootnoteText">
    <w:name w:val="footnote text"/>
    <w:basedOn w:val="Normal"/>
    <w:link w:val="FootnoteTextChar"/>
    <w:rsid w:val="004E6DB1"/>
    <w:rPr>
      <w:sz w:val="20"/>
      <w:szCs w:val="20"/>
    </w:rPr>
  </w:style>
  <w:style w:type="character" w:customStyle="1" w:styleId="FootnoteTextChar">
    <w:name w:val="Footnote Text Char"/>
    <w:basedOn w:val="DefaultParagraphFont"/>
    <w:link w:val="FootnoteText"/>
    <w:rsid w:val="004E6DB1"/>
    <w:rPr>
      <w:lang w:eastAsia="en-US"/>
    </w:rPr>
  </w:style>
  <w:style w:type="character" w:styleId="FootnoteReference">
    <w:name w:val="footnote reference"/>
    <w:basedOn w:val="DefaultParagraphFont"/>
    <w:rsid w:val="004E6DB1"/>
    <w:rPr>
      <w:vertAlign w:val="superscript"/>
    </w:rPr>
  </w:style>
  <w:style w:type="paragraph" w:styleId="Header">
    <w:name w:val="header"/>
    <w:basedOn w:val="Normal"/>
    <w:link w:val="HeaderChar"/>
    <w:uiPriority w:val="99"/>
    <w:rsid w:val="004E6DB1"/>
    <w:pPr>
      <w:tabs>
        <w:tab w:val="center" w:pos="4513"/>
        <w:tab w:val="right" w:pos="9026"/>
      </w:tabs>
    </w:pPr>
  </w:style>
  <w:style w:type="character" w:customStyle="1" w:styleId="HeaderChar">
    <w:name w:val="Header Char"/>
    <w:basedOn w:val="DefaultParagraphFont"/>
    <w:link w:val="Header"/>
    <w:uiPriority w:val="99"/>
    <w:rsid w:val="004E6DB1"/>
    <w:rPr>
      <w:sz w:val="24"/>
      <w:szCs w:val="24"/>
      <w:lang w:eastAsia="en-US"/>
    </w:rPr>
  </w:style>
  <w:style w:type="paragraph" w:styleId="Footer">
    <w:name w:val="footer"/>
    <w:basedOn w:val="Normal"/>
    <w:link w:val="FooterChar"/>
    <w:uiPriority w:val="99"/>
    <w:rsid w:val="004E6DB1"/>
    <w:pPr>
      <w:tabs>
        <w:tab w:val="center" w:pos="4513"/>
        <w:tab w:val="right" w:pos="9026"/>
      </w:tabs>
    </w:pPr>
  </w:style>
  <w:style w:type="character" w:customStyle="1" w:styleId="FooterChar">
    <w:name w:val="Footer Char"/>
    <w:basedOn w:val="DefaultParagraphFont"/>
    <w:link w:val="Footer"/>
    <w:uiPriority w:val="99"/>
    <w:rsid w:val="004E6DB1"/>
    <w:rPr>
      <w:sz w:val="24"/>
      <w:szCs w:val="24"/>
      <w:lang w:eastAsia="en-US"/>
    </w:rPr>
  </w:style>
  <w:style w:type="paragraph" w:styleId="BalloonText">
    <w:name w:val="Balloon Text"/>
    <w:basedOn w:val="Normal"/>
    <w:link w:val="BalloonTextChar"/>
    <w:rsid w:val="004E6DB1"/>
    <w:rPr>
      <w:rFonts w:ascii="Tahoma" w:hAnsi="Tahoma" w:cs="Tahoma"/>
      <w:sz w:val="16"/>
      <w:szCs w:val="16"/>
    </w:rPr>
  </w:style>
  <w:style w:type="character" w:customStyle="1" w:styleId="BalloonTextChar">
    <w:name w:val="Balloon Text Char"/>
    <w:basedOn w:val="DefaultParagraphFont"/>
    <w:link w:val="BalloonText"/>
    <w:rsid w:val="004E6DB1"/>
    <w:rPr>
      <w:rFonts w:ascii="Tahoma" w:hAnsi="Tahoma" w:cs="Tahoma"/>
      <w:sz w:val="16"/>
      <w:szCs w:val="16"/>
      <w:lang w:eastAsia="en-US"/>
    </w:rPr>
  </w:style>
  <w:style w:type="character" w:styleId="CommentReference">
    <w:name w:val="annotation reference"/>
    <w:basedOn w:val="DefaultParagraphFont"/>
    <w:rsid w:val="004E6DB1"/>
    <w:rPr>
      <w:sz w:val="16"/>
      <w:szCs w:val="16"/>
    </w:rPr>
  </w:style>
  <w:style w:type="paragraph" w:styleId="CommentText">
    <w:name w:val="annotation text"/>
    <w:basedOn w:val="Normal"/>
    <w:link w:val="CommentTextChar"/>
    <w:rsid w:val="004E6DB1"/>
    <w:rPr>
      <w:sz w:val="20"/>
      <w:szCs w:val="20"/>
    </w:rPr>
  </w:style>
  <w:style w:type="character" w:customStyle="1" w:styleId="CommentTextChar">
    <w:name w:val="Comment Text Char"/>
    <w:basedOn w:val="DefaultParagraphFont"/>
    <w:link w:val="CommentText"/>
    <w:rsid w:val="004E6DB1"/>
    <w:rPr>
      <w:lang w:eastAsia="en-US"/>
    </w:rPr>
  </w:style>
  <w:style w:type="paragraph" w:styleId="CommentSubject">
    <w:name w:val="annotation subject"/>
    <w:basedOn w:val="CommentText"/>
    <w:next w:val="CommentText"/>
    <w:link w:val="CommentSubjectChar"/>
    <w:rsid w:val="004E6DB1"/>
    <w:rPr>
      <w:b/>
      <w:bCs/>
    </w:rPr>
  </w:style>
  <w:style w:type="character" w:customStyle="1" w:styleId="CommentSubjectChar">
    <w:name w:val="Comment Subject Char"/>
    <w:basedOn w:val="CommentTextChar"/>
    <w:link w:val="CommentSubject"/>
    <w:rsid w:val="004E6DB1"/>
    <w:rPr>
      <w:b/>
      <w:bCs/>
      <w:lang w:eastAsia="en-US"/>
    </w:rPr>
  </w:style>
  <w:style w:type="paragraph" w:styleId="Caption">
    <w:name w:val="caption"/>
    <w:basedOn w:val="Normal"/>
    <w:next w:val="Normal"/>
    <w:semiHidden/>
    <w:unhideWhenUsed/>
    <w:qFormat/>
    <w:rsid w:val="004E6DB1"/>
    <w:pPr>
      <w:spacing w:after="200"/>
    </w:pPr>
    <w:rPr>
      <w:b/>
      <w:bCs/>
      <w:color w:val="4F81BD" w:themeColor="accent1"/>
      <w:sz w:val="18"/>
      <w:szCs w:val="18"/>
    </w:rPr>
  </w:style>
  <w:style w:type="table" w:styleId="TableGrid">
    <w:name w:val="Table Grid"/>
    <w:basedOn w:val="TableNormal"/>
    <w:rsid w:val="004E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DB1"/>
    <w:rPr>
      <w:color w:val="0000FF" w:themeColor="hyperlink"/>
      <w:u w:val="single"/>
    </w:rPr>
  </w:style>
  <w:style w:type="paragraph" w:styleId="Revision">
    <w:name w:val="Revision"/>
    <w:hidden/>
    <w:uiPriority w:val="99"/>
    <w:semiHidden/>
    <w:rsid w:val="004E6DB1"/>
    <w:rPr>
      <w:lang w:eastAsia="en-US"/>
    </w:rPr>
  </w:style>
  <w:style w:type="character" w:customStyle="1" w:styleId="Heading2Char">
    <w:name w:val="Heading 2 Char"/>
    <w:basedOn w:val="DefaultParagraphFont"/>
    <w:link w:val="Heading2"/>
    <w:uiPriority w:val="9"/>
    <w:rsid w:val="00FB6763"/>
    <w:rPr>
      <w:rFonts w:ascii="Arial" w:hAnsi="Arial"/>
      <w:b/>
      <w:bCs/>
      <w:color w:val="365F91" w:themeColor="accent1" w:themeShade="BF"/>
      <w:sz w:val="28"/>
      <w:szCs w:val="36"/>
    </w:rPr>
  </w:style>
  <w:style w:type="paragraph" w:customStyle="1" w:styleId="specialissue">
    <w:name w:val="specialissue"/>
    <w:basedOn w:val="Normal"/>
    <w:rsid w:val="008F5E83"/>
    <w:pPr>
      <w:spacing w:before="100" w:beforeAutospacing="1" w:after="100" w:afterAutospacing="1"/>
    </w:pPr>
    <w:rPr>
      <w:lang w:eastAsia="en-AU"/>
    </w:rPr>
  </w:style>
  <w:style w:type="paragraph" w:customStyle="1" w:styleId="articledetails">
    <w:name w:val="articledetails"/>
    <w:basedOn w:val="Normal"/>
    <w:rsid w:val="008F5E83"/>
    <w:pPr>
      <w:spacing w:before="100" w:beforeAutospacing="1" w:after="100" w:afterAutospacing="1"/>
    </w:pPr>
    <w:rPr>
      <w:lang w:eastAsia="en-AU"/>
    </w:rPr>
  </w:style>
  <w:style w:type="paragraph" w:customStyle="1" w:styleId="Default">
    <w:name w:val="Default"/>
    <w:rsid w:val="00582614"/>
    <w:pPr>
      <w:widowControl w:val="0"/>
      <w:autoSpaceDE w:val="0"/>
      <w:autoSpaceDN w:val="0"/>
      <w:adjustRightInd w:val="0"/>
    </w:pPr>
    <w:rPr>
      <w:rFonts w:eastAsiaTheme="minorEastAsia"/>
      <w:color w:val="000000"/>
      <w:lang w:val="en-US" w:eastAsia="en-US"/>
    </w:rPr>
  </w:style>
  <w:style w:type="paragraph" w:styleId="NormalWeb">
    <w:name w:val="Normal (Web)"/>
    <w:basedOn w:val="Normal"/>
    <w:uiPriority w:val="99"/>
    <w:unhideWhenUsed/>
    <w:rsid w:val="003D6BA8"/>
    <w:pPr>
      <w:spacing w:before="100" w:beforeAutospacing="1" w:after="100" w:afterAutospacing="1"/>
    </w:pPr>
    <w:rPr>
      <w:rFonts w:eastAsiaTheme="minorEastAsia"/>
      <w:lang w:eastAsia="en-AU"/>
    </w:rPr>
  </w:style>
  <w:style w:type="paragraph" w:styleId="Title">
    <w:name w:val="Title"/>
    <w:basedOn w:val="Normal"/>
    <w:next w:val="Normal"/>
    <w:link w:val="TitleChar"/>
    <w:uiPriority w:val="10"/>
    <w:qFormat/>
    <w:rsid w:val="00FB6763"/>
    <w:pPr>
      <w:spacing w:after="300"/>
      <w:contextualSpacing/>
    </w:pPr>
    <w:rPr>
      <w:rFonts w:ascii="Arial" w:eastAsiaTheme="majorEastAsia" w:hAnsi="Arial"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FB6763"/>
    <w:rPr>
      <w:rFonts w:ascii="Arial" w:eastAsiaTheme="majorEastAsia" w:hAnsi="Arial" w:cstheme="majorBidi"/>
      <w:b/>
      <w:color w:val="17365D" w:themeColor="text2" w:themeShade="BF"/>
      <w:spacing w:val="5"/>
      <w:kern w:val="28"/>
      <w:sz w:val="52"/>
      <w:szCs w:val="52"/>
      <w:lang w:eastAsia="en-US"/>
    </w:rPr>
  </w:style>
  <w:style w:type="paragraph" w:customStyle="1" w:styleId="04BODYTEXT">
    <w:name w:val="04. BODY TEXT"/>
    <w:basedOn w:val="Normal"/>
    <w:uiPriority w:val="99"/>
    <w:rsid w:val="00FB6763"/>
    <w:pPr>
      <w:widowControl w:val="0"/>
      <w:suppressAutoHyphens/>
      <w:autoSpaceDE w:val="0"/>
      <w:autoSpaceDN w:val="0"/>
      <w:adjustRightInd w:val="0"/>
      <w:spacing w:after="160" w:line="280" w:lineRule="atLeast"/>
      <w:textAlignment w:val="center"/>
    </w:pPr>
    <w:rPr>
      <w:rFonts w:ascii="Arial" w:eastAsiaTheme="minorEastAsia" w:hAnsi="Arial" w:cs="Times-Roman"/>
      <w:bCs/>
      <w:iCs/>
      <w:color w:val="000000"/>
      <w:sz w:val="20"/>
      <w:szCs w:val="19"/>
      <w:lang w:val="en-GB" w:eastAsia="ja-JP"/>
    </w:rPr>
  </w:style>
  <w:style w:type="paragraph" w:customStyle="1" w:styleId="03HEADING3">
    <w:name w:val="03. HEADING 3"/>
    <w:basedOn w:val="Normal"/>
    <w:uiPriority w:val="99"/>
    <w:rsid w:val="00FB6763"/>
    <w:pPr>
      <w:widowControl w:val="0"/>
      <w:autoSpaceDE w:val="0"/>
      <w:autoSpaceDN w:val="0"/>
      <w:adjustRightInd w:val="0"/>
      <w:spacing w:before="360" w:after="60" w:line="288" w:lineRule="auto"/>
      <w:textAlignment w:val="center"/>
    </w:pPr>
    <w:rPr>
      <w:rFonts w:ascii="Arial" w:eastAsiaTheme="minorEastAsia" w:hAnsi="Arial" w:cs="HelveticaNeue-BoldCondObl"/>
      <w:b/>
      <w:bCs/>
      <w:iCs/>
      <w:color w:val="365F91" w:themeColor="accent1" w:themeShade="BF"/>
      <w:szCs w:val="22"/>
      <w:lang w:val="en-GB" w:eastAsia="ja-JP"/>
    </w:rPr>
  </w:style>
  <w:style w:type="character" w:styleId="Emphasis">
    <w:name w:val="Emphasis"/>
    <w:basedOn w:val="DefaultParagraphFont"/>
    <w:qFormat/>
    <w:rsid w:val="00F92C3B"/>
    <w:rPr>
      <w:i/>
      <w:iCs/>
    </w:rPr>
  </w:style>
  <w:style w:type="character" w:customStyle="1" w:styleId="Heading1Char">
    <w:name w:val="Heading 1 Char"/>
    <w:basedOn w:val="DefaultParagraphFont"/>
    <w:link w:val="Heading1"/>
    <w:rsid w:val="00FB6763"/>
    <w:rPr>
      <w:rFonts w:ascii="Arial" w:eastAsiaTheme="majorEastAsia" w:hAnsi="Arial" w:cstheme="majorBidi"/>
      <w:b/>
      <w:bCs/>
      <w:color w:val="345A8A" w:themeColor="accent1" w:themeShade="B5"/>
      <w:sz w:val="40"/>
      <w:szCs w:val="32"/>
      <w:lang w:eastAsia="en-US"/>
    </w:rPr>
  </w:style>
  <w:style w:type="paragraph" w:customStyle="1" w:styleId="Figurehead">
    <w:name w:val="Figure head"/>
    <w:basedOn w:val="Normal"/>
    <w:qFormat/>
    <w:rsid w:val="00DB3EDD"/>
    <w:pPr>
      <w:spacing w:after="120"/>
    </w:pPr>
    <w:rPr>
      <w:rFonts w:asciiTheme="minorHAnsi" w:hAnsiTheme="minorHAnsi" w:cstheme="minorHAnsi"/>
      <w:b/>
      <w:sz w:val="20"/>
    </w:rPr>
  </w:style>
  <w:style w:type="paragraph" w:customStyle="1" w:styleId="Footnotes">
    <w:name w:val="Footnotes"/>
    <w:basedOn w:val="FootnoteText"/>
    <w:qFormat/>
    <w:rsid w:val="00CD243C"/>
    <w:rPr>
      <w:rFonts w:asciiTheme="minorHAnsi" w:hAnsiTheme="minorHAnsi" w:cstheme="minorHAnsi"/>
      <w:sz w:val="16"/>
      <w:szCs w:val="16"/>
    </w:rPr>
  </w:style>
  <w:style w:type="paragraph" w:customStyle="1" w:styleId="Boxtext">
    <w:name w:val="Box text"/>
    <w:basedOn w:val="Normal"/>
    <w:qFormat/>
    <w:rsid w:val="00FB6763"/>
    <w:pPr>
      <w:pBdr>
        <w:top w:val="single" w:sz="4" w:space="4" w:color="auto"/>
        <w:left w:val="single" w:sz="4" w:space="4" w:color="auto"/>
        <w:bottom w:val="single" w:sz="4" w:space="4" w:color="auto"/>
        <w:right w:val="single" w:sz="4" w:space="4" w:color="auto"/>
      </w:pBdr>
      <w:shd w:val="clear" w:color="auto" w:fill="DBE5F1" w:themeFill="accent1" w:themeFillTint="33"/>
      <w:spacing w:after="240"/>
    </w:pPr>
    <w:rPr>
      <w:rFonts w:asciiTheme="minorHAnsi" w:hAnsiTheme="minorHAnsi" w:cstheme="minorHAnsi"/>
      <w:sz w:val="20"/>
    </w:rPr>
  </w:style>
  <w:style w:type="paragraph" w:customStyle="1" w:styleId="Boxhead">
    <w:name w:val="Box head"/>
    <w:basedOn w:val="Normal"/>
    <w:qFormat/>
    <w:rsid w:val="00807E6A"/>
    <w:pPr>
      <w:shd w:val="clear" w:color="auto" w:fill="DBE5F1" w:themeFill="accent1" w:themeFillTint="33"/>
    </w:pPr>
    <w:rPr>
      <w:rFonts w:asciiTheme="minorHAnsi" w:hAnsiTheme="minorHAnsi" w:cstheme="minorHAnsi"/>
      <w:b/>
    </w:rPr>
  </w:style>
  <w:style w:type="paragraph" w:customStyle="1" w:styleId="bullets">
    <w:name w:val="bullets"/>
    <w:basedOn w:val="04BODYTEXT"/>
    <w:qFormat/>
    <w:rsid w:val="00E3666C"/>
    <w:pPr>
      <w:numPr>
        <w:numId w:val="27"/>
      </w:numPr>
      <w:spacing w:before="60" w:after="60"/>
      <w:ind w:left="357" w:hanging="357"/>
    </w:pPr>
  </w:style>
  <w:style w:type="paragraph" w:customStyle="1" w:styleId="Boxhead2">
    <w:name w:val="Box head 2"/>
    <w:basedOn w:val="Boxtext"/>
    <w:qFormat/>
    <w:rsid w:val="00592BFB"/>
    <w:pPr>
      <w:spacing w:after="120"/>
    </w:pPr>
    <w:rPr>
      <w:b/>
    </w:rPr>
  </w:style>
  <w:style w:type="paragraph" w:styleId="BodyText">
    <w:name w:val="Body Text"/>
    <w:basedOn w:val="Normal"/>
    <w:link w:val="BodyTextChar"/>
    <w:rsid w:val="007053AC"/>
    <w:pPr>
      <w:spacing w:after="120"/>
    </w:pPr>
  </w:style>
  <w:style w:type="character" w:customStyle="1" w:styleId="BodyTextChar">
    <w:name w:val="Body Text Char"/>
    <w:basedOn w:val="DefaultParagraphFont"/>
    <w:link w:val="BodyText"/>
    <w:rsid w:val="007053AC"/>
    <w:rPr>
      <w:lang w:eastAsia="en-US"/>
    </w:rPr>
  </w:style>
  <w:style w:type="paragraph" w:customStyle="1" w:styleId="tabletext">
    <w:name w:val="table text"/>
    <w:basedOn w:val="04BODYTEXT"/>
    <w:qFormat/>
    <w:rsid w:val="00014089"/>
    <w:pPr>
      <w:spacing w:line="240" w:lineRule="atLeast"/>
    </w:pPr>
    <w:rPr>
      <w:sz w:val="18"/>
      <w:szCs w:val="18"/>
    </w:rPr>
  </w:style>
  <w:style w:type="paragraph" w:customStyle="1" w:styleId="tableheader">
    <w:name w:val="table header"/>
    <w:basedOn w:val="04BODYTEXT"/>
    <w:qFormat/>
    <w:rsid w:val="00014089"/>
    <w:rPr>
      <w:b/>
      <w:sz w:val="18"/>
      <w:szCs w:val="18"/>
    </w:rPr>
  </w:style>
  <w:style w:type="character" w:styleId="PageNumber">
    <w:name w:val="page number"/>
    <w:basedOn w:val="DefaultParagraphFont"/>
    <w:rsid w:val="00A31029"/>
  </w:style>
  <w:style w:type="paragraph" w:styleId="TOC1">
    <w:name w:val="toc 1"/>
    <w:basedOn w:val="Normal"/>
    <w:next w:val="Normal"/>
    <w:autoRedefine/>
    <w:uiPriority w:val="39"/>
    <w:rsid w:val="007D76DB"/>
    <w:pPr>
      <w:spacing w:after="240"/>
    </w:pPr>
    <w:rPr>
      <w:rFonts w:ascii="Arial" w:hAnsi="Arial"/>
    </w:rPr>
  </w:style>
  <w:style w:type="paragraph" w:styleId="TOC2">
    <w:name w:val="toc 2"/>
    <w:basedOn w:val="Normal"/>
    <w:next w:val="Normal"/>
    <w:autoRedefine/>
    <w:uiPriority w:val="39"/>
    <w:rsid w:val="007D76DB"/>
    <w:pPr>
      <w:ind w:left="240"/>
    </w:pPr>
  </w:style>
  <w:style w:type="paragraph" w:styleId="TOC3">
    <w:name w:val="toc 3"/>
    <w:basedOn w:val="Normal"/>
    <w:next w:val="Normal"/>
    <w:autoRedefine/>
    <w:rsid w:val="007D76DB"/>
    <w:pPr>
      <w:ind w:left="480"/>
    </w:pPr>
  </w:style>
  <w:style w:type="paragraph" w:styleId="TOC4">
    <w:name w:val="toc 4"/>
    <w:basedOn w:val="Normal"/>
    <w:next w:val="Normal"/>
    <w:autoRedefine/>
    <w:rsid w:val="007D76DB"/>
    <w:pPr>
      <w:ind w:left="720"/>
    </w:pPr>
  </w:style>
  <w:style w:type="paragraph" w:styleId="TOC5">
    <w:name w:val="toc 5"/>
    <w:basedOn w:val="Normal"/>
    <w:next w:val="Normal"/>
    <w:autoRedefine/>
    <w:rsid w:val="007D76DB"/>
    <w:pPr>
      <w:ind w:left="960"/>
    </w:pPr>
  </w:style>
  <w:style w:type="paragraph" w:styleId="TOC6">
    <w:name w:val="toc 6"/>
    <w:basedOn w:val="Normal"/>
    <w:next w:val="Normal"/>
    <w:autoRedefine/>
    <w:rsid w:val="007D76DB"/>
    <w:pPr>
      <w:ind w:left="1200"/>
    </w:pPr>
  </w:style>
  <w:style w:type="paragraph" w:styleId="TOC7">
    <w:name w:val="toc 7"/>
    <w:basedOn w:val="Normal"/>
    <w:next w:val="Normal"/>
    <w:autoRedefine/>
    <w:rsid w:val="007D76DB"/>
    <w:pPr>
      <w:ind w:left="1440"/>
    </w:pPr>
  </w:style>
  <w:style w:type="paragraph" w:styleId="TOC8">
    <w:name w:val="toc 8"/>
    <w:basedOn w:val="Normal"/>
    <w:next w:val="Normal"/>
    <w:autoRedefine/>
    <w:rsid w:val="007D76DB"/>
    <w:pPr>
      <w:ind w:left="1680"/>
    </w:pPr>
  </w:style>
  <w:style w:type="paragraph" w:styleId="TOC9">
    <w:name w:val="toc 9"/>
    <w:basedOn w:val="Normal"/>
    <w:next w:val="Normal"/>
    <w:autoRedefine/>
    <w:rsid w:val="007D76DB"/>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footer" w:uiPriority="99"/>
  </w:latentStyles>
  <w:style w:type="paragraph" w:default="1" w:styleId="Normal">
    <w:name w:val="Normal"/>
    <w:qFormat/>
    <w:rsid w:val="004E6DB1"/>
    <w:rPr>
      <w:lang w:eastAsia="en-US"/>
    </w:rPr>
  </w:style>
  <w:style w:type="paragraph" w:styleId="Heading1">
    <w:name w:val="heading 1"/>
    <w:basedOn w:val="Normal"/>
    <w:next w:val="Normal"/>
    <w:link w:val="Heading1Char"/>
    <w:qFormat/>
    <w:rsid w:val="00FB6763"/>
    <w:pPr>
      <w:keepNext/>
      <w:keepLines/>
      <w:spacing w:after="240"/>
      <w:outlineLvl w:val="0"/>
    </w:pPr>
    <w:rPr>
      <w:rFonts w:ascii="Arial" w:eastAsiaTheme="majorEastAsia" w:hAnsi="Arial" w:cstheme="majorBidi"/>
      <w:b/>
      <w:bCs/>
      <w:color w:val="345A8A" w:themeColor="accent1" w:themeShade="B5"/>
      <w:sz w:val="40"/>
      <w:szCs w:val="32"/>
    </w:rPr>
  </w:style>
  <w:style w:type="paragraph" w:styleId="Heading2">
    <w:name w:val="heading 2"/>
    <w:basedOn w:val="Normal"/>
    <w:link w:val="Heading2Char"/>
    <w:uiPriority w:val="9"/>
    <w:qFormat/>
    <w:rsid w:val="00FB6763"/>
    <w:pPr>
      <w:spacing w:before="480" w:after="120"/>
      <w:outlineLvl w:val="1"/>
    </w:pPr>
    <w:rPr>
      <w:rFonts w:ascii="Arial" w:hAnsi="Arial"/>
      <w:b/>
      <w:bCs/>
      <w:color w:val="365F91" w:themeColor="accent1" w:themeShade="BF"/>
      <w:sz w:val="28"/>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DB1"/>
    <w:pPr>
      <w:numPr>
        <w:numId w:val="13"/>
      </w:numPr>
      <w:contextualSpacing/>
    </w:pPr>
  </w:style>
  <w:style w:type="paragraph" w:styleId="FootnoteText">
    <w:name w:val="footnote text"/>
    <w:basedOn w:val="Normal"/>
    <w:link w:val="FootnoteTextChar"/>
    <w:rsid w:val="004E6DB1"/>
    <w:rPr>
      <w:sz w:val="20"/>
      <w:szCs w:val="20"/>
    </w:rPr>
  </w:style>
  <w:style w:type="character" w:customStyle="1" w:styleId="FootnoteTextChar">
    <w:name w:val="Footnote Text Char"/>
    <w:basedOn w:val="DefaultParagraphFont"/>
    <w:link w:val="FootnoteText"/>
    <w:rsid w:val="004E6DB1"/>
    <w:rPr>
      <w:lang w:eastAsia="en-US"/>
    </w:rPr>
  </w:style>
  <w:style w:type="character" w:styleId="FootnoteReference">
    <w:name w:val="footnote reference"/>
    <w:basedOn w:val="DefaultParagraphFont"/>
    <w:rsid w:val="004E6DB1"/>
    <w:rPr>
      <w:vertAlign w:val="superscript"/>
    </w:rPr>
  </w:style>
  <w:style w:type="paragraph" w:styleId="Header">
    <w:name w:val="header"/>
    <w:basedOn w:val="Normal"/>
    <w:link w:val="HeaderChar"/>
    <w:uiPriority w:val="99"/>
    <w:rsid w:val="004E6DB1"/>
    <w:pPr>
      <w:tabs>
        <w:tab w:val="center" w:pos="4513"/>
        <w:tab w:val="right" w:pos="9026"/>
      </w:tabs>
    </w:pPr>
  </w:style>
  <w:style w:type="character" w:customStyle="1" w:styleId="HeaderChar">
    <w:name w:val="Header Char"/>
    <w:basedOn w:val="DefaultParagraphFont"/>
    <w:link w:val="Header"/>
    <w:uiPriority w:val="99"/>
    <w:rsid w:val="004E6DB1"/>
    <w:rPr>
      <w:sz w:val="24"/>
      <w:szCs w:val="24"/>
      <w:lang w:eastAsia="en-US"/>
    </w:rPr>
  </w:style>
  <w:style w:type="paragraph" w:styleId="Footer">
    <w:name w:val="footer"/>
    <w:basedOn w:val="Normal"/>
    <w:link w:val="FooterChar"/>
    <w:uiPriority w:val="99"/>
    <w:rsid w:val="004E6DB1"/>
    <w:pPr>
      <w:tabs>
        <w:tab w:val="center" w:pos="4513"/>
        <w:tab w:val="right" w:pos="9026"/>
      </w:tabs>
    </w:pPr>
  </w:style>
  <w:style w:type="character" w:customStyle="1" w:styleId="FooterChar">
    <w:name w:val="Footer Char"/>
    <w:basedOn w:val="DefaultParagraphFont"/>
    <w:link w:val="Footer"/>
    <w:uiPriority w:val="99"/>
    <w:rsid w:val="004E6DB1"/>
    <w:rPr>
      <w:sz w:val="24"/>
      <w:szCs w:val="24"/>
      <w:lang w:eastAsia="en-US"/>
    </w:rPr>
  </w:style>
  <w:style w:type="paragraph" w:styleId="BalloonText">
    <w:name w:val="Balloon Text"/>
    <w:basedOn w:val="Normal"/>
    <w:link w:val="BalloonTextChar"/>
    <w:rsid w:val="004E6DB1"/>
    <w:rPr>
      <w:rFonts w:ascii="Tahoma" w:hAnsi="Tahoma" w:cs="Tahoma"/>
      <w:sz w:val="16"/>
      <w:szCs w:val="16"/>
    </w:rPr>
  </w:style>
  <w:style w:type="character" w:customStyle="1" w:styleId="BalloonTextChar">
    <w:name w:val="Balloon Text Char"/>
    <w:basedOn w:val="DefaultParagraphFont"/>
    <w:link w:val="BalloonText"/>
    <w:rsid w:val="004E6DB1"/>
    <w:rPr>
      <w:rFonts w:ascii="Tahoma" w:hAnsi="Tahoma" w:cs="Tahoma"/>
      <w:sz w:val="16"/>
      <w:szCs w:val="16"/>
      <w:lang w:eastAsia="en-US"/>
    </w:rPr>
  </w:style>
  <w:style w:type="character" w:styleId="CommentReference">
    <w:name w:val="annotation reference"/>
    <w:basedOn w:val="DefaultParagraphFont"/>
    <w:rsid w:val="004E6DB1"/>
    <w:rPr>
      <w:sz w:val="16"/>
      <w:szCs w:val="16"/>
    </w:rPr>
  </w:style>
  <w:style w:type="paragraph" w:styleId="CommentText">
    <w:name w:val="annotation text"/>
    <w:basedOn w:val="Normal"/>
    <w:link w:val="CommentTextChar"/>
    <w:rsid w:val="004E6DB1"/>
    <w:rPr>
      <w:sz w:val="20"/>
      <w:szCs w:val="20"/>
    </w:rPr>
  </w:style>
  <w:style w:type="character" w:customStyle="1" w:styleId="CommentTextChar">
    <w:name w:val="Comment Text Char"/>
    <w:basedOn w:val="DefaultParagraphFont"/>
    <w:link w:val="CommentText"/>
    <w:rsid w:val="004E6DB1"/>
    <w:rPr>
      <w:lang w:eastAsia="en-US"/>
    </w:rPr>
  </w:style>
  <w:style w:type="paragraph" w:styleId="CommentSubject">
    <w:name w:val="annotation subject"/>
    <w:basedOn w:val="CommentText"/>
    <w:next w:val="CommentText"/>
    <w:link w:val="CommentSubjectChar"/>
    <w:rsid w:val="004E6DB1"/>
    <w:rPr>
      <w:b/>
      <w:bCs/>
    </w:rPr>
  </w:style>
  <w:style w:type="character" w:customStyle="1" w:styleId="CommentSubjectChar">
    <w:name w:val="Comment Subject Char"/>
    <w:basedOn w:val="CommentTextChar"/>
    <w:link w:val="CommentSubject"/>
    <w:rsid w:val="004E6DB1"/>
    <w:rPr>
      <w:b/>
      <w:bCs/>
      <w:lang w:eastAsia="en-US"/>
    </w:rPr>
  </w:style>
  <w:style w:type="paragraph" w:styleId="Caption">
    <w:name w:val="caption"/>
    <w:basedOn w:val="Normal"/>
    <w:next w:val="Normal"/>
    <w:semiHidden/>
    <w:unhideWhenUsed/>
    <w:qFormat/>
    <w:rsid w:val="004E6DB1"/>
    <w:pPr>
      <w:spacing w:after="200"/>
    </w:pPr>
    <w:rPr>
      <w:b/>
      <w:bCs/>
      <w:color w:val="4F81BD" w:themeColor="accent1"/>
      <w:sz w:val="18"/>
      <w:szCs w:val="18"/>
    </w:rPr>
  </w:style>
  <w:style w:type="table" w:styleId="TableGrid">
    <w:name w:val="Table Grid"/>
    <w:basedOn w:val="TableNormal"/>
    <w:rsid w:val="004E6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DB1"/>
    <w:rPr>
      <w:color w:val="0000FF" w:themeColor="hyperlink"/>
      <w:u w:val="single"/>
    </w:rPr>
  </w:style>
  <w:style w:type="paragraph" w:styleId="Revision">
    <w:name w:val="Revision"/>
    <w:hidden/>
    <w:uiPriority w:val="99"/>
    <w:semiHidden/>
    <w:rsid w:val="004E6DB1"/>
    <w:rPr>
      <w:lang w:eastAsia="en-US"/>
    </w:rPr>
  </w:style>
  <w:style w:type="character" w:customStyle="1" w:styleId="Heading2Char">
    <w:name w:val="Heading 2 Char"/>
    <w:basedOn w:val="DefaultParagraphFont"/>
    <w:link w:val="Heading2"/>
    <w:uiPriority w:val="9"/>
    <w:rsid w:val="00FB6763"/>
    <w:rPr>
      <w:rFonts w:ascii="Arial" w:hAnsi="Arial"/>
      <w:b/>
      <w:bCs/>
      <w:color w:val="365F91" w:themeColor="accent1" w:themeShade="BF"/>
      <w:sz w:val="28"/>
      <w:szCs w:val="36"/>
    </w:rPr>
  </w:style>
  <w:style w:type="paragraph" w:customStyle="1" w:styleId="specialissue">
    <w:name w:val="specialissue"/>
    <w:basedOn w:val="Normal"/>
    <w:rsid w:val="008F5E83"/>
    <w:pPr>
      <w:spacing w:before="100" w:beforeAutospacing="1" w:after="100" w:afterAutospacing="1"/>
    </w:pPr>
    <w:rPr>
      <w:lang w:eastAsia="en-AU"/>
    </w:rPr>
  </w:style>
  <w:style w:type="paragraph" w:customStyle="1" w:styleId="articledetails">
    <w:name w:val="articledetails"/>
    <w:basedOn w:val="Normal"/>
    <w:rsid w:val="008F5E83"/>
    <w:pPr>
      <w:spacing w:before="100" w:beforeAutospacing="1" w:after="100" w:afterAutospacing="1"/>
    </w:pPr>
    <w:rPr>
      <w:lang w:eastAsia="en-AU"/>
    </w:rPr>
  </w:style>
  <w:style w:type="paragraph" w:customStyle="1" w:styleId="Default">
    <w:name w:val="Default"/>
    <w:rsid w:val="00582614"/>
    <w:pPr>
      <w:widowControl w:val="0"/>
      <w:autoSpaceDE w:val="0"/>
      <w:autoSpaceDN w:val="0"/>
      <w:adjustRightInd w:val="0"/>
    </w:pPr>
    <w:rPr>
      <w:rFonts w:eastAsiaTheme="minorEastAsia"/>
      <w:color w:val="000000"/>
      <w:lang w:val="en-US" w:eastAsia="en-US"/>
    </w:rPr>
  </w:style>
  <w:style w:type="paragraph" w:styleId="NormalWeb">
    <w:name w:val="Normal (Web)"/>
    <w:basedOn w:val="Normal"/>
    <w:uiPriority w:val="99"/>
    <w:unhideWhenUsed/>
    <w:rsid w:val="003D6BA8"/>
    <w:pPr>
      <w:spacing w:before="100" w:beforeAutospacing="1" w:after="100" w:afterAutospacing="1"/>
    </w:pPr>
    <w:rPr>
      <w:rFonts w:eastAsiaTheme="minorEastAsia"/>
      <w:lang w:eastAsia="en-AU"/>
    </w:rPr>
  </w:style>
  <w:style w:type="paragraph" w:styleId="Title">
    <w:name w:val="Title"/>
    <w:basedOn w:val="Normal"/>
    <w:next w:val="Normal"/>
    <w:link w:val="TitleChar"/>
    <w:uiPriority w:val="10"/>
    <w:qFormat/>
    <w:rsid w:val="00FB6763"/>
    <w:pPr>
      <w:spacing w:after="300"/>
      <w:contextualSpacing/>
    </w:pPr>
    <w:rPr>
      <w:rFonts w:ascii="Arial" w:eastAsiaTheme="majorEastAsia" w:hAnsi="Arial"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FB6763"/>
    <w:rPr>
      <w:rFonts w:ascii="Arial" w:eastAsiaTheme="majorEastAsia" w:hAnsi="Arial" w:cstheme="majorBidi"/>
      <w:b/>
      <w:color w:val="17365D" w:themeColor="text2" w:themeShade="BF"/>
      <w:spacing w:val="5"/>
      <w:kern w:val="28"/>
      <w:sz w:val="52"/>
      <w:szCs w:val="52"/>
      <w:lang w:eastAsia="en-US"/>
    </w:rPr>
  </w:style>
  <w:style w:type="paragraph" w:customStyle="1" w:styleId="04BODYTEXT">
    <w:name w:val="04. BODY TEXT"/>
    <w:basedOn w:val="Normal"/>
    <w:uiPriority w:val="99"/>
    <w:rsid w:val="00FB6763"/>
    <w:pPr>
      <w:widowControl w:val="0"/>
      <w:suppressAutoHyphens/>
      <w:autoSpaceDE w:val="0"/>
      <w:autoSpaceDN w:val="0"/>
      <w:adjustRightInd w:val="0"/>
      <w:spacing w:after="160" w:line="280" w:lineRule="atLeast"/>
      <w:textAlignment w:val="center"/>
    </w:pPr>
    <w:rPr>
      <w:rFonts w:ascii="Arial" w:eastAsiaTheme="minorEastAsia" w:hAnsi="Arial" w:cs="Times-Roman"/>
      <w:bCs/>
      <w:iCs/>
      <w:color w:val="000000"/>
      <w:sz w:val="20"/>
      <w:szCs w:val="19"/>
      <w:lang w:val="en-GB" w:eastAsia="ja-JP"/>
    </w:rPr>
  </w:style>
  <w:style w:type="paragraph" w:customStyle="1" w:styleId="03HEADING3">
    <w:name w:val="03. HEADING 3"/>
    <w:basedOn w:val="Normal"/>
    <w:uiPriority w:val="99"/>
    <w:rsid w:val="00FB6763"/>
    <w:pPr>
      <w:widowControl w:val="0"/>
      <w:autoSpaceDE w:val="0"/>
      <w:autoSpaceDN w:val="0"/>
      <w:adjustRightInd w:val="0"/>
      <w:spacing w:before="360" w:after="60" w:line="288" w:lineRule="auto"/>
      <w:textAlignment w:val="center"/>
    </w:pPr>
    <w:rPr>
      <w:rFonts w:ascii="Arial" w:eastAsiaTheme="minorEastAsia" w:hAnsi="Arial" w:cs="HelveticaNeue-BoldCondObl"/>
      <w:b/>
      <w:bCs/>
      <w:iCs/>
      <w:color w:val="365F91" w:themeColor="accent1" w:themeShade="BF"/>
      <w:szCs w:val="22"/>
      <w:lang w:val="en-GB" w:eastAsia="ja-JP"/>
    </w:rPr>
  </w:style>
  <w:style w:type="character" w:styleId="Emphasis">
    <w:name w:val="Emphasis"/>
    <w:basedOn w:val="DefaultParagraphFont"/>
    <w:qFormat/>
    <w:rsid w:val="00F92C3B"/>
    <w:rPr>
      <w:i/>
      <w:iCs/>
    </w:rPr>
  </w:style>
  <w:style w:type="character" w:customStyle="1" w:styleId="Heading1Char">
    <w:name w:val="Heading 1 Char"/>
    <w:basedOn w:val="DefaultParagraphFont"/>
    <w:link w:val="Heading1"/>
    <w:rsid w:val="00FB6763"/>
    <w:rPr>
      <w:rFonts w:ascii="Arial" w:eastAsiaTheme="majorEastAsia" w:hAnsi="Arial" w:cstheme="majorBidi"/>
      <w:b/>
      <w:bCs/>
      <w:color w:val="345A8A" w:themeColor="accent1" w:themeShade="B5"/>
      <w:sz w:val="40"/>
      <w:szCs w:val="32"/>
      <w:lang w:eastAsia="en-US"/>
    </w:rPr>
  </w:style>
  <w:style w:type="paragraph" w:customStyle="1" w:styleId="Figurehead">
    <w:name w:val="Figure head"/>
    <w:basedOn w:val="Normal"/>
    <w:qFormat/>
    <w:rsid w:val="00DB3EDD"/>
    <w:pPr>
      <w:spacing w:after="120"/>
    </w:pPr>
    <w:rPr>
      <w:rFonts w:asciiTheme="minorHAnsi" w:hAnsiTheme="minorHAnsi" w:cstheme="minorHAnsi"/>
      <w:b/>
      <w:sz w:val="20"/>
    </w:rPr>
  </w:style>
  <w:style w:type="paragraph" w:customStyle="1" w:styleId="Footnotes">
    <w:name w:val="Footnotes"/>
    <w:basedOn w:val="FootnoteText"/>
    <w:qFormat/>
    <w:rsid w:val="00CD243C"/>
    <w:rPr>
      <w:rFonts w:asciiTheme="minorHAnsi" w:hAnsiTheme="minorHAnsi" w:cstheme="minorHAnsi"/>
      <w:sz w:val="16"/>
      <w:szCs w:val="16"/>
    </w:rPr>
  </w:style>
  <w:style w:type="paragraph" w:customStyle="1" w:styleId="Boxtext">
    <w:name w:val="Box text"/>
    <w:basedOn w:val="Normal"/>
    <w:qFormat/>
    <w:rsid w:val="00FB6763"/>
    <w:pPr>
      <w:pBdr>
        <w:top w:val="single" w:sz="4" w:space="4" w:color="auto"/>
        <w:left w:val="single" w:sz="4" w:space="4" w:color="auto"/>
        <w:bottom w:val="single" w:sz="4" w:space="4" w:color="auto"/>
        <w:right w:val="single" w:sz="4" w:space="4" w:color="auto"/>
      </w:pBdr>
      <w:shd w:val="clear" w:color="auto" w:fill="DBE5F1" w:themeFill="accent1" w:themeFillTint="33"/>
      <w:spacing w:after="240"/>
    </w:pPr>
    <w:rPr>
      <w:rFonts w:asciiTheme="minorHAnsi" w:hAnsiTheme="minorHAnsi" w:cstheme="minorHAnsi"/>
      <w:sz w:val="20"/>
    </w:rPr>
  </w:style>
  <w:style w:type="paragraph" w:customStyle="1" w:styleId="Boxhead">
    <w:name w:val="Box head"/>
    <w:basedOn w:val="Normal"/>
    <w:qFormat/>
    <w:rsid w:val="00807E6A"/>
    <w:pPr>
      <w:shd w:val="clear" w:color="auto" w:fill="DBE5F1" w:themeFill="accent1" w:themeFillTint="33"/>
    </w:pPr>
    <w:rPr>
      <w:rFonts w:asciiTheme="minorHAnsi" w:hAnsiTheme="minorHAnsi" w:cstheme="minorHAnsi"/>
      <w:b/>
    </w:rPr>
  </w:style>
  <w:style w:type="paragraph" w:customStyle="1" w:styleId="bullets">
    <w:name w:val="bullets"/>
    <w:basedOn w:val="04BODYTEXT"/>
    <w:qFormat/>
    <w:rsid w:val="00E3666C"/>
    <w:pPr>
      <w:numPr>
        <w:numId w:val="27"/>
      </w:numPr>
      <w:spacing w:before="60" w:after="60"/>
      <w:ind w:left="357" w:hanging="357"/>
    </w:pPr>
  </w:style>
  <w:style w:type="paragraph" w:customStyle="1" w:styleId="Boxhead2">
    <w:name w:val="Box head 2"/>
    <w:basedOn w:val="Boxtext"/>
    <w:qFormat/>
    <w:rsid w:val="00592BFB"/>
    <w:pPr>
      <w:spacing w:after="120"/>
    </w:pPr>
    <w:rPr>
      <w:b/>
    </w:rPr>
  </w:style>
  <w:style w:type="paragraph" w:styleId="BodyText">
    <w:name w:val="Body Text"/>
    <w:basedOn w:val="Normal"/>
    <w:link w:val="BodyTextChar"/>
    <w:rsid w:val="007053AC"/>
    <w:pPr>
      <w:spacing w:after="120"/>
    </w:pPr>
  </w:style>
  <w:style w:type="character" w:customStyle="1" w:styleId="BodyTextChar">
    <w:name w:val="Body Text Char"/>
    <w:basedOn w:val="DefaultParagraphFont"/>
    <w:link w:val="BodyText"/>
    <w:rsid w:val="007053AC"/>
    <w:rPr>
      <w:lang w:eastAsia="en-US"/>
    </w:rPr>
  </w:style>
  <w:style w:type="paragraph" w:customStyle="1" w:styleId="tabletext">
    <w:name w:val="table text"/>
    <w:basedOn w:val="04BODYTEXT"/>
    <w:qFormat/>
    <w:rsid w:val="00014089"/>
    <w:pPr>
      <w:spacing w:line="240" w:lineRule="atLeast"/>
    </w:pPr>
    <w:rPr>
      <w:sz w:val="18"/>
      <w:szCs w:val="18"/>
    </w:rPr>
  </w:style>
  <w:style w:type="paragraph" w:customStyle="1" w:styleId="tableheader">
    <w:name w:val="table header"/>
    <w:basedOn w:val="04BODYTEXT"/>
    <w:qFormat/>
    <w:rsid w:val="00014089"/>
    <w:rPr>
      <w:b/>
      <w:sz w:val="18"/>
      <w:szCs w:val="18"/>
    </w:rPr>
  </w:style>
  <w:style w:type="character" w:styleId="PageNumber">
    <w:name w:val="page number"/>
    <w:basedOn w:val="DefaultParagraphFont"/>
    <w:rsid w:val="00A31029"/>
  </w:style>
  <w:style w:type="paragraph" w:styleId="TOC1">
    <w:name w:val="toc 1"/>
    <w:basedOn w:val="Normal"/>
    <w:next w:val="Normal"/>
    <w:autoRedefine/>
    <w:uiPriority w:val="39"/>
    <w:rsid w:val="007D76DB"/>
    <w:pPr>
      <w:spacing w:after="240"/>
    </w:pPr>
    <w:rPr>
      <w:rFonts w:ascii="Arial" w:hAnsi="Arial"/>
    </w:rPr>
  </w:style>
  <w:style w:type="paragraph" w:styleId="TOC2">
    <w:name w:val="toc 2"/>
    <w:basedOn w:val="Normal"/>
    <w:next w:val="Normal"/>
    <w:autoRedefine/>
    <w:uiPriority w:val="39"/>
    <w:rsid w:val="007D76DB"/>
    <w:pPr>
      <w:ind w:left="240"/>
    </w:pPr>
  </w:style>
  <w:style w:type="paragraph" w:styleId="TOC3">
    <w:name w:val="toc 3"/>
    <w:basedOn w:val="Normal"/>
    <w:next w:val="Normal"/>
    <w:autoRedefine/>
    <w:rsid w:val="007D76DB"/>
    <w:pPr>
      <w:ind w:left="480"/>
    </w:pPr>
  </w:style>
  <w:style w:type="paragraph" w:styleId="TOC4">
    <w:name w:val="toc 4"/>
    <w:basedOn w:val="Normal"/>
    <w:next w:val="Normal"/>
    <w:autoRedefine/>
    <w:rsid w:val="007D76DB"/>
    <w:pPr>
      <w:ind w:left="720"/>
    </w:pPr>
  </w:style>
  <w:style w:type="paragraph" w:styleId="TOC5">
    <w:name w:val="toc 5"/>
    <w:basedOn w:val="Normal"/>
    <w:next w:val="Normal"/>
    <w:autoRedefine/>
    <w:rsid w:val="007D76DB"/>
    <w:pPr>
      <w:ind w:left="960"/>
    </w:pPr>
  </w:style>
  <w:style w:type="paragraph" w:styleId="TOC6">
    <w:name w:val="toc 6"/>
    <w:basedOn w:val="Normal"/>
    <w:next w:val="Normal"/>
    <w:autoRedefine/>
    <w:rsid w:val="007D76DB"/>
    <w:pPr>
      <w:ind w:left="1200"/>
    </w:pPr>
  </w:style>
  <w:style w:type="paragraph" w:styleId="TOC7">
    <w:name w:val="toc 7"/>
    <w:basedOn w:val="Normal"/>
    <w:next w:val="Normal"/>
    <w:autoRedefine/>
    <w:rsid w:val="007D76DB"/>
    <w:pPr>
      <w:ind w:left="1440"/>
    </w:pPr>
  </w:style>
  <w:style w:type="paragraph" w:styleId="TOC8">
    <w:name w:val="toc 8"/>
    <w:basedOn w:val="Normal"/>
    <w:next w:val="Normal"/>
    <w:autoRedefine/>
    <w:rsid w:val="007D76DB"/>
    <w:pPr>
      <w:ind w:left="1680"/>
    </w:pPr>
  </w:style>
  <w:style w:type="paragraph" w:styleId="TOC9">
    <w:name w:val="toc 9"/>
    <w:basedOn w:val="Normal"/>
    <w:next w:val="Normal"/>
    <w:autoRedefine/>
    <w:rsid w:val="007D76DB"/>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7">
      <w:bodyDiv w:val="1"/>
      <w:marLeft w:val="0"/>
      <w:marRight w:val="0"/>
      <w:marTop w:val="0"/>
      <w:marBottom w:val="0"/>
      <w:divBdr>
        <w:top w:val="none" w:sz="0" w:space="0" w:color="auto"/>
        <w:left w:val="none" w:sz="0" w:space="0" w:color="auto"/>
        <w:bottom w:val="none" w:sz="0" w:space="0" w:color="auto"/>
        <w:right w:val="none" w:sz="0" w:space="0" w:color="auto"/>
      </w:divBdr>
    </w:div>
    <w:div w:id="131486694">
      <w:bodyDiv w:val="1"/>
      <w:marLeft w:val="0"/>
      <w:marRight w:val="0"/>
      <w:marTop w:val="0"/>
      <w:marBottom w:val="0"/>
      <w:divBdr>
        <w:top w:val="none" w:sz="0" w:space="0" w:color="auto"/>
        <w:left w:val="none" w:sz="0" w:space="0" w:color="auto"/>
        <w:bottom w:val="none" w:sz="0" w:space="0" w:color="auto"/>
        <w:right w:val="none" w:sz="0" w:space="0" w:color="auto"/>
      </w:divBdr>
    </w:div>
    <w:div w:id="255332269">
      <w:bodyDiv w:val="1"/>
      <w:marLeft w:val="0"/>
      <w:marRight w:val="0"/>
      <w:marTop w:val="0"/>
      <w:marBottom w:val="0"/>
      <w:divBdr>
        <w:top w:val="none" w:sz="0" w:space="0" w:color="auto"/>
        <w:left w:val="none" w:sz="0" w:space="0" w:color="auto"/>
        <w:bottom w:val="none" w:sz="0" w:space="0" w:color="auto"/>
        <w:right w:val="none" w:sz="0" w:space="0" w:color="auto"/>
      </w:divBdr>
    </w:div>
    <w:div w:id="298146079">
      <w:bodyDiv w:val="1"/>
      <w:marLeft w:val="0"/>
      <w:marRight w:val="0"/>
      <w:marTop w:val="0"/>
      <w:marBottom w:val="0"/>
      <w:divBdr>
        <w:top w:val="none" w:sz="0" w:space="0" w:color="auto"/>
        <w:left w:val="none" w:sz="0" w:space="0" w:color="auto"/>
        <w:bottom w:val="none" w:sz="0" w:space="0" w:color="auto"/>
        <w:right w:val="none" w:sz="0" w:space="0" w:color="auto"/>
      </w:divBdr>
    </w:div>
    <w:div w:id="326132507">
      <w:bodyDiv w:val="1"/>
      <w:marLeft w:val="0"/>
      <w:marRight w:val="0"/>
      <w:marTop w:val="0"/>
      <w:marBottom w:val="0"/>
      <w:divBdr>
        <w:top w:val="none" w:sz="0" w:space="0" w:color="auto"/>
        <w:left w:val="none" w:sz="0" w:space="0" w:color="auto"/>
        <w:bottom w:val="none" w:sz="0" w:space="0" w:color="auto"/>
        <w:right w:val="none" w:sz="0" w:space="0" w:color="auto"/>
      </w:divBdr>
      <w:divsChild>
        <w:div w:id="1167282399">
          <w:marLeft w:val="0"/>
          <w:marRight w:val="0"/>
          <w:marTop w:val="0"/>
          <w:marBottom w:val="0"/>
          <w:divBdr>
            <w:top w:val="none" w:sz="0" w:space="0" w:color="auto"/>
            <w:left w:val="none" w:sz="0" w:space="0" w:color="auto"/>
            <w:bottom w:val="none" w:sz="0" w:space="0" w:color="auto"/>
            <w:right w:val="none" w:sz="0" w:space="0" w:color="auto"/>
          </w:divBdr>
          <w:divsChild>
            <w:div w:id="283661073">
              <w:marLeft w:val="0"/>
              <w:marRight w:val="0"/>
              <w:marTop w:val="0"/>
              <w:marBottom w:val="0"/>
              <w:divBdr>
                <w:top w:val="none" w:sz="0" w:space="0" w:color="auto"/>
                <w:left w:val="none" w:sz="0" w:space="0" w:color="auto"/>
                <w:bottom w:val="none" w:sz="0" w:space="0" w:color="auto"/>
                <w:right w:val="none" w:sz="0" w:space="0" w:color="auto"/>
              </w:divBdr>
              <w:divsChild>
                <w:div w:id="1095172266">
                  <w:marLeft w:val="0"/>
                  <w:marRight w:val="0"/>
                  <w:marTop w:val="0"/>
                  <w:marBottom w:val="0"/>
                  <w:divBdr>
                    <w:top w:val="none" w:sz="0" w:space="0" w:color="auto"/>
                    <w:left w:val="none" w:sz="0" w:space="0" w:color="auto"/>
                    <w:bottom w:val="none" w:sz="0" w:space="0" w:color="auto"/>
                    <w:right w:val="none" w:sz="0" w:space="0" w:color="auto"/>
                  </w:divBdr>
                  <w:divsChild>
                    <w:div w:id="2015840396">
                      <w:marLeft w:val="0"/>
                      <w:marRight w:val="0"/>
                      <w:marTop w:val="0"/>
                      <w:marBottom w:val="0"/>
                      <w:divBdr>
                        <w:top w:val="none" w:sz="0" w:space="0" w:color="auto"/>
                        <w:left w:val="none" w:sz="0" w:space="0" w:color="auto"/>
                        <w:bottom w:val="none" w:sz="0" w:space="0" w:color="auto"/>
                        <w:right w:val="none" w:sz="0" w:space="0" w:color="auto"/>
                      </w:divBdr>
                      <w:divsChild>
                        <w:div w:id="944923601">
                          <w:marLeft w:val="0"/>
                          <w:marRight w:val="0"/>
                          <w:marTop w:val="0"/>
                          <w:marBottom w:val="0"/>
                          <w:divBdr>
                            <w:top w:val="none" w:sz="0" w:space="0" w:color="auto"/>
                            <w:left w:val="none" w:sz="0" w:space="0" w:color="auto"/>
                            <w:bottom w:val="none" w:sz="0" w:space="0" w:color="auto"/>
                            <w:right w:val="none" w:sz="0" w:space="0" w:color="auto"/>
                          </w:divBdr>
                          <w:divsChild>
                            <w:div w:id="581717689">
                              <w:marLeft w:val="0"/>
                              <w:marRight w:val="0"/>
                              <w:marTop w:val="0"/>
                              <w:marBottom w:val="0"/>
                              <w:divBdr>
                                <w:top w:val="none" w:sz="0" w:space="0" w:color="auto"/>
                                <w:left w:val="none" w:sz="0" w:space="0" w:color="auto"/>
                                <w:bottom w:val="none" w:sz="0" w:space="0" w:color="auto"/>
                                <w:right w:val="none" w:sz="0" w:space="0" w:color="auto"/>
                              </w:divBdr>
                              <w:divsChild>
                                <w:div w:id="1508665712">
                                  <w:marLeft w:val="0"/>
                                  <w:marRight w:val="0"/>
                                  <w:marTop w:val="0"/>
                                  <w:marBottom w:val="0"/>
                                  <w:divBdr>
                                    <w:top w:val="none" w:sz="0" w:space="0" w:color="auto"/>
                                    <w:left w:val="none" w:sz="0" w:space="0" w:color="auto"/>
                                    <w:bottom w:val="none" w:sz="0" w:space="0" w:color="auto"/>
                                    <w:right w:val="none" w:sz="0" w:space="0" w:color="auto"/>
                                  </w:divBdr>
                                  <w:divsChild>
                                    <w:div w:id="1983120453">
                                      <w:marLeft w:val="0"/>
                                      <w:marRight w:val="0"/>
                                      <w:marTop w:val="0"/>
                                      <w:marBottom w:val="0"/>
                                      <w:divBdr>
                                        <w:top w:val="none" w:sz="0" w:space="0" w:color="auto"/>
                                        <w:left w:val="none" w:sz="0" w:space="0" w:color="auto"/>
                                        <w:bottom w:val="none" w:sz="0" w:space="0" w:color="auto"/>
                                        <w:right w:val="none" w:sz="0" w:space="0" w:color="auto"/>
                                      </w:divBdr>
                                      <w:divsChild>
                                        <w:div w:id="878323094">
                                          <w:marLeft w:val="0"/>
                                          <w:marRight w:val="0"/>
                                          <w:marTop w:val="0"/>
                                          <w:marBottom w:val="0"/>
                                          <w:divBdr>
                                            <w:top w:val="none" w:sz="0" w:space="0" w:color="auto"/>
                                            <w:left w:val="none" w:sz="0" w:space="0" w:color="auto"/>
                                            <w:bottom w:val="none" w:sz="0" w:space="0" w:color="auto"/>
                                            <w:right w:val="none" w:sz="0" w:space="0" w:color="auto"/>
                                          </w:divBdr>
                                          <w:divsChild>
                                            <w:div w:id="19207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165862">
      <w:bodyDiv w:val="1"/>
      <w:marLeft w:val="0"/>
      <w:marRight w:val="0"/>
      <w:marTop w:val="0"/>
      <w:marBottom w:val="0"/>
      <w:divBdr>
        <w:top w:val="none" w:sz="0" w:space="0" w:color="auto"/>
        <w:left w:val="none" w:sz="0" w:space="0" w:color="auto"/>
        <w:bottom w:val="none" w:sz="0" w:space="0" w:color="auto"/>
        <w:right w:val="none" w:sz="0" w:space="0" w:color="auto"/>
      </w:divBdr>
    </w:div>
    <w:div w:id="871573843">
      <w:bodyDiv w:val="1"/>
      <w:marLeft w:val="0"/>
      <w:marRight w:val="0"/>
      <w:marTop w:val="0"/>
      <w:marBottom w:val="0"/>
      <w:divBdr>
        <w:top w:val="none" w:sz="0" w:space="0" w:color="auto"/>
        <w:left w:val="none" w:sz="0" w:space="0" w:color="auto"/>
        <w:bottom w:val="none" w:sz="0" w:space="0" w:color="auto"/>
        <w:right w:val="none" w:sz="0" w:space="0" w:color="auto"/>
      </w:divBdr>
    </w:div>
    <w:div w:id="1057826994">
      <w:bodyDiv w:val="1"/>
      <w:marLeft w:val="0"/>
      <w:marRight w:val="0"/>
      <w:marTop w:val="0"/>
      <w:marBottom w:val="0"/>
      <w:divBdr>
        <w:top w:val="none" w:sz="0" w:space="0" w:color="auto"/>
        <w:left w:val="none" w:sz="0" w:space="0" w:color="auto"/>
        <w:bottom w:val="none" w:sz="0" w:space="0" w:color="auto"/>
        <w:right w:val="none" w:sz="0" w:space="0" w:color="auto"/>
      </w:divBdr>
    </w:div>
    <w:div w:id="1082993760">
      <w:bodyDiv w:val="1"/>
      <w:marLeft w:val="0"/>
      <w:marRight w:val="0"/>
      <w:marTop w:val="0"/>
      <w:marBottom w:val="0"/>
      <w:divBdr>
        <w:top w:val="none" w:sz="0" w:space="0" w:color="auto"/>
        <w:left w:val="none" w:sz="0" w:space="0" w:color="auto"/>
        <w:bottom w:val="none" w:sz="0" w:space="0" w:color="auto"/>
        <w:right w:val="none" w:sz="0" w:space="0" w:color="auto"/>
      </w:divBdr>
    </w:div>
    <w:div w:id="1444575900">
      <w:bodyDiv w:val="1"/>
      <w:marLeft w:val="0"/>
      <w:marRight w:val="0"/>
      <w:marTop w:val="0"/>
      <w:marBottom w:val="0"/>
      <w:divBdr>
        <w:top w:val="none" w:sz="0" w:space="0" w:color="auto"/>
        <w:left w:val="none" w:sz="0" w:space="0" w:color="auto"/>
        <w:bottom w:val="none" w:sz="0" w:space="0" w:color="auto"/>
        <w:right w:val="none" w:sz="0" w:space="0" w:color="auto"/>
      </w:divBdr>
    </w:div>
    <w:div w:id="1575510102">
      <w:bodyDiv w:val="1"/>
      <w:marLeft w:val="0"/>
      <w:marRight w:val="0"/>
      <w:marTop w:val="0"/>
      <w:marBottom w:val="0"/>
      <w:divBdr>
        <w:top w:val="none" w:sz="0" w:space="0" w:color="auto"/>
        <w:left w:val="none" w:sz="0" w:space="0" w:color="auto"/>
        <w:bottom w:val="none" w:sz="0" w:space="0" w:color="auto"/>
        <w:right w:val="none" w:sz="0" w:space="0" w:color="auto"/>
      </w:divBdr>
    </w:div>
    <w:div w:id="1585526268">
      <w:bodyDiv w:val="1"/>
      <w:marLeft w:val="0"/>
      <w:marRight w:val="0"/>
      <w:marTop w:val="0"/>
      <w:marBottom w:val="0"/>
      <w:divBdr>
        <w:top w:val="none" w:sz="0" w:space="0" w:color="auto"/>
        <w:left w:val="none" w:sz="0" w:space="0" w:color="auto"/>
        <w:bottom w:val="none" w:sz="0" w:space="0" w:color="auto"/>
        <w:right w:val="none" w:sz="0" w:space="0" w:color="auto"/>
      </w:divBdr>
    </w:div>
    <w:div w:id="1835952707">
      <w:bodyDiv w:val="1"/>
      <w:marLeft w:val="0"/>
      <w:marRight w:val="0"/>
      <w:marTop w:val="0"/>
      <w:marBottom w:val="0"/>
      <w:divBdr>
        <w:top w:val="none" w:sz="0" w:space="0" w:color="auto"/>
        <w:left w:val="none" w:sz="0" w:space="0" w:color="auto"/>
        <w:bottom w:val="none" w:sz="0" w:space="0" w:color="auto"/>
        <w:right w:val="none" w:sz="0" w:space="0" w:color="auto"/>
      </w:divBdr>
    </w:div>
    <w:div w:id="185941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e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creativecommons.org/licenses/by/3.0/au/"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yperlink" Target="http://onlinelibrary.wiley.com/doi/10.1111/idsb.2011.42.issue-6/issuetoc" TargetMode="Externa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E78A5-F263-41AF-B03D-12D2E56CE1A0}"/>
</file>

<file path=customXml/itemProps2.xml><?xml version="1.0" encoding="utf-8"?>
<ds:datastoreItem xmlns:ds="http://schemas.openxmlformats.org/officeDocument/2006/customXml" ds:itemID="{C4C263A2-3714-48F5-9F2E-11DA22D58B85}"/>
</file>

<file path=customXml/itemProps3.xml><?xml version="1.0" encoding="utf-8"?>
<ds:datastoreItem xmlns:ds="http://schemas.openxmlformats.org/officeDocument/2006/customXml" ds:itemID="{8CF380EC-FBD8-4AAA-9C4B-C4CAA2591876}"/>
</file>

<file path=customXml/itemProps4.xml><?xml version="1.0" encoding="utf-8"?>
<ds:datastoreItem xmlns:ds="http://schemas.openxmlformats.org/officeDocument/2006/customXml" ds:itemID="{23E1E0B4-71D5-4329-9B94-B6BBBA001E3E}"/>
</file>

<file path=docProps/app.xml><?xml version="1.0" encoding="utf-8"?>
<Properties xmlns="http://schemas.openxmlformats.org/officeDocument/2006/extended-properties" xmlns:vt="http://schemas.openxmlformats.org/officeDocument/2006/docPropsVTypes">
  <Template>CAE22C29.dotm</Template>
  <TotalTime>0</TotalTime>
  <Pages>23</Pages>
  <Words>7117</Words>
  <Characters>40785</Characters>
  <Application>Microsoft Office Word</Application>
  <DocSecurity>0</DocSecurity>
  <Lines>755</Lines>
  <Paragraphs>292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2015-09-29T06:55:00Z</dcterms:created>
  <dcterms:modified xsi:type="dcterms:W3CDTF">2015-09-29T06:56:00Z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969400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