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759FD" w14:textId="77777777" w:rsidR="00FF666F" w:rsidRPr="00E70EDF" w:rsidRDefault="00FF666F" w:rsidP="00FF666F">
      <w:pPr>
        <w:pStyle w:val="Heading3"/>
        <w:jc w:val="center"/>
        <w:rPr>
          <w:b/>
          <w:sz w:val="24"/>
          <w:szCs w:val="24"/>
        </w:rPr>
      </w:pPr>
      <w:bookmarkStart w:id="0" w:name="_GoBack"/>
      <w:bookmarkEnd w:id="0"/>
      <w:r w:rsidRPr="00E70EDF">
        <w:rPr>
          <w:b/>
          <w:sz w:val="24"/>
          <w:szCs w:val="24"/>
        </w:rPr>
        <w:t>Management Response</w:t>
      </w:r>
    </w:p>
    <w:p w14:paraId="2DB3F1DD" w14:textId="77777777" w:rsidR="00FF666F" w:rsidRPr="00E70EDF" w:rsidRDefault="00947FCE" w:rsidP="00FF666F">
      <w:pPr>
        <w:pStyle w:val="Heading3"/>
        <w:jc w:val="center"/>
        <w:rPr>
          <w:b/>
          <w:i/>
          <w:sz w:val="24"/>
          <w:szCs w:val="24"/>
        </w:rPr>
      </w:pPr>
      <w:r>
        <w:rPr>
          <w:b/>
          <w:sz w:val="24"/>
          <w:szCs w:val="24"/>
        </w:rPr>
        <w:t>Mid-Term R</w:t>
      </w:r>
      <w:r w:rsidR="00FF666F" w:rsidRPr="00E70EDF">
        <w:rPr>
          <w:b/>
          <w:sz w:val="24"/>
          <w:szCs w:val="24"/>
        </w:rPr>
        <w:t xml:space="preserve">eview of the </w:t>
      </w:r>
      <w:r w:rsidR="00FF666F" w:rsidRPr="00E70EDF">
        <w:rPr>
          <w:b/>
          <w:i/>
          <w:sz w:val="24"/>
          <w:szCs w:val="24"/>
        </w:rPr>
        <w:t>Strategy for Australia’s aid investments in education 2015-2020</w:t>
      </w:r>
    </w:p>
    <w:p w14:paraId="6B52728A" w14:textId="77777777" w:rsidR="00FF666F" w:rsidRPr="00E70EDF" w:rsidRDefault="00FF666F" w:rsidP="007229F0">
      <w:pPr>
        <w:pStyle w:val="Heading3"/>
        <w:rPr>
          <w:sz w:val="22"/>
          <w:szCs w:val="22"/>
        </w:rPr>
      </w:pPr>
    </w:p>
    <w:p w14:paraId="24911E44" w14:textId="77777777" w:rsidR="00BD5915" w:rsidRPr="00E70EDF" w:rsidRDefault="00BD5915" w:rsidP="00BD5915">
      <w:pPr>
        <w:pStyle w:val="Heading3"/>
        <w:rPr>
          <w:b/>
          <w:sz w:val="24"/>
          <w:szCs w:val="24"/>
        </w:rPr>
      </w:pPr>
      <w:r w:rsidRPr="00E70EDF">
        <w:rPr>
          <w:b/>
          <w:sz w:val="24"/>
          <w:szCs w:val="24"/>
        </w:rPr>
        <w:t xml:space="preserve">Summary of management response </w:t>
      </w:r>
    </w:p>
    <w:p w14:paraId="6E42E2AE" w14:textId="77777777" w:rsidR="002E3965" w:rsidRDefault="00BD5915" w:rsidP="00BD5915">
      <w:r w:rsidRPr="00E70EDF">
        <w:t xml:space="preserve">DFAT </w:t>
      </w:r>
      <w:r w:rsidR="00D77D6B">
        <w:t xml:space="preserve">welcomes this timely and important </w:t>
      </w:r>
      <w:r w:rsidR="00947FCE" w:rsidRPr="00947FCE">
        <w:t xml:space="preserve">Mid-Term Review </w:t>
      </w:r>
      <w:r w:rsidR="00D77D6B">
        <w:t xml:space="preserve">(MTR).  The </w:t>
      </w:r>
      <w:r w:rsidR="00947FCE">
        <w:t>MTR</w:t>
      </w:r>
      <w:r w:rsidR="00D77D6B">
        <w:t xml:space="preserve"> was undertaken to satisfy accountability requirements and to inform future strategy development.  </w:t>
      </w:r>
      <w:r w:rsidR="002E3965">
        <w:t xml:space="preserve"> </w:t>
      </w:r>
      <w:r w:rsidR="00947FCE">
        <w:t xml:space="preserve"> </w:t>
      </w:r>
    </w:p>
    <w:p w14:paraId="16FF0E19" w14:textId="77777777" w:rsidR="002125AB" w:rsidRDefault="00D77D6B" w:rsidP="00BD5915">
      <w:r>
        <w:t xml:space="preserve">DFAT notes the significant MTR </w:t>
      </w:r>
      <w:r w:rsidR="002E3965">
        <w:t>conclusion</w:t>
      </w:r>
      <w:r>
        <w:t xml:space="preserve"> that strategies are a good investment of time and res</w:t>
      </w:r>
      <w:r w:rsidR="002E3965">
        <w:t xml:space="preserve">ources.  This accords with DFAT’s </w:t>
      </w:r>
      <w:r>
        <w:t>view and is an encouraging finding as DFAT considers next steps.</w:t>
      </w:r>
      <w:r w:rsidR="002E3965">
        <w:t xml:space="preserve">  The MTR provides a considered position on the rationale for strategies.  Informed by the views of other donors, </w:t>
      </w:r>
      <w:r w:rsidR="002125AB">
        <w:t>the MTR includes</w:t>
      </w:r>
      <w:r w:rsidR="002E3965">
        <w:t xml:space="preserve"> </w:t>
      </w:r>
      <w:r w:rsidR="002125AB">
        <w:t>a useful discussion on the advantages/disadvantages of</w:t>
      </w:r>
      <w:r w:rsidR="00120106">
        <w:t xml:space="preserve"> </w:t>
      </w:r>
      <w:r w:rsidR="002125AB">
        <w:t>single sector and multisector strategies.  This information will be considered as DFAT determines its approach</w:t>
      </w:r>
      <w:r w:rsidR="002E3965">
        <w:t xml:space="preserve"> </w:t>
      </w:r>
      <w:r w:rsidR="002125AB">
        <w:t xml:space="preserve">to </w:t>
      </w:r>
      <w:r w:rsidR="00120106">
        <w:t>future strategy preparation</w:t>
      </w:r>
      <w:r w:rsidR="002125AB">
        <w:t>.</w:t>
      </w:r>
    </w:p>
    <w:p w14:paraId="51CC8350" w14:textId="0D1B1904" w:rsidR="00D77D6B" w:rsidRDefault="002125AB" w:rsidP="00BD5915">
      <w:r>
        <w:t>The MTR affirms the findings of internal reviews about</w:t>
      </w:r>
      <w:r w:rsidR="009E63EA">
        <w:t xml:space="preserve"> DFAT’s development assistance programming capacity challenges</w:t>
      </w:r>
      <w:r w:rsidR="00743E5D">
        <w:t xml:space="preserve">.  DFAT </w:t>
      </w:r>
      <w:r w:rsidR="00120106">
        <w:t>commits to continue exploring opportunities to</w:t>
      </w:r>
      <w:r w:rsidR="00BE30E9">
        <w:t xml:space="preserve"> </w:t>
      </w:r>
      <w:r w:rsidR="00120106">
        <w:t>address these constraints</w:t>
      </w:r>
      <w:r w:rsidR="00BE30E9">
        <w:t xml:space="preserve"> in an innovative manner</w:t>
      </w:r>
      <w:r w:rsidR="00120106">
        <w:t>.</w:t>
      </w:r>
      <w:r w:rsidR="00947FCE">
        <w:t xml:space="preserve">  </w:t>
      </w:r>
      <w:r w:rsidR="003E4526">
        <w:t>DFAT broadly accepts the recommendations and notes that several initiatives, including efforts to enhance capacity</w:t>
      </w:r>
      <w:r w:rsidR="00947FCE">
        <w:t>,</w:t>
      </w:r>
      <w:r w:rsidR="003E4526">
        <w:t xml:space="preserve"> are already underway.  </w:t>
      </w:r>
    </w:p>
    <w:p w14:paraId="12793256" w14:textId="66C76587" w:rsidR="00743E5D" w:rsidRPr="00743E5D" w:rsidRDefault="00743E5D" w:rsidP="00743E5D">
      <w:pPr>
        <w:pStyle w:val="Reporttext"/>
        <w:rPr>
          <w:color w:val="44546A" w:themeColor="text2"/>
          <w:lang w:val="en-GB"/>
        </w:rPr>
      </w:pPr>
      <w:r w:rsidRPr="00743E5D">
        <w:rPr>
          <w:color w:val="44546A" w:themeColor="text2"/>
          <w:lang w:val="en-GB"/>
        </w:rPr>
        <w:t xml:space="preserve">DFAT notes that the proposed methodology was affected by the limited availability of posts to host in-country missions leading to a reduction in expected country perspectives. Despite mitigation efforts such as additional telephone interviews with in-country stakeholders, it is possible that </w:t>
      </w:r>
      <w:r>
        <w:rPr>
          <w:color w:val="44546A" w:themeColor="text2"/>
          <w:lang w:val="en-GB"/>
        </w:rPr>
        <w:t xml:space="preserve">the lack of </w:t>
      </w:r>
      <w:r w:rsidRPr="00743E5D">
        <w:rPr>
          <w:color w:val="44546A" w:themeColor="text2"/>
          <w:lang w:val="en-GB"/>
        </w:rPr>
        <w:t xml:space="preserve">in-country consultations may have </w:t>
      </w:r>
      <w:r w:rsidR="00BE30E9">
        <w:rPr>
          <w:color w:val="44546A" w:themeColor="text2"/>
          <w:lang w:val="en-GB"/>
        </w:rPr>
        <w:t>affected</w:t>
      </w:r>
      <w:r>
        <w:rPr>
          <w:color w:val="44546A" w:themeColor="text2"/>
          <w:lang w:val="en-GB"/>
        </w:rPr>
        <w:t xml:space="preserve"> the robustness of some of the findings.</w:t>
      </w:r>
      <w:r w:rsidRPr="00743E5D">
        <w:rPr>
          <w:color w:val="44546A" w:themeColor="text2"/>
          <w:lang w:val="en-GB"/>
        </w:rPr>
        <w:t xml:space="preserve"> </w:t>
      </w:r>
    </w:p>
    <w:p w14:paraId="26C7DD8F" w14:textId="7453CE4F" w:rsidR="00161C38" w:rsidRDefault="00161C38">
      <w:pPr>
        <w:suppressAutoHyphens w:val="0"/>
        <w:spacing w:before="0" w:after="160" w:line="259" w:lineRule="auto"/>
      </w:pPr>
      <w:r>
        <w:br w:type="page"/>
      </w:r>
    </w:p>
    <w:p w14:paraId="4E1E979F" w14:textId="77777777" w:rsidR="00743E5D" w:rsidRDefault="00743E5D" w:rsidP="00BD5915"/>
    <w:p w14:paraId="165F0367" w14:textId="055A5698" w:rsidR="007229F0" w:rsidRPr="00951428" w:rsidRDefault="007229F0" w:rsidP="00635069">
      <w:pPr>
        <w:pStyle w:val="Heading3"/>
        <w:spacing w:before="120"/>
        <w:rPr>
          <w:b/>
          <w:sz w:val="24"/>
          <w:szCs w:val="24"/>
        </w:rPr>
      </w:pPr>
      <w:r w:rsidRPr="00951428">
        <w:rPr>
          <w:b/>
          <w:sz w:val="24"/>
          <w:szCs w:val="24"/>
        </w:rPr>
        <w:t>Individual management response</w:t>
      </w:r>
      <w:r w:rsidR="008032E8">
        <w:rPr>
          <w:b/>
          <w:sz w:val="24"/>
          <w:szCs w:val="24"/>
        </w:rPr>
        <w:t>s</w:t>
      </w:r>
      <w:r w:rsidRPr="00951428">
        <w:rPr>
          <w:b/>
          <w:sz w:val="24"/>
          <w:szCs w:val="24"/>
        </w:rPr>
        <w:t xml:space="preserve"> to the recommendations </w:t>
      </w:r>
    </w:p>
    <w:tbl>
      <w:tblPr>
        <w:tblStyle w:val="DFATTable1"/>
        <w:tblpPr w:leftFromText="180" w:rightFromText="180" w:vertAnchor="text" w:tblpY="1"/>
        <w:tblOverlap w:val="never"/>
        <w:tblW w:w="13892"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2552"/>
        <w:gridCol w:w="1559"/>
        <w:gridCol w:w="3686"/>
        <w:gridCol w:w="3543"/>
        <w:gridCol w:w="709"/>
        <w:gridCol w:w="1843"/>
      </w:tblGrid>
      <w:tr w:rsidR="003B30BD" w:rsidRPr="00E70EDF" w14:paraId="03666B7B" w14:textId="77777777" w:rsidTr="00161C38">
        <w:trPr>
          <w:cnfStyle w:val="100000000000" w:firstRow="1" w:lastRow="0"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552" w:type="dxa"/>
            <w:hideMark/>
          </w:tcPr>
          <w:p w14:paraId="56123985" w14:textId="77777777" w:rsidR="007229F0" w:rsidRPr="00E70EDF" w:rsidRDefault="007229F0" w:rsidP="00161C38">
            <w:pPr>
              <w:pStyle w:val="TableHeaderRow"/>
              <w:rPr>
                <w:szCs w:val="22"/>
              </w:rPr>
            </w:pPr>
            <w:r w:rsidRPr="00E70EDF">
              <w:rPr>
                <w:szCs w:val="22"/>
              </w:rPr>
              <w:t>Recommendation</w:t>
            </w:r>
          </w:p>
        </w:tc>
        <w:tc>
          <w:tcPr>
            <w:tcW w:w="1559" w:type="dxa"/>
            <w:hideMark/>
          </w:tcPr>
          <w:p w14:paraId="14357883" w14:textId="77777777" w:rsidR="007229F0" w:rsidRPr="00E70EDF" w:rsidRDefault="0076575C" w:rsidP="00161C38">
            <w:pPr>
              <w:pStyle w:val="TableHeaderRow"/>
              <w:cnfStyle w:val="100000000000" w:firstRow="1" w:lastRow="0" w:firstColumn="0" w:lastColumn="0" w:oddVBand="0" w:evenVBand="0" w:oddHBand="0" w:evenHBand="0" w:firstRowFirstColumn="0" w:firstRowLastColumn="0" w:lastRowFirstColumn="0" w:lastRowLastColumn="0"/>
              <w:rPr>
                <w:szCs w:val="22"/>
              </w:rPr>
            </w:pPr>
            <w:r>
              <w:rPr>
                <w:szCs w:val="22"/>
              </w:rPr>
              <w:t xml:space="preserve">Response </w:t>
            </w:r>
          </w:p>
        </w:tc>
        <w:tc>
          <w:tcPr>
            <w:tcW w:w="3686" w:type="dxa"/>
            <w:shd w:val="clear" w:color="auto" w:fill="5B9BD5"/>
            <w:hideMark/>
          </w:tcPr>
          <w:p w14:paraId="625D0138" w14:textId="77777777" w:rsidR="007229F0" w:rsidRPr="00E70EDF" w:rsidRDefault="007229F0" w:rsidP="00161C38">
            <w:pPr>
              <w:pStyle w:val="TableHeaderRow"/>
              <w:cnfStyle w:val="100000000000" w:firstRow="1" w:lastRow="0" w:firstColumn="0" w:lastColumn="0" w:oddVBand="0" w:evenVBand="0" w:oddHBand="0" w:evenHBand="0" w:firstRowFirstColumn="0" w:firstRowLastColumn="0" w:lastRowFirstColumn="0" w:lastRowLastColumn="0"/>
              <w:rPr>
                <w:szCs w:val="22"/>
              </w:rPr>
            </w:pPr>
            <w:r w:rsidRPr="00E70EDF">
              <w:rPr>
                <w:szCs w:val="22"/>
              </w:rPr>
              <w:t xml:space="preserve">Explanation </w:t>
            </w:r>
          </w:p>
        </w:tc>
        <w:tc>
          <w:tcPr>
            <w:tcW w:w="3543" w:type="dxa"/>
            <w:hideMark/>
          </w:tcPr>
          <w:p w14:paraId="2504B410" w14:textId="77777777" w:rsidR="007229F0" w:rsidRPr="00E70EDF" w:rsidRDefault="007229F0" w:rsidP="00161C38">
            <w:pPr>
              <w:pStyle w:val="TableHeaderRow"/>
              <w:cnfStyle w:val="100000000000" w:firstRow="1" w:lastRow="0" w:firstColumn="0" w:lastColumn="0" w:oddVBand="0" w:evenVBand="0" w:oddHBand="0" w:evenHBand="0" w:firstRowFirstColumn="0" w:firstRowLastColumn="0" w:lastRowFirstColumn="0" w:lastRowLastColumn="0"/>
              <w:rPr>
                <w:szCs w:val="22"/>
              </w:rPr>
            </w:pPr>
            <w:r w:rsidRPr="00E70EDF">
              <w:rPr>
                <w:szCs w:val="22"/>
              </w:rPr>
              <w:t xml:space="preserve">Action plan </w:t>
            </w:r>
          </w:p>
        </w:tc>
        <w:tc>
          <w:tcPr>
            <w:tcW w:w="2552" w:type="dxa"/>
            <w:gridSpan w:val="2"/>
            <w:hideMark/>
          </w:tcPr>
          <w:p w14:paraId="407C80CF" w14:textId="77777777" w:rsidR="007229F0" w:rsidRPr="0076575C" w:rsidRDefault="007229F0" w:rsidP="00161C38">
            <w:pPr>
              <w:pStyle w:val="TableHeaderRow"/>
              <w:cnfStyle w:val="100000000000" w:firstRow="1" w:lastRow="0" w:firstColumn="0" w:lastColumn="0" w:oddVBand="0" w:evenVBand="0" w:oddHBand="0" w:evenHBand="0" w:firstRowFirstColumn="0" w:firstRowLastColumn="0" w:lastRowFirstColumn="0" w:lastRowLastColumn="0"/>
              <w:rPr>
                <w:szCs w:val="22"/>
              </w:rPr>
            </w:pPr>
            <w:r w:rsidRPr="00E70EDF">
              <w:rPr>
                <w:szCs w:val="22"/>
              </w:rPr>
              <w:t>Timeframe</w:t>
            </w:r>
          </w:p>
        </w:tc>
      </w:tr>
      <w:tr w:rsidR="003B30BD" w:rsidRPr="00E70EDF" w14:paraId="03D43077" w14:textId="77777777" w:rsidTr="00161C38">
        <w:trPr>
          <w:cnfStyle w:val="000000100000" w:firstRow="0" w:lastRow="0" w:firstColumn="0" w:lastColumn="0" w:oddVBand="0" w:evenVBand="0" w:oddHBand="1" w:evenHBand="0" w:firstRowFirstColumn="0" w:firstRowLastColumn="0" w:lastRowFirstColumn="0" w:lastRowLastColumn="0"/>
          <w:trHeight w:val="4691"/>
        </w:trPr>
        <w:tc>
          <w:tcPr>
            <w:cnfStyle w:val="001000000000" w:firstRow="0" w:lastRow="0" w:firstColumn="1" w:lastColumn="0" w:oddVBand="0" w:evenVBand="0" w:oddHBand="0" w:evenHBand="0" w:firstRowFirstColumn="0" w:firstRowLastColumn="0" w:lastRowFirstColumn="0" w:lastRowLastColumn="0"/>
            <w:tcW w:w="2552" w:type="dxa"/>
            <w:hideMark/>
          </w:tcPr>
          <w:p w14:paraId="0B35FED7" w14:textId="77777777" w:rsidR="00376982" w:rsidRPr="006243EB" w:rsidRDefault="00376982" w:rsidP="00161C38">
            <w:pPr>
              <w:pStyle w:val="Heading3"/>
              <w:spacing w:before="0"/>
              <w:outlineLvl w:val="2"/>
              <w:rPr>
                <w:sz w:val="22"/>
                <w:szCs w:val="22"/>
                <w:u w:val="single"/>
              </w:rPr>
            </w:pPr>
            <w:r w:rsidRPr="006243EB">
              <w:rPr>
                <w:sz w:val="22"/>
                <w:szCs w:val="22"/>
                <w:u w:val="single"/>
              </w:rPr>
              <w:t>Recommendation 1</w:t>
            </w:r>
          </w:p>
          <w:p w14:paraId="317E3794" w14:textId="77777777" w:rsidR="007229F0" w:rsidRPr="00602A8D" w:rsidRDefault="00376982" w:rsidP="00161C38">
            <w:pPr>
              <w:pStyle w:val="BodyText"/>
            </w:pPr>
            <w:r w:rsidRPr="00E70EDF">
              <w:rPr>
                <w:b/>
              </w:rPr>
              <w:t>Senior leaders</w:t>
            </w:r>
            <w:r>
              <w:rPr>
                <w:b/>
              </w:rPr>
              <w:t xml:space="preserve"> </w:t>
            </w:r>
            <w:r w:rsidR="00AC2835">
              <w:rPr>
                <w:b/>
              </w:rPr>
              <w:t xml:space="preserve">and policy makers </w:t>
            </w:r>
            <w:r w:rsidRPr="00E70EDF">
              <w:rPr>
                <w:b/>
              </w:rPr>
              <w:t>at DFAT should define the relative priority of education in relation to other sectors</w:t>
            </w:r>
          </w:p>
        </w:tc>
        <w:tc>
          <w:tcPr>
            <w:tcW w:w="1559" w:type="dxa"/>
            <w:shd w:val="clear" w:color="auto" w:fill="FFC000"/>
            <w:hideMark/>
          </w:tcPr>
          <w:p w14:paraId="5226E874" w14:textId="77777777" w:rsidR="007229F0" w:rsidRPr="00E70EDF" w:rsidRDefault="007229F0" w:rsidP="00161C38">
            <w:pPr>
              <w:pStyle w:val="Heading3"/>
              <w:outlineLvl w:val="2"/>
              <w:cnfStyle w:val="000000100000" w:firstRow="0" w:lastRow="0" w:firstColumn="0" w:lastColumn="0" w:oddVBand="0" w:evenVBand="0" w:oddHBand="1" w:evenHBand="0" w:firstRowFirstColumn="0" w:firstRowLastColumn="0" w:lastRowFirstColumn="0" w:lastRowLastColumn="0"/>
              <w:rPr>
                <w:sz w:val="22"/>
                <w:szCs w:val="22"/>
              </w:rPr>
            </w:pPr>
            <w:r w:rsidRPr="00E70EDF">
              <w:rPr>
                <w:sz w:val="22"/>
                <w:szCs w:val="22"/>
              </w:rPr>
              <w:t xml:space="preserve">Agree in part </w:t>
            </w:r>
          </w:p>
        </w:tc>
        <w:tc>
          <w:tcPr>
            <w:tcW w:w="3686" w:type="dxa"/>
            <w:shd w:val="clear" w:color="auto" w:fill="BDD6EE" w:themeFill="accent1" w:themeFillTint="66"/>
          </w:tcPr>
          <w:p w14:paraId="39B0931E" w14:textId="5E204A64" w:rsidR="00F46F83" w:rsidRPr="00015B0A" w:rsidRDefault="00947FCE" w:rsidP="00F57BAC">
            <w:pPr>
              <w:pStyle w:val="BodyText"/>
              <w:cnfStyle w:val="000000100000" w:firstRow="0" w:lastRow="0" w:firstColumn="0" w:lastColumn="0" w:oddVBand="0" w:evenVBand="0" w:oddHBand="1" w:evenHBand="0" w:firstRowFirstColumn="0" w:firstRowLastColumn="0" w:lastRowFirstColumn="0" w:lastRowLastColumn="0"/>
            </w:pPr>
            <w:r>
              <w:t>T</w:t>
            </w:r>
            <w:r w:rsidRPr="00947FCE">
              <w:t xml:space="preserve">he relative priority </w:t>
            </w:r>
            <w:r>
              <w:t>given to</w:t>
            </w:r>
            <w:r w:rsidRPr="00947FCE">
              <w:t xml:space="preserve"> education </w:t>
            </w:r>
            <w:r w:rsidR="00F57BAC">
              <w:t>in development assistance, and what sectors to invest in (ie. early childhood, basic education, skills) is determined by a range of factors including Australian government policy, consultation with countries in the region and consultation with other development partners and relevant stakeholders.</w:t>
            </w:r>
          </w:p>
        </w:tc>
        <w:tc>
          <w:tcPr>
            <w:tcW w:w="3543" w:type="dxa"/>
            <w:shd w:val="clear" w:color="auto" w:fill="BDD6EE" w:themeFill="accent1" w:themeFillTint="66"/>
          </w:tcPr>
          <w:p w14:paraId="4608ABBB" w14:textId="3CCD6712" w:rsidR="007229F0" w:rsidRPr="00E70EDF" w:rsidRDefault="00AC2835" w:rsidP="00F57BAC">
            <w:pPr>
              <w:pStyle w:val="BodyText"/>
              <w:cnfStyle w:val="000000100000" w:firstRow="0" w:lastRow="0" w:firstColumn="0" w:lastColumn="0" w:oddVBand="0" w:evenVBand="0" w:oddHBand="1" w:evenHBand="0" w:firstRowFirstColumn="0" w:firstRowLastColumn="0" w:lastRowFirstColumn="0" w:lastRowLastColumn="0"/>
            </w:pPr>
            <w:r>
              <w:t xml:space="preserve">DFAT leaders </w:t>
            </w:r>
            <w:r w:rsidR="000A2224">
              <w:t xml:space="preserve">and Ministers </w:t>
            </w:r>
            <w:r>
              <w:t>will</w:t>
            </w:r>
            <w:r w:rsidR="000A2224">
              <w:t xml:space="preserve"> </w:t>
            </w:r>
            <w:r w:rsidR="000B1818">
              <w:t>consider</w:t>
            </w:r>
            <w:r w:rsidR="00936836">
              <w:t xml:space="preserve"> </w:t>
            </w:r>
            <w:r w:rsidR="004C642F">
              <w:t>Australia’s</w:t>
            </w:r>
            <w:r w:rsidR="00936836">
              <w:t xml:space="preserve"> approach to education and other sectors through</w:t>
            </w:r>
            <w:r w:rsidR="009E0A37">
              <w:t xml:space="preserve"> the development of a new </w:t>
            </w:r>
            <w:r w:rsidR="00C87CF5">
              <w:t xml:space="preserve">international development </w:t>
            </w:r>
            <w:r w:rsidR="009E0A37">
              <w:t>polic</w:t>
            </w:r>
            <w:r w:rsidR="00C87CF5">
              <w:t>y</w:t>
            </w:r>
            <w:r w:rsidR="009E0A37">
              <w:t>.</w:t>
            </w:r>
            <w:r w:rsidR="00936836">
              <w:t xml:space="preserve"> </w:t>
            </w:r>
            <w:r w:rsidR="00931733">
              <w:t xml:space="preserve"> </w:t>
            </w:r>
          </w:p>
        </w:tc>
        <w:tc>
          <w:tcPr>
            <w:tcW w:w="2552" w:type="dxa"/>
            <w:gridSpan w:val="2"/>
            <w:shd w:val="clear" w:color="auto" w:fill="BDD6EE" w:themeFill="accent1" w:themeFillTint="66"/>
          </w:tcPr>
          <w:p w14:paraId="55B109DC" w14:textId="77777777" w:rsidR="00485CA3" w:rsidRPr="00E70EDF" w:rsidRDefault="00077EDD" w:rsidP="00161C38">
            <w:pPr>
              <w:pStyle w:val="BodyText"/>
              <w:cnfStyle w:val="000000100000" w:firstRow="0" w:lastRow="0" w:firstColumn="0" w:lastColumn="0" w:oddVBand="0" w:evenVBand="0" w:oddHBand="1" w:evenHBand="0" w:firstRowFirstColumn="0" w:firstRowLastColumn="0" w:lastRowFirstColumn="0" w:lastRowLastColumn="0"/>
            </w:pPr>
            <w:r>
              <w:t>Alongside 2020/21 budget development processes and timeframes.</w:t>
            </w:r>
          </w:p>
        </w:tc>
      </w:tr>
      <w:tr w:rsidR="00964186" w:rsidRPr="00E70EDF" w14:paraId="6D181353" w14:textId="77777777" w:rsidTr="00161C38">
        <w:trPr>
          <w:cnfStyle w:val="000000010000" w:firstRow="0" w:lastRow="0" w:firstColumn="0" w:lastColumn="0" w:oddVBand="0" w:evenVBand="0" w:oddHBand="0" w:evenHBand="1" w:firstRowFirstColumn="0" w:firstRowLastColumn="0" w:lastRowFirstColumn="0" w:lastRowLastColumn="0"/>
          <w:trHeight w:val="3285"/>
        </w:trPr>
        <w:tc>
          <w:tcPr>
            <w:cnfStyle w:val="001000000000" w:firstRow="0" w:lastRow="0" w:firstColumn="1" w:lastColumn="0" w:oddVBand="0" w:evenVBand="0" w:oddHBand="0" w:evenHBand="0" w:firstRowFirstColumn="0" w:firstRowLastColumn="0" w:lastRowFirstColumn="0" w:lastRowLastColumn="0"/>
            <w:tcW w:w="2552" w:type="dxa"/>
            <w:hideMark/>
          </w:tcPr>
          <w:p w14:paraId="7E53FC26" w14:textId="77777777" w:rsidR="003D1BA4" w:rsidRPr="006243EB" w:rsidRDefault="003D1BA4" w:rsidP="00161C38">
            <w:pPr>
              <w:pStyle w:val="Heading3"/>
              <w:spacing w:before="0"/>
              <w:outlineLvl w:val="2"/>
              <w:rPr>
                <w:sz w:val="22"/>
                <w:szCs w:val="22"/>
                <w:u w:val="single"/>
              </w:rPr>
            </w:pPr>
            <w:r w:rsidRPr="006243EB">
              <w:rPr>
                <w:sz w:val="22"/>
                <w:szCs w:val="22"/>
                <w:u w:val="single"/>
              </w:rPr>
              <w:t>Recommendation 2</w:t>
            </w:r>
          </w:p>
          <w:p w14:paraId="76FD4379" w14:textId="77777777" w:rsidR="003D1BA4" w:rsidRDefault="003D1BA4" w:rsidP="00161C38">
            <w:pPr>
              <w:pStyle w:val="BodyText"/>
              <w:rPr>
                <w:rFonts w:asciiTheme="majorHAnsi" w:hAnsiTheme="majorHAnsi"/>
                <w:b/>
              </w:rPr>
            </w:pPr>
            <w:r w:rsidRPr="00E70EDF">
              <w:rPr>
                <w:rFonts w:asciiTheme="majorHAnsi" w:hAnsiTheme="majorHAnsi"/>
                <w:b/>
              </w:rPr>
              <w:t>The Education Section should take actions to update the Strategy in the context of the SDGs</w:t>
            </w:r>
          </w:p>
          <w:p w14:paraId="6D127AF5" w14:textId="77777777" w:rsidR="00964186" w:rsidRPr="00E70EDF" w:rsidRDefault="00964186" w:rsidP="00161C38">
            <w:pPr>
              <w:pStyle w:val="BodyText"/>
              <w:rPr>
                <w:rFonts w:asciiTheme="majorHAnsi" w:hAnsiTheme="majorHAnsi"/>
                <w:i/>
              </w:rPr>
            </w:pPr>
          </w:p>
        </w:tc>
        <w:tc>
          <w:tcPr>
            <w:tcW w:w="1559" w:type="dxa"/>
            <w:shd w:val="clear" w:color="auto" w:fill="92D050"/>
            <w:hideMark/>
          </w:tcPr>
          <w:p w14:paraId="7903E889" w14:textId="77777777" w:rsidR="00964186" w:rsidRPr="00E70EDF" w:rsidRDefault="00964186" w:rsidP="00161C38">
            <w:pPr>
              <w:pStyle w:val="Heading3"/>
              <w:outlineLvl w:val="2"/>
              <w:cnfStyle w:val="000000010000" w:firstRow="0" w:lastRow="0" w:firstColumn="0" w:lastColumn="0" w:oddVBand="0" w:evenVBand="0" w:oddHBand="0" w:evenHBand="1" w:firstRowFirstColumn="0" w:firstRowLastColumn="0" w:lastRowFirstColumn="0" w:lastRowLastColumn="0"/>
              <w:rPr>
                <w:sz w:val="22"/>
                <w:szCs w:val="22"/>
              </w:rPr>
            </w:pPr>
            <w:r w:rsidRPr="00E70EDF">
              <w:rPr>
                <w:sz w:val="22"/>
                <w:szCs w:val="22"/>
              </w:rPr>
              <w:t xml:space="preserve">Agree </w:t>
            </w:r>
          </w:p>
        </w:tc>
        <w:tc>
          <w:tcPr>
            <w:tcW w:w="3686" w:type="dxa"/>
          </w:tcPr>
          <w:p w14:paraId="25FCC064" w14:textId="3EF5C93C" w:rsidR="009E6840" w:rsidRPr="009A15F8" w:rsidRDefault="00184B2B" w:rsidP="002A481B">
            <w:pPr>
              <w:pStyle w:val="BodyText"/>
              <w:cnfStyle w:val="000000010000" w:firstRow="0" w:lastRow="0" w:firstColumn="0" w:lastColumn="0" w:oddVBand="0" w:evenVBand="0" w:oddHBand="0" w:evenHBand="1" w:firstRowFirstColumn="0" w:firstRowLastColumn="0" w:lastRowFirstColumn="0" w:lastRowLastColumn="0"/>
            </w:pPr>
            <w:r w:rsidRPr="009A15F8">
              <w:rPr>
                <w:rFonts w:asciiTheme="minorHAnsi" w:hAnsiTheme="minorHAnsi"/>
              </w:rPr>
              <w:t xml:space="preserve">The current </w:t>
            </w:r>
            <w:r w:rsidR="002A481B" w:rsidRPr="002A481B">
              <w:rPr>
                <w:rFonts w:asciiTheme="minorHAnsi" w:hAnsiTheme="minorHAnsi"/>
                <w:i/>
              </w:rPr>
              <w:t>Strategy for Australia’s aid investments in education 2015-2020</w:t>
            </w:r>
            <w:r w:rsidRPr="009A15F8">
              <w:rPr>
                <w:rFonts w:asciiTheme="minorHAnsi" w:hAnsiTheme="minorHAnsi"/>
              </w:rPr>
              <w:t xml:space="preserve"> was endorsed just prior to agreement of the SDGs.  Apart from the Strategy itself, which has not yet been updated, all other resources including DFAT’s guidelines and E-Learning resources have been updated to reflect the SDGs. </w:t>
            </w:r>
          </w:p>
        </w:tc>
        <w:tc>
          <w:tcPr>
            <w:tcW w:w="3543" w:type="dxa"/>
          </w:tcPr>
          <w:p w14:paraId="6C6D701A" w14:textId="77777777" w:rsidR="001F7624" w:rsidRPr="009A15F8" w:rsidRDefault="008E2B0C" w:rsidP="00161C38">
            <w:pPr>
              <w:pStyle w:val="BodyText"/>
              <w:cnfStyle w:val="000000010000" w:firstRow="0" w:lastRow="0" w:firstColumn="0" w:lastColumn="0" w:oddVBand="0" w:evenVBand="0" w:oddHBand="0" w:evenHBand="1" w:firstRowFirstColumn="0" w:firstRowLastColumn="0" w:lastRowFirstColumn="0" w:lastRowLastColumn="0"/>
            </w:pPr>
            <w:r w:rsidRPr="009A15F8">
              <w:rPr>
                <w:rFonts w:asciiTheme="minorHAnsi" w:hAnsiTheme="minorHAnsi"/>
              </w:rPr>
              <w:t xml:space="preserve">DFAT will </w:t>
            </w:r>
            <w:r w:rsidR="0059154A" w:rsidRPr="009A15F8">
              <w:rPr>
                <w:rFonts w:asciiTheme="minorHAnsi" w:hAnsiTheme="minorHAnsi"/>
              </w:rPr>
              <w:t xml:space="preserve">ensure </w:t>
            </w:r>
            <w:r w:rsidR="001D75AC" w:rsidRPr="009A15F8">
              <w:rPr>
                <w:rFonts w:asciiTheme="minorHAnsi" w:hAnsiTheme="minorHAnsi"/>
              </w:rPr>
              <w:t xml:space="preserve">the </w:t>
            </w:r>
            <w:r w:rsidR="0059154A" w:rsidRPr="009A15F8">
              <w:rPr>
                <w:rFonts w:asciiTheme="minorHAnsi" w:hAnsiTheme="minorHAnsi"/>
              </w:rPr>
              <w:t xml:space="preserve">next </w:t>
            </w:r>
            <w:r w:rsidR="001D75AC" w:rsidRPr="009A15F8">
              <w:rPr>
                <w:rFonts w:asciiTheme="minorHAnsi" w:hAnsiTheme="minorHAnsi"/>
              </w:rPr>
              <w:t>DFAT E</w:t>
            </w:r>
            <w:r w:rsidRPr="009A15F8">
              <w:rPr>
                <w:rFonts w:asciiTheme="minorHAnsi" w:hAnsiTheme="minorHAnsi"/>
              </w:rPr>
              <w:t xml:space="preserve">ducation </w:t>
            </w:r>
            <w:r w:rsidR="001D75AC" w:rsidRPr="009A15F8">
              <w:rPr>
                <w:rFonts w:asciiTheme="minorHAnsi" w:hAnsiTheme="minorHAnsi"/>
              </w:rPr>
              <w:t>S</w:t>
            </w:r>
            <w:r w:rsidRPr="009A15F8">
              <w:rPr>
                <w:rFonts w:asciiTheme="minorHAnsi" w:hAnsiTheme="minorHAnsi"/>
              </w:rPr>
              <w:t xml:space="preserve">trategy </w:t>
            </w:r>
            <w:r w:rsidR="0059154A" w:rsidRPr="009A15F8">
              <w:rPr>
                <w:rFonts w:asciiTheme="minorHAnsi" w:hAnsiTheme="minorHAnsi"/>
              </w:rPr>
              <w:t>or equivalent reflects</w:t>
            </w:r>
            <w:r w:rsidR="001D75AC" w:rsidRPr="009A15F8">
              <w:rPr>
                <w:rFonts w:asciiTheme="minorHAnsi" w:hAnsiTheme="minorHAnsi"/>
              </w:rPr>
              <w:t xml:space="preserve"> the context of the SDGs</w:t>
            </w:r>
            <w:r w:rsidR="00936836">
              <w:t>.</w:t>
            </w:r>
          </w:p>
        </w:tc>
        <w:tc>
          <w:tcPr>
            <w:tcW w:w="2552" w:type="dxa"/>
            <w:gridSpan w:val="2"/>
          </w:tcPr>
          <w:p w14:paraId="3D7282FE" w14:textId="1F20766E" w:rsidR="000B17C6" w:rsidRPr="009A15F8" w:rsidRDefault="002A481B" w:rsidP="00161C38">
            <w:pPr>
              <w:pStyle w:val="BodyText"/>
              <w:cnfStyle w:val="000000010000" w:firstRow="0" w:lastRow="0" w:firstColumn="0" w:lastColumn="0" w:oddVBand="0" w:evenVBand="0" w:oddHBand="0" w:evenHBand="1" w:firstRowFirstColumn="0" w:firstRowLastColumn="0" w:lastRowFirstColumn="0" w:lastRowLastColumn="0"/>
            </w:pPr>
            <w:r>
              <w:t>Expected update to occur during 2020/21.</w:t>
            </w:r>
            <w:r w:rsidR="00015B0A">
              <w:t xml:space="preserve">   </w:t>
            </w:r>
          </w:p>
        </w:tc>
      </w:tr>
      <w:tr w:rsidR="00AC75E0" w:rsidRPr="00E70EDF" w14:paraId="56A54DD2" w14:textId="77777777" w:rsidTr="00161C38">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2552" w:type="dxa"/>
            <w:shd w:val="clear" w:color="auto" w:fill="5B9BD5"/>
          </w:tcPr>
          <w:p w14:paraId="5578A949" w14:textId="66BE3DC1" w:rsidR="00401329" w:rsidRPr="00E70EDF" w:rsidRDefault="00C364BF" w:rsidP="00161C38">
            <w:pPr>
              <w:pStyle w:val="TableHeaderRow"/>
              <w:rPr>
                <w:szCs w:val="22"/>
              </w:rPr>
            </w:pPr>
            <w:r>
              <w:rPr>
                <w:szCs w:val="22"/>
              </w:rPr>
              <w:lastRenderedPageBreak/>
              <w:t>Recommendation</w:t>
            </w:r>
          </w:p>
        </w:tc>
        <w:tc>
          <w:tcPr>
            <w:tcW w:w="1559" w:type="dxa"/>
            <w:shd w:val="clear" w:color="auto" w:fill="5B9BD5"/>
            <w:hideMark/>
          </w:tcPr>
          <w:p w14:paraId="11032A7E" w14:textId="77777777" w:rsidR="00401329" w:rsidRPr="00E70EDF" w:rsidRDefault="000B17C6" w:rsidP="00161C38">
            <w:pPr>
              <w:pStyle w:val="TableHeaderRow"/>
              <w:cnfStyle w:val="000000100000" w:firstRow="0" w:lastRow="0" w:firstColumn="0" w:lastColumn="0" w:oddVBand="0" w:evenVBand="0" w:oddHBand="1" w:evenHBand="0" w:firstRowFirstColumn="0" w:firstRowLastColumn="0" w:lastRowFirstColumn="0" w:lastRowLastColumn="0"/>
              <w:rPr>
                <w:szCs w:val="22"/>
              </w:rPr>
            </w:pPr>
            <w:r>
              <w:rPr>
                <w:szCs w:val="22"/>
              </w:rPr>
              <w:t xml:space="preserve">Response </w:t>
            </w:r>
          </w:p>
        </w:tc>
        <w:tc>
          <w:tcPr>
            <w:tcW w:w="3686" w:type="dxa"/>
            <w:shd w:val="clear" w:color="auto" w:fill="5B9BD5"/>
            <w:hideMark/>
          </w:tcPr>
          <w:p w14:paraId="4181D680" w14:textId="4B9E1DB7" w:rsidR="00632082" w:rsidRDefault="00401329" w:rsidP="00161C38">
            <w:pPr>
              <w:pStyle w:val="TableHeaderRow"/>
              <w:cnfStyle w:val="000000100000" w:firstRow="0" w:lastRow="0" w:firstColumn="0" w:lastColumn="0" w:oddVBand="0" w:evenVBand="0" w:oddHBand="1" w:evenHBand="0" w:firstRowFirstColumn="0" w:firstRowLastColumn="0" w:lastRowFirstColumn="0" w:lastRowLastColumn="0"/>
              <w:rPr>
                <w:szCs w:val="22"/>
              </w:rPr>
            </w:pPr>
            <w:r w:rsidRPr="00E70EDF">
              <w:rPr>
                <w:szCs w:val="22"/>
              </w:rPr>
              <w:t xml:space="preserve">Explanation </w:t>
            </w:r>
          </w:p>
          <w:p w14:paraId="0BE6C13D" w14:textId="77777777" w:rsidR="00401329" w:rsidRPr="00161C38" w:rsidRDefault="00401329" w:rsidP="00161C38">
            <w:pPr>
              <w:cnfStyle w:val="000000100000" w:firstRow="0" w:lastRow="0" w:firstColumn="0" w:lastColumn="0" w:oddVBand="0" w:evenVBand="0" w:oddHBand="1" w:evenHBand="0" w:firstRowFirstColumn="0" w:firstRowLastColumn="0" w:lastRowFirstColumn="0" w:lastRowLastColumn="0"/>
              <w:rPr>
                <w:b/>
                <w:color w:val="FFFFFF" w:themeColor="background1"/>
              </w:rPr>
            </w:pPr>
          </w:p>
        </w:tc>
        <w:tc>
          <w:tcPr>
            <w:tcW w:w="4252" w:type="dxa"/>
            <w:gridSpan w:val="2"/>
            <w:shd w:val="clear" w:color="auto" w:fill="5B9BD5"/>
            <w:hideMark/>
          </w:tcPr>
          <w:p w14:paraId="2D0EC537" w14:textId="77777777" w:rsidR="00401329" w:rsidRPr="00E70EDF" w:rsidRDefault="00401329" w:rsidP="00161C38">
            <w:pPr>
              <w:pStyle w:val="TableHeaderRow"/>
              <w:cnfStyle w:val="000000100000" w:firstRow="0" w:lastRow="0" w:firstColumn="0" w:lastColumn="0" w:oddVBand="0" w:evenVBand="0" w:oddHBand="1" w:evenHBand="0" w:firstRowFirstColumn="0" w:firstRowLastColumn="0" w:lastRowFirstColumn="0" w:lastRowLastColumn="0"/>
              <w:rPr>
                <w:szCs w:val="22"/>
              </w:rPr>
            </w:pPr>
            <w:r w:rsidRPr="00E70EDF">
              <w:rPr>
                <w:szCs w:val="22"/>
              </w:rPr>
              <w:t xml:space="preserve">Action plan </w:t>
            </w:r>
          </w:p>
        </w:tc>
        <w:tc>
          <w:tcPr>
            <w:tcW w:w="1843" w:type="dxa"/>
            <w:shd w:val="clear" w:color="auto" w:fill="5B9BD5"/>
            <w:hideMark/>
          </w:tcPr>
          <w:p w14:paraId="2AB0AB38" w14:textId="77777777" w:rsidR="00401329" w:rsidRPr="000B17C6" w:rsidRDefault="00401329" w:rsidP="00161C38">
            <w:pPr>
              <w:pStyle w:val="TableHeaderRow"/>
              <w:cnfStyle w:val="000000100000" w:firstRow="0" w:lastRow="0" w:firstColumn="0" w:lastColumn="0" w:oddVBand="0" w:evenVBand="0" w:oddHBand="1" w:evenHBand="0" w:firstRowFirstColumn="0" w:firstRowLastColumn="0" w:lastRowFirstColumn="0" w:lastRowLastColumn="0"/>
              <w:rPr>
                <w:szCs w:val="22"/>
              </w:rPr>
            </w:pPr>
            <w:r w:rsidRPr="00E70EDF">
              <w:rPr>
                <w:szCs w:val="22"/>
              </w:rPr>
              <w:t>Timeframe</w:t>
            </w:r>
          </w:p>
        </w:tc>
      </w:tr>
      <w:tr w:rsidR="002C7F59" w:rsidRPr="00E70EDF" w14:paraId="4151BE31" w14:textId="77777777" w:rsidTr="00161C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hideMark/>
          </w:tcPr>
          <w:p w14:paraId="1EA76043" w14:textId="77777777" w:rsidR="000B17C6" w:rsidRPr="002C7F59" w:rsidRDefault="000B17C6" w:rsidP="00161C38">
            <w:pPr>
              <w:pStyle w:val="Heading3"/>
              <w:spacing w:before="0"/>
              <w:outlineLvl w:val="2"/>
              <w:rPr>
                <w:sz w:val="22"/>
                <w:szCs w:val="22"/>
                <w:u w:val="single"/>
              </w:rPr>
            </w:pPr>
            <w:r w:rsidRPr="002C7F59">
              <w:rPr>
                <w:sz w:val="22"/>
                <w:szCs w:val="22"/>
                <w:u w:val="single"/>
              </w:rPr>
              <w:t>Recommendation 3</w:t>
            </w:r>
          </w:p>
          <w:p w14:paraId="16249E31" w14:textId="77777777" w:rsidR="000B17C6" w:rsidRDefault="000B17C6" w:rsidP="00161C38">
            <w:pPr>
              <w:pStyle w:val="BodyText"/>
              <w:spacing w:after="0" w:line="240" w:lineRule="auto"/>
              <w:contextualSpacing/>
              <w:rPr>
                <w:rFonts w:asciiTheme="majorHAnsi" w:hAnsiTheme="majorHAnsi"/>
                <w:b/>
              </w:rPr>
            </w:pPr>
            <w:r w:rsidRPr="00E70EDF">
              <w:rPr>
                <w:rFonts w:asciiTheme="majorHAnsi" w:hAnsiTheme="majorHAnsi"/>
                <w:b/>
              </w:rPr>
              <w:t>Senior leaders at DFAT should increase the accountability for education investments and address the capacity implications for realising the principles of the Strategy</w:t>
            </w:r>
            <w:r w:rsidR="00E5574B">
              <w:rPr>
                <w:rFonts w:asciiTheme="majorHAnsi" w:hAnsiTheme="majorHAnsi"/>
                <w:b/>
              </w:rPr>
              <w:t>.</w:t>
            </w:r>
          </w:p>
          <w:p w14:paraId="15D58BF4" w14:textId="77777777" w:rsidR="00401329" w:rsidRPr="00034294" w:rsidRDefault="00401329" w:rsidP="00161C38">
            <w:pPr>
              <w:rPr>
                <w:lang w:val="en-AU"/>
              </w:rPr>
            </w:pPr>
          </w:p>
        </w:tc>
        <w:tc>
          <w:tcPr>
            <w:tcW w:w="1559" w:type="dxa"/>
            <w:shd w:val="clear" w:color="auto" w:fill="FFC000"/>
            <w:hideMark/>
          </w:tcPr>
          <w:p w14:paraId="3C66D46D" w14:textId="77777777" w:rsidR="00401329" w:rsidRPr="00E70EDF" w:rsidRDefault="00401329" w:rsidP="00161C38">
            <w:pPr>
              <w:pStyle w:val="Heading3"/>
              <w:outlineLvl w:val="2"/>
              <w:cnfStyle w:val="000000010000" w:firstRow="0" w:lastRow="0" w:firstColumn="0" w:lastColumn="0" w:oddVBand="0" w:evenVBand="0" w:oddHBand="0" w:evenHBand="1" w:firstRowFirstColumn="0" w:firstRowLastColumn="0" w:lastRowFirstColumn="0" w:lastRowLastColumn="0"/>
              <w:rPr>
                <w:sz w:val="22"/>
                <w:szCs w:val="22"/>
              </w:rPr>
            </w:pPr>
            <w:r w:rsidRPr="00E70EDF">
              <w:rPr>
                <w:sz w:val="22"/>
                <w:szCs w:val="22"/>
              </w:rPr>
              <w:t xml:space="preserve">Agree </w:t>
            </w:r>
            <w:r w:rsidR="004422C7">
              <w:rPr>
                <w:sz w:val="22"/>
                <w:szCs w:val="22"/>
              </w:rPr>
              <w:t>in part</w:t>
            </w:r>
          </w:p>
        </w:tc>
        <w:tc>
          <w:tcPr>
            <w:tcW w:w="3686" w:type="dxa"/>
          </w:tcPr>
          <w:p w14:paraId="4FF029B2" w14:textId="77777777" w:rsidR="00077EDD" w:rsidRPr="00497A00" w:rsidRDefault="00077EDD" w:rsidP="00161C38">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97A00">
              <w:rPr>
                <w:rFonts w:asciiTheme="minorHAnsi" w:hAnsiTheme="minorHAnsi"/>
              </w:rPr>
              <w:t xml:space="preserve">Strong accountability mechanisms already exist including internal </w:t>
            </w:r>
            <w:r w:rsidR="008D127C" w:rsidRPr="00497A00">
              <w:rPr>
                <w:rFonts w:asciiTheme="minorHAnsi" w:hAnsiTheme="minorHAnsi"/>
              </w:rPr>
              <w:t xml:space="preserve">and external </w:t>
            </w:r>
            <w:r w:rsidRPr="00497A00">
              <w:rPr>
                <w:rFonts w:asciiTheme="minorHAnsi" w:hAnsiTheme="minorHAnsi"/>
              </w:rPr>
              <w:t xml:space="preserve">scrutiny through </w:t>
            </w:r>
            <w:r w:rsidR="008D127C" w:rsidRPr="00497A00">
              <w:rPr>
                <w:rFonts w:asciiTheme="minorHAnsi" w:hAnsiTheme="minorHAnsi"/>
              </w:rPr>
              <w:t>quality assurance</w:t>
            </w:r>
            <w:r w:rsidRPr="00497A00">
              <w:rPr>
                <w:rFonts w:asciiTheme="minorHAnsi" w:hAnsiTheme="minorHAnsi"/>
              </w:rPr>
              <w:t xml:space="preserve"> requirements at all stages of the programming cycle (concept, design, implementation, and completion).</w:t>
            </w:r>
            <w:r w:rsidR="004422C7" w:rsidRPr="00497A00">
              <w:rPr>
                <w:rFonts w:asciiTheme="minorHAnsi" w:hAnsiTheme="minorHAnsi"/>
              </w:rPr>
              <w:t xml:space="preserve"> </w:t>
            </w:r>
          </w:p>
          <w:p w14:paraId="4B7C722C" w14:textId="77777777" w:rsidR="007358DF" w:rsidRPr="00497A00" w:rsidRDefault="00077EDD" w:rsidP="00161C38">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97A00">
              <w:rPr>
                <w:rFonts w:asciiTheme="minorHAnsi" w:hAnsiTheme="minorHAnsi"/>
              </w:rPr>
              <w:t xml:space="preserve">However, </w:t>
            </w:r>
            <w:r w:rsidR="007358DF" w:rsidRPr="00497A00">
              <w:rPr>
                <w:rFonts w:asciiTheme="minorHAnsi" w:hAnsiTheme="minorHAnsi"/>
              </w:rPr>
              <w:t xml:space="preserve">DFAT agrees </w:t>
            </w:r>
            <w:r w:rsidRPr="00497A00">
              <w:rPr>
                <w:rFonts w:asciiTheme="minorHAnsi" w:hAnsiTheme="minorHAnsi"/>
              </w:rPr>
              <w:t xml:space="preserve">that there is scope to provide increased technical support </w:t>
            </w:r>
            <w:r w:rsidR="008D127C" w:rsidRPr="00497A00">
              <w:rPr>
                <w:rFonts w:asciiTheme="minorHAnsi" w:hAnsiTheme="minorHAnsi"/>
              </w:rPr>
              <w:t>for education across the program cycle</w:t>
            </w:r>
            <w:r w:rsidR="007358DF" w:rsidRPr="00497A00">
              <w:rPr>
                <w:rFonts w:asciiTheme="minorHAnsi" w:hAnsiTheme="minorHAnsi"/>
              </w:rPr>
              <w:t>.</w:t>
            </w:r>
          </w:p>
          <w:p w14:paraId="0D43528F" w14:textId="77777777" w:rsidR="00C87CF5" w:rsidRPr="00497A00" w:rsidRDefault="00C87CF5" w:rsidP="00161C38">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 xml:space="preserve">DFAT also recognises the important role of its locally engaged staff working on education, many of whom bring extensive sectoral experience and long standing in-country networks. </w:t>
            </w:r>
          </w:p>
          <w:p w14:paraId="0034DA08" w14:textId="77777777" w:rsidR="00401329" w:rsidRPr="00497A00" w:rsidRDefault="00401329" w:rsidP="00161C38">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4252" w:type="dxa"/>
            <w:gridSpan w:val="2"/>
          </w:tcPr>
          <w:p w14:paraId="069D026F" w14:textId="21DEDCA4" w:rsidR="00342893" w:rsidRDefault="000B1818" w:rsidP="00161C38">
            <w:pPr>
              <w:pStyle w:val="BodyText"/>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97A00">
              <w:rPr>
                <w:rFonts w:asciiTheme="minorHAnsi" w:hAnsiTheme="minorHAnsi"/>
              </w:rPr>
              <w:t>DFAT will continue to address issues of accountability and transparency through its organisational performance planning and monitoring</w:t>
            </w:r>
            <w:r w:rsidR="00342893" w:rsidRPr="00497A00">
              <w:rPr>
                <w:rFonts w:asciiTheme="minorHAnsi" w:hAnsiTheme="minorHAnsi"/>
              </w:rPr>
              <w:t xml:space="preserve"> reform program</w:t>
            </w:r>
            <w:r w:rsidRPr="00497A00">
              <w:rPr>
                <w:rFonts w:asciiTheme="minorHAnsi" w:hAnsiTheme="minorHAnsi"/>
              </w:rPr>
              <w:t>.</w:t>
            </w:r>
          </w:p>
          <w:p w14:paraId="66CC82F6" w14:textId="5DAEA640" w:rsidR="002A7898" w:rsidRDefault="002A7898" w:rsidP="00161C38">
            <w:pPr>
              <w:pStyle w:val="BodyText"/>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 xml:space="preserve">DFAT established an International Capability Task Group in 2018 to </w:t>
            </w:r>
            <w:r w:rsidR="002A481B">
              <w:rPr>
                <w:rFonts w:asciiTheme="minorHAnsi" w:hAnsiTheme="minorHAnsi"/>
              </w:rPr>
              <w:t>consider</w:t>
            </w:r>
            <w:r>
              <w:rPr>
                <w:rFonts w:asciiTheme="minorHAnsi" w:hAnsiTheme="minorHAnsi"/>
              </w:rPr>
              <w:t xml:space="preserve"> how best to attract, retain and grow </w:t>
            </w:r>
            <w:r w:rsidR="002A481B">
              <w:rPr>
                <w:rFonts w:asciiTheme="minorHAnsi" w:hAnsiTheme="minorHAnsi"/>
              </w:rPr>
              <w:t xml:space="preserve">international </w:t>
            </w:r>
            <w:r>
              <w:rPr>
                <w:rFonts w:asciiTheme="minorHAnsi" w:hAnsiTheme="minorHAnsi"/>
              </w:rPr>
              <w:t>development capability including in education. This includes developing specific strategies to retain skilled Locally Engaged Staff.</w:t>
            </w:r>
          </w:p>
          <w:p w14:paraId="7DC3354C" w14:textId="32CA6922" w:rsidR="002A7898" w:rsidRPr="00497A00" w:rsidRDefault="002A7898" w:rsidP="00161C38">
            <w:pPr>
              <w:pStyle w:val="BodyText"/>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 xml:space="preserve">As part of this approach targeted recruitment for </w:t>
            </w:r>
            <w:r w:rsidR="002A481B">
              <w:rPr>
                <w:rFonts w:asciiTheme="minorHAnsi" w:hAnsiTheme="minorHAnsi"/>
              </w:rPr>
              <w:t>sector specialists, including in education, is currently being trialled.</w:t>
            </w:r>
          </w:p>
          <w:p w14:paraId="5072FF2B" w14:textId="56D2450C" w:rsidR="00401329" w:rsidRPr="00497A00" w:rsidRDefault="002A7898" w:rsidP="00161C38">
            <w:pPr>
              <w:pStyle w:val="BodyText"/>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In addition the Education Section will work to enhance staff</w:t>
            </w:r>
            <w:r w:rsidR="00BF4A85" w:rsidRPr="00497A00">
              <w:rPr>
                <w:rFonts w:asciiTheme="minorHAnsi" w:hAnsiTheme="minorHAnsi"/>
              </w:rPr>
              <w:t xml:space="preserve"> </w:t>
            </w:r>
            <w:r>
              <w:rPr>
                <w:rFonts w:asciiTheme="minorHAnsi" w:hAnsiTheme="minorHAnsi"/>
              </w:rPr>
              <w:t>capability on education t</w:t>
            </w:r>
            <w:r w:rsidR="00BF4A85" w:rsidRPr="00497A00">
              <w:rPr>
                <w:rFonts w:asciiTheme="minorHAnsi" w:hAnsiTheme="minorHAnsi"/>
              </w:rPr>
              <w:t>hrough:</w:t>
            </w:r>
          </w:p>
          <w:p w14:paraId="1EE0D755" w14:textId="77777777" w:rsidR="00E5574B" w:rsidRPr="00497A00" w:rsidRDefault="00E5574B" w:rsidP="00161C38">
            <w:pPr>
              <w:pStyle w:val="BodyText"/>
              <w:numPr>
                <w:ilvl w:val="0"/>
                <w:numId w:val="15"/>
              </w:numPr>
              <w:spacing w:before="0" w:after="0"/>
              <w:ind w:left="357" w:hanging="357"/>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97A00">
              <w:rPr>
                <w:rFonts w:asciiTheme="minorHAnsi" w:hAnsiTheme="minorHAnsi"/>
              </w:rPr>
              <w:t>establishment of a new technical assistance panel including a focus on education</w:t>
            </w:r>
          </w:p>
          <w:p w14:paraId="32B19EB0" w14:textId="77777777" w:rsidR="00BF4A85" w:rsidRPr="00497A00" w:rsidRDefault="00576A66" w:rsidP="00161C38">
            <w:pPr>
              <w:pStyle w:val="BodyText"/>
              <w:numPr>
                <w:ilvl w:val="0"/>
                <w:numId w:val="15"/>
              </w:numPr>
              <w:spacing w:before="0" w:after="0"/>
              <w:ind w:left="357" w:hanging="357"/>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97A00">
              <w:rPr>
                <w:rFonts w:asciiTheme="minorHAnsi" w:hAnsiTheme="minorHAnsi"/>
              </w:rPr>
              <w:t xml:space="preserve">continued support for an </w:t>
            </w:r>
            <w:r w:rsidR="00BF4A85" w:rsidRPr="00497A00">
              <w:rPr>
                <w:rFonts w:asciiTheme="minorHAnsi" w:hAnsiTheme="minorHAnsi"/>
              </w:rPr>
              <w:t xml:space="preserve">active </w:t>
            </w:r>
            <w:r w:rsidRPr="00497A00">
              <w:rPr>
                <w:rFonts w:asciiTheme="minorHAnsi" w:hAnsiTheme="minorHAnsi"/>
              </w:rPr>
              <w:t>DFAT Education C</w:t>
            </w:r>
            <w:r w:rsidR="00BF4A85" w:rsidRPr="00497A00">
              <w:rPr>
                <w:rFonts w:asciiTheme="minorHAnsi" w:hAnsiTheme="minorHAnsi"/>
              </w:rPr>
              <w:t xml:space="preserve">ommunity of </w:t>
            </w:r>
            <w:r w:rsidRPr="00497A00">
              <w:rPr>
                <w:rFonts w:asciiTheme="minorHAnsi" w:hAnsiTheme="minorHAnsi"/>
              </w:rPr>
              <w:t>Practice</w:t>
            </w:r>
            <w:r w:rsidR="00936836" w:rsidRPr="00497A00">
              <w:rPr>
                <w:rFonts w:asciiTheme="minorHAnsi" w:hAnsiTheme="minorHAnsi"/>
              </w:rPr>
              <w:t xml:space="preserve"> including </w:t>
            </w:r>
            <w:r w:rsidR="00BF4A85" w:rsidRPr="00497A00">
              <w:rPr>
                <w:rFonts w:asciiTheme="minorHAnsi" w:hAnsiTheme="minorHAnsi"/>
              </w:rPr>
              <w:t>bien</w:t>
            </w:r>
            <w:r w:rsidR="00A07A7C" w:rsidRPr="00497A00">
              <w:rPr>
                <w:rFonts w:asciiTheme="minorHAnsi" w:hAnsiTheme="minorHAnsi"/>
              </w:rPr>
              <w:t xml:space="preserve">nial </w:t>
            </w:r>
            <w:r w:rsidRPr="00497A00">
              <w:rPr>
                <w:rFonts w:asciiTheme="minorHAnsi" w:hAnsiTheme="minorHAnsi"/>
              </w:rPr>
              <w:t>E</w:t>
            </w:r>
            <w:r w:rsidR="00A07A7C" w:rsidRPr="00497A00">
              <w:rPr>
                <w:rFonts w:asciiTheme="minorHAnsi" w:hAnsiTheme="minorHAnsi"/>
              </w:rPr>
              <w:t xml:space="preserve">ducation </w:t>
            </w:r>
            <w:r w:rsidRPr="00497A00">
              <w:rPr>
                <w:rFonts w:asciiTheme="minorHAnsi" w:hAnsiTheme="minorHAnsi"/>
              </w:rPr>
              <w:t>Policy Forum</w:t>
            </w:r>
            <w:r w:rsidR="00936836" w:rsidRPr="00497A00">
              <w:rPr>
                <w:rFonts w:asciiTheme="minorHAnsi" w:hAnsiTheme="minorHAnsi"/>
              </w:rPr>
              <w:t>s</w:t>
            </w:r>
            <w:r w:rsidRPr="00497A00">
              <w:rPr>
                <w:rFonts w:asciiTheme="minorHAnsi" w:hAnsiTheme="minorHAnsi"/>
              </w:rPr>
              <w:t xml:space="preserve"> for DFAT and external </w:t>
            </w:r>
            <w:r w:rsidR="00936836" w:rsidRPr="00497A00">
              <w:rPr>
                <w:rFonts w:asciiTheme="minorHAnsi" w:hAnsiTheme="minorHAnsi"/>
              </w:rPr>
              <w:t>partners</w:t>
            </w:r>
          </w:p>
          <w:p w14:paraId="6321925D" w14:textId="77777777" w:rsidR="00BF4A85" w:rsidRPr="00497A00" w:rsidRDefault="00576A66" w:rsidP="00161C38">
            <w:pPr>
              <w:pStyle w:val="BodyText"/>
              <w:numPr>
                <w:ilvl w:val="0"/>
                <w:numId w:val="15"/>
              </w:numPr>
              <w:spacing w:before="0" w:after="0"/>
              <w:ind w:left="357" w:hanging="357"/>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97A00">
              <w:rPr>
                <w:rFonts w:asciiTheme="minorHAnsi" w:hAnsiTheme="minorHAnsi"/>
              </w:rPr>
              <w:t>contract country-focused</w:t>
            </w:r>
            <w:r w:rsidR="00BF4A85" w:rsidRPr="00497A00">
              <w:rPr>
                <w:rFonts w:asciiTheme="minorHAnsi" w:hAnsiTheme="minorHAnsi"/>
              </w:rPr>
              <w:t xml:space="preserve"> education specialists</w:t>
            </w:r>
            <w:r w:rsidR="008D127C" w:rsidRPr="00497A00">
              <w:rPr>
                <w:rFonts w:asciiTheme="minorHAnsi" w:hAnsiTheme="minorHAnsi"/>
              </w:rPr>
              <w:t xml:space="preserve"> proportionate to complexity</w:t>
            </w:r>
          </w:p>
          <w:p w14:paraId="59AA3A7C" w14:textId="77777777" w:rsidR="00BF4A85" w:rsidRDefault="00BF4A85" w:rsidP="00161C38">
            <w:pPr>
              <w:pStyle w:val="BodyText"/>
              <w:numPr>
                <w:ilvl w:val="0"/>
                <w:numId w:val="15"/>
              </w:numPr>
              <w:spacing w:before="0" w:after="0"/>
              <w:ind w:left="357" w:hanging="357"/>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97A00">
              <w:rPr>
                <w:rFonts w:asciiTheme="minorHAnsi" w:hAnsiTheme="minorHAnsi"/>
              </w:rPr>
              <w:t xml:space="preserve">technical advice </w:t>
            </w:r>
            <w:r w:rsidR="00576A66" w:rsidRPr="00497A00">
              <w:rPr>
                <w:rFonts w:asciiTheme="minorHAnsi" w:hAnsiTheme="minorHAnsi"/>
              </w:rPr>
              <w:t>integrated into program partnerships</w:t>
            </w:r>
            <w:r w:rsidR="008D127C" w:rsidRPr="00497A00">
              <w:rPr>
                <w:rFonts w:asciiTheme="minorHAnsi" w:hAnsiTheme="minorHAnsi"/>
              </w:rPr>
              <w:t>, resources permitting</w:t>
            </w:r>
            <w:r w:rsidR="00A90E43" w:rsidRPr="00497A00">
              <w:rPr>
                <w:rFonts w:asciiTheme="minorHAnsi" w:hAnsiTheme="minorHAnsi"/>
              </w:rPr>
              <w:t>.</w:t>
            </w:r>
          </w:p>
          <w:p w14:paraId="279D5E04" w14:textId="77777777" w:rsidR="002A7898" w:rsidRDefault="002A7898" w:rsidP="002A7898">
            <w:pPr>
              <w:pStyle w:val="BodyText"/>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54DCF3A3" w14:textId="77777777" w:rsidR="002A7898" w:rsidRDefault="002A7898" w:rsidP="002A7898">
            <w:pPr>
              <w:pStyle w:val="BodyText"/>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11A0373F" w14:textId="77777777" w:rsidR="002A7898" w:rsidRDefault="002A7898" w:rsidP="002A7898">
            <w:pPr>
              <w:pStyle w:val="BodyText"/>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19F8DE1E" w14:textId="3B7BA61B" w:rsidR="002A7898" w:rsidRPr="00497A00" w:rsidRDefault="002A7898" w:rsidP="002A7898">
            <w:pPr>
              <w:pStyle w:val="BodyText"/>
              <w:spacing w:before="0" w:after="0"/>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1843" w:type="dxa"/>
          </w:tcPr>
          <w:p w14:paraId="7B6DE0B0" w14:textId="77777777" w:rsidR="00C71EC9" w:rsidRPr="00497A00" w:rsidRDefault="00A07A7C" w:rsidP="00161C38">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497A00">
              <w:rPr>
                <w:rFonts w:asciiTheme="minorHAnsi" w:hAnsiTheme="minorHAnsi"/>
              </w:rPr>
              <w:t>Commenced and o</w:t>
            </w:r>
            <w:r w:rsidR="00A85F31" w:rsidRPr="00497A00">
              <w:rPr>
                <w:rFonts w:asciiTheme="minorHAnsi" w:hAnsiTheme="minorHAnsi"/>
              </w:rPr>
              <w:t>ngoing</w:t>
            </w:r>
            <w:r w:rsidR="008560FE" w:rsidRPr="00497A00">
              <w:rPr>
                <w:rFonts w:asciiTheme="minorHAnsi" w:hAnsiTheme="minorHAnsi"/>
              </w:rPr>
              <w:t>.</w:t>
            </w:r>
          </w:p>
        </w:tc>
      </w:tr>
      <w:tr w:rsidR="00936836" w:rsidRPr="00E70EDF" w14:paraId="71B4A7B0" w14:textId="77777777" w:rsidTr="00803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7FA3A2F" w14:textId="77777777" w:rsidR="008560FE" w:rsidRPr="009A15F8" w:rsidRDefault="008560FE" w:rsidP="00161C38">
            <w:pPr>
              <w:pStyle w:val="Heading3"/>
              <w:spacing w:before="0"/>
              <w:outlineLvl w:val="2"/>
              <w:rPr>
                <w:rFonts w:eastAsiaTheme="minorHAnsi" w:cstheme="minorBidi"/>
                <w:bCs w:val="0"/>
                <w:sz w:val="22"/>
                <w:szCs w:val="22"/>
                <w:u w:val="single"/>
                <w:lang w:val="en-GB"/>
              </w:rPr>
            </w:pPr>
            <w:r w:rsidRPr="009A15F8">
              <w:rPr>
                <w:rFonts w:eastAsiaTheme="minorHAnsi" w:cstheme="minorBidi"/>
                <w:bCs w:val="0"/>
                <w:sz w:val="22"/>
                <w:szCs w:val="22"/>
                <w:u w:val="single"/>
                <w:lang w:val="en-GB"/>
              </w:rPr>
              <w:lastRenderedPageBreak/>
              <w:t>Recommendation 4</w:t>
            </w:r>
          </w:p>
          <w:p w14:paraId="55971BDA" w14:textId="77777777" w:rsidR="00936836" w:rsidRPr="002C7F59" w:rsidRDefault="008560FE" w:rsidP="00161C38">
            <w:pPr>
              <w:pStyle w:val="Heading3"/>
              <w:spacing w:before="0" w:line="240" w:lineRule="auto"/>
              <w:outlineLvl w:val="2"/>
              <w:rPr>
                <w:sz w:val="22"/>
                <w:szCs w:val="22"/>
                <w:u w:val="single"/>
              </w:rPr>
            </w:pPr>
            <w:r w:rsidRPr="009A15F8">
              <w:rPr>
                <w:rFonts w:eastAsiaTheme="minorHAnsi" w:cstheme="minorBidi"/>
                <w:b/>
                <w:bCs w:val="0"/>
                <w:sz w:val="22"/>
                <w:szCs w:val="22"/>
                <w:lang w:val="en-GB"/>
              </w:rPr>
              <w:t>The Education Section should deploy more effective mechanisms to communicate the Strategy and disseminate the Guidance Notes to support the implementation of the Strategy</w:t>
            </w:r>
            <w:r>
              <w:rPr>
                <w:rFonts w:eastAsiaTheme="minorHAnsi" w:cstheme="minorBidi"/>
                <w:b/>
                <w:bCs w:val="0"/>
                <w:sz w:val="22"/>
                <w:szCs w:val="22"/>
                <w:lang w:val="en-GB"/>
              </w:rPr>
              <w:t>.</w:t>
            </w:r>
          </w:p>
        </w:tc>
        <w:tc>
          <w:tcPr>
            <w:tcW w:w="1559" w:type="dxa"/>
            <w:shd w:val="clear" w:color="auto" w:fill="92D050"/>
          </w:tcPr>
          <w:p w14:paraId="211460ED" w14:textId="77777777" w:rsidR="00936836" w:rsidRPr="00E70EDF" w:rsidRDefault="008560FE" w:rsidP="00161C38">
            <w:pPr>
              <w:pStyle w:val="Heading3"/>
              <w:outlineLvl w:val="2"/>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Agree</w:t>
            </w:r>
          </w:p>
        </w:tc>
        <w:tc>
          <w:tcPr>
            <w:tcW w:w="3686" w:type="dxa"/>
            <w:shd w:val="clear" w:color="auto" w:fill="BDD6EE"/>
          </w:tcPr>
          <w:p w14:paraId="25D718B3" w14:textId="01D3915E" w:rsidR="00936836" w:rsidRPr="00497A00" w:rsidRDefault="00936836" w:rsidP="001A011A">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4252" w:type="dxa"/>
            <w:gridSpan w:val="2"/>
            <w:shd w:val="clear" w:color="auto" w:fill="BDD6EE"/>
          </w:tcPr>
          <w:p w14:paraId="47DB5222" w14:textId="6E2E20E2" w:rsidR="008560FE" w:rsidRPr="00497A00" w:rsidRDefault="008560FE" w:rsidP="00161C38">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97A00">
              <w:rPr>
                <w:rFonts w:asciiTheme="minorHAnsi" w:hAnsiTheme="minorHAnsi"/>
              </w:rPr>
              <w:t xml:space="preserve">DFAT (Education Section) will update </w:t>
            </w:r>
            <w:r w:rsidR="009A15F8" w:rsidRPr="00497A00">
              <w:rPr>
                <w:rFonts w:asciiTheme="minorHAnsi" w:hAnsiTheme="minorHAnsi"/>
              </w:rPr>
              <w:t xml:space="preserve">the </w:t>
            </w:r>
            <w:r w:rsidRPr="00497A00">
              <w:rPr>
                <w:rFonts w:asciiTheme="minorHAnsi" w:hAnsiTheme="minorHAnsi"/>
              </w:rPr>
              <w:t>Education Strategy and related resources</w:t>
            </w:r>
            <w:r w:rsidR="00926C5D">
              <w:rPr>
                <w:rFonts w:asciiTheme="minorHAnsi" w:hAnsiTheme="minorHAnsi"/>
              </w:rPr>
              <w:t xml:space="preserve"> in line with the new International Development Policy and refresh its communication strategy at the same time.</w:t>
            </w:r>
          </w:p>
          <w:p w14:paraId="43EACAA7" w14:textId="522EE787" w:rsidR="008560FE" w:rsidRDefault="008560FE" w:rsidP="00161C38">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97A00">
              <w:rPr>
                <w:rFonts w:asciiTheme="minorHAnsi" w:hAnsiTheme="minorHAnsi"/>
              </w:rPr>
              <w:t>DFAT (Education Section) will use its existing Community of Practice (including regular meetings, quarterly newsletters and forums) to communicate the</w:t>
            </w:r>
            <w:r w:rsidR="00926C5D">
              <w:rPr>
                <w:rFonts w:asciiTheme="minorHAnsi" w:hAnsiTheme="minorHAnsi"/>
              </w:rPr>
              <w:t xml:space="preserve"> updated</w:t>
            </w:r>
            <w:r w:rsidRPr="00497A00">
              <w:rPr>
                <w:rFonts w:asciiTheme="minorHAnsi" w:hAnsiTheme="minorHAnsi"/>
              </w:rPr>
              <w:t xml:space="preserve"> Strategy and related resources.</w:t>
            </w:r>
          </w:p>
          <w:p w14:paraId="3E70B82D" w14:textId="77777777" w:rsidR="001A011A" w:rsidRPr="00497A00" w:rsidRDefault="001A011A" w:rsidP="001A011A">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DFAT (Education Section) hosted an Education Forum on 4-5 November 2019 with strong engagement from DFAT staff working on education and external stakeholders from NGOs, academia, multilateral organisations and contracts.  Discussions will directly inform update of guidance and resource notes during 2020.  </w:t>
            </w:r>
          </w:p>
          <w:p w14:paraId="6C7510AA" w14:textId="77777777" w:rsidR="001A011A" w:rsidRDefault="001A011A" w:rsidP="00161C38">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16D3C84" w14:textId="22B14269" w:rsidR="00936836" w:rsidRPr="00497A00" w:rsidRDefault="00936836" w:rsidP="001055FC">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43" w:type="dxa"/>
            <w:shd w:val="clear" w:color="auto" w:fill="BDD6EE"/>
          </w:tcPr>
          <w:p w14:paraId="76B7513E" w14:textId="014863ED" w:rsidR="00936836" w:rsidRPr="00497A00" w:rsidRDefault="008560FE" w:rsidP="00926C5D">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97A00">
              <w:rPr>
                <w:rFonts w:asciiTheme="minorHAnsi" w:hAnsiTheme="minorHAnsi"/>
              </w:rPr>
              <w:t xml:space="preserve">Commenced and ongoing.  Annual surveys of education stakeholders will </w:t>
            </w:r>
            <w:r w:rsidR="00926C5D">
              <w:rPr>
                <w:rFonts w:asciiTheme="minorHAnsi" w:hAnsiTheme="minorHAnsi"/>
              </w:rPr>
              <w:t>assist to ensure</w:t>
            </w:r>
            <w:r w:rsidRPr="00497A00">
              <w:rPr>
                <w:rFonts w:asciiTheme="minorHAnsi" w:hAnsiTheme="minorHAnsi"/>
              </w:rPr>
              <w:t xml:space="preserve"> our efforts are effective</w:t>
            </w:r>
            <w:r w:rsidR="00926C5D">
              <w:rPr>
                <w:rFonts w:asciiTheme="minorHAnsi" w:hAnsiTheme="minorHAnsi"/>
              </w:rPr>
              <w:t xml:space="preserve"> going forward</w:t>
            </w:r>
            <w:r w:rsidRPr="00497A00">
              <w:rPr>
                <w:rFonts w:asciiTheme="minorHAnsi" w:hAnsiTheme="minorHAnsi"/>
              </w:rPr>
              <w:t>.</w:t>
            </w:r>
          </w:p>
        </w:tc>
      </w:tr>
    </w:tbl>
    <w:p w14:paraId="3A9207FE" w14:textId="33C13EA8" w:rsidR="00934A9C" w:rsidRPr="00E70EDF" w:rsidRDefault="00934A9C" w:rsidP="00497A00">
      <w:pPr>
        <w:pStyle w:val="BodyText"/>
      </w:pPr>
    </w:p>
    <w:sectPr w:rsidR="00934A9C" w:rsidRPr="00E70EDF" w:rsidSect="009A15F8">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84FA4" w14:textId="77777777" w:rsidR="00A85F31" w:rsidRDefault="00A85F31" w:rsidP="00A85F31">
      <w:pPr>
        <w:spacing w:before="0" w:after="0" w:line="240" w:lineRule="auto"/>
      </w:pPr>
      <w:r>
        <w:separator/>
      </w:r>
    </w:p>
  </w:endnote>
  <w:endnote w:type="continuationSeparator" w:id="0">
    <w:p w14:paraId="204AA3FC" w14:textId="77777777" w:rsidR="00A85F31" w:rsidRDefault="00A85F31" w:rsidP="00A85F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C6E51" w14:textId="77777777" w:rsidR="007D33A6" w:rsidRDefault="007D3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6F44F" w14:textId="77777777" w:rsidR="007D33A6" w:rsidRDefault="007D3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0846B" w14:textId="77777777" w:rsidR="007D33A6" w:rsidRDefault="007D3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0ABB5" w14:textId="77777777" w:rsidR="00A85F31" w:rsidRDefault="00A85F31" w:rsidP="00A85F31">
      <w:pPr>
        <w:spacing w:before="0" w:after="0" w:line="240" w:lineRule="auto"/>
      </w:pPr>
      <w:r>
        <w:separator/>
      </w:r>
    </w:p>
  </w:footnote>
  <w:footnote w:type="continuationSeparator" w:id="0">
    <w:p w14:paraId="01CC69BA" w14:textId="77777777" w:rsidR="00A85F31" w:rsidRDefault="00A85F31" w:rsidP="00A85F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1D401" w14:textId="77777777" w:rsidR="007D33A6" w:rsidRDefault="007D3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B7C54" w14:textId="77777777" w:rsidR="007D33A6" w:rsidRDefault="007D33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590E7" w14:textId="77777777" w:rsidR="007D33A6" w:rsidRDefault="007D3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97F2E"/>
    <w:multiLevelType w:val="hybridMultilevel"/>
    <w:tmpl w:val="EA648B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7576440"/>
    <w:multiLevelType w:val="hybridMultilevel"/>
    <w:tmpl w:val="94E6C5FE"/>
    <w:lvl w:ilvl="0" w:tplc="529EE68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B61D2F"/>
    <w:multiLevelType w:val="hybridMultilevel"/>
    <w:tmpl w:val="750023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EC6179D"/>
    <w:multiLevelType w:val="hybridMultilevel"/>
    <w:tmpl w:val="3CAAD8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76F6ECF"/>
    <w:multiLevelType w:val="hybridMultilevel"/>
    <w:tmpl w:val="ABD8ED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74672C"/>
    <w:multiLevelType w:val="hybridMultilevel"/>
    <w:tmpl w:val="AA785C5E"/>
    <w:lvl w:ilvl="0" w:tplc="04ACA28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17670EF"/>
    <w:multiLevelType w:val="hybridMultilevel"/>
    <w:tmpl w:val="3894D876"/>
    <w:lvl w:ilvl="0" w:tplc="FDDC8F0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3F39D9"/>
    <w:multiLevelType w:val="hybridMultilevel"/>
    <w:tmpl w:val="4502ADE0"/>
    <w:lvl w:ilvl="0" w:tplc="007CDEA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995E8C"/>
    <w:multiLevelType w:val="hybridMultilevel"/>
    <w:tmpl w:val="EE1E9D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D56043A"/>
    <w:multiLevelType w:val="multilevel"/>
    <w:tmpl w:val="69AEB596"/>
    <w:numStyleLink w:val="BulletsList"/>
  </w:abstractNum>
  <w:abstractNum w:abstractNumId="10" w15:restartNumberingAfterBreak="0">
    <w:nsid w:val="5EC501D7"/>
    <w:multiLevelType w:val="hybridMultilevel"/>
    <w:tmpl w:val="AB043118"/>
    <w:lvl w:ilvl="0" w:tplc="1D4C34B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F0872EA"/>
    <w:multiLevelType w:val="hybridMultilevel"/>
    <w:tmpl w:val="ABA4256C"/>
    <w:lvl w:ilvl="0" w:tplc="8FD69EC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E1862A4"/>
    <w:multiLevelType w:val="hybridMultilevel"/>
    <w:tmpl w:val="5A7497E8"/>
    <w:lvl w:ilvl="0" w:tplc="795C1996">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1A473E4"/>
    <w:multiLevelType w:val="hybridMultilevel"/>
    <w:tmpl w:val="717C38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5" w15:restartNumberingAfterBreak="0">
    <w:nsid w:val="75953698"/>
    <w:multiLevelType w:val="hybridMultilevel"/>
    <w:tmpl w:val="460E0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3"/>
  </w:num>
  <w:num w:numId="4">
    <w:abstractNumId w:val="13"/>
  </w:num>
  <w:num w:numId="5">
    <w:abstractNumId w:val="9"/>
  </w:num>
  <w:num w:numId="6">
    <w:abstractNumId w:val="0"/>
  </w:num>
  <w:num w:numId="7">
    <w:abstractNumId w:val="10"/>
  </w:num>
  <w:num w:numId="8">
    <w:abstractNumId w:val="1"/>
  </w:num>
  <w:num w:numId="9">
    <w:abstractNumId w:val="12"/>
  </w:num>
  <w:num w:numId="10">
    <w:abstractNumId w:val="15"/>
  </w:num>
  <w:num w:numId="11">
    <w:abstractNumId w:val="5"/>
  </w:num>
  <w:num w:numId="12">
    <w:abstractNumId w:val="7"/>
  </w:num>
  <w:num w:numId="13">
    <w:abstractNumId w:val="6"/>
  </w:num>
  <w:num w:numId="14">
    <w:abstractNumId w:val="11"/>
  </w:num>
  <w:num w:numId="15">
    <w:abstractNumId w:val="2"/>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F0"/>
    <w:rsid w:val="00015B0A"/>
    <w:rsid w:val="00034294"/>
    <w:rsid w:val="000427F9"/>
    <w:rsid w:val="00050681"/>
    <w:rsid w:val="00070ED5"/>
    <w:rsid w:val="00077EDD"/>
    <w:rsid w:val="000A2224"/>
    <w:rsid w:val="000A75F7"/>
    <w:rsid w:val="000B17C6"/>
    <w:rsid w:val="000B1818"/>
    <w:rsid w:val="000D73C6"/>
    <w:rsid w:val="000D751C"/>
    <w:rsid w:val="00103B48"/>
    <w:rsid w:val="001055FC"/>
    <w:rsid w:val="00111107"/>
    <w:rsid w:val="00120106"/>
    <w:rsid w:val="001323C6"/>
    <w:rsid w:val="00133E06"/>
    <w:rsid w:val="00155117"/>
    <w:rsid w:val="00161C38"/>
    <w:rsid w:val="00184B2B"/>
    <w:rsid w:val="001A011A"/>
    <w:rsid w:val="001C7BD4"/>
    <w:rsid w:val="001D75AC"/>
    <w:rsid w:val="001F7624"/>
    <w:rsid w:val="002125AB"/>
    <w:rsid w:val="00225ADC"/>
    <w:rsid w:val="00263DC6"/>
    <w:rsid w:val="002650A9"/>
    <w:rsid w:val="00296FDE"/>
    <w:rsid w:val="002A36F9"/>
    <w:rsid w:val="002A481B"/>
    <w:rsid w:val="002A54AB"/>
    <w:rsid w:val="002A7898"/>
    <w:rsid w:val="002C7F59"/>
    <w:rsid w:val="002D368C"/>
    <w:rsid w:val="002E3965"/>
    <w:rsid w:val="002F06E0"/>
    <w:rsid w:val="00331E95"/>
    <w:rsid w:val="00342893"/>
    <w:rsid w:val="00376982"/>
    <w:rsid w:val="003B30BD"/>
    <w:rsid w:val="003B4B44"/>
    <w:rsid w:val="003B4F95"/>
    <w:rsid w:val="003B65A3"/>
    <w:rsid w:val="003B7EE9"/>
    <w:rsid w:val="003D1BA4"/>
    <w:rsid w:val="003E4526"/>
    <w:rsid w:val="003F11A1"/>
    <w:rsid w:val="00401329"/>
    <w:rsid w:val="004351A9"/>
    <w:rsid w:val="004422C7"/>
    <w:rsid w:val="00443E8C"/>
    <w:rsid w:val="00470C52"/>
    <w:rsid w:val="00472DB5"/>
    <w:rsid w:val="00485CA3"/>
    <w:rsid w:val="00497A00"/>
    <w:rsid w:val="004B6F95"/>
    <w:rsid w:val="004C642F"/>
    <w:rsid w:val="004E7669"/>
    <w:rsid w:val="004F0ED8"/>
    <w:rsid w:val="00500B18"/>
    <w:rsid w:val="00514D3A"/>
    <w:rsid w:val="00536743"/>
    <w:rsid w:val="005463F4"/>
    <w:rsid w:val="00576A66"/>
    <w:rsid w:val="00580147"/>
    <w:rsid w:val="0059154A"/>
    <w:rsid w:val="005D18F1"/>
    <w:rsid w:val="00602A8D"/>
    <w:rsid w:val="006243EB"/>
    <w:rsid w:val="00632082"/>
    <w:rsid w:val="00635069"/>
    <w:rsid w:val="00651FBA"/>
    <w:rsid w:val="006521FE"/>
    <w:rsid w:val="006D4D1D"/>
    <w:rsid w:val="007016DA"/>
    <w:rsid w:val="00707C68"/>
    <w:rsid w:val="007229F0"/>
    <w:rsid w:val="007265BA"/>
    <w:rsid w:val="007358DF"/>
    <w:rsid w:val="00743E5D"/>
    <w:rsid w:val="0076575C"/>
    <w:rsid w:val="007702B6"/>
    <w:rsid w:val="007723B6"/>
    <w:rsid w:val="007919B6"/>
    <w:rsid w:val="007A4A9E"/>
    <w:rsid w:val="007D33A6"/>
    <w:rsid w:val="007F73F1"/>
    <w:rsid w:val="008032E8"/>
    <w:rsid w:val="008560FE"/>
    <w:rsid w:val="00866BB3"/>
    <w:rsid w:val="008B0BB5"/>
    <w:rsid w:val="008B0BE6"/>
    <w:rsid w:val="008B7CE4"/>
    <w:rsid w:val="008C2344"/>
    <w:rsid w:val="008D127C"/>
    <w:rsid w:val="008E2B0C"/>
    <w:rsid w:val="009076A0"/>
    <w:rsid w:val="00922D7A"/>
    <w:rsid w:val="00926C5D"/>
    <w:rsid w:val="00931733"/>
    <w:rsid w:val="00934A9C"/>
    <w:rsid w:val="00936836"/>
    <w:rsid w:val="009411BA"/>
    <w:rsid w:val="00947FCE"/>
    <w:rsid w:val="00951428"/>
    <w:rsid w:val="00964186"/>
    <w:rsid w:val="009943D9"/>
    <w:rsid w:val="009A0B7D"/>
    <w:rsid w:val="009A15F8"/>
    <w:rsid w:val="009D7C66"/>
    <w:rsid w:val="009E0A37"/>
    <w:rsid w:val="009E63EA"/>
    <w:rsid w:val="009E6840"/>
    <w:rsid w:val="009E7C96"/>
    <w:rsid w:val="00A07A7C"/>
    <w:rsid w:val="00A35D95"/>
    <w:rsid w:val="00A56222"/>
    <w:rsid w:val="00A82C15"/>
    <w:rsid w:val="00A82C91"/>
    <w:rsid w:val="00A85F31"/>
    <w:rsid w:val="00A90E43"/>
    <w:rsid w:val="00AA1D5E"/>
    <w:rsid w:val="00AC2835"/>
    <w:rsid w:val="00AC75E0"/>
    <w:rsid w:val="00AF23E8"/>
    <w:rsid w:val="00B154A4"/>
    <w:rsid w:val="00B4568B"/>
    <w:rsid w:val="00B94E07"/>
    <w:rsid w:val="00BD5915"/>
    <w:rsid w:val="00BE30E9"/>
    <w:rsid w:val="00BE7F03"/>
    <w:rsid w:val="00BF4A85"/>
    <w:rsid w:val="00C364BF"/>
    <w:rsid w:val="00C47711"/>
    <w:rsid w:val="00C71EC9"/>
    <w:rsid w:val="00C763E8"/>
    <w:rsid w:val="00C87CF5"/>
    <w:rsid w:val="00CA2430"/>
    <w:rsid w:val="00CB63D4"/>
    <w:rsid w:val="00CD35D3"/>
    <w:rsid w:val="00CD3FD0"/>
    <w:rsid w:val="00D46AA2"/>
    <w:rsid w:val="00D761CE"/>
    <w:rsid w:val="00D77D6B"/>
    <w:rsid w:val="00E5574B"/>
    <w:rsid w:val="00E70EDF"/>
    <w:rsid w:val="00E76652"/>
    <w:rsid w:val="00E959D4"/>
    <w:rsid w:val="00EA1222"/>
    <w:rsid w:val="00EF0726"/>
    <w:rsid w:val="00F30080"/>
    <w:rsid w:val="00F421AD"/>
    <w:rsid w:val="00F46F83"/>
    <w:rsid w:val="00F51990"/>
    <w:rsid w:val="00F57BAC"/>
    <w:rsid w:val="00FC0896"/>
    <w:rsid w:val="00FD4170"/>
    <w:rsid w:val="00FF6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D77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9F0"/>
    <w:pPr>
      <w:suppressAutoHyphens/>
      <w:spacing w:before="120" w:after="60" w:line="260" w:lineRule="atLeast"/>
    </w:pPr>
    <w:rPr>
      <w:color w:val="44546A" w:themeColor="text2"/>
      <w:lang w:val="en-GB"/>
    </w:rPr>
  </w:style>
  <w:style w:type="paragraph" w:styleId="Heading2">
    <w:name w:val="heading 2"/>
    <w:basedOn w:val="Normal"/>
    <w:next w:val="Normal"/>
    <w:link w:val="Heading2Char"/>
    <w:uiPriority w:val="9"/>
    <w:semiHidden/>
    <w:unhideWhenUsed/>
    <w:qFormat/>
    <w:rsid w:val="007229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7229F0"/>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229F0"/>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7229F0"/>
    <w:pPr>
      <w:numPr>
        <w:numId w:val="2"/>
      </w:numPr>
      <w:tabs>
        <w:tab w:val="left" w:pos="567"/>
      </w:tabs>
      <w:spacing w:before="60"/>
    </w:pPr>
  </w:style>
  <w:style w:type="paragraph" w:customStyle="1" w:styleId="Bullet2">
    <w:name w:val="Bullet 2"/>
    <w:basedOn w:val="Bullet1"/>
    <w:qFormat/>
    <w:rsid w:val="007229F0"/>
    <w:pPr>
      <w:numPr>
        <w:ilvl w:val="1"/>
      </w:numPr>
      <w:tabs>
        <w:tab w:val="clear" w:pos="568"/>
        <w:tab w:val="left" w:pos="851"/>
      </w:tabs>
    </w:pPr>
  </w:style>
  <w:style w:type="paragraph" w:customStyle="1" w:styleId="Bullet3">
    <w:name w:val="Bullet 3"/>
    <w:basedOn w:val="Bullet2"/>
    <w:qFormat/>
    <w:rsid w:val="007229F0"/>
    <w:pPr>
      <w:numPr>
        <w:ilvl w:val="2"/>
      </w:numPr>
      <w:tabs>
        <w:tab w:val="clear" w:pos="852"/>
        <w:tab w:val="left" w:pos="1134"/>
      </w:tabs>
    </w:pPr>
  </w:style>
  <w:style w:type="numbering" w:customStyle="1" w:styleId="BulletsList">
    <w:name w:val="Bullets List"/>
    <w:uiPriority w:val="99"/>
    <w:rsid w:val="007229F0"/>
    <w:pPr>
      <w:numPr>
        <w:numId w:val="1"/>
      </w:numPr>
    </w:pPr>
  </w:style>
  <w:style w:type="paragraph" w:customStyle="1" w:styleId="TableHeaderRow">
    <w:name w:val="Table Header Row"/>
    <w:basedOn w:val="Normal"/>
    <w:qFormat/>
    <w:rsid w:val="007229F0"/>
    <w:pPr>
      <w:spacing w:before="60"/>
    </w:pPr>
    <w:rPr>
      <w:rFonts w:ascii="Calibri" w:hAnsi="Calibri"/>
      <w:b/>
      <w:color w:val="FFFFFF" w:themeColor="background1"/>
      <w:szCs w:val="21"/>
    </w:rPr>
  </w:style>
  <w:style w:type="table" w:customStyle="1" w:styleId="DFATTable1">
    <w:name w:val="DFAT Table 1"/>
    <w:basedOn w:val="TableNormal"/>
    <w:uiPriority w:val="99"/>
    <w:rsid w:val="007229F0"/>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7229F0"/>
  </w:style>
  <w:style w:type="character" w:customStyle="1" w:styleId="BodyTextChar">
    <w:name w:val="Body Text Char"/>
    <w:basedOn w:val="DefaultParagraphFont"/>
    <w:link w:val="BodyText"/>
    <w:uiPriority w:val="99"/>
    <w:rsid w:val="007229F0"/>
    <w:rPr>
      <w:color w:val="44546A" w:themeColor="text2"/>
      <w:lang w:val="en-GB"/>
    </w:rPr>
  </w:style>
  <w:style w:type="character" w:customStyle="1" w:styleId="Heading2Char">
    <w:name w:val="Heading 2 Char"/>
    <w:basedOn w:val="DefaultParagraphFont"/>
    <w:link w:val="Heading2"/>
    <w:uiPriority w:val="9"/>
    <w:semiHidden/>
    <w:rsid w:val="007229F0"/>
    <w:rPr>
      <w:rFonts w:asciiTheme="majorHAnsi" w:eastAsiaTheme="majorEastAsia" w:hAnsiTheme="majorHAnsi" w:cstheme="majorBidi"/>
      <w:color w:val="2E74B5" w:themeColor="accent1" w:themeShade="BF"/>
      <w:sz w:val="26"/>
      <w:szCs w:val="26"/>
      <w:lang w:val="en-GB"/>
    </w:rPr>
  </w:style>
  <w:style w:type="paragraph" w:styleId="ListParagraph">
    <w:name w:val="List Paragraph"/>
    <w:basedOn w:val="Normal"/>
    <w:uiPriority w:val="34"/>
    <w:qFormat/>
    <w:rsid w:val="00E76652"/>
    <w:pPr>
      <w:suppressAutoHyphens w:val="0"/>
      <w:spacing w:before="0" w:after="160" w:line="259" w:lineRule="auto"/>
      <w:ind w:left="720"/>
      <w:contextualSpacing/>
    </w:pPr>
    <w:rPr>
      <w:color w:val="auto"/>
      <w:lang w:val="en-AU"/>
    </w:rPr>
  </w:style>
  <w:style w:type="paragraph" w:styleId="TOC8">
    <w:name w:val="toc 8"/>
    <w:basedOn w:val="Normal"/>
    <w:next w:val="Normal"/>
    <w:uiPriority w:val="39"/>
    <w:rsid w:val="00BD5915"/>
    <w:pPr>
      <w:tabs>
        <w:tab w:val="right" w:pos="9360"/>
      </w:tabs>
      <w:suppressAutoHyphens w:val="0"/>
      <w:spacing w:before="240" w:after="0" w:line="240" w:lineRule="auto"/>
      <w:ind w:left="1152" w:hanging="1152"/>
    </w:pPr>
    <w:rPr>
      <w:rFonts w:ascii="Calibri" w:eastAsia="Times New Roman" w:hAnsi="Calibri" w:cs="Times New Roman"/>
      <w:color w:val="auto"/>
      <w:lang w:val="en-CA"/>
    </w:rPr>
  </w:style>
  <w:style w:type="paragraph" w:styleId="BalloonText">
    <w:name w:val="Balloon Text"/>
    <w:basedOn w:val="Normal"/>
    <w:link w:val="BalloonTextChar"/>
    <w:uiPriority w:val="99"/>
    <w:semiHidden/>
    <w:unhideWhenUsed/>
    <w:rsid w:val="002A54A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4AB"/>
    <w:rPr>
      <w:rFonts w:ascii="Segoe UI" w:hAnsi="Segoe UI" w:cs="Segoe UI"/>
      <w:color w:val="44546A" w:themeColor="text2"/>
      <w:sz w:val="18"/>
      <w:szCs w:val="18"/>
      <w:lang w:val="en-GB"/>
    </w:rPr>
  </w:style>
  <w:style w:type="paragraph" w:styleId="Header">
    <w:name w:val="header"/>
    <w:basedOn w:val="Normal"/>
    <w:link w:val="HeaderChar"/>
    <w:uiPriority w:val="99"/>
    <w:unhideWhenUsed/>
    <w:rsid w:val="00A85F3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85F31"/>
    <w:rPr>
      <w:color w:val="44546A" w:themeColor="text2"/>
      <w:lang w:val="en-GB"/>
    </w:rPr>
  </w:style>
  <w:style w:type="paragraph" w:styleId="Footer">
    <w:name w:val="footer"/>
    <w:basedOn w:val="Normal"/>
    <w:link w:val="FooterChar"/>
    <w:uiPriority w:val="99"/>
    <w:unhideWhenUsed/>
    <w:rsid w:val="00A85F3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85F31"/>
    <w:rPr>
      <w:color w:val="44546A" w:themeColor="text2"/>
      <w:lang w:val="en-GB"/>
    </w:rPr>
  </w:style>
  <w:style w:type="character" w:styleId="CommentReference">
    <w:name w:val="annotation reference"/>
    <w:basedOn w:val="DefaultParagraphFont"/>
    <w:uiPriority w:val="99"/>
    <w:semiHidden/>
    <w:unhideWhenUsed/>
    <w:rsid w:val="005463F4"/>
    <w:rPr>
      <w:sz w:val="16"/>
      <w:szCs w:val="16"/>
    </w:rPr>
  </w:style>
  <w:style w:type="paragraph" w:styleId="CommentText">
    <w:name w:val="annotation text"/>
    <w:basedOn w:val="Normal"/>
    <w:link w:val="CommentTextChar"/>
    <w:uiPriority w:val="99"/>
    <w:semiHidden/>
    <w:unhideWhenUsed/>
    <w:rsid w:val="005463F4"/>
    <w:pPr>
      <w:spacing w:line="240" w:lineRule="auto"/>
    </w:pPr>
    <w:rPr>
      <w:sz w:val="20"/>
      <w:szCs w:val="20"/>
    </w:rPr>
  </w:style>
  <w:style w:type="character" w:customStyle="1" w:styleId="CommentTextChar">
    <w:name w:val="Comment Text Char"/>
    <w:basedOn w:val="DefaultParagraphFont"/>
    <w:link w:val="CommentText"/>
    <w:uiPriority w:val="99"/>
    <w:semiHidden/>
    <w:rsid w:val="005463F4"/>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5463F4"/>
    <w:rPr>
      <w:b/>
      <w:bCs/>
    </w:rPr>
  </w:style>
  <w:style w:type="character" w:customStyle="1" w:styleId="CommentSubjectChar">
    <w:name w:val="Comment Subject Char"/>
    <w:basedOn w:val="CommentTextChar"/>
    <w:link w:val="CommentSubject"/>
    <w:uiPriority w:val="99"/>
    <w:semiHidden/>
    <w:rsid w:val="005463F4"/>
    <w:rPr>
      <w:b/>
      <w:bCs/>
      <w:color w:val="44546A" w:themeColor="text2"/>
      <w:sz w:val="20"/>
      <w:szCs w:val="20"/>
      <w:lang w:val="en-GB"/>
    </w:rPr>
  </w:style>
  <w:style w:type="character" w:customStyle="1" w:styleId="ReporttextChar">
    <w:name w:val="Report text Char"/>
    <w:basedOn w:val="DefaultParagraphFont"/>
    <w:link w:val="Reporttext"/>
    <w:locked/>
    <w:rsid w:val="00743E5D"/>
  </w:style>
  <w:style w:type="paragraph" w:customStyle="1" w:styleId="Reporttext">
    <w:name w:val="Report text"/>
    <w:basedOn w:val="Normal"/>
    <w:link w:val="ReporttextChar"/>
    <w:rsid w:val="00743E5D"/>
    <w:pPr>
      <w:suppressAutoHyphens w:val="0"/>
      <w:spacing w:before="240" w:after="0" w:line="240" w:lineRule="auto"/>
      <w:jc w:val="both"/>
    </w:pPr>
    <w:rPr>
      <w:color w:val="auto"/>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93568-6F17-40A0-83E8-04B1A300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868</Words>
  <Characters>4954</Characters>
  <Application>Microsoft Office Word</Application>
  <DocSecurity>0</DocSecurity>
  <Lines>41</Lines>
  <Paragraphs>11</Paragraphs>
  <ScaleCrop>false</ScaleCrop>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2020-03-03T08:36:00Z</dcterms:created>
  <dcterms:modified xsi:type="dcterms:W3CDTF">2020-03-03T08:36:00Z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22452d05-42f7-4b86-bb30-01a10bff455c</vt:lpwstr>
  </property>
  <property fmtid="{D5CDD505-2E9C-101B-9397-08002B2CF9AE}" pid="3" name="SEC">
    <vt:lpwstr>UNCLASSIFIED</vt:lpwstr>
  </property>
  <property fmtid="{D5CDD505-2E9C-101B-9397-08002B2CF9AE}" pid="4" name="DLM">
    <vt:lpwstr>No DLM</vt:lpwstr>
  </property>
</Properties>
</file>